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2, 2007</w:t>
      </w:r>
    </w:p>
    <w:p>
      <w:pPr>
        <w:spacing w:after="0" w:line="90" w:lineRule="exact"/>
        <w:rPr>
          <w:sz w:val="24"/>
          <w:szCs w:val="24"/>
          <w:color w:val="auto"/>
        </w:rPr>
      </w:pPr>
    </w:p>
    <w:p>
      <w:pPr>
        <w:ind w:left="8940"/>
        <w:spacing w:after="0"/>
        <w:rPr>
          <w:sz w:val="20"/>
          <w:szCs w:val="20"/>
          <w:color w:val="auto"/>
        </w:rPr>
      </w:pPr>
      <w:r>
        <w:rPr>
          <w:rFonts w:ascii="Arial" w:cs="Arial" w:eastAsia="Arial" w:hAnsi="Arial"/>
          <w:sz w:val="15"/>
          <w:szCs w:val="15"/>
          <w:b w:val="1"/>
          <w:bCs w:val="1"/>
          <w:color w:val="auto"/>
        </w:rPr>
        <w:t>Registration No. 333-__________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96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5400" w:type="dxa"/>
            <w:vAlign w:val="bottom"/>
          </w:tcPr>
          <w:p>
            <w:pPr>
              <w:ind w:left="20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379"/>
        </w:trPr>
        <w:tc>
          <w:tcPr>
            <w:tcW w:w="2000" w:type="dxa"/>
            <w:vAlign w:val="bottom"/>
          </w:tcPr>
          <w:p>
            <w:pPr>
              <w:jc w:val="center"/>
              <w:ind w:right="106"/>
              <w:spacing w:after="0"/>
              <w:rPr>
                <w:sz w:val="20"/>
                <w:szCs w:val="20"/>
                <w:color w:val="auto"/>
              </w:rPr>
            </w:pPr>
            <w:r>
              <w:rPr>
                <w:rFonts w:ascii="Arial" w:cs="Arial" w:eastAsia="Arial" w:hAnsi="Arial"/>
                <w:sz w:val="18"/>
                <w:szCs w:val="18"/>
                <w:b w:val="1"/>
                <w:bCs w:val="1"/>
                <w:color w:val="auto"/>
                <w:w w:val="88"/>
              </w:rPr>
              <w:t>Delaware</w:t>
            </w:r>
          </w:p>
        </w:tc>
        <w:tc>
          <w:tcPr>
            <w:tcW w:w="5400" w:type="dxa"/>
            <w:vAlign w:val="bottom"/>
          </w:tcPr>
          <w:p>
            <w:pPr>
              <w:jc w:val="center"/>
              <w:ind w:left="3967"/>
              <w:spacing w:after="0"/>
              <w:rPr>
                <w:sz w:val="20"/>
                <w:szCs w:val="20"/>
                <w:color w:val="auto"/>
              </w:rPr>
            </w:pPr>
            <w:r>
              <w:rPr>
                <w:rFonts w:ascii="Arial" w:cs="Arial" w:eastAsia="Arial" w:hAnsi="Arial"/>
                <w:sz w:val="18"/>
                <w:szCs w:val="18"/>
                <w:b w:val="1"/>
                <w:bCs w:val="1"/>
                <w:color w:val="auto"/>
                <w:w w:val="87"/>
              </w:rPr>
              <w:t>72-0289970</w:t>
            </w:r>
          </w:p>
        </w:tc>
      </w:tr>
      <w:tr>
        <w:trPr>
          <w:trHeight w:val="149"/>
        </w:trPr>
        <w:tc>
          <w:tcPr>
            <w:tcW w:w="2000" w:type="dxa"/>
            <w:vAlign w:val="bottom"/>
          </w:tcPr>
          <w:p>
            <w:pPr>
              <w:jc w:val="center"/>
              <w:ind w:right="10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400" w:type="dxa"/>
            <w:vAlign w:val="bottom"/>
          </w:tcPr>
          <w:p>
            <w:pPr>
              <w:jc w:val="center"/>
              <w:ind w:left="3987"/>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000" w:type="dxa"/>
            <w:vAlign w:val="bottom"/>
          </w:tcPr>
          <w:p>
            <w:pPr>
              <w:jc w:val="center"/>
              <w:ind w:right="106"/>
              <w:spacing w:after="0"/>
              <w:rPr>
                <w:sz w:val="20"/>
                <w:szCs w:val="20"/>
                <w:color w:val="auto"/>
              </w:rPr>
            </w:pPr>
            <w:r>
              <w:rPr>
                <w:rFonts w:ascii="Arial" w:cs="Arial" w:eastAsia="Arial" w:hAnsi="Arial"/>
                <w:sz w:val="14"/>
                <w:szCs w:val="14"/>
                <w:b w:val="1"/>
                <w:bCs w:val="1"/>
                <w:color w:val="auto"/>
                <w:w w:val="89"/>
              </w:rPr>
              <w:t>Incorporation or Organization)</w:t>
            </w:r>
          </w:p>
        </w:tc>
        <w:tc>
          <w:tcPr>
            <w:tcW w:w="5400" w:type="dxa"/>
            <w:vAlign w:val="bottom"/>
          </w:tcPr>
          <w:p>
            <w:pPr>
              <w:jc w:val="center"/>
              <w:ind w:left="3987"/>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12500 TI Boulevard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 995-3773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113665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Joseph F. Hubach, Senior Vice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Secretary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12500 TI Boulevard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 995-3773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113665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Bruce K. Dallas,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Davis Polk &amp; Wardwell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1600 El Camino Real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Menlo Park, California 94025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752-2000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127000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7"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From time to time after this Registration Statement becomes effective.</w:t>
      </w:r>
    </w:p>
    <w:p>
      <w:pPr>
        <w:spacing w:after="0" w:line="168" w:lineRule="exact"/>
        <w:rPr>
          <w:sz w:val="24"/>
          <w:szCs w:val="24"/>
          <w:color w:val="auto"/>
        </w:rPr>
      </w:pPr>
    </w:p>
    <w:p>
      <w:pPr>
        <w:ind w:left="460"/>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27" w:lineRule="exact"/>
        <w:rPr>
          <w:sz w:val="24"/>
          <w:szCs w:val="24"/>
          <w:color w:val="auto"/>
        </w:rPr>
      </w:pPr>
    </w:p>
    <w:p>
      <w:pPr>
        <w:ind w:right="32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36" w:lineRule="exact"/>
        <w:rPr>
          <w:sz w:val="24"/>
          <w:szCs w:val="24"/>
          <w:color w:val="auto"/>
        </w:rPr>
      </w:pPr>
    </w:p>
    <w:p>
      <w:pPr>
        <w:ind w:right="40" w:firstLine="456"/>
        <w:spacing w:after="0" w:line="230"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r>
        <w:rPr>
          <w:rFonts w:ascii="Arial" w:cs="Arial" w:eastAsia="Arial" w:hAnsi="Arial"/>
          <w:sz w:val="16"/>
          <w:szCs w:val="16"/>
          <w:color w:val="auto"/>
        </w:rPr>
        <w:t xml:space="preserve"> _______</w:t>
      </w:r>
    </w:p>
    <w:p>
      <w:pPr>
        <w:spacing w:after="0" w:line="136" w:lineRule="exact"/>
        <w:rPr>
          <w:sz w:val="24"/>
          <w:szCs w:val="24"/>
          <w:color w:val="auto"/>
        </w:rPr>
      </w:pPr>
    </w:p>
    <w:p>
      <w:pPr>
        <w:ind w:right="5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p>
      <w:pPr>
        <w:spacing w:after="0" w:line="137" w:lineRule="exact"/>
        <w:rPr>
          <w:sz w:val="24"/>
          <w:szCs w:val="24"/>
          <w:color w:val="auto"/>
        </w:rPr>
      </w:pPr>
    </w:p>
    <w:p>
      <w:pPr>
        <w:ind w:right="260" w:firstLine="456"/>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4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109855</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080" w:type="dxa"/>
            <w:vAlign w:val="bottom"/>
            <w:tcBorders>
              <w:top w:val="single" w:sz="8" w:color="auto"/>
              <w:bottom w:val="single" w:sz="8" w:color="auto"/>
            </w:tcBorders>
          </w:tcPr>
          <w:p>
            <w:pPr>
              <w:spacing w:after="0"/>
              <w:rPr>
                <w:sz w:val="3"/>
                <w:szCs w:val="3"/>
                <w:color w:val="auto"/>
              </w:rPr>
            </w:pPr>
          </w:p>
        </w:tc>
        <w:tc>
          <w:tcPr>
            <w:tcW w:w="234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40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8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3"/>
              </w:rPr>
              <w:t>Proposed</w:t>
            </w:r>
          </w:p>
        </w:tc>
        <w:tc>
          <w:tcPr>
            <w:tcW w:w="18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3"/>
              </w:rPr>
              <w:t>Proposed</w:t>
            </w: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Title of Each</w:t>
            </w:r>
          </w:p>
        </w:tc>
        <w:tc>
          <w:tcPr>
            <w:tcW w:w="23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240" w:type="dxa"/>
            <w:vAlign w:val="bottom"/>
          </w:tcPr>
          <w:p>
            <w:pPr>
              <w:jc w:val="center"/>
              <w:ind w:left="472"/>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35"/>
        </w:trPr>
        <w:tc>
          <w:tcPr>
            <w:tcW w:w="4080" w:type="dxa"/>
            <w:vAlign w:val="bottom"/>
            <w:vMerge w:val="continue"/>
          </w:tcPr>
          <w:p>
            <w:pPr>
              <w:spacing w:after="0"/>
              <w:rPr>
                <w:sz w:val="11"/>
                <w:szCs w:val="11"/>
                <w:color w:val="auto"/>
              </w:rPr>
            </w:pPr>
          </w:p>
        </w:tc>
        <w:tc>
          <w:tcPr>
            <w:tcW w:w="2340" w:type="dxa"/>
            <w:vAlign w:val="bottom"/>
          </w:tcPr>
          <w:p>
            <w:pPr>
              <w:jc w:val="center"/>
              <w:ind w:left="452"/>
              <w:spacing w:after="0" w:line="135" w:lineRule="exact"/>
              <w:rPr>
                <w:sz w:val="20"/>
                <w:szCs w:val="20"/>
                <w:color w:val="auto"/>
              </w:rPr>
            </w:pPr>
            <w:r>
              <w:rPr>
                <w:rFonts w:ascii="Arial" w:cs="Arial" w:eastAsia="Arial" w:hAnsi="Arial"/>
                <w:sz w:val="14"/>
                <w:szCs w:val="14"/>
                <w:b w:val="1"/>
                <w:bCs w:val="1"/>
                <w:color w:val="auto"/>
                <w:w w:val="86"/>
              </w:rPr>
              <w:t>Amount to be</w:t>
            </w:r>
          </w:p>
        </w:tc>
        <w:tc>
          <w:tcPr>
            <w:tcW w:w="1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Offering Price</w:t>
            </w:r>
          </w:p>
        </w:tc>
        <w:tc>
          <w:tcPr>
            <w:tcW w:w="1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Aggregate</w:t>
            </w:r>
          </w:p>
        </w:tc>
        <w:tc>
          <w:tcPr>
            <w:tcW w:w="1240" w:type="dxa"/>
            <w:vAlign w:val="bottom"/>
          </w:tcPr>
          <w:p>
            <w:pPr>
              <w:jc w:val="center"/>
              <w:ind w:left="452"/>
              <w:spacing w:after="0" w:line="135" w:lineRule="exact"/>
              <w:rPr>
                <w:sz w:val="20"/>
                <w:szCs w:val="20"/>
                <w:color w:val="auto"/>
              </w:rPr>
            </w:pPr>
            <w:r>
              <w:rPr>
                <w:rFonts w:ascii="Arial" w:cs="Arial" w:eastAsia="Arial" w:hAnsi="Arial"/>
                <w:sz w:val="14"/>
                <w:szCs w:val="14"/>
                <w:b w:val="1"/>
                <w:bCs w:val="1"/>
                <w:color w:val="auto"/>
                <w:w w:val="88"/>
              </w:rPr>
              <w:t>Registration</w:t>
            </w:r>
          </w:p>
        </w:tc>
        <w:tc>
          <w:tcPr>
            <w:tcW w:w="0" w:type="dxa"/>
            <w:vAlign w:val="bottom"/>
          </w:tcPr>
          <w:p>
            <w:pPr>
              <w:spacing w:after="0"/>
              <w:rPr>
                <w:sz w:val="1"/>
                <w:szCs w:val="1"/>
                <w:color w:val="auto"/>
              </w:rPr>
            </w:pPr>
          </w:p>
        </w:tc>
      </w:tr>
      <w:tr>
        <w:trPr>
          <w:trHeight w:val="188"/>
        </w:trPr>
        <w:tc>
          <w:tcPr>
            <w:tcW w:w="4080" w:type="dxa"/>
            <w:vAlign w:val="bottom"/>
          </w:tcPr>
          <w:p>
            <w:pPr>
              <w:jc w:val="center"/>
              <w:spacing w:after="0"/>
              <w:rPr>
                <w:sz w:val="20"/>
                <w:szCs w:val="20"/>
                <w:color w:val="auto"/>
              </w:rPr>
            </w:pPr>
            <w:r>
              <w:rPr>
                <w:rFonts w:ascii="Arial" w:cs="Arial" w:eastAsia="Arial" w:hAnsi="Arial"/>
                <w:sz w:val="14"/>
                <w:szCs w:val="14"/>
                <w:b w:val="1"/>
                <w:bCs w:val="1"/>
                <w:color w:val="auto"/>
                <w:w w:val="83"/>
              </w:rPr>
              <w:t>Class of Securities to be Registered</w:t>
            </w:r>
          </w:p>
        </w:tc>
        <w:tc>
          <w:tcPr>
            <w:tcW w:w="2340" w:type="dxa"/>
            <w:vAlign w:val="bottom"/>
          </w:tcPr>
          <w:p>
            <w:pPr>
              <w:jc w:val="center"/>
              <w:ind w:left="452"/>
              <w:spacing w:after="0"/>
              <w:rPr>
                <w:sz w:val="20"/>
                <w:szCs w:val="20"/>
                <w:color w:val="auto"/>
              </w:rPr>
            </w:pPr>
            <w:r>
              <w:rPr>
                <w:rFonts w:ascii="Arial" w:cs="Arial" w:eastAsia="Arial" w:hAnsi="Arial"/>
                <w:sz w:val="14"/>
                <w:szCs w:val="14"/>
                <w:b w:val="1"/>
                <w:bCs w:val="1"/>
                <w:color w:val="auto"/>
                <w:w w:val="85"/>
              </w:rPr>
              <w:t>Registered</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0"/>
              </w:rPr>
              <w:t>Per Unit (1)</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8"/>
              </w:rPr>
              <w:t>Offering Price</w:t>
            </w:r>
          </w:p>
        </w:tc>
        <w:tc>
          <w:tcPr>
            <w:tcW w:w="1240" w:type="dxa"/>
            <w:vAlign w:val="bottom"/>
          </w:tcPr>
          <w:p>
            <w:pPr>
              <w:jc w:val="center"/>
              <w:ind w:left="452"/>
              <w:spacing w:after="0"/>
              <w:rPr>
                <w:sz w:val="20"/>
                <w:szCs w:val="20"/>
                <w:color w:val="auto"/>
              </w:rPr>
            </w:pPr>
            <w:r>
              <w:rPr>
                <w:rFonts w:ascii="Arial" w:cs="Arial" w:eastAsia="Arial" w:hAnsi="Arial"/>
                <w:sz w:val="14"/>
                <w:szCs w:val="14"/>
                <w:b w:val="1"/>
                <w:bCs w:val="1"/>
                <w:color w:val="auto"/>
                <w:w w:val="82"/>
              </w:rPr>
              <w:t>Fee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Common Stock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Preferred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Debt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 indeterminate amount of securities to be offered at indeterminate prices is being registered pursuant to this registration statement. The registrant is</w:t>
      </w:r>
    </w:p>
    <w:p>
      <w:pPr>
        <w:sectPr>
          <w:pgSz w:w="11900" w:h="16838" w:orient="portrait"/>
          <w:cols w:equalWidth="0" w:num="1">
            <w:col w:w="11420"/>
          </w:cols>
          <w:pgMar w:left="240" w:top="230" w:right="239" w:bottom="0" w:gutter="0" w:footer="0" w:header="0"/>
        </w:sectPr>
      </w:pPr>
    </w:p>
    <w:bookmarkStart w:id="1" w:name="page2"/>
    <w:bookmarkEnd w:id="1"/>
    <w:p>
      <w:pPr>
        <w:ind w:left="452"/>
        <w:spacing w:after="0"/>
        <w:rPr>
          <w:sz w:val="20"/>
          <w:szCs w:val="20"/>
          <w:color w:val="auto"/>
        </w:rPr>
      </w:pPr>
      <w:r>
        <w:rPr>
          <w:rFonts w:ascii="Arial" w:cs="Arial" w:eastAsia="Arial" w:hAnsi="Arial"/>
          <w:sz w:val="16"/>
          <w:szCs w:val="16"/>
          <w:color w:val="auto"/>
        </w:rPr>
        <w:t>deferring payment of the registration fee pursuant to Rule 456(b) and is omitting this information in reliance on Rule 456(b) and Rule 457(r).</w:t>
      </w:r>
    </w:p>
    <w:p>
      <w:pPr>
        <w:spacing w:after="0" w:line="113" w:lineRule="exact"/>
        <w:rPr>
          <w:sz w:val="20"/>
          <w:szCs w:val="20"/>
          <w:color w:val="auto"/>
        </w:rPr>
      </w:pPr>
    </w:p>
    <w:p>
      <w:pPr>
        <w:ind w:left="452" w:hanging="452"/>
        <w:spacing w:after="0" w:line="332" w:lineRule="auto"/>
        <w:tabs>
          <w:tab w:leader="none" w:pos="452"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common stock being registered hereby includes associated rights to acquire Series B Participating Cumulative Preferred Stock of Texas Instruments Incorporated pursuant to the Rights Agreement described in the prospectus contained in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52"/>
          </w:cols>
          <w:pgMar w:left="248" w:top="131"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760730</wp:posOffset>
            </wp:positionV>
            <wp:extent cx="1243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118110</wp:posOffset>
            </wp:positionV>
            <wp:extent cx="1543685" cy="523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4368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420"/>
          </w:cols>
          <w:pgMar w:left="240" w:top="459" w:right="239" w:bottom="1440" w:gutter="0" w:footer="0" w:header="0"/>
        </w:sectPr>
      </w:pP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Common stock</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Warrants</w:t>
      </w:r>
    </w:p>
    <w:p>
      <w:pPr>
        <w:spacing w:after="0" w:line="192" w:lineRule="exact"/>
        <w:rPr>
          <w:sz w:val="20"/>
          <w:szCs w:val="20"/>
          <w:color w:val="auto"/>
        </w:rPr>
      </w:pPr>
    </w:p>
    <w:p>
      <w:pPr>
        <w:sectPr>
          <w:pgSz w:w="11900" w:h="16838" w:orient="portrait"/>
          <w:cols w:equalWidth="0" w:num="4">
            <w:col w:w="60" w:space="360"/>
            <w:col w:w="4820" w:space="720"/>
            <w:col w:w="60" w:space="340"/>
            <w:col w:w="50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Units</w:t>
      </w:r>
    </w:p>
    <w:p>
      <w:pPr>
        <w:spacing w:after="0" w:line="181" w:lineRule="exact"/>
        <w:rPr>
          <w:sz w:val="20"/>
          <w:szCs w:val="20"/>
          <w:color w:val="auto"/>
        </w:rPr>
      </w:pPr>
    </w:p>
    <w:p>
      <w:pPr>
        <w:sectPr>
          <w:pgSz w:w="11900" w:h="16838" w:orient="portrait"/>
          <w:cols w:equalWidth="0" w:num="4">
            <w:col w:w="60" w:space="360"/>
            <w:col w:w="4820" w:space="720"/>
            <w:col w:w="60" w:space="340"/>
            <w:col w:w="5060"/>
          </w:cols>
          <w:pgMar w:left="240" w:top="459" w:right="239" w:bottom="1440" w:gutter="0" w:footer="0" w:header="0"/>
          <w:type w:val="continuous"/>
        </w:sect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71"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760" w:type="dxa"/>
            <w:vAlign w:val="bottom"/>
          </w:tcPr>
          <w:p>
            <w:pPr>
              <w:ind w:left="180"/>
              <w:spacing w:after="0"/>
              <w:rPr>
                <w:sz w:val="20"/>
                <w:szCs w:val="20"/>
                <w:color w:val="auto"/>
              </w:rPr>
            </w:pPr>
            <w:r>
              <w:rPr>
                <w:rFonts w:ascii="Arial" w:cs="Arial" w:eastAsia="Arial" w:hAnsi="Arial"/>
                <w:sz w:val="18"/>
                <w:szCs w:val="18"/>
                <w:color w:val="auto"/>
              </w:rPr>
              <w:t>Maturity</w:t>
            </w:r>
          </w:p>
        </w:tc>
        <w:tc>
          <w:tcPr>
            <w:tcW w:w="1260" w:type="dxa"/>
            <w:vAlign w:val="bottom"/>
          </w:tcPr>
          <w:p>
            <w:pPr>
              <w:ind w:left="1020"/>
              <w:spacing w:after="0"/>
              <w:rPr>
                <w:sz w:val="20"/>
                <w:szCs w:val="20"/>
                <w:color w:val="auto"/>
              </w:rPr>
            </w:pPr>
            <w:r>
              <w:rPr>
                <w:rFonts w:ascii="Arial" w:cs="Arial" w:eastAsia="Arial" w:hAnsi="Arial"/>
                <w:sz w:val="18"/>
                <w:szCs w:val="18"/>
                <w:color w:val="auto"/>
              </w:rPr>
              <w:t>•</w:t>
            </w:r>
          </w:p>
        </w:tc>
        <w:tc>
          <w:tcPr>
            <w:tcW w:w="2920" w:type="dxa"/>
            <w:vAlign w:val="bottom"/>
          </w:tcPr>
          <w:p>
            <w:pPr>
              <w:ind w:left="180"/>
              <w:spacing w:after="0"/>
              <w:rPr>
                <w:sz w:val="20"/>
                <w:szCs w:val="20"/>
                <w:color w:val="auto"/>
              </w:rPr>
            </w:pPr>
            <w:r>
              <w:rPr>
                <w:rFonts w:ascii="Arial" w:cs="Arial" w:eastAsia="Arial" w:hAnsi="Arial"/>
                <w:sz w:val="18"/>
                <w:szCs w:val="18"/>
                <w:color w:val="auto"/>
              </w:rPr>
              <w:t>Redemption terms</w:t>
            </w: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1720" w:type="dxa"/>
            <w:vAlign w:val="bottom"/>
          </w:tcPr>
          <w:p>
            <w:pPr>
              <w:ind w:left="160"/>
              <w:spacing w:after="0"/>
              <w:rPr>
                <w:sz w:val="20"/>
                <w:szCs w:val="20"/>
                <w:color w:val="auto"/>
              </w:rPr>
            </w:pPr>
            <w:r>
              <w:rPr>
                <w:rFonts w:ascii="Arial" w:cs="Arial" w:eastAsia="Arial" w:hAnsi="Arial"/>
                <w:sz w:val="18"/>
                <w:szCs w:val="18"/>
                <w:color w:val="auto"/>
              </w:rPr>
              <w:t>Liquidation amount</w:t>
            </w:r>
          </w:p>
        </w:tc>
      </w:tr>
      <w:tr>
        <w:trPr>
          <w:trHeight w:val="365"/>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760" w:type="dxa"/>
            <w:vAlign w:val="bottom"/>
          </w:tcPr>
          <w:p>
            <w:pPr>
              <w:ind w:left="180"/>
              <w:spacing w:after="0"/>
              <w:rPr>
                <w:sz w:val="20"/>
                <w:szCs w:val="20"/>
                <w:color w:val="auto"/>
              </w:rPr>
            </w:pPr>
            <w:r>
              <w:rPr>
                <w:rFonts w:ascii="Arial" w:cs="Arial" w:eastAsia="Arial" w:hAnsi="Arial"/>
                <w:sz w:val="18"/>
                <w:szCs w:val="18"/>
                <w:color w:val="auto"/>
              </w:rPr>
              <w:t>Interest rate</w:t>
            </w:r>
          </w:p>
        </w:tc>
        <w:tc>
          <w:tcPr>
            <w:tcW w:w="1260" w:type="dxa"/>
            <w:vAlign w:val="bottom"/>
          </w:tcPr>
          <w:p>
            <w:pPr>
              <w:ind w:left="1020"/>
              <w:spacing w:after="0"/>
              <w:rPr>
                <w:sz w:val="20"/>
                <w:szCs w:val="20"/>
                <w:color w:val="auto"/>
              </w:rPr>
            </w:pPr>
            <w:r>
              <w:rPr>
                <w:rFonts w:ascii="Arial" w:cs="Arial" w:eastAsia="Arial" w:hAnsi="Arial"/>
                <w:sz w:val="18"/>
                <w:szCs w:val="18"/>
                <w:color w:val="auto"/>
              </w:rPr>
              <w:t>•</w:t>
            </w:r>
          </w:p>
        </w:tc>
        <w:tc>
          <w:tcPr>
            <w:tcW w:w="2920" w:type="dxa"/>
            <w:vAlign w:val="bottom"/>
          </w:tcPr>
          <w:p>
            <w:pPr>
              <w:ind w:left="180"/>
              <w:spacing w:after="0"/>
              <w:rPr>
                <w:sz w:val="20"/>
                <w:szCs w:val="20"/>
                <w:color w:val="auto"/>
              </w:rPr>
            </w:pPr>
            <w:r>
              <w:rPr>
                <w:rFonts w:ascii="Arial" w:cs="Arial" w:eastAsia="Arial" w:hAnsi="Arial"/>
                <w:sz w:val="18"/>
                <w:szCs w:val="18"/>
                <w:color w:val="auto"/>
              </w:rPr>
              <w:t>Listing on a security exchange</w:t>
            </w: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1720" w:type="dxa"/>
            <w:vAlign w:val="bottom"/>
          </w:tcPr>
          <w:p>
            <w:pPr>
              <w:ind w:left="160"/>
              <w:spacing w:after="0"/>
              <w:rPr>
                <w:sz w:val="20"/>
                <w:szCs w:val="20"/>
                <w:color w:val="auto"/>
              </w:rPr>
            </w:pPr>
            <w:r>
              <w:rPr>
                <w:rFonts w:ascii="Arial" w:cs="Arial" w:eastAsia="Arial" w:hAnsi="Arial"/>
                <w:sz w:val="18"/>
                <w:szCs w:val="18"/>
                <w:color w:val="auto"/>
                <w:w w:val="85"/>
              </w:rPr>
              <w:t>Subsidiary guarantees</w:t>
            </w:r>
          </w:p>
        </w:tc>
      </w:tr>
      <w:tr>
        <w:trPr>
          <w:trHeight w:val="365"/>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760" w:type="dxa"/>
            <w:vAlign w:val="bottom"/>
          </w:tcPr>
          <w:p>
            <w:pPr>
              <w:ind w:left="180"/>
              <w:spacing w:after="0"/>
              <w:rPr>
                <w:sz w:val="20"/>
                <w:szCs w:val="20"/>
                <w:color w:val="auto"/>
              </w:rPr>
            </w:pPr>
            <w:r>
              <w:rPr>
                <w:rFonts w:ascii="Arial" w:cs="Arial" w:eastAsia="Arial" w:hAnsi="Arial"/>
                <w:sz w:val="18"/>
                <w:szCs w:val="18"/>
                <w:color w:val="auto"/>
              </w:rPr>
              <w:t>Currency of payments</w:t>
            </w:r>
          </w:p>
        </w:tc>
        <w:tc>
          <w:tcPr>
            <w:tcW w:w="1260" w:type="dxa"/>
            <w:vAlign w:val="bottom"/>
          </w:tcPr>
          <w:p>
            <w:pPr>
              <w:ind w:left="1020"/>
              <w:spacing w:after="0"/>
              <w:rPr>
                <w:sz w:val="20"/>
                <w:szCs w:val="20"/>
                <w:color w:val="auto"/>
              </w:rPr>
            </w:pPr>
            <w:r>
              <w:rPr>
                <w:rFonts w:ascii="Arial" w:cs="Arial" w:eastAsia="Arial" w:hAnsi="Arial"/>
                <w:sz w:val="18"/>
                <w:szCs w:val="18"/>
                <w:color w:val="auto"/>
              </w:rPr>
              <w:t>•</w:t>
            </w:r>
          </w:p>
        </w:tc>
        <w:tc>
          <w:tcPr>
            <w:tcW w:w="2920" w:type="dxa"/>
            <w:vAlign w:val="bottom"/>
          </w:tcPr>
          <w:p>
            <w:pPr>
              <w:ind w:left="160"/>
              <w:spacing w:after="0"/>
              <w:rPr>
                <w:sz w:val="20"/>
                <w:szCs w:val="20"/>
                <w:color w:val="auto"/>
              </w:rPr>
            </w:pPr>
            <w:r>
              <w:rPr>
                <w:rFonts w:ascii="Arial" w:cs="Arial" w:eastAsia="Arial" w:hAnsi="Arial"/>
                <w:sz w:val="18"/>
                <w:szCs w:val="18"/>
                <w:color w:val="auto"/>
              </w:rPr>
              <w:t>Amount payable at maturity</w:t>
            </w: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1720" w:type="dxa"/>
            <w:vAlign w:val="bottom"/>
          </w:tcPr>
          <w:p>
            <w:pPr>
              <w:ind w:left="160"/>
              <w:spacing w:after="0"/>
              <w:rPr>
                <w:sz w:val="20"/>
                <w:szCs w:val="20"/>
                <w:color w:val="auto"/>
              </w:rPr>
            </w:pPr>
            <w:r>
              <w:rPr>
                <w:rFonts w:ascii="Arial" w:cs="Arial" w:eastAsia="Arial" w:hAnsi="Arial"/>
                <w:sz w:val="18"/>
                <w:szCs w:val="18"/>
                <w:color w:val="auto"/>
              </w:rPr>
              <w:t>Sinking fund terms</w:t>
            </w:r>
          </w:p>
        </w:tc>
      </w:tr>
      <w:tr>
        <w:trPr>
          <w:trHeight w:val="365"/>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760" w:type="dxa"/>
            <w:vAlign w:val="bottom"/>
          </w:tcPr>
          <w:p>
            <w:pPr>
              <w:ind w:left="180"/>
              <w:spacing w:after="0"/>
              <w:rPr>
                <w:sz w:val="20"/>
                <w:szCs w:val="20"/>
                <w:color w:val="auto"/>
              </w:rPr>
            </w:pPr>
            <w:r>
              <w:rPr>
                <w:rFonts w:ascii="Arial" w:cs="Arial" w:eastAsia="Arial" w:hAnsi="Arial"/>
                <w:sz w:val="18"/>
                <w:szCs w:val="18"/>
                <w:color w:val="auto"/>
              </w:rPr>
              <w:t>Dividends</w:t>
            </w:r>
          </w:p>
        </w:tc>
        <w:tc>
          <w:tcPr>
            <w:tcW w:w="1260" w:type="dxa"/>
            <w:vAlign w:val="bottom"/>
          </w:tcPr>
          <w:p>
            <w:pPr>
              <w:ind w:left="1020"/>
              <w:spacing w:after="0"/>
              <w:rPr>
                <w:sz w:val="20"/>
                <w:szCs w:val="20"/>
                <w:color w:val="auto"/>
              </w:rPr>
            </w:pPr>
            <w:r>
              <w:rPr>
                <w:rFonts w:ascii="Arial" w:cs="Arial" w:eastAsia="Arial" w:hAnsi="Arial"/>
                <w:sz w:val="18"/>
                <w:szCs w:val="18"/>
                <w:color w:val="auto"/>
              </w:rPr>
              <w:t>•</w:t>
            </w:r>
          </w:p>
        </w:tc>
        <w:tc>
          <w:tcPr>
            <w:tcW w:w="2920" w:type="dxa"/>
            <w:vAlign w:val="bottom"/>
          </w:tcPr>
          <w:p>
            <w:pPr>
              <w:ind w:left="180"/>
              <w:spacing w:after="0"/>
              <w:rPr>
                <w:sz w:val="20"/>
                <w:szCs w:val="20"/>
                <w:color w:val="auto"/>
              </w:rPr>
            </w:pPr>
            <w:r>
              <w:rPr>
                <w:rFonts w:ascii="Arial" w:cs="Arial" w:eastAsia="Arial" w:hAnsi="Arial"/>
                <w:sz w:val="18"/>
                <w:szCs w:val="18"/>
                <w:color w:val="auto"/>
              </w:rPr>
              <w:t>Conversion or exchange rights</w:t>
            </w:r>
          </w:p>
        </w:tc>
        <w:tc>
          <w:tcPr>
            <w:tcW w:w="8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15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Common Stock is quoted on the New York Stock Exchange under the ticker symbol TXN. On March 1, 2007, the reported last sale price on the New York Stock Exchange for our Common Stock was $30.79.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106045</wp:posOffset>
            </wp:positionV>
            <wp:extent cx="12433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55"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Investing in these securities involves certain risks. See “Item 1A-Risk Factors” beginning on page 9 of our annual report on Form 10-K for the year ended December 31, 2006,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102235</wp:posOffset>
            </wp:positionV>
            <wp:extent cx="12433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5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March 2, 2007</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in any supplement hereto or in any related free-writing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95885</wp:posOffset>
            </wp:positionV>
            <wp:extent cx="12433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80" w:type="dxa"/>
            <w:vAlign w:val="bottom"/>
            <w:gridSpan w:val="3"/>
          </w:tcPr>
          <w:p>
            <w:pPr>
              <w:jc w:val="right"/>
              <w:ind w:right="47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4160" w:type="dxa"/>
            <w:vAlign w:val="bottom"/>
            <w:gridSpan w:val="14"/>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The Company</w:t>
              </w:r>
            </w:hyperlink>
          </w:p>
        </w:tc>
        <w:tc>
          <w:tcPr>
            <w:tcW w:w="69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4160" w:type="dxa"/>
            <w:vAlign w:val="bottom"/>
            <w:gridSpan w:val="14"/>
            <w:vMerge w:val="continue"/>
          </w:tcPr>
          <w:p>
            <w:pPr>
              <w:spacing w:after="0"/>
              <w:rPr>
                <w:sz w:val="14"/>
                <w:szCs w:val="14"/>
                <w:color w:val="auto"/>
              </w:rPr>
            </w:pPr>
          </w:p>
        </w:tc>
        <w:tc>
          <w:tcPr>
            <w:tcW w:w="698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Caution Concerning Forward-Looking Statements</w:t>
              </w:r>
            </w:hyperlink>
          </w:p>
        </w:tc>
        <w:tc>
          <w:tcPr>
            <w:tcW w:w="620" w:type="dxa"/>
            <w:vAlign w:val="bottom"/>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Ratios of Earnings to Fixed Charges</w:t>
              </w:r>
            </w:hyperlink>
          </w:p>
        </w:tc>
        <w:tc>
          <w:tcPr>
            <w:tcW w:w="1600" w:type="dxa"/>
            <w:vAlign w:val="bottom"/>
            <w:gridSpan w:val="3"/>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Description of Capital Stock</w:t>
              </w:r>
            </w:hyperlink>
          </w:p>
        </w:tc>
        <w:tc>
          <w:tcPr>
            <w:tcW w:w="2140" w:type="dxa"/>
            <w:vAlign w:val="bottom"/>
            <w:gridSpan w:val="5"/>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Description of Debt Securities</w:t>
              </w:r>
            </w:hyperlink>
          </w:p>
        </w:tc>
        <w:tc>
          <w:tcPr>
            <w:tcW w:w="2020" w:type="dxa"/>
            <w:vAlign w:val="bottom"/>
            <w:gridSpan w:val="4"/>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Description of Warrants</w:t>
              </w:r>
            </w:hyperlink>
          </w:p>
        </w:tc>
        <w:tc>
          <w:tcPr>
            <w:tcW w:w="2460" w:type="dxa"/>
            <w:vAlign w:val="bottom"/>
            <w:gridSpan w:val="6"/>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Description of Units</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6"/>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Forms of Securities</w:t>
              </w:r>
            </w:hyperlink>
          </w:p>
        </w:tc>
        <w:tc>
          <w:tcPr>
            <w:tcW w:w="2720" w:type="dxa"/>
            <w:vAlign w:val="bottom"/>
            <w:gridSpan w:val="8"/>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Plan of Distribution</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Validity of Securities</w:t>
              </w:r>
            </w:hyperlink>
          </w:p>
        </w:tc>
        <w:tc>
          <w:tcPr>
            <w:tcW w:w="2660" w:type="dxa"/>
            <w:vAlign w:val="bottom"/>
            <w:gridSpan w:val="7"/>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Experts</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Texas Instruments Incorporated (TI) makes, markets and sells high-technology components; more than 50,000 customers all over the world buy our products. We have two separate business segments: Semiconductor and Education Technology. Semiconductor is by far the larger of these business segments. It accounted for 96 percent of our revenue from continuing operations in 2006, and historically it averages a higher growth rate than Education Technology, although the semiconductor market is characterized by wide swings in growth rates from year to year. The company began operations in 1930 and is incorporated in Delaware.</w:t>
      </w:r>
    </w:p>
    <w:p>
      <w:pPr>
        <w:spacing w:after="0" w:line="14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principal executive offices are located at 12500 TI Boulevard, Dallas, Texas 75266-0199, and our telephone number is (972) 995-3773. We maintain a website at www.ti.com where general information about us is available. We are not incorporating the contents of the website into this prospectus.</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“Where You Can Find More Information.”</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subsequently filed with the SEC pursuant to Section 13(a), 13(c), 14, or 15(d) of the Securities Exchange Act of 1934, as amended (the “Exchange Act”) prior to the termination of the offering under this prospectus:</w:t>
      </w:r>
    </w:p>
    <w:p>
      <w:pPr>
        <w:spacing w:after="0" w:line="62"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Report on Form 8-K filed on January 22, 2007 (but not to the extent furnished and not filed),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2006, filed on February 28, 2007.</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Attention: Manager of Investor Relations, (972) 995-3773. Information about us, including our SEC filings, is also available at our website at www.ti.com.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However, the information on our website is not a part of this prospectus or any prospectus supplement that we file.</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Certain matters discussed in this prospectus or incorporated by reference into this prospectus are “forward-looking statements.” The Private Securities Litigation Reform Act of 1995 has established that these statements qualify for safe harbors from liability. Forward-looking statements may include words like we “believe,” “anticipate,” “target,” “expect,” “pro forma,” “estimate,” “intend” and words of similar meaning. Forward-looking statements describe our future plans, objectives, expectations or goals. Such statements address future events and conditions concerning:</w:t>
      </w:r>
    </w:p>
    <w:p>
      <w:pPr>
        <w:spacing w:after="0" w:line="3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accounting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possible corporate restructurings, acquisitions and dispositions,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debt and other restrictive covenants,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rates and dividends,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overall economy of our industry segments.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What happens in each case could vary materially from what we expect because of things such as:</w:t>
      </w:r>
    </w:p>
    <w:p>
      <w:pPr>
        <w:spacing w:after="0" w:line="90" w:lineRule="exact"/>
        <w:rPr>
          <w:sz w:val="20"/>
          <w:szCs w:val="20"/>
          <w:color w:val="auto"/>
        </w:rPr>
      </w:pPr>
    </w:p>
    <w:p>
      <w:pPr>
        <w:ind w:left="9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0" w:lineRule="exact"/>
        <w:rPr>
          <w:rFonts w:ascii="Arial" w:cs="Arial" w:eastAsia="Arial" w:hAnsi="Arial"/>
          <w:sz w:val="18"/>
          <w:szCs w:val="18"/>
          <w:color w:val="auto"/>
        </w:rPr>
      </w:pPr>
    </w:p>
    <w:p>
      <w:pPr>
        <w:ind w:left="900" w:right="72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These lists are not all-inclusive because it is not possible to predict all factors. All forward-looking statements are qualified by the risks described in the documents incorporated by reference into this prospectus and any supplement to this prospectus. We have no obligation to publicly update or revise any forward-looking statements, whether as a result of new information, future events or risks. New information, future events or risks may cause the forward-looking events we discuss in this prospectus not to occur.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including, but not limited to, funding our operations, purchasing capital equipment, funding potential acquisitions, repaying debt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88" w:lineRule="exact"/>
        <w:rPr>
          <w:sz w:val="20"/>
          <w:szCs w:val="20"/>
          <w:color w:val="auto"/>
        </w:rPr>
      </w:pPr>
    </w:p>
    <w:p>
      <w:pPr>
        <w:ind w:left="460" w:right="3840" w:firstLine="3392"/>
        <w:spacing w:after="0" w:line="520" w:lineRule="auto"/>
        <w:rPr>
          <w:sz w:val="20"/>
          <w:szCs w:val="20"/>
          <w:color w:val="auto"/>
        </w:rPr>
      </w:pPr>
      <w:r>
        <w:rPr>
          <w:rFonts w:ascii="Arial" w:cs="Arial" w:eastAsia="Arial" w:hAnsi="Arial"/>
          <w:sz w:val="16"/>
          <w:szCs w:val="16"/>
          <w:b w:val="1"/>
          <w:bCs w:val="1"/>
          <w:color w:val="auto"/>
        </w:rPr>
        <w:t xml:space="preserve">RATIOS OF EARNINGS TO FIXED CHARGES </w:t>
      </w:r>
      <w:r>
        <w:rPr>
          <w:rFonts w:ascii="Arial" w:cs="Arial" w:eastAsia="Arial" w:hAnsi="Arial"/>
          <w:sz w:val="16"/>
          <w:szCs w:val="16"/>
          <w:color w:val="auto"/>
        </w:rPr>
        <w:t>Our ratio of earnings to fixed charges was as follows for the respective periods indicated: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Fiscal Years Ended December 31,</w:t>
      </w:r>
    </w:p>
    <w:tbl>
      <w:tblPr>
        <w:tblLayout w:type="fixed"/>
        <w:tblInd w:w="0" w:type="dxa"/>
        <w:tblCellMar>
          <w:top w:w="0" w:type="dxa"/>
          <w:left w:w="0" w:type="dxa"/>
          <w:bottom w:w="0" w:type="dxa"/>
          <w:right w:w="0" w:type="dxa"/>
        </w:tblCellMar>
      </w:tblPr>
      <w:tr>
        <w:trPr>
          <w:trHeight w:val="142"/>
        </w:trPr>
        <w:tc>
          <w:tcPr>
            <w:tcW w:w="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2006</w:t>
            </w:r>
          </w:p>
        </w:tc>
        <w:tc>
          <w:tcPr>
            <w:tcW w:w="2780" w:type="dxa"/>
            <w:vAlign w:val="bottom"/>
            <w:tcBorders>
              <w:top w:val="single" w:sz="8" w:color="auto"/>
            </w:tcBorders>
            <w:gridSpan w:val="2"/>
          </w:tcPr>
          <w:p>
            <w:pPr>
              <w:ind w:left="2400"/>
              <w:spacing w:after="0" w:line="142" w:lineRule="exact"/>
              <w:rPr>
                <w:sz w:val="20"/>
                <w:szCs w:val="20"/>
                <w:color w:val="auto"/>
              </w:rPr>
            </w:pPr>
            <w:r>
              <w:rPr>
                <w:rFonts w:ascii="Arial" w:cs="Arial" w:eastAsia="Arial" w:hAnsi="Arial"/>
                <w:sz w:val="14"/>
                <w:szCs w:val="14"/>
                <w:b w:val="1"/>
                <w:bCs w:val="1"/>
                <w:color w:val="auto"/>
              </w:rPr>
              <w:t>2005</w:t>
            </w:r>
          </w:p>
        </w:tc>
        <w:tc>
          <w:tcPr>
            <w:tcW w:w="2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2004</w:t>
            </w:r>
          </w:p>
        </w:tc>
        <w:tc>
          <w:tcPr>
            <w:tcW w:w="2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2003</w:t>
            </w:r>
          </w:p>
        </w:tc>
        <w:tc>
          <w:tcPr>
            <w:tcW w:w="264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5"/>
              </w:rPr>
              <w:t>93.9x</w:t>
            </w:r>
          </w:p>
        </w:tc>
        <w:tc>
          <w:tcPr>
            <w:tcW w:w="228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70.0x</w:t>
            </w:r>
          </w:p>
        </w:tc>
        <w:tc>
          <w:tcPr>
            <w:tcW w:w="228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51.7x</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1"/>
              </w:rPr>
              <w:t>17.8x</w:t>
            </w:r>
          </w:p>
        </w:tc>
        <w:tc>
          <w:tcPr>
            <w:tcW w:w="2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The ratio is not meaningful. For the year ended December 31, 2002, we had a $521 million deficiency of earnings to fixed charges.</w:t>
      </w:r>
    </w:p>
    <w:p>
      <w:pPr>
        <w:spacing w:after="0" w:line="171"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equity investment gains or losses, and other miscellaneous non-operational items such as currency exchange gains or losses). Fixed charges consist of total interest on loans, interest attributable to rental and lease expense, and capitalized interest.</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no preferred shares outstanding and have paid no preferred dividends to date; therefore, our ratios of earnings to combined fixed charges and preferred dividends are the same as our ratios of earnings to fixed charges.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in the registration statement for these securities that we have filed with the SEC and have been filed as exhibits to our 10-K for the year ended December 31, 2006. You should read the Restated Certificate of Incorporation and By-Laws for the provisions that are important to you.</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By-Laws and rights plan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5"/>
          <w:szCs w:val="15"/>
          <w:color w:val="auto"/>
        </w:rPr>
        <w:t>As of December 31, 2006, there were 1,450,030,244 shares of common stock outstanding which were held of record by 27,976 stockholders.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New York Stock Exchange. The transfer agent and registrar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Computershare Investor Services, LLC, 2 North LaSalle Street, 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 Chicago, Illinois 60602.</w:t>
      </w:r>
    </w:p>
    <w:p>
      <w:pPr>
        <w:spacing w:after="0" w:line="15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 We are authorized to issue additional shares of common stock without further stockholder approval, except as may be required by applicable law or stock exchange regulations.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December 31, 2006,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75" w:lineRule="auto"/>
        <w:rPr>
          <w:sz w:val="20"/>
          <w:szCs w:val="20"/>
          <w:color w:val="auto"/>
        </w:rPr>
      </w:pPr>
      <w:r>
        <w:rPr>
          <w:rFonts w:ascii="Arial" w:cs="Arial" w:eastAsia="Arial" w:hAnsi="Arial"/>
          <w:sz w:val="16"/>
          <w:szCs w:val="16"/>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w:t>
      </w:r>
    </w:p>
    <w:p>
      <w:pPr>
        <w:spacing w:after="0" w:line="2" w:lineRule="exact"/>
        <w:rPr>
          <w:sz w:val="20"/>
          <w:szCs w:val="20"/>
          <w:color w:val="auto"/>
        </w:rPr>
      </w:pPr>
    </w:p>
    <w:p>
      <w:pPr>
        <w:spacing w:after="0" w:line="201" w:lineRule="auto"/>
        <w:rPr>
          <w:sz w:val="20"/>
          <w:szCs w:val="20"/>
          <w:color w:val="auto"/>
        </w:rPr>
      </w:pPr>
      <w:r>
        <w:rPr>
          <w:rFonts w:ascii="Arial" w:cs="Arial" w:eastAsia="Arial" w:hAnsi="Arial"/>
          <w:sz w:val="18"/>
          <w:szCs w:val="18"/>
          <w:color w:val="auto"/>
        </w:rPr>
        <w:t>stockholder to be timely must be so delivered not later than the close of business on the later of the 90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prior to such annual meeting or the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following the day on which public announcement of the date of the meeting is first made.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59"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0"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Texas Instruments and, accordingly, may discourage attempts to acquire Texas Instruments even though such a transaction may offer Texas Instruments stockholders the opportunity to sell their stock at a price above the prevailing market price.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Plan</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following description of our rights plan is based substantially upon our Rights Agreement dated as of June 18, 1998, with Harris Trust and Savings Bank, as Rights Agent, and Amendment No. 1 to the Rights Agreement dated as of September 18, 1998. We have summarized certain portions of our plan. The summary is not complete. The Rights Agreement and Amendment No. 1 to the Rights Agreement are incorporated by reference in the registration statement for these securities that we have filed with the SEC and have been filed as exhibits to our 10-K for the year ended December 31, 2006. You should read the Rights Agreement and Amendment No. 1 to the Rights Agreement for the provisions that are important to you. In the following description, we refer to our Rights Agreement and Amendment No. 1 thereto collectively as the rights agreement.</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June 18, 1998, our board of directors declared a dividend of one preferred stock purchase right for each outstanding share of our common stock. The dividend was paid on June 30, 1998 to holders of record of our common stock as of the close of business on that date. As a result of two-for-one stock splits effective in August 1999 and May 2000, each share of our common stock is now associated with one-quarter of a right. The terms and conditions of the purchase rights are set forth in the rights agreement. The rights will expire on June 18, 2008, unless earlier exchanged or redeemed.</w:t>
      </w:r>
    </w:p>
    <w:p>
      <w:pPr>
        <w:spacing w:after="0" w:line="11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Prior to the distribution date, as defined below, the rights will be evidenced by the certificates for and will be transferred with our common stock, and the registered holders of our common stock will be deemed to be the registered holders of the rights. After the distribution date, the rights agent will mail separate certificates evidencing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rights to each record holder of the common stock as of the close of business on the distribution date, and thereafter the rights will be transferable separately from the common stock. The “distribution date” generally means the earlier of:</w:t>
      </w:r>
    </w:p>
    <w:p>
      <w:pPr>
        <w:spacing w:after="0" w:line="51" w:lineRule="exact"/>
        <w:rPr>
          <w:sz w:val="20"/>
          <w:szCs w:val="20"/>
          <w:color w:val="auto"/>
        </w:rPr>
      </w:pPr>
    </w:p>
    <w:p>
      <w:pPr>
        <w:ind w:left="900" w:right="400" w:hanging="325"/>
        <w:spacing w:after="0" w:line="23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close of business on the 10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after the date of the first public announcement that a person, other than Texas Instruments or any of its subsidiaries or any employee benefit plan of Texas Instruments or any such subsidiary, has acquired beneficial ownership of 20% or more of the outstanding shares of our common stock, referred to in this section as the “acquiring person”; and</w:t>
      </w:r>
    </w:p>
    <w:p>
      <w:pPr>
        <w:spacing w:after="0" w:line="61" w:lineRule="exact"/>
        <w:rPr>
          <w:rFonts w:ascii="Arial" w:cs="Arial" w:eastAsia="Arial" w:hAnsi="Arial"/>
          <w:sz w:val="17"/>
          <w:szCs w:val="17"/>
          <w:color w:val="auto"/>
        </w:rPr>
      </w:pPr>
    </w:p>
    <w:p>
      <w:pPr>
        <w:ind w:left="900" w:right="180" w:hanging="325"/>
        <w:spacing w:after="0" w:line="225"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close of business on the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business day, or such later day as may be designated by the Texas Instruments board of directors before any person has become an acquiring person, after the date of the commencement of a tender or exchange offer by any person which would, if consummated, result in such person becoming an acquiring person.</w:t>
      </w:r>
    </w:p>
    <w:p>
      <w:pPr>
        <w:spacing w:after="0" w:line="14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Prior to the distribution date, the rights are not exercisable. After the distribution date, each right will be exercisable to purchase, for $200.00, referred to herein as the “purchase price,” one one-thousandth of a share of Series B Participating Cumulative Preferred Stock.</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At any time after any person has become an acquiring person, but before the occurrence of any of the events described in the second succeeding sentence, each right, other than rights beneficially owned by the acquiring person and certain affiliated persons, will entitle the holder to purchase, for the purchase price, a number of shares of our common stock having a market value of twice the purchase price. At any time after any person has become an acquiring person, but before any person becomes the beneficial owner of 50% or more of the outstanding shares of our common stock or the occurrence of any of the events described in the next sentence, our board of directors may exchange all or part of the purchase rights, other than the rights beneficially owned by an acquiring person and certain affiliated persons, for shares of our common stock at an exchange ratio of one share of our common stock per right. If, after any person has become an acquiring person,</w:t>
      </w:r>
    </w:p>
    <w:p>
      <w:pPr>
        <w:spacing w:after="0" w:line="37" w:lineRule="exact"/>
        <w:rPr>
          <w:sz w:val="20"/>
          <w:szCs w:val="20"/>
          <w:color w:val="auto"/>
        </w:rPr>
      </w:pPr>
    </w:p>
    <w:p>
      <w:pPr>
        <w:ind w:left="900" w:right="1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Texas Instruments is involved in a merger or other business combination in which Texas Instruments is not the surviving corporation or its common stock is exchanged for other securities or assets; or</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Texas Instruments and/or one or more of its subsidiaries sell or otherwise transfer assets or earning power aggregating more than 50% of the assets or earning power of Texas Instruments and its subsidiaries, taken as a whole,</w:t>
      </w:r>
    </w:p>
    <w:p>
      <w:pPr>
        <w:spacing w:after="0" w:line="132"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then each right, other than rights beneficially owned by an acquiring person and certain affiliated persons, will entitle the holder to purchase, for the purchase price, a number of shares of common stock of the other party to such merger, business combination or sale, or in certain circumstances, an affiliate, having a market value of twice the purchase price.</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board of directors may redeem all of the rights at a price of $.01 per right at any time before any person has become an acquiring person. For so long as the rights are redeemable, the rights agreement may be amended in any respect. At any time when the rights are no longer redeemable, the rights agreement may be amended in any respect that does not adversely affect purchase rights holders, other than any acquiring person and certain affiliated persons, cause the rights agreement to become amendable other than as described in this sentence or cause the rights again to become redeemable.</w:t>
      </w:r>
    </w:p>
    <w:p>
      <w:pPr>
        <w:spacing w:after="0" w:line="11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Rights holders have no rights as holders of Texas Instruments common stock, including the right to vote and to receive dividends. The rights agreement includes antidilution provisions designed to prevent efforts to diminish the effectiveness of the rights.</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rights may have anti-takeover effects. The rights may cause substantial dilution to a person that attempts to acquire Texas Instruments without a condition to such an offer that a substantial number of the rights be acquired or that the rights be redeemed or declared invalid. The rights should not interfere with any merger or other business combination approved by the Texas Instruments board of directors since the rights may be redeemed by Texas Instruments as described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description of the rights agreement is qualified in its entirety by reference to the full text of the rights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to be entered into between us and U.S. Bank National Association, as trustee. The terms of our debt securities will include those set forth in the indenture and those made a part of the indenture by the Trust Indenture Act of 1939.</w:t>
      </w:r>
    </w:p>
    <w:p>
      <w:pPr>
        <w:spacing w:after="0" w:line="14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Because the following is only a summary of selected provisions of the indenture and the debt securities, it does not contain all information that may be important to you. This summary is not complete and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You should look in the prospectus supplement for any additional or different terms of the debt securities being offered, including the following terms:</w:t>
      </w:r>
    </w:p>
    <w:p>
      <w:pPr>
        <w:spacing w:after="0" w:line="113"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900" w:right="58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7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4"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w:t>
      </w:r>
      <w:r>
        <w:rPr>
          <w:rFonts w:ascii="Arial" w:cs="Arial" w:eastAsia="Arial" w:hAnsi="Arial"/>
          <w:sz w:val="16"/>
          <w:szCs w:val="16"/>
          <w:b w:val="1"/>
          <w:bCs w:val="1"/>
          <w:color w:val="auto"/>
        </w:rPr>
        <w:t>attributable debt</w:t>
      </w:r>
      <w:r>
        <w:rPr>
          <w:rFonts w:ascii="Arial" w:cs="Arial" w:eastAsia="Arial" w:hAnsi="Arial"/>
          <w:sz w:val="16"/>
          <w:szCs w:val="16"/>
          <w:color w:val="auto"/>
        </w:rPr>
        <w:t>” in respect of a sale and leaseback transaction means, at the time of determination, the lesser of (1)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03" w:lineRule="exact"/>
        <w:rPr>
          <w:sz w:val="20"/>
          <w:szCs w:val="20"/>
          <w:color w:val="auto"/>
        </w:rPr>
      </w:pPr>
    </w:p>
    <w:p>
      <w:pPr>
        <w:ind w:right="420" w:firstLine="456"/>
        <w:spacing w:after="0" w:line="339"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consolidated net tangible assets</w:t>
      </w:r>
      <w:r>
        <w:rPr>
          <w:rFonts w:ascii="Arial" w:cs="Arial" w:eastAsia="Arial" w:hAnsi="Arial"/>
          <w:sz w:val="16"/>
          <w:szCs w:val="16"/>
          <w:color w:val="auto"/>
        </w:rPr>
        <w:t>”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74"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funded debt</w:t>
      </w:r>
      <w:r>
        <w:rPr>
          <w:rFonts w:ascii="Arial" w:cs="Arial" w:eastAsia="Arial" w:hAnsi="Arial"/>
          <w:sz w:val="18"/>
          <w:szCs w:val="18"/>
          <w:color w:val="auto"/>
        </w:rPr>
        <w: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32"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intangible assets</w:t>
      </w:r>
      <w:r>
        <w:rPr>
          <w:rFonts w:ascii="Arial" w:cs="Arial" w:eastAsia="Arial" w:hAnsi="Arial"/>
          <w:sz w:val="16"/>
          <w:szCs w:val="16"/>
          <w:color w:val="auto"/>
        </w:rPr>
        <w:t>”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03" w:lineRule="exact"/>
        <w:rPr>
          <w:sz w:val="20"/>
          <w:szCs w:val="20"/>
          <w:color w:val="auto"/>
        </w:rPr>
      </w:pPr>
    </w:p>
    <w:p>
      <w:pPr>
        <w:jc w:val="both"/>
        <w:ind w:right="580" w:firstLine="456"/>
        <w:spacing w:after="0" w:line="26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net rental payments</w:t>
      </w:r>
      <w:r>
        <w:rPr>
          <w:rFonts w:ascii="Arial" w:cs="Arial" w:eastAsia="Arial" w:hAnsi="Arial"/>
          <w:sz w:val="18"/>
          <w:szCs w:val="18"/>
          <w:color w:val="auto"/>
        </w:rPr>
        <w:t>”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32"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principal manufacturing property</w:t>
      </w:r>
      <w:r>
        <w:rPr>
          <w:rFonts w:ascii="Arial" w:cs="Arial" w:eastAsia="Arial" w:hAnsi="Arial"/>
          <w:sz w:val="16"/>
          <w:szCs w:val="16"/>
          <w:color w:val="auto"/>
        </w:rPr>
        <w:t>”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Restrictions on Liens</w:t>
      </w:r>
      <w:r>
        <w:rPr>
          <w:rFonts w:ascii="Arial" w:cs="Arial" w:eastAsia="Arial" w:hAnsi="Arial"/>
          <w:sz w:val="16"/>
          <w:szCs w:val="16"/>
          <w:color w:val="auto"/>
        </w:rPr>
        <w:t>. The indenture provides that, unless as may otherwise be indicated by resolution of our board of directors, officer’s certificate,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supplemental indenture, we will not issue or assume any debt for money borrowed (which, including guarantees of debt for borrowed money, we refer to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debt</w:t>
      </w:r>
      <w:r>
        <w:rPr>
          <w:rFonts w:ascii="Arial" w:cs="Arial" w:eastAsia="Arial" w:hAnsi="Arial"/>
          <w:sz w:val="16"/>
          <w:szCs w:val="16"/>
          <w:color w:val="auto"/>
        </w:rPr>
        <w:t>”), if the debt is secured by a mortgage, pledge, lien or other encumbrance (which we refer to as a “</w:t>
      </w:r>
      <w:r>
        <w:rPr>
          <w:rFonts w:ascii="Arial" w:cs="Arial" w:eastAsia="Arial" w:hAnsi="Arial"/>
          <w:sz w:val="16"/>
          <w:szCs w:val="16"/>
          <w:b w:val="1"/>
          <w:bCs w:val="1"/>
          <w:color w:val="auto"/>
        </w:rPr>
        <w:t>mortgage</w:t>
      </w:r>
      <w:r>
        <w:rPr>
          <w:rFonts w:ascii="Arial" w:cs="Arial" w:eastAsia="Arial" w:hAnsi="Arial"/>
          <w:sz w:val="16"/>
          <w:szCs w:val="16"/>
          <w:color w:val="auto"/>
        </w:rPr>
        <w:t>”) upon any principal manufacturing property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(whether such principal manufacturing property is now owned or subsequently acquired) without in any such case effectively providing that the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(together with any other debt security ranking equally with the debt securities) shall be secured equally and ratably with the debt until such time as such debt is no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longer secured by such mortgage. The foregoing restrictions shall not apply to:</w:t>
      </w:r>
    </w:p>
    <w:p>
      <w:pPr>
        <w:spacing w:after="0" w:line="84" w:lineRule="exact"/>
        <w:rPr>
          <w:sz w:val="20"/>
          <w:szCs w:val="20"/>
          <w:color w:val="auto"/>
        </w:rPr>
      </w:pPr>
    </w:p>
    <w:p>
      <w:pPr>
        <w:ind w:left="5620" w:right="3800" w:hanging="5045"/>
        <w:spacing w:after="0" w:line="440" w:lineRule="auto"/>
        <w:tabs>
          <w:tab w:leader="none" w:pos="8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 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13"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50" w:lineRule="exact"/>
        <w:rPr>
          <w:rFonts w:ascii="Arial" w:cs="Arial" w:eastAsia="Arial" w:hAnsi="Arial"/>
          <w:sz w:val="18"/>
          <w:szCs w:val="18"/>
          <w:color w:val="auto"/>
        </w:rPr>
      </w:pPr>
    </w:p>
    <w:p>
      <w:pPr>
        <w:jc w:val="both"/>
        <w:ind w:left="900" w:right="220" w:hanging="325"/>
        <w:spacing w:after="0" w:line="30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for the purpose of financing all or any part of the purchase price or the cost of construction of the property subject to the mortgages;</w:t>
      </w:r>
    </w:p>
    <w:p>
      <w:pPr>
        <w:spacing w:after="0" w:line="25"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are being contested in good faith by appropriate proceedings;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50"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61"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certificate, or supplemental indenture, we will not enter into any lease longer than three years covering any principal manufacturing property that is sold to any other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32" w:lineRule="exact"/>
        <w:rPr>
          <w:sz w:val="20"/>
          <w:szCs w:val="20"/>
          <w:color w:val="auto"/>
        </w:rPr>
      </w:pPr>
    </w:p>
    <w:p>
      <w:pPr>
        <w:ind w:left="900" w:right="80" w:hanging="325"/>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62" w:lineRule="exact"/>
        <w:rPr>
          <w:rFonts w:ascii="Arial" w:cs="Arial" w:eastAsia="Arial" w:hAnsi="Arial"/>
          <w:sz w:val="18"/>
          <w:szCs w:val="18"/>
          <w:color w:val="auto"/>
        </w:rPr>
      </w:pPr>
    </w:p>
    <w:p>
      <w:pPr>
        <w:ind w:left="900" w:right="66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proceeds of such sale and leaseback transaction and we elect to designate such amount as a credit against such transaction, or</w:t>
      </w:r>
    </w:p>
    <w:p>
      <w:pPr>
        <w:spacing w:after="0" w:line="113" w:lineRule="exact"/>
        <w:rPr>
          <w:rFonts w:ascii="Arial" w:cs="Arial" w:eastAsia="Arial" w:hAnsi="Arial"/>
          <w:sz w:val="16"/>
          <w:szCs w:val="16"/>
          <w:color w:val="auto"/>
        </w:rPr>
      </w:pPr>
    </w:p>
    <w:p>
      <w:pPr>
        <w:ind w:left="1480" w:right="180" w:hanging="446"/>
        <w:spacing w:after="0" w:line="268"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Exempted Debt</w:t>
      </w:r>
      <w:r>
        <w:rPr>
          <w:rFonts w:ascii="Arial" w:cs="Arial" w:eastAsia="Arial" w:hAnsi="Arial"/>
          <w:sz w:val="18"/>
          <w:szCs w:val="18"/>
          <w:color w:val="auto"/>
        </w:rPr>
        <w:t>. The indenture provides that, notwithstanding the restrictions on mortgages and sale and leaseback transactions described above, we may,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w:t>
      </w:r>
      <w:r>
        <w:rPr>
          <w:rFonts w:ascii="Arial" w:cs="Arial" w:eastAsia="Arial" w:hAnsi="Arial"/>
          <w:sz w:val="18"/>
          <w:szCs w:val="18"/>
          <w:b w:val="1"/>
          <w:bCs w:val="1"/>
          <w:color w:val="auto"/>
        </w:rPr>
        <w:t>exempted debt</w:t>
      </w:r>
      <w:r>
        <w:rPr>
          <w:rFonts w:ascii="Arial" w:cs="Arial" w:eastAsia="Arial" w:hAnsi="Arial"/>
          <w:sz w:val="18"/>
          <w:szCs w:val="18"/>
          <w:color w:val="auto"/>
        </w:rPr>
        <w:t>”) does not exceed 15% of consolidated net tangible assets.</w:t>
      </w:r>
    </w:p>
    <w:p>
      <w:pPr>
        <w:spacing w:after="0" w:line="14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Consolidation, Merger and Sale or Conveyance</w:t>
      </w:r>
      <w:r>
        <w:rPr>
          <w:rFonts w:ascii="Arial" w:cs="Arial" w:eastAsia="Arial" w:hAnsi="Arial"/>
          <w:sz w:val="18"/>
          <w:szCs w:val="18"/>
          <w:color w:val="auto"/>
        </w:rPr>
        <w:t>. We may not consolidate with, merge with or into, or sell, or convey (including by way of lease)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our assets to any person or permit any person to merge with or into us unless:</w:t>
      </w:r>
    </w:p>
    <w:p>
      <w:pPr>
        <w:spacing w:after="0" w:line="51" w:lineRule="exact"/>
        <w:rPr>
          <w:sz w:val="20"/>
          <w:szCs w:val="20"/>
          <w:color w:val="auto"/>
        </w:rPr>
      </w:pPr>
    </w:p>
    <w:p>
      <w:pPr>
        <w:ind w:left="900" w:right="20" w:hanging="325"/>
        <w:spacing w:after="0" w:line="25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or leased our property and assets shall be a corporation or entity organized and validly existing under the laws of the United States of America or any jurisdiction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90" w:lineRule="exact"/>
        <w:rPr>
          <w:rFonts w:ascii="Arial" w:cs="Arial" w:eastAsia="Arial" w:hAnsi="Arial"/>
          <w:sz w:val="18"/>
          <w:szCs w:val="18"/>
          <w:color w:val="auto"/>
        </w:rPr>
      </w:pPr>
    </w:p>
    <w:p>
      <w:pPr>
        <w:jc w:val="both"/>
        <w:ind w:left="900" w:right="8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90" w:lineRule="exact"/>
        <w:rPr>
          <w:sz w:val="20"/>
          <w:szCs w:val="20"/>
          <w:color w:val="auto"/>
        </w:rPr>
      </w:pPr>
    </w:p>
    <w:p>
      <w:pPr>
        <w:ind w:left="900" w:right="3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43"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i w:val="1"/>
          <w:iCs w:val="1"/>
          <w:color w:val="auto"/>
        </w:rPr>
        <w:t>Reports</w:t>
      </w:r>
      <w:r>
        <w:rPr>
          <w:rFonts w:ascii="Arial" w:cs="Arial" w:eastAsia="Arial" w:hAnsi="Arial"/>
          <w:sz w:val="16"/>
          <w:szCs w:val="16"/>
          <w:color w:val="auto"/>
        </w:rPr>
        <w:t>. The indenture provides that any documents or reports that we are required to file with the Securities and Exchange Commission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13 or 15(d) of the Exchange Act will be filed with the trustee within 15 days after the same is filed with the SEC.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90" w:lineRule="exact"/>
        <w:rPr>
          <w:sz w:val="20"/>
          <w:szCs w:val="20"/>
          <w:color w:val="auto"/>
        </w:rPr>
      </w:pPr>
    </w:p>
    <w:p>
      <w:pPr>
        <w:ind w:left="9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default in the payment of principal or premium on the debt securities of such series when due and payable whether at maturity, upon acceleration, redemption, or otherwise, if that default continues for a period of five days;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60 days;</w:t>
      </w:r>
    </w:p>
    <w:p>
      <w:pPr>
        <w:spacing w:after="0" w:line="113" w:lineRule="exact"/>
        <w:rPr>
          <w:rFonts w:ascii="Arial" w:cs="Arial" w:eastAsia="Arial" w:hAnsi="Arial"/>
          <w:sz w:val="16"/>
          <w:szCs w:val="16"/>
          <w:color w:val="auto"/>
        </w:rPr>
      </w:pPr>
    </w:p>
    <w:p>
      <w:pPr>
        <w:ind w:left="900" w:right="140" w:hanging="325"/>
        <w:spacing w:after="0" w:line="25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consecutive days after we receive written notice from the trustee or from the holders of 25% or more in aggregate principal amount of the debt securities of such series;</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occurs any other event of default provided for in such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0"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6"/>
          <w:szCs w:val="16"/>
          <w:color w:val="auto"/>
        </w:rPr>
        <w:t>—   relief in respect of us in an involuntary case under any applicable bankruptcy, insolvency, or other similar law now or hereafter in effect;</w:t>
      </w:r>
    </w:p>
    <w:p>
      <w:pPr>
        <w:spacing w:after="0" w:line="113" w:lineRule="exact"/>
        <w:rPr>
          <w:rFonts w:ascii="Arial" w:cs="Arial" w:eastAsia="Arial" w:hAnsi="Arial"/>
          <w:sz w:val="18"/>
          <w:szCs w:val="18"/>
          <w:color w:val="auto"/>
        </w:rPr>
      </w:pPr>
    </w:p>
    <w:p>
      <w:pPr>
        <w:ind w:left="1480" w:right="260" w:hanging="446"/>
        <w:spacing w:after="0" w:line="268" w:lineRule="auto"/>
        <w:rPr>
          <w:rFonts w:ascii="Arial" w:cs="Arial" w:eastAsia="Arial" w:hAnsi="Arial"/>
          <w:sz w:val="18"/>
          <w:szCs w:val="18"/>
          <w:color w:val="auto"/>
        </w:rPr>
      </w:pPr>
      <w:r>
        <w:rPr>
          <w:rFonts w:ascii="Arial" w:cs="Arial" w:eastAsia="Arial" w:hAnsi="Arial"/>
          <w:sz w:val="18"/>
          <w:szCs w:val="18"/>
          <w:color w:val="auto"/>
        </w:rPr>
        <w:t>— appointment of a receiver, liquidator, assignee, custodian, trustee, sequestrator, or similar official of us or for all or substantially all of our property and assets; or</w:t>
      </w:r>
    </w:p>
    <w:p>
      <w:pPr>
        <w:spacing w:after="0" w:line="50"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6"/>
          <w:szCs w:val="16"/>
          <w:color w:val="auto"/>
        </w:rPr>
        <w:t>—   the winding up or liquidation of our affairs and such decree or order shall remain unstayed and in effect for a period of 60 consecutive days.</w:t>
      </w:r>
    </w:p>
    <w:p>
      <w:pPr>
        <w:spacing w:after="0" w:line="113"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w:t>
      </w:r>
    </w:p>
    <w:p>
      <w:pPr>
        <w:spacing w:after="0" w:line="90" w:lineRule="exact"/>
        <w:rPr>
          <w:rFonts w:ascii="Arial" w:cs="Arial" w:eastAsia="Arial" w:hAnsi="Arial"/>
          <w:sz w:val="18"/>
          <w:szCs w:val="18"/>
          <w:color w:val="auto"/>
        </w:rPr>
      </w:pPr>
    </w:p>
    <w:p>
      <w:pPr>
        <w:ind w:left="1480" w:right="260" w:hanging="446"/>
        <w:spacing w:after="0" w:line="268" w:lineRule="auto"/>
        <w:rPr>
          <w:rFonts w:ascii="Arial" w:cs="Arial" w:eastAsia="Arial" w:hAnsi="Arial"/>
          <w:sz w:val="18"/>
          <w:szCs w:val="18"/>
          <w:color w:val="auto"/>
        </w:rPr>
      </w:pPr>
      <w:r>
        <w:rPr>
          <w:rFonts w:ascii="Arial" w:cs="Arial" w:eastAsia="Arial" w:hAnsi="Arial"/>
          <w:sz w:val="18"/>
          <w:szCs w:val="18"/>
          <w:color w:val="auto"/>
        </w:rPr>
        <w:t>— commence a voluntary case under any applicable bankruptcy, insolvency, or other similar law now or hereafter in effect, or consent to the entry of an order for relief in an involuntary case under any such law;</w:t>
      </w:r>
    </w:p>
    <w:p>
      <w:pPr>
        <w:spacing w:after="0" w:line="50" w:lineRule="exact"/>
        <w:rPr>
          <w:rFonts w:ascii="Arial" w:cs="Arial" w:eastAsia="Arial" w:hAnsi="Arial"/>
          <w:sz w:val="18"/>
          <w:szCs w:val="18"/>
          <w:color w:val="auto"/>
        </w:rPr>
      </w:pPr>
    </w:p>
    <w:p>
      <w:pPr>
        <w:ind w:left="1480" w:right="220" w:hanging="446"/>
        <w:spacing w:after="0" w:line="268" w:lineRule="auto"/>
        <w:rPr>
          <w:rFonts w:ascii="Arial" w:cs="Arial" w:eastAsia="Arial" w:hAnsi="Arial"/>
          <w:sz w:val="18"/>
          <w:szCs w:val="18"/>
          <w:color w:val="auto"/>
        </w:rPr>
      </w:pPr>
      <w:r>
        <w:rPr>
          <w:rFonts w:ascii="Arial" w:cs="Arial" w:eastAsia="Arial" w:hAnsi="Arial"/>
          <w:sz w:val="18"/>
          <w:szCs w:val="18"/>
          <w:color w:val="auto"/>
        </w:rPr>
        <w:t>— consent to the appointment of or taking possession by a receiver, liquidator, assignee, custodian, trustee, sequestrator, or similar official of ours for all or substantially all of our property and assets; or</w:t>
      </w:r>
    </w:p>
    <w:p>
      <w:pPr>
        <w:spacing w:after="0" w:line="50"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   effect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either the trustee or the holders of not less than 25% in aggregate principal amount of the debt securities of all series then outstanding under the indenture (treated as one class) may, by written notice to us and to the trustee, if such notice is given by the holders, declare the entire principal amount of, and accrued interest, if any, on each series of debt securities then outstanding to be immediately due and payable.</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Notwithstanding the foregoing, the indenture provides that, to the extent elected by us, the sole remedy for an event of default relating to the failure to file any documents or reports that we are required to file with the SEC pursuant to Section 13 or 15(d) of the Exchange Act and for any failure to comply with the requirements of Section 314(a)(1) of the Trust Indenture Act or of the covenant described above in “—Reports,” will consist exclusively of the right to receive additional interest on the debt securities at an annual rate equal to 0.25% of the principal amount of the debt securities. The additional interest will accrue on all outstanding notes from and including the date on which an event of default relating to a failure to comply with the reporting obligations in the indenture first occurs to, but not including, the day when the event of default is cured or waived. The provisions of the indenture described in this paragraph will not affect the rights of holders of debt securities in the event of the occurrence of any other event of default. In the event we do not elect to pay the additional interest upon an event of default in accordance with this paragraph, the debt securities will be subject to acceleration as provided above.</w:t>
      </w:r>
    </w:p>
    <w:p>
      <w:pPr>
        <w:spacing w:after="0" w:line="118"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In order to elect to pay the additional interest as the sole remedy after the occurrence of an event of default relating to the failure to comply with the reporting obligations in accordance with the immediately preceding paragraph, we must notify all holders of notes and the trustee and paying agent of such election on or before the close of business on the date on which such event of default occurs.</w:t>
      </w:r>
    </w:p>
    <w:p>
      <w:pPr>
        <w:spacing w:after="0" w:line="140"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39"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indenture provides that, unless the terms of any series of debt securities provides otherwise, we may discharge our obligations with respect to an issue of debt securities and the indenture with respect to such series of debt securities if:</w:t>
      </w:r>
    </w:p>
    <w:p>
      <w:pPr>
        <w:spacing w:after="0" w:line="51" w:lineRule="exact"/>
        <w:rPr>
          <w:sz w:val="20"/>
          <w:szCs w:val="20"/>
          <w:color w:val="auto"/>
        </w:rPr>
      </w:pPr>
    </w:p>
    <w:p>
      <w:pPr>
        <w:ind w:left="900" w:right="48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or</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with certain exceptions, have been delivered to the trustee for cancellation and we have paid all sums payable by us under the indenture; or</w:t>
      </w:r>
    </w:p>
    <w:p>
      <w:pPr>
        <w:spacing w:after="0" w:line="50" w:lineRule="exact"/>
        <w:rPr>
          <w:rFonts w:ascii="Arial" w:cs="Arial" w:eastAsia="Arial" w:hAnsi="Arial"/>
          <w:sz w:val="18"/>
          <w:szCs w:val="18"/>
          <w:color w:val="auto"/>
        </w:rPr>
      </w:pPr>
    </w:p>
    <w:p>
      <w:pPr>
        <w:ind w:left="900" w:right="60" w:hanging="325"/>
        <w:spacing w:after="0" w:line="290"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after payment of all federal, state and local taxes or other charges and assessments in respect thereof payable by the trustee, to pay principal of and interest on the debt securities of such series to maturity or redemption, as the case may be, and to pay all other sums payable by us under the indenture.</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With respect to the first and second bullet points, only our obligations to compensate and indemnify the trustee and our right to recover unclaimed money held by the trustee under the indenture shall survive. With respect to the third bullet point, certain rights and obligations under the indenture (such as our obligation to maintain an office or agency in respect of such debt securities, to have moneys held for payment in trust, to register the transfer or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Thereafter, only our obligations to compensate and indemnify the trustee, and our right to recover unclaimed money held by the trustee shall survive.</w:t>
      </w:r>
    </w:p>
    <w:p>
      <w:pPr>
        <w:spacing w:after="0" w:line="12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Unless the terms of any series of debt securities provide otherwise, on the 121st day after the date of deposit of the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w:t>
      </w:r>
      <w:r>
        <w:rPr>
          <w:rFonts w:ascii="Arial" w:cs="Arial" w:eastAsia="Arial" w:hAnsi="Arial"/>
          <w:sz w:val="16"/>
          <w:szCs w:val="16"/>
          <w:b w:val="1"/>
          <w:bCs w:val="1"/>
          <w:color w:val="auto"/>
        </w:rPr>
        <w:t>legal defeasance</w:t>
      </w:r>
      <w:r>
        <w:rPr>
          <w:rFonts w:ascii="Arial" w:cs="Arial" w:eastAsia="Arial" w:hAnsi="Arial"/>
          <w:sz w:val="16"/>
          <w:szCs w:val="16"/>
          <w:color w:val="auto"/>
        </w:rPr>
        <w:t>”); provided that the following conditions shall have been satisfied:</w:t>
      </w:r>
    </w:p>
    <w:p>
      <w:pPr>
        <w:spacing w:after="0" w:line="26" w:lineRule="exact"/>
        <w:rPr>
          <w:sz w:val="20"/>
          <w:szCs w:val="20"/>
          <w:color w:val="auto"/>
        </w:rPr>
      </w:pPr>
    </w:p>
    <w:p>
      <w:pPr>
        <w:ind w:left="900" w:right="100" w:hanging="325"/>
        <w:spacing w:after="0" w:line="289"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37"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material agreement or instrument to which we are a party or by which we are bound;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debt securities of such series shall have occurred and be continuing on the date of such deposit;</w:t>
      </w:r>
    </w:p>
    <w:p>
      <w:pPr>
        <w:spacing w:after="0" w:line="113" w:lineRule="exact"/>
        <w:rPr>
          <w:rFonts w:ascii="Arial" w:cs="Arial" w:eastAsia="Arial" w:hAnsi="Arial"/>
          <w:sz w:val="16"/>
          <w:szCs w:val="16"/>
          <w:color w:val="auto"/>
        </w:rPr>
      </w:pPr>
    </w:p>
    <w:p>
      <w:pPr>
        <w:ind w:left="900" w:right="60" w:hanging="325"/>
        <w:spacing w:after="0" w:line="298"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shall have delivered to the trustee either an officers’ certificate and an opinion of counsel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or a ruling by the Internal Revenue Service to the same effect; and</w:t>
      </w:r>
    </w:p>
    <w:p>
      <w:pPr>
        <w:spacing w:after="0" w:line="31"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Subsequent to the legal defeasance above, certain rights and obligations under the indenture (such as our obligation to maintain an office or agency in respect of such debt securities, to have moneys held for payment in trust, to register the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After such debt securities are no longer outstanding, only our obligations to compensate and indemnify the trustee and our right to recover unclaimed money held by the trustee shall survive.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50" w:lineRule="exact"/>
        <w:rPr>
          <w:rFonts w:ascii="Arial" w:cs="Arial" w:eastAsia="Arial" w:hAnsi="Arial"/>
          <w:sz w:val="18"/>
          <w:szCs w:val="18"/>
          <w:color w:val="auto"/>
        </w:rPr>
      </w:pPr>
    </w:p>
    <w:p>
      <w:pPr>
        <w:jc w:val="both"/>
        <w:ind w:left="900" w:right="300" w:hanging="325"/>
        <w:spacing w:after="0" w:line="306"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cure any ambiguity, defect, or inconsistency in the indenture or in any supplemental indenture; provided that such amendments or supplements shall not adversely affect the interests of the holders of the debt securities of any series in any material respect, or to conform the indenture or the debt securities to the description of debt securities of such series set forth in this prospectus or a prospectus supplement;</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 —Consolidation, Merger and Sale or Conveyance”;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50"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6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installment of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premium, if any, or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the provisions relating to the waiver of past defaults or changes or impairs the right of holders to receive payment or to institute suit for the enforcement of any payment of any debt securities of such series on or after the due date therefor;</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waives a default in the payment of principal of or interest on the debt securities;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at the option of such holder; or</w:t>
      </w:r>
    </w:p>
    <w:p>
      <w:pPr>
        <w:spacing w:after="0" w:line="50" w:lineRule="exact"/>
        <w:rPr>
          <w:rFonts w:ascii="Arial" w:cs="Arial" w:eastAsia="Arial" w:hAnsi="Arial"/>
          <w:sz w:val="18"/>
          <w:szCs w:val="18"/>
          <w:color w:val="auto"/>
        </w:rPr>
      </w:pPr>
    </w:p>
    <w:p>
      <w:pPr>
        <w:ind w:left="900" w:right="36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modifies any of the provisions of this paragraph, except to increase any required percentage or to provide that certain other provisions cannot be modified or waived without the consent of the holder of each debt security of such series affected by the modification.</w:t>
      </w:r>
    </w:p>
    <w:p>
      <w:pPr>
        <w:spacing w:after="0" w:line="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It shall not be necessary for the consent of the holders under this section of the indenture to approve the particular form of any proposed amendment, supplement, or waiver, but it shall be sufficient if such consent approves the substance thereof. After an amendment, supplement, or waiver under this section of the indenture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the creation of any indebtedness represented thereby, against any incorporator, stockholder, officer,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FORMS OF SECURITIES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1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4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4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Securities Exchange Act of 1934, and a successor depositary registered as a clearing agency under the Securities Exchange Act of 1934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We or selling security holders may sell the securities being offered hereby in the following manner or any manner specified in a prospectus supplement:</w:t>
      </w:r>
    </w:p>
    <w:p>
      <w:pPr>
        <w:spacing w:after="0" w:line="113"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4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7"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VALIDITY OF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validity of the securities in respect of which this prospectus is being delivered will be passed on for us by Davis Polk &amp; Wardwell.</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incorporated by reference in our Annual Report on Form 10-K for the year ended December 31, 2006, and management’s assessment of the effectiveness of our internal control over financial reporting as of December 31, 2006, as set forth in their reports, which are incorporated by reference in this prospectus and elsewhere in the registration statement. Our financial statements and management’s assessment are incorporated by reference in reliance on Ernst &amp; Young LLP’s reports, given on their authority as experts in accounting and auditing.</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table sets forth the estimated costs and expenses payable by the Registrant in connection with the sale of the securities being registered hereby.</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8"/>
              </w:rPr>
              <w:t>Amount to</w:t>
            </w:r>
          </w:p>
        </w:tc>
      </w:tr>
      <w:tr>
        <w:trPr>
          <w:trHeight w:val="161"/>
        </w:trPr>
        <w:tc>
          <w:tcPr>
            <w:tcW w:w="61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8"/>
              </w:rPr>
              <w:t>be Paid</w:t>
            </w:r>
          </w:p>
        </w:tc>
        <w:tc>
          <w:tcPr>
            <w:tcW w:w="100" w:type="dxa"/>
            <w:vAlign w:val="bottom"/>
          </w:tcPr>
          <w:p>
            <w:pPr>
              <w:spacing w:after="0"/>
              <w:rPr>
                <w:sz w:val="14"/>
                <w:szCs w:val="14"/>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Printing</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 (including Blue Sky fees)</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Rating Agency fees</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102,000</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Miscellaneous</w:t>
            </w:r>
          </w:p>
        </w:tc>
        <w:tc>
          <w:tcPr>
            <w:tcW w:w="2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232,000</w:t>
            </w:r>
          </w:p>
        </w:tc>
        <w:tc>
          <w:tcPr>
            <w:tcW w:w="100" w:type="dxa"/>
            <w:vAlign w:val="bottom"/>
            <w:shd w:val="clear" w:color="auto" w:fill="CCEEFF"/>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  Omitted because the registration fee is being deferred pursuant to Rule 456(b).</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Article VI, Section II of the Registrant’s By-Laws provides for indemnification by the Registrant of its directors, officers and employees to the fullest extent permitted by the Delaware General Corporation Law.</w:t>
      </w:r>
    </w:p>
    <w:p>
      <w:pPr>
        <w:spacing w:after="0" w:line="11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w:t>
      </w:r>
    </w:p>
    <w:p>
      <w:pPr>
        <w:ind w:right="80" w:firstLine="8"/>
        <w:spacing w:after="0" w:line="292" w:lineRule="auto"/>
        <w:tabs>
          <w:tab w:leader="none" w:pos="21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Article Seventh of the Restated Certificate of Incorporation provides that a director shall not be liable to the Company or its stockholders for monetary damages for breach of fiduciary duty as a director, except to the extent such exemption from liability or limitation thereof is not permitted under the General Corporation Law of the State of Delaware.</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proposed form of Underwriting Agreement filed as Exhibit 1.1 to this Registration Statement provides for indemnification of directors and officers of the Registrant by the underwriters against certain liabilities.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exhibits are filed as part of this Registration Statement: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7"/>
              </w:rPr>
              <w:t>Exhibit No.</w:t>
            </w:r>
          </w:p>
        </w:tc>
        <w:tc>
          <w:tcPr>
            <w:tcW w:w="9980" w:type="dxa"/>
            <w:vAlign w:val="bottom"/>
          </w:tcPr>
          <w:p>
            <w:pPr>
              <w:spacing w:after="0"/>
              <w:rPr>
                <w:sz w:val="20"/>
                <w:szCs w:val="20"/>
                <w:color w:val="auto"/>
              </w:rPr>
            </w:pPr>
            <w:r>
              <w:rPr>
                <w:rFonts w:ascii="Arial" w:cs="Arial" w:eastAsia="Arial" w:hAnsi="Arial"/>
                <w:sz w:val="14"/>
                <w:szCs w:val="14"/>
                <w:b w:val="1"/>
                <w:bCs w:val="1"/>
                <w:color w:val="auto"/>
              </w:rPr>
              <w:t>Document</w:t>
            </w:r>
          </w:p>
        </w:tc>
      </w:tr>
      <w:tr>
        <w:trPr>
          <w:trHeight w:val="20"/>
        </w:trPr>
        <w:tc>
          <w:tcPr>
            <w:tcW w:w="6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980" w:type="dxa"/>
            <w:vAlign w:val="bottom"/>
            <w:shd w:val="clear" w:color="auto" w:fill="000000"/>
          </w:tcPr>
          <w:p>
            <w:pPr>
              <w:spacing w:after="0" w:line="20" w:lineRule="exact"/>
              <w:rPr>
                <w:sz w:val="1"/>
                <w:szCs w:val="1"/>
                <w:color w:val="auto"/>
              </w:rPr>
            </w:pPr>
          </w:p>
        </w:tc>
      </w:tr>
      <w:tr>
        <w:trPr>
          <w:trHeight w:val="316"/>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1.1</w:t>
            </w:r>
          </w:p>
        </w:tc>
        <w:tc>
          <w:tcPr>
            <w:tcW w:w="9980" w:type="dxa"/>
            <w:vAlign w:val="bottom"/>
          </w:tcPr>
          <w:p>
            <w:pPr>
              <w:spacing w:after="0"/>
              <w:rPr>
                <w:sz w:val="20"/>
                <w:szCs w:val="20"/>
                <w:color w:val="auto"/>
              </w:rPr>
            </w:pPr>
            <w:r>
              <w:rPr>
                <w:rFonts w:ascii="Arial" w:cs="Arial" w:eastAsia="Arial" w:hAnsi="Arial"/>
                <w:sz w:val="18"/>
                <w:szCs w:val="18"/>
                <w:color w:val="auto"/>
              </w:rPr>
              <w:t>Form of Underwriting Agreement</w:t>
            </w:r>
          </w:p>
        </w:tc>
      </w:tr>
      <w:tr>
        <w:trPr>
          <w:trHeight w:val="318"/>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3.1</w:t>
            </w:r>
          </w:p>
        </w:tc>
        <w:tc>
          <w:tcPr>
            <w:tcW w:w="9980" w:type="dxa"/>
            <w:vAlign w:val="bottom"/>
          </w:tcPr>
          <w:p>
            <w:pPr>
              <w:spacing w:after="0"/>
              <w:rPr>
                <w:sz w:val="20"/>
                <w:szCs w:val="20"/>
                <w:color w:val="auto"/>
              </w:rPr>
            </w:pPr>
            <w:r>
              <w:rPr>
                <w:rFonts w:ascii="Arial" w:cs="Arial" w:eastAsia="Arial" w:hAnsi="Arial"/>
                <w:sz w:val="18"/>
                <w:szCs w:val="18"/>
                <w:color w:val="auto"/>
                <w:w w:val="90"/>
              </w:rPr>
              <w:t>Restated Certificate of Incorporation of the Registrant (incorporated by reference to Exhibit 3(a) to the Registrant’s Annual Report on Form</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10-K for the year 1993)</w:t>
            </w:r>
          </w:p>
        </w:tc>
      </w:tr>
      <w:tr>
        <w:trPr>
          <w:trHeight w:val="318"/>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3.2</w:t>
            </w:r>
          </w:p>
        </w:tc>
        <w:tc>
          <w:tcPr>
            <w:tcW w:w="9980" w:type="dxa"/>
            <w:vAlign w:val="bottom"/>
          </w:tcPr>
          <w:p>
            <w:pPr>
              <w:spacing w:after="0"/>
              <w:rPr>
                <w:sz w:val="20"/>
                <w:szCs w:val="20"/>
                <w:color w:val="auto"/>
              </w:rPr>
            </w:pPr>
            <w:r>
              <w:rPr>
                <w:rFonts w:ascii="Arial" w:cs="Arial" w:eastAsia="Arial" w:hAnsi="Arial"/>
                <w:sz w:val="18"/>
                <w:szCs w:val="18"/>
                <w:color w:val="auto"/>
                <w:w w:val="96"/>
              </w:rPr>
              <w:t>Certificate of Amendment to Restated Certificate of Incorporation of the Registrant (incorporated by reference to Exhibit 3(b) to the</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Registrant’s Annual Report on Form 10-K for the year 1993)</w:t>
            </w:r>
          </w:p>
        </w:tc>
      </w:tr>
      <w:tr>
        <w:trPr>
          <w:trHeight w:val="318"/>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3.3</w:t>
            </w:r>
          </w:p>
        </w:tc>
        <w:tc>
          <w:tcPr>
            <w:tcW w:w="9980" w:type="dxa"/>
            <w:vAlign w:val="bottom"/>
          </w:tcPr>
          <w:p>
            <w:pPr>
              <w:spacing w:after="0"/>
              <w:rPr>
                <w:sz w:val="20"/>
                <w:szCs w:val="20"/>
                <w:color w:val="auto"/>
              </w:rPr>
            </w:pPr>
            <w:r>
              <w:rPr>
                <w:rFonts w:ascii="Arial" w:cs="Arial" w:eastAsia="Arial" w:hAnsi="Arial"/>
                <w:sz w:val="18"/>
                <w:szCs w:val="18"/>
                <w:color w:val="auto"/>
                <w:w w:val="96"/>
              </w:rPr>
              <w:t>Certificate of Amendment to Restated Certificate of Incorporation of the Registrant (incorporated by reference to Exhibit 3(c) to the</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Registrant’s Annual Report on Form 10-K for the year 1993)</w:t>
            </w:r>
          </w:p>
        </w:tc>
      </w:tr>
      <w:tr>
        <w:trPr>
          <w:trHeight w:val="318"/>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3.4</w:t>
            </w:r>
          </w:p>
        </w:tc>
        <w:tc>
          <w:tcPr>
            <w:tcW w:w="9980" w:type="dxa"/>
            <w:vAlign w:val="bottom"/>
          </w:tcPr>
          <w:p>
            <w:pPr>
              <w:spacing w:after="0"/>
              <w:rPr>
                <w:sz w:val="20"/>
                <w:szCs w:val="20"/>
                <w:color w:val="auto"/>
              </w:rPr>
            </w:pPr>
            <w:r>
              <w:rPr>
                <w:rFonts w:ascii="Arial" w:cs="Arial" w:eastAsia="Arial" w:hAnsi="Arial"/>
                <w:sz w:val="18"/>
                <w:szCs w:val="18"/>
                <w:color w:val="auto"/>
                <w:w w:val="89"/>
              </w:rPr>
              <w:t>Certificate of Amendment to Restated Certificate of Incorporation of the Registrant (incorporated by reference to Exhibit 3 to the Registrant’s</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Quarterly Report on Form 10-Q for the quarter ended June 30, 1996)</w:t>
            </w:r>
          </w:p>
        </w:tc>
      </w:tr>
      <w:tr>
        <w:trPr>
          <w:trHeight w:val="318"/>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3.5</w:t>
            </w:r>
          </w:p>
        </w:tc>
        <w:tc>
          <w:tcPr>
            <w:tcW w:w="9980" w:type="dxa"/>
            <w:vAlign w:val="bottom"/>
          </w:tcPr>
          <w:p>
            <w:pPr>
              <w:spacing w:after="0"/>
              <w:rPr>
                <w:sz w:val="20"/>
                <w:szCs w:val="20"/>
                <w:color w:val="auto"/>
              </w:rPr>
            </w:pPr>
            <w:r>
              <w:rPr>
                <w:rFonts w:ascii="Arial" w:cs="Arial" w:eastAsia="Arial" w:hAnsi="Arial"/>
                <w:sz w:val="18"/>
                <w:szCs w:val="18"/>
                <w:color w:val="auto"/>
                <w:w w:val="90"/>
              </w:rPr>
              <w:t>Certificate of Amendment to Restated Certificate of Incorporation (incorporated by reference to Exhibit 3(n) to the Registrant’s Registration</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Statement on Form S-4 No. 333-41030 filed on July 7, 2000)</w:t>
            </w:r>
          </w:p>
        </w:tc>
      </w:tr>
      <w:tr>
        <w:trPr>
          <w:trHeight w:val="324"/>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4.1</w:t>
            </w:r>
          </w:p>
        </w:tc>
        <w:tc>
          <w:tcPr>
            <w:tcW w:w="9980" w:type="dxa"/>
            <w:vAlign w:val="bottom"/>
          </w:tcPr>
          <w:p>
            <w:pPr>
              <w:spacing w:after="0"/>
              <w:rPr>
                <w:sz w:val="20"/>
                <w:szCs w:val="20"/>
                <w:color w:val="auto"/>
              </w:rPr>
            </w:pPr>
            <w:r>
              <w:rPr>
                <w:rFonts w:ascii="Arial" w:cs="Arial" w:eastAsia="Arial" w:hAnsi="Arial"/>
                <w:sz w:val="18"/>
                <w:szCs w:val="18"/>
                <w:color w:val="auto"/>
              </w:rPr>
              <w:t>Specimen Common Stock Certificate*</w:t>
            </w:r>
          </w:p>
        </w:tc>
      </w:tr>
      <w:tr>
        <w:trPr>
          <w:trHeight w:val="324"/>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4.2</w:t>
            </w:r>
          </w:p>
        </w:tc>
        <w:tc>
          <w:tcPr>
            <w:tcW w:w="9980" w:type="dxa"/>
            <w:vAlign w:val="bottom"/>
          </w:tcPr>
          <w:p>
            <w:pPr>
              <w:spacing w:after="0"/>
              <w:rPr>
                <w:sz w:val="20"/>
                <w:szCs w:val="20"/>
                <w:color w:val="auto"/>
              </w:rPr>
            </w:pPr>
            <w:r>
              <w:rPr>
                <w:rFonts w:ascii="Arial" w:cs="Arial" w:eastAsia="Arial" w:hAnsi="Arial"/>
                <w:sz w:val="18"/>
                <w:szCs w:val="18"/>
                <w:color w:val="auto"/>
              </w:rPr>
              <w:t>Specimen Preferred Stock Certificate*</w:t>
            </w:r>
          </w:p>
        </w:tc>
      </w:tr>
      <w:tr>
        <w:trPr>
          <w:trHeight w:val="318"/>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4.3</w:t>
            </w:r>
          </w:p>
        </w:tc>
        <w:tc>
          <w:tcPr>
            <w:tcW w:w="9980" w:type="dxa"/>
            <w:vAlign w:val="bottom"/>
          </w:tcPr>
          <w:p>
            <w:pPr>
              <w:spacing w:after="0"/>
              <w:rPr>
                <w:sz w:val="20"/>
                <w:szCs w:val="20"/>
                <w:color w:val="auto"/>
              </w:rPr>
            </w:pPr>
            <w:r>
              <w:rPr>
                <w:rFonts w:ascii="Arial" w:cs="Arial" w:eastAsia="Arial" w:hAnsi="Arial"/>
                <w:sz w:val="18"/>
                <w:szCs w:val="18"/>
                <w:color w:val="auto"/>
                <w:w w:val="90"/>
              </w:rPr>
              <w:t>Certificate of Designation relating to the Registrant’s Participating Cumulative Preferred Stock (incorporated by reference to Exhibit 4(a) to</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the Registrant’s Quarterly Report on Form 10-Q for the quarter ended September 30, 1998)</w:t>
            </w:r>
          </w:p>
        </w:tc>
      </w:tr>
      <w:tr>
        <w:trPr>
          <w:trHeight w:val="324"/>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4.4</w:t>
            </w:r>
          </w:p>
        </w:tc>
        <w:tc>
          <w:tcPr>
            <w:tcW w:w="9980" w:type="dxa"/>
            <w:vAlign w:val="bottom"/>
          </w:tcPr>
          <w:p>
            <w:pPr>
              <w:spacing w:after="0"/>
              <w:rPr>
                <w:sz w:val="20"/>
                <w:szCs w:val="20"/>
                <w:color w:val="auto"/>
              </w:rPr>
            </w:pPr>
            <w:r>
              <w:rPr>
                <w:rFonts w:ascii="Arial" w:cs="Arial" w:eastAsia="Arial" w:hAnsi="Arial"/>
                <w:sz w:val="18"/>
                <w:szCs w:val="18"/>
                <w:color w:val="auto"/>
              </w:rPr>
              <w:t>Form of Indenture between the Registrant and U.S. Bank National Association</w:t>
            </w:r>
          </w:p>
        </w:tc>
      </w:tr>
      <w:tr>
        <w:trPr>
          <w:trHeight w:val="324"/>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4.5</w:t>
            </w:r>
          </w:p>
        </w:tc>
        <w:tc>
          <w:tcPr>
            <w:tcW w:w="9980" w:type="dxa"/>
            <w:vAlign w:val="bottom"/>
          </w:tcPr>
          <w:p>
            <w:pPr>
              <w:spacing w:after="0"/>
              <w:rPr>
                <w:sz w:val="20"/>
                <w:szCs w:val="20"/>
                <w:color w:val="auto"/>
              </w:rPr>
            </w:pPr>
            <w:r>
              <w:rPr>
                <w:rFonts w:ascii="Arial" w:cs="Arial" w:eastAsia="Arial" w:hAnsi="Arial"/>
                <w:sz w:val="18"/>
                <w:szCs w:val="18"/>
                <w:color w:val="auto"/>
              </w:rPr>
              <w:t>Form of Note (included in Exhibit 4.4)</w:t>
            </w:r>
          </w:p>
        </w:tc>
      </w:tr>
      <w:tr>
        <w:trPr>
          <w:trHeight w:val="318"/>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4.6</w:t>
            </w:r>
          </w:p>
        </w:tc>
        <w:tc>
          <w:tcPr>
            <w:tcW w:w="9980" w:type="dxa"/>
            <w:vAlign w:val="bottom"/>
          </w:tcPr>
          <w:p>
            <w:pPr>
              <w:spacing w:after="0"/>
              <w:rPr>
                <w:sz w:val="20"/>
                <w:szCs w:val="20"/>
                <w:color w:val="auto"/>
              </w:rPr>
            </w:pPr>
            <w:r>
              <w:rPr>
                <w:rFonts w:ascii="Arial" w:cs="Arial" w:eastAsia="Arial" w:hAnsi="Arial"/>
                <w:sz w:val="18"/>
                <w:szCs w:val="18"/>
                <w:color w:val="auto"/>
                <w:w w:val="93"/>
              </w:rPr>
              <w:t>Form of Warrant Agreement (incorporated by reference to the Registrant’s Registration Statement on Form S-3 No. 333-03571 filed on</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December 17, 1999)</w:t>
            </w:r>
          </w:p>
        </w:tc>
      </w:tr>
      <w:tr>
        <w:trPr>
          <w:trHeight w:val="324"/>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4.7</w:t>
            </w:r>
          </w:p>
        </w:tc>
        <w:tc>
          <w:tcPr>
            <w:tcW w:w="9980" w:type="dxa"/>
            <w:vAlign w:val="bottom"/>
          </w:tcPr>
          <w:p>
            <w:pPr>
              <w:spacing w:after="0"/>
              <w:rPr>
                <w:sz w:val="20"/>
                <w:szCs w:val="20"/>
                <w:color w:val="auto"/>
              </w:rPr>
            </w:pPr>
            <w:r>
              <w:rPr>
                <w:rFonts w:ascii="Arial" w:cs="Arial" w:eastAsia="Arial" w:hAnsi="Arial"/>
                <w:sz w:val="18"/>
                <w:szCs w:val="18"/>
                <w:color w:val="auto"/>
              </w:rPr>
              <w:t>Form of Unit Agreement*</w:t>
            </w:r>
          </w:p>
        </w:tc>
      </w:tr>
      <w:tr>
        <w:trPr>
          <w:trHeight w:val="324"/>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5.1</w:t>
            </w:r>
          </w:p>
        </w:tc>
        <w:tc>
          <w:tcPr>
            <w:tcW w:w="9980" w:type="dxa"/>
            <w:vAlign w:val="bottom"/>
          </w:tcPr>
          <w:p>
            <w:pPr>
              <w:spacing w:after="0"/>
              <w:rPr>
                <w:sz w:val="20"/>
                <w:szCs w:val="20"/>
                <w:color w:val="auto"/>
              </w:rPr>
            </w:pPr>
            <w:r>
              <w:rPr>
                <w:rFonts w:ascii="Arial" w:cs="Arial" w:eastAsia="Arial" w:hAnsi="Arial"/>
                <w:sz w:val="18"/>
                <w:szCs w:val="18"/>
                <w:color w:val="auto"/>
              </w:rPr>
              <w:t>Opinion of Davis Polk &amp; Wardwell</w:t>
            </w:r>
          </w:p>
        </w:tc>
      </w:tr>
      <w:tr>
        <w:trPr>
          <w:trHeight w:val="324"/>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12.1</w:t>
            </w:r>
          </w:p>
        </w:tc>
        <w:tc>
          <w:tcPr>
            <w:tcW w:w="9980" w:type="dxa"/>
            <w:vAlign w:val="bottom"/>
          </w:tcPr>
          <w:p>
            <w:pPr>
              <w:spacing w:after="0"/>
              <w:rPr>
                <w:sz w:val="20"/>
                <w:szCs w:val="20"/>
                <w:color w:val="auto"/>
              </w:rPr>
            </w:pPr>
            <w:r>
              <w:rPr>
                <w:rFonts w:ascii="Arial" w:cs="Arial" w:eastAsia="Arial" w:hAnsi="Arial"/>
                <w:sz w:val="18"/>
                <w:szCs w:val="18"/>
                <w:color w:val="auto"/>
              </w:rPr>
              <w:t>Statement regarding computation of Consolidated Ratio of Earnings to Fixed Charges</w:t>
            </w:r>
          </w:p>
        </w:tc>
      </w:tr>
      <w:tr>
        <w:trPr>
          <w:trHeight w:val="324"/>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23.1</w:t>
            </w:r>
          </w:p>
        </w:tc>
        <w:tc>
          <w:tcPr>
            <w:tcW w:w="9980" w:type="dxa"/>
            <w:vAlign w:val="bottom"/>
          </w:tcPr>
          <w:p>
            <w:pPr>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23.2</w:t>
            </w:r>
          </w:p>
        </w:tc>
        <w:tc>
          <w:tcPr>
            <w:tcW w:w="9980" w:type="dxa"/>
            <w:vAlign w:val="bottom"/>
          </w:tcPr>
          <w:p>
            <w:pPr>
              <w:spacing w:after="0"/>
              <w:rPr>
                <w:sz w:val="20"/>
                <w:szCs w:val="20"/>
                <w:color w:val="auto"/>
              </w:rPr>
            </w:pPr>
            <w:r>
              <w:rPr>
                <w:rFonts w:ascii="Arial" w:cs="Arial" w:eastAsia="Arial" w:hAnsi="Arial"/>
                <w:sz w:val="18"/>
                <w:szCs w:val="18"/>
                <w:color w:val="auto"/>
              </w:rPr>
              <w:t>Consent of Davis Polk &amp; Wardwell (included in Exhibit 5.1)</w:t>
            </w:r>
          </w:p>
        </w:tc>
      </w:tr>
      <w:tr>
        <w:trPr>
          <w:trHeight w:val="324"/>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24.1</w:t>
            </w:r>
          </w:p>
        </w:tc>
        <w:tc>
          <w:tcPr>
            <w:tcW w:w="9980" w:type="dxa"/>
            <w:vAlign w:val="bottom"/>
          </w:tcPr>
          <w:p>
            <w:pPr>
              <w:spacing w:after="0"/>
              <w:rPr>
                <w:sz w:val="20"/>
                <w:szCs w:val="20"/>
                <w:color w:val="auto"/>
              </w:rPr>
            </w:pPr>
            <w:r>
              <w:rPr>
                <w:rFonts w:ascii="Arial" w:cs="Arial" w:eastAsia="Arial" w:hAnsi="Arial"/>
                <w:sz w:val="18"/>
                <w:szCs w:val="18"/>
                <w:color w:val="auto"/>
              </w:rPr>
              <w:t>Power of Attorney (included on the signature page of the Registration Statement)</w:t>
            </w:r>
          </w:p>
        </w:tc>
      </w:tr>
      <w:tr>
        <w:trPr>
          <w:trHeight w:val="324"/>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25.1</w:t>
            </w:r>
          </w:p>
        </w:tc>
        <w:tc>
          <w:tcPr>
            <w:tcW w:w="9980" w:type="dxa"/>
            <w:vAlign w:val="bottom"/>
          </w:tcPr>
          <w:p>
            <w:pPr>
              <w:spacing w:after="0"/>
              <w:rPr>
                <w:sz w:val="20"/>
                <w:szCs w:val="20"/>
                <w:color w:val="auto"/>
              </w:rPr>
            </w:pPr>
            <w:r>
              <w:rPr>
                <w:rFonts w:ascii="Arial" w:cs="Arial" w:eastAsia="Arial" w:hAnsi="Arial"/>
                <w:sz w:val="18"/>
                <w:szCs w:val="18"/>
                <w:color w:val="auto"/>
              </w:rPr>
              <w:t>Statement of Eligibility on Form T-1 of U.S. Bank National Association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6000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9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of securities registered hereby, a post-effective amendment to this registration statement:</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920" w:firstLine="421"/>
        <w:spacing w:after="0" w:line="253" w:lineRule="auto"/>
        <w:tabs>
          <w:tab w:leader="none" w:pos="1598" w:val="left"/>
        </w:tabs>
        <w:numPr>
          <w:ilvl w:val="2"/>
          <w:numId w:val="2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66" w:lineRule="exact"/>
        <w:rPr>
          <w:rFonts w:ascii="Arial" w:cs="Arial" w:eastAsia="Arial" w:hAnsi="Arial"/>
          <w:sz w:val="18"/>
          <w:szCs w:val="18"/>
          <w:color w:val="auto"/>
        </w:rPr>
      </w:pPr>
    </w:p>
    <w:p>
      <w:pPr>
        <w:ind w:left="920" w:right="260" w:firstLine="421"/>
        <w:spacing w:after="0" w:line="268" w:lineRule="auto"/>
        <w:tabs>
          <w:tab w:leader="none" w:pos="1647" w:val="left"/>
        </w:tabs>
        <w:numPr>
          <w:ilvl w:val="2"/>
          <w:numId w:val="2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(i), (ii) and (iii) above do not apply if the information required to be included in a post-effective amendment by</w:t>
      </w:r>
      <w:r>
        <w:rPr>
          <w:rFonts w:ascii="Arial" w:cs="Arial" w:eastAsia="Arial" w:hAnsi="Arial"/>
          <w:sz w:val="16"/>
          <w:szCs w:val="16"/>
          <w:i w:val="1"/>
          <w:iCs w:val="1"/>
          <w:color w:val="auto"/>
        </w:rPr>
        <w:t xml:space="preserve"> </w:t>
      </w:r>
      <w:r>
        <w:rPr>
          <w:rFonts w:ascii="Arial" w:cs="Arial" w:eastAsia="Arial" w:hAnsi="Arial"/>
          <w:sz w:val="16"/>
          <w:szCs w:val="16"/>
          <w:color w:val="auto"/>
        </w:rPr>
        <w:t>those paragraphs is contained in periodic reports filed with or furnished to the Securities and Exchange Commission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spacing w:after="0" w:line="32" w:lineRule="exact"/>
        <w:rPr>
          <w:sz w:val="20"/>
          <w:szCs w:val="20"/>
          <w:color w:val="auto"/>
        </w:rPr>
      </w:pPr>
    </w:p>
    <w:p>
      <w:pPr>
        <w:ind w:left="460" w:right="40" w:firstLine="443"/>
        <w:spacing w:after="0" w:line="259"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59"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90" w:lineRule="exact"/>
        <w:rPr>
          <w:rFonts w:ascii="Arial" w:cs="Arial" w:eastAsia="Arial" w:hAnsi="Arial"/>
          <w:sz w:val="18"/>
          <w:szCs w:val="18"/>
          <w:color w:val="auto"/>
        </w:rPr>
      </w:pPr>
    </w:p>
    <w:p>
      <w:pPr>
        <w:ind w:left="1500" w:right="80" w:firstLine="389"/>
        <w:spacing w:after="0" w:line="268" w:lineRule="auto"/>
        <w:tabs>
          <w:tab w:leader="none" w:pos="2185" w:val="left"/>
        </w:tabs>
        <w:numPr>
          <w:ilvl w:val="1"/>
          <w:numId w:val="2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1500" w:right="120" w:firstLine="389"/>
        <w:spacing w:after="0" w:line="286" w:lineRule="auto"/>
        <w:tabs>
          <w:tab w:leader="none" w:pos="2175"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 in a document</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firstLine="443"/>
        <w:spacing w:after="0" w:line="268" w:lineRule="auto"/>
        <w:tabs>
          <w:tab w:leader="none" w:pos="11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51" w:lineRule="exact"/>
        <w:rPr>
          <w:sz w:val="20"/>
          <w:szCs w:val="20"/>
          <w:color w:val="auto"/>
        </w:rPr>
      </w:pPr>
    </w:p>
    <w:p>
      <w:pPr>
        <w:ind w:left="920" w:firstLine="420"/>
        <w:spacing w:after="0" w:line="256"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2" w:lineRule="exact"/>
        <w:rPr>
          <w:sz w:val="20"/>
          <w:szCs w:val="20"/>
          <w:color w:val="auto"/>
        </w:rPr>
      </w:pPr>
    </w:p>
    <w:p>
      <w:pPr>
        <w:ind w:left="1560" w:hanging="219"/>
        <w:spacing w:after="0"/>
        <w:tabs>
          <w:tab w:leader="none" w:pos="15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920" w:right="400" w:firstLine="421"/>
        <w:spacing w:after="0" w:line="268" w:lineRule="auto"/>
        <w:tabs>
          <w:tab w:leader="none" w:pos="159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920" w:firstLine="421"/>
        <w:spacing w:after="0" w:line="268" w:lineRule="auto"/>
        <w:tabs>
          <w:tab w:leader="none" w:pos="16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rFonts w:ascii="Arial" w:cs="Arial" w:eastAsia="Arial" w:hAnsi="Arial"/>
          <w:sz w:val="18"/>
          <w:szCs w:val="18"/>
          <w:color w:val="auto"/>
        </w:rPr>
      </w:pPr>
    </w:p>
    <w:p>
      <w:pPr>
        <w:ind w:left="900" w:right="100" w:hanging="446"/>
        <w:spacing w:after="0" w:line="294"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34" w:lineRule="exact"/>
        <w:rPr>
          <w:rFonts w:ascii="Arial" w:cs="Arial" w:eastAsia="Arial" w:hAnsi="Arial"/>
          <w:sz w:val="16"/>
          <w:szCs w:val="16"/>
          <w:color w:val="auto"/>
        </w:rPr>
      </w:pPr>
    </w:p>
    <w:p>
      <w:pPr>
        <w:ind w:left="900" w:right="20" w:hanging="446"/>
        <w:spacing w:after="0" w:line="289"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Dallas, State of Texas, on March 2, 2007.</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P. March</w:t>
      </w:r>
    </w:p>
    <w:p>
      <w:pPr>
        <w:spacing w:after="0" w:line="15" w:lineRule="exact"/>
        <w:rPr>
          <w:sz w:val="20"/>
          <w:szCs w:val="20"/>
          <w:color w:val="auto"/>
        </w:rPr>
      </w:pPr>
    </w:p>
    <w:tbl>
      <w:tblPr>
        <w:tblLayout w:type="fixed"/>
        <w:tblInd w:w="7180" w:type="dxa"/>
        <w:tblCellMar>
          <w:top w:w="0" w:type="dxa"/>
          <w:left w:w="0" w:type="dxa"/>
          <w:bottom w:w="0" w:type="dxa"/>
          <w:right w:w="0" w:type="dxa"/>
        </w:tblCellMar>
      </w:tblPr>
      <w:tr>
        <w:trPr>
          <w:trHeight w:val="203"/>
        </w:trPr>
        <w:tc>
          <w:tcPr>
            <w:tcW w:w="1640" w:type="dxa"/>
            <w:vAlign w:val="bottom"/>
            <w:tcBorders>
              <w:top w:val="single" w:sz="8" w:color="auto"/>
            </w:tcBorders>
          </w:tcPr>
          <w:p>
            <w:pPr>
              <w:ind w:left="40"/>
              <w:spacing w:after="0" w:line="203" w:lineRule="exact"/>
              <w:rPr>
                <w:sz w:val="20"/>
                <w:szCs w:val="20"/>
                <w:color w:val="auto"/>
              </w:rPr>
            </w:pPr>
            <w:r>
              <w:rPr>
                <w:rFonts w:ascii="Arial" w:cs="Arial" w:eastAsia="Arial" w:hAnsi="Arial"/>
                <w:sz w:val="18"/>
                <w:szCs w:val="18"/>
                <w:color w:val="auto"/>
              </w:rPr>
              <w:t>Kevin P. March</w:t>
            </w:r>
          </w:p>
        </w:tc>
        <w:tc>
          <w:tcPr>
            <w:tcW w:w="2600" w:type="dxa"/>
            <w:vAlign w:val="bottom"/>
            <w:tcBorders>
              <w:top w:val="single" w:sz="8" w:color="auto"/>
            </w:tcBorders>
          </w:tcPr>
          <w:p>
            <w:pPr>
              <w:ind w:left="500"/>
              <w:spacing w:after="0" w:line="203" w:lineRule="exact"/>
              <w:rPr>
                <w:sz w:val="20"/>
                <w:szCs w:val="20"/>
                <w:color w:val="auto"/>
              </w:rPr>
            </w:pPr>
            <w:r>
              <w:rPr>
                <w:rFonts w:ascii="Arial" w:cs="Arial" w:eastAsia="Arial" w:hAnsi="Arial"/>
                <w:sz w:val="18"/>
                <w:szCs w:val="18"/>
                <w:color w:val="auto"/>
                <w:w w:val="92"/>
              </w:rPr>
              <w:t>Senior Vice President, Chief</w:t>
            </w:r>
          </w:p>
        </w:tc>
      </w:tr>
      <w:tr>
        <w:trPr>
          <w:trHeight w:val="216"/>
        </w:trPr>
        <w:tc>
          <w:tcPr>
            <w:tcW w:w="1640" w:type="dxa"/>
            <w:vAlign w:val="bottom"/>
          </w:tcPr>
          <w:p>
            <w:pPr>
              <w:spacing w:after="0"/>
              <w:rPr>
                <w:sz w:val="18"/>
                <w:szCs w:val="18"/>
                <w:color w:val="auto"/>
              </w:rPr>
            </w:pPr>
          </w:p>
        </w:tc>
        <w:tc>
          <w:tcPr>
            <w:tcW w:w="2600" w:type="dxa"/>
            <w:vAlign w:val="bottom"/>
          </w:tcPr>
          <w:p>
            <w:pPr>
              <w:ind w:left="500"/>
              <w:spacing w:after="0"/>
              <w:rPr>
                <w:sz w:val="20"/>
                <w:szCs w:val="20"/>
                <w:color w:val="auto"/>
              </w:rPr>
            </w:pPr>
            <w:r>
              <w:rPr>
                <w:rFonts w:ascii="Arial" w:cs="Arial" w:eastAsia="Arial" w:hAnsi="Arial"/>
                <w:sz w:val="18"/>
                <w:szCs w:val="18"/>
                <w:color w:val="auto"/>
                <w:w w:val="90"/>
              </w:rPr>
              <w:t>Accounting Officer and Chief</w:t>
            </w:r>
          </w:p>
        </w:tc>
      </w:tr>
      <w:tr>
        <w:trPr>
          <w:trHeight w:val="222"/>
        </w:trPr>
        <w:tc>
          <w:tcPr>
            <w:tcW w:w="1640" w:type="dxa"/>
            <w:vAlign w:val="bottom"/>
          </w:tcPr>
          <w:p>
            <w:pPr>
              <w:spacing w:after="0"/>
              <w:rPr>
                <w:sz w:val="19"/>
                <w:szCs w:val="19"/>
                <w:color w:val="auto"/>
              </w:rPr>
            </w:pPr>
          </w:p>
        </w:tc>
        <w:tc>
          <w:tcPr>
            <w:tcW w:w="2600" w:type="dxa"/>
            <w:vAlign w:val="bottom"/>
          </w:tcPr>
          <w:p>
            <w:pPr>
              <w:ind w:left="500"/>
              <w:spacing w:after="0"/>
              <w:rPr>
                <w:sz w:val="20"/>
                <w:szCs w:val="20"/>
                <w:color w:val="auto"/>
              </w:rPr>
            </w:pPr>
            <w:r>
              <w:rPr>
                <w:rFonts w:ascii="Arial" w:cs="Arial" w:eastAsia="Arial" w:hAnsi="Arial"/>
                <w:sz w:val="18"/>
                <w:szCs w:val="18"/>
                <w:color w:val="auto"/>
              </w:rPr>
              <w:t>Financial Officer</w:t>
            </w:r>
          </w:p>
        </w:tc>
      </w:tr>
    </w:tbl>
    <w:p>
      <w:pPr>
        <w:spacing w:after="0" w:line="15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KNOW ALL MEN BY THESE PRESENTS, that each person whose signature appears below constitutes and appoints Richard K. Templeton, Kevin P. March and Joseph F. Hubach,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05"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0" w:type="dxa"/>
            <w:vAlign w:val="bottom"/>
          </w:tcPr>
          <w:p>
            <w:pPr>
              <w:spacing w:after="0"/>
              <w:rPr>
                <w:sz w:val="14"/>
                <w:szCs w:val="14"/>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4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Richard K. Templeton</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President and Chief Executive Officer; 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March 2, 2007</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9"/>
              </w:rPr>
              <w:t>Richard K. Templeton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7"/>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Kevin P. March</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Senior Vice President, Chief Accounting Officer and</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March 2, 2007</w:t>
            </w:r>
          </w:p>
        </w:tc>
      </w:tr>
      <w:tr>
        <w:trPr>
          <w:trHeight w:val="218"/>
        </w:trPr>
        <w:tc>
          <w:tcPr>
            <w:tcW w:w="4240" w:type="dxa"/>
            <w:vAlign w:val="bottom"/>
          </w:tcPr>
          <w:p>
            <w:pPr>
              <w:jc w:val="center"/>
              <w:spacing w:after="0"/>
              <w:rPr>
                <w:sz w:val="20"/>
                <w:szCs w:val="20"/>
                <w:color w:val="auto"/>
              </w:rPr>
            </w:pPr>
            <w:r>
              <w:rPr>
                <w:rFonts w:ascii="Arial" w:cs="Arial" w:eastAsia="Arial" w:hAnsi="Arial"/>
                <w:sz w:val="18"/>
                <w:szCs w:val="18"/>
                <w:color w:val="auto"/>
                <w:w w:val="90"/>
              </w:rPr>
              <w:t>Kevin P. March</w:t>
            </w:r>
          </w:p>
        </w:tc>
        <w:tc>
          <w:tcPr>
            <w:tcW w:w="220" w:type="dxa"/>
            <w:vAlign w:val="bottom"/>
          </w:tcPr>
          <w:p>
            <w:pPr>
              <w:spacing w:after="0"/>
              <w:rPr>
                <w:sz w:val="18"/>
                <w:szCs w:val="18"/>
                <w:color w:val="auto"/>
              </w:rPr>
            </w:pPr>
          </w:p>
        </w:tc>
        <w:tc>
          <w:tcPr>
            <w:tcW w:w="5020" w:type="dxa"/>
            <w:vAlign w:val="bottom"/>
          </w:tcPr>
          <w:p>
            <w:pPr>
              <w:jc w:val="center"/>
              <w:spacing w:after="0" w:line="202" w:lineRule="exact"/>
              <w:rPr>
                <w:sz w:val="20"/>
                <w:szCs w:val="20"/>
                <w:color w:val="auto"/>
              </w:rPr>
            </w:pPr>
            <w:r>
              <w:rPr>
                <w:rFonts w:ascii="Arial" w:cs="Arial" w:eastAsia="Arial" w:hAnsi="Arial"/>
                <w:sz w:val="18"/>
                <w:szCs w:val="18"/>
                <w:color w:val="auto"/>
                <w:w w:val="92"/>
              </w:rPr>
              <w:t>Chief Financial Officer</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James R. Adams</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March 2, 2007</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4"/>
              </w:rPr>
              <w:t>James R. Adams</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David L. Boren</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March 2, 2007</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David L. Boren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Daniel A. Carp</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March 2, 2007</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Daniel A. Carp</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Carrie S. Cox</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March 2, 2007</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8"/>
              </w:rPr>
              <w:t>Carrie S. Cox</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Thomas J. Engibous</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Chairman of the Board; 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March 2, 2007</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7"/>
              </w:rPr>
              <w:t>Thomas J. Engibous</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70"/>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tcPr>
          <w:p>
            <w:pPr>
              <w:ind w:left="1120"/>
              <w:spacing w:after="0"/>
              <w:rPr>
                <w:sz w:val="20"/>
                <w:szCs w:val="20"/>
                <w:color w:val="auto"/>
              </w:rPr>
            </w:pPr>
            <w:r>
              <w:rPr>
                <w:rFonts w:ascii="Arial" w:cs="Arial" w:eastAsia="Arial" w:hAnsi="Arial"/>
                <w:sz w:val="18"/>
                <w:szCs w:val="18"/>
                <w:color w:val="auto"/>
              </w:rPr>
              <w:t>II-5</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600" w:type="dxa"/>
            <w:vAlign w:val="bottom"/>
          </w:tcPr>
          <w:p>
            <w:pPr>
              <w:spacing w:after="0"/>
              <w:rPr>
                <w:sz w:val="14"/>
                <w:szCs w:val="14"/>
                <w:color w:val="auto"/>
              </w:rPr>
            </w:pPr>
          </w:p>
        </w:tc>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6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31"/>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Gerald W. Fronterhouse</w:t>
            </w:r>
          </w:p>
        </w:tc>
        <w:tc>
          <w:tcPr>
            <w:tcW w:w="160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March 2, 2007</w:t>
            </w:r>
          </w:p>
        </w:tc>
      </w:tr>
      <w:tr>
        <w:trPr>
          <w:trHeight w:val="217"/>
        </w:trPr>
        <w:tc>
          <w:tcPr>
            <w:tcW w:w="3700" w:type="dxa"/>
            <w:vAlign w:val="bottom"/>
          </w:tcPr>
          <w:p>
            <w:pPr>
              <w:jc w:val="center"/>
              <w:spacing w:after="0"/>
              <w:rPr>
                <w:sz w:val="20"/>
                <w:szCs w:val="20"/>
                <w:color w:val="auto"/>
              </w:rPr>
            </w:pPr>
            <w:r>
              <w:rPr>
                <w:rFonts w:ascii="Arial" w:cs="Arial" w:eastAsia="Arial" w:hAnsi="Arial"/>
                <w:sz w:val="18"/>
                <w:szCs w:val="18"/>
                <w:color w:val="auto"/>
                <w:w w:val="88"/>
              </w:rPr>
              <w:t>Gerald W. Fronterhouse</w:t>
            </w:r>
          </w:p>
        </w:tc>
        <w:tc>
          <w:tcPr>
            <w:tcW w:w="16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3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David R. Goode</w:t>
            </w:r>
          </w:p>
        </w:tc>
        <w:tc>
          <w:tcPr>
            <w:tcW w:w="160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March 2, 2007</w:t>
            </w:r>
          </w:p>
        </w:tc>
      </w:tr>
      <w:tr>
        <w:trPr>
          <w:trHeight w:val="217"/>
        </w:trPr>
        <w:tc>
          <w:tcPr>
            <w:tcW w:w="3700" w:type="dxa"/>
            <w:vAlign w:val="bottom"/>
          </w:tcPr>
          <w:p>
            <w:pPr>
              <w:jc w:val="center"/>
              <w:spacing w:after="0"/>
              <w:rPr>
                <w:sz w:val="20"/>
                <w:szCs w:val="20"/>
                <w:color w:val="auto"/>
              </w:rPr>
            </w:pPr>
            <w:r>
              <w:rPr>
                <w:rFonts w:ascii="Arial" w:cs="Arial" w:eastAsia="Arial" w:hAnsi="Arial"/>
                <w:sz w:val="18"/>
                <w:szCs w:val="18"/>
                <w:color w:val="auto"/>
                <w:w w:val="88"/>
              </w:rPr>
              <w:t>David R. Goode</w:t>
            </w:r>
          </w:p>
        </w:tc>
        <w:tc>
          <w:tcPr>
            <w:tcW w:w="16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3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Pamela H. Patsley</w:t>
            </w:r>
          </w:p>
        </w:tc>
        <w:tc>
          <w:tcPr>
            <w:tcW w:w="160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March 2, 2007</w:t>
            </w:r>
          </w:p>
        </w:tc>
      </w:tr>
      <w:tr>
        <w:trPr>
          <w:trHeight w:val="217"/>
        </w:trPr>
        <w:tc>
          <w:tcPr>
            <w:tcW w:w="3700" w:type="dxa"/>
            <w:vAlign w:val="bottom"/>
          </w:tcPr>
          <w:p>
            <w:pPr>
              <w:jc w:val="center"/>
              <w:spacing w:after="0"/>
              <w:rPr>
                <w:sz w:val="20"/>
                <w:szCs w:val="20"/>
                <w:color w:val="auto"/>
              </w:rPr>
            </w:pPr>
            <w:r>
              <w:rPr>
                <w:rFonts w:ascii="Arial" w:cs="Arial" w:eastAsia="Arial" w:hAnsi="Arial"/>
                <w:sz w:val="18"/>
                <w:szCs w:val="18"/>
                <w:color w:val="auto"/>
                <w:w w:val="86"/>
              </w:rPr>
              <w:t>Pamela H. Patsley</w:t>
            </w:r>
          </w:p>
        </w:tc>
        <w:tc>
          <w:tcPr>
            <w:tcW w:w="16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3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Wayne R. Sanders</w:t>
            </w:r>
          </w:p>
        </w:tc>
        <w:tc>
          <w:tcPr>
            <w:tcW w:w="160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March 2, 2007</w:t>
            </w:r>
          </w:p>
        </w:tc>
      </w:tr>
      <w:tr>
        <w:trPr>
          <w:trHeight w:val="217"/>
        </w:trPr>
        <w:tc>
          <w:tcPr>
            <w:tcW w:w="3700" w:type="dxa"/>
            <w:vAlign w:val="bottom"/>
          </w:tcPr>
          <w:p>
            <w:pPr>
              <w:jc w:val="center"/>
              <w:spacing w:after="0"/>
              <w:rPr>
                <w:sz w:val="20"/>
                <w:szCs w:val="20"/>
                <w:color w:val="auto"/>
              </w:rPr>
            </w:pPr>
            <w:r>
              <w:rPr>
                <w:rFonts w:ascii="Arial" w:cs="Arial" w:eastAsia="Arial" w:hAnsi="Arial"/>
                <w:sz w:val="18"/>
                <w:szCs w:val="18"/>
                <w:color w:val="auto"/>
                <w:w w:val="86"/>
              </w:rPr>
              <w:t>Wayne R. Sanders</w:t>
            </w:r>
          </w:p>
        </w:tc>
        <w:tc>
          <w:tcPr>
            <w:tcW w:w="16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3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Ruth J. Simmons</w:t>
            </w:r>
          </w:p>
        </w:tc>
        <w:tc>
          <w:tcPr>
            <w:tcW w:w="160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March 2, 2007</w:t>
            </w:r>
          </w:p>
        </w:tc>
      </w:tr>
      <w:tr>
        <w:trPr>
          <w:trHeight w:val="217"/>
        </w:trPr>
        <w:tc>
          <w:tcPr>
            <w:tcW w:w="3700" w:type="dxa"/>
            <w:vAlign w:val="bottom"/>
          </w:tcPr>
          <w:p>
            <w:pPr>
              <w:jc w:val="center"/>
              <w:spacing w:after="0"/>
              <w:rPr>
                <w:sz w:val="20"/>
                <w:szCs w:val="20"/>
                <w:color w:val="auto"/>
              </w:rPr>
            </w:pPr>
            <w:r>
              <w:rPr>
                <w:rFonts w:ascii="Arial" w:cs="Arial" w:eastAsia="Arial" w:hAnsi="Arial"/>
                <w:sz w:val="18"/>
                <w:szCs w:val="18"/>
                <w:color w:val="auto"/>
                <w:w w:val="88"/>
              </w:rPr>
              <w:t>Ruth J. Simmons</w:t>
            </w:r>
          </w:p>
        </w:tc>
        <w:tc>
          <w:tcPr>
            <w:tcW w:w="16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3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Christine Todd Whitman</w:t>
            </w:r>
          </w:p>
        </w:tc>
        <w:tc>
          <w:tcPr>
            <w:tcW w:w="160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March 2, 2007</w:t>
            </w:r>
          </w:p>
        </w:tc>
      </w:tr>
      <w:tr>
        <w:trPr>
          <w:trHeight w:val="217"/>
        </w:trPr>
        <w:tc>
          <w:tcPr>
            <w:tcW w:w="3700" w:type="dxa"/>
            <w:vAlign w:val="bottom"/>
          </w:tcPr>
          <w:p>
            <w:pPr>
              <w:jc w:val="center"/>
              <w:spacing w:after="0"/>
              <w:rPr>
                <w:sz w:val="20"/>
                <w:szCs w:val="20"/>
                <w:color w:val="auto"/>
              </w:rPr>
            </w:pPr>
            <w:r>
              <w:rPr>
                <w:rFonts w:ascii="Arial" w:cs="Arial" w:eastAsia="Arial" w:hAnsi="Arial"/>
                <w:sz w:val="18"/>
                <w:szCs w:val="18"/>
                <w:color w:val="auto"/>
                <w:w w:val="90"/>
              </w:rPr>
              <w:t>Christine Todd Whitman</w:t>
            </w:r>
          </w:p>
        </w:tc>
        <w:tc>
          <w:tcPr>
            <w:tcW w:w="16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70"/>
        </w:trPr>
        <w:tc>
          <w:tcPr>
            <w:tcW w:w="3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80" w:type="dxa"/>
            <w:vAlign w:val="bottom"/>
          </w:tcPr>
          <w:p>
            <w:pPr>
              <w:ind w:left="280"/>
              <w:spacing w:after="0"/>
              <w:rPr>
                <w:sz w:val="20"/>
                <w:szCs w:val="20"/>
                <w:color w:val="auto"/>
              </w:rPr>
            </w:pPr>
            <w:r>
              <w:rPr>
                <w:rFonts w:ascii="Arial" w:cs="Arial" w:eastAsia="Arial" w:hAnsi="Arial"/>
                <w:sz w:val="18"/>
                <w:szCs w:val="18"/>
                <w:color w:val="auto"/>
              </w:rPr>
              <w:t>II-6</w:t>
            </w:r>
          </w:p>
        </w:tc>
        <w:tc>
          <w:tcPr>
            <w:tcW w:w="16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ind w:left="360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14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7"/>
              </w:rPr>
              <w:t>Exhibit No.</w:t>
            </w:r>
          </w:p>
        </w:tc>
        <w:tc>
          <w:tcPr>
            <w:tcW w:w="9980" w:type="dxa"/>
            <w:vAlign w:val="bottom"/>
          </w:tcPr>
          <w:p>
            <w:pPr>
              <w:spacing w:after="0"/>
              <w:rPr>
                <w:sz w:val="20"/>
                <w:szCs w:val="20"/>
                <w:color w:val="auto"/>
              </w:rPr>
            </w:pPr>
            <w:r>
              <w:rPr>
                <w:rFonts w:ascii="Arial" w:cs="Arial" w:eastAsia="Arial" w:hAnsi="Arial"/>
                <w:sz w:val="14"/>
                <w:szCs w:val="14"/>
                <w:b w:val="1"/>
                <w:bCs w:val="1"/>
                <w:color w:val="auto"/>
              </w:rPr>
              <w:t>Document</w:t>
            </w:r>
          </w:p>
        </w:tc>
      </w:tr>
      <w:tr>
        <w:trPr>
          <w:trHeight w:val="20"/>
        </w:trPr>
        <w:tc>
          <w:tcPr>
            <w:tcW w:w="6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980" w:type="dxa"/>
            <w:vAlign w:val="bottom"/>
            <w:shd w:val="clear" w:color="auto" w:fill="000000"/>
          </w:tcPr>
          <w:p>
            <w:pPr>
              <w:spacing w:after="0" w:line="20" w:lineRule="exact"/>
              <w:rPr>
                <w:sz w:val="1"/>
                <w:szCs w:val="1"/>
                <w:color w:val="auto"/>
              </w:rPr>
            </w:pPr>
          </w:p>
        </w:tc>
      </w:tr>
      <w:tr>
        <w:trPr>
          <w:trHeight w:val="316"/>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1.1</w:t>
            </w:r>
          </w:p>
        </w:tc>
        <w:tc>
          <w:tcPr>
            <w:tcW w:w="9980" w:type="dxa"/>
            <w:vAlign w:val="bottom"/>
          </w:tcPr>
          <w:p>
            <w:pPr>
              <w:spacing w:after="0"/>
              <w:rPr>
                <w:sz w:val="20"/>
                <w:szCs w:val="20"/>
                <w:color w:val="auto"/>
              </w:rPr>
            </w:pPr>
            <w:r>
              <w:rPr>
                <w:rFonts w:ascii="Arial" w:cs="Arial" w:eastAsia="Arial" w:hAnsi="Arial"/>
                <w:sz w:val="18"/>
                <w:szCs w:val="18"/>
                <w:color w:val="auto"/>
              </w:rPr>
              <w:t>Form of Underwriting Agreement</w:t>
            </w:r>
          </w:p>
        </w:tc>
      </w:tr>
      <w:tr>
        <w:trPr>
          <w:trHeight w:val="318"/>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3.1</w:t>
            </w:r>
          </w:p>
        </w:tc>
        <w:tc>
          <w:tcPr>
            <w:tcW w:w="9980" w:type="dxa"/>
            <w:vAlign w:val="bottom"/>
          </w:tcPr>
          <w:p>
            <w:pPr>
              <w:spacing w:after="0"/>
              <w:rPr>
                <w:sz w:val="20"/>
                <w:szCs w:val="20"/>
                <w:color w:val="auto"/>
              </w:rPr>
            </w:pPr>
            <w:r>
              <w:rPr>
                <w:rFonts w:ascii="Arial" w:cs="Arial" w:eastAsia="Arial" w:hAnsi="Arial"/>
                <w:sz w:val="18"/>
                <w:szCs w:val="18"/>
                <w:color w:val="auto"/>
                <w:w w:val="90"/>
              </w:rPr>
              <w:t>Restated Certificate of Incorporation of the Registrant (incorporated by reference to Exhibit 3(a) to the Registrant’s Annual Report on Form</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10-K for the year 1993)</w:t>
            </w:r>
          </w:p>
        </w:tc>
      </w:tr>
      <w:tr>
        <w:trPr>
          <w:trHeight w:val="318"/>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3.2</w:t>
            </w:r>
          </w:p>
        </w:tc>
        <w:tc>
          <w:tcPr>
            <w:tcW w:w="9980" w:type="dxa"/>
            <w:vAlign w:val="bottom"/>
          </w:tcPr>
          <w:p>
            <w:pPr>
              <w:spacing w:after="0"/>
              <w:rPr>
                <w:sz w:val="20"/>
                <w:szCs w:val="20"/>
                <w:color w:val="auto"/>
              </w:rPr>
            </w:pPr>
            <w:r>
              <w:rPr>
                <w:rFonts w:ascii="Arial" w:cs="Arial" w:eastAsia="Arial" w:hAnsi="Arial"/>
                <w:sz w:val="18"/>
                <w:szCs w:val="18"/>
                <w:color w:val="auto"/>
                <w:w w:val="96"/>
              </w:rPr>
              <w:t>Certificate of Amendment to Restated Certificate of Incorporation of the Registrant (incorporated by reference to Exhibit 3(b) to the</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Registrant’s Annual Report on Form 10-K for the year 1993)</w:t>
            </w:r>
          </w:p>
        </w:tc>
      </w:tr>
      <w:tr>
        <w:trPr>
          <w:trHeight w:val="318"/>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3.3</w:t>
            </w:r>
          </w:p>
        </w:tc>
        <w:tc>
          <w:tcPr>
            <w:tcW w:w="9980" w:type="dxa"/>
            <w:vAlign w:val="bottom"/>
          </w:tcPr>
          <w:p>
            <w:pPr>
              <w:spacing w:after="0"/>
              <w:rPr>
                <w:sz w:val="20"/>
                <w:szCs w:val="20"/>
                <w:color w:val="auto"/>
              </w:rPr>
            </w:pPr>
            <w:r>
              <w:rPr>
                <w:rFonts w:ascii="Arial" w:cs="Arial" w:eastAsia="Arial" w:hAnsi="Arial"/>
                <w:sz w:val="18"/>
                <w:szCs w:val="18"/>
                <w:color w:val="auto"/>
                <w:w w:val="96"/>
              </w:rPr>
              <w:t>Certificate of Amendment to Restated Certificate of Incorporation of the Registrant (incorporated by reference to Exhibit 3(c) to the</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Registrant’s Annual Report on Form 10-K for the year 1993)</w:t>
            </w:r>
          </w:p>
        </w:tc>
      </w:tr>
      <w:tr>
        <w:trPr>
          <w:trHeight w:val="318"/>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3.4</w:t>
            </w:r>
          </w:p>
        </w:tc>
        <w:tc>
          <w:tcPr>
            <w:tcW w:w="9980" w:type="dxa"/>
            <w:vAlign w:val="bottom"/>
          </w:tcPr>
          <w:p>
            <w:pPr>
              <w:spacing w:after="0"/>
              <w:rPr>
                <w:sz w:val="20"/>
                <w:szCs w:val="20"/>
                <w:color w:val="auto"/>
              </w:rPr>
            </w:pPr>
            <w:r>
              <w:rPr>
                <w:rFonts w:ascii="Arial" w:cs="Arial" w:eastAsia="Arial" w:hAnsi="Arial"/>
                <w:sz w:val="18"/>
                <w:szCs w:val="18"/>
                <w:color w:val="auto"/>
                <w:w w:val="89"/>
              </w:rPr>
              <w:t>Certificate of Amendment to Restated Certificate of Incorporation of the Registrant (incorporated by reference to Exhibit 3 to the Registrant’s</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Quarterly Report on Form 10-Q for the quarter ended June 30, 1996)</w:t>
            </w:r>
          </w:p>
        </w:tc>
      </w:tr>
      <w:tr>
        <w:trPr>
          <w:trHeight w:val="318"/>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3.5</w:t>
            </w:r>
          </w:p>
        </w:tc>
        <w:tc>
          <w:tcPr>
            <w:tcW w:w="9980" w:type="dxa"/>
            <w:vAlign w:val="bottom"/>
          </w:tcPr>
          <w:p>
            <w:pPr>
              <w:spacing w:after="0"/>
              <w:rPr>
                <w:sz w:val="20"/>
                <w:szCs w:val="20"/>
                <w:color w:val="auto"/>
              </w:rPr>
            </w:pPr>
            <w:r>
              <w:rPr>
                <w:rFonts w:ascii="Arial" w:cs="Arial" w:eastAsia="Arial" w:hAnsi="Arial"/>
                <w:sz w:val="18"/>
                <w:szCs w:val="18"/>
                <w:color w:val="auto"/>
                <w:w w:val="90"/>
              </w:rPr>
              <w:t>Certificate of Amendment to Restated Certificate of Incorporation (incorporated by reference to Exhibit 3(n) to the Registrant’s Registration</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Statement on Form S-4 No. 333-41030 filed on July 7, 2000)</w:t>
            </w:r>
          </w:p>
        </w:tc>
      </w:tr>
      <w:tr>
        <w:trPr>
          <w:trHeight w:val="324"/>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4.1</w:t>
            </w:r>
          </w:p>
        </w:tc>
        <w:tc>
          <w:tcPr>
            <w:tcW w:w="9980" w:type="dxa"/>
            <w:vAlign w:val="bottom"/>
          </w:tcPr>
          <w:p>
            <w:pPr>
              <w:spacing w:after="0"/>
              <w:rPr>
                <w:sz w:val="20"/>
                <w:szCs w:val="20"/>
                <w:color w:val="auto"/>
              </w:rPr>
            </w:pPr>
            <w:r>
              <w:rPr>
                <w:rFonts w:ascii="Arial" w:cs="Arial" w:eastAsia="Arial" w:hAnsi="Arial"/>
                <w:sz w:val="18"/>
                <w:szCs w:val="18"/>
                <w:color w:val="auto"/>
              </w:rPr>
              <w:t>Specimen Common Stock Certificate*</w:t>
            </w:r>
          </w:p>
        </w:tc>
      </w:tr>
      <w:tr>
        <w:trPr>
          <w:trHeight w:val="324"/>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4.2</w:t>
            </w:r>
          </w:p>
        </w:tc>
        <w:tc>
          <w:tcPr>
            <w:tcW w:w="9980" w:type="dxa"/>
            <w:vAlign w:val="bottom"/>
          </w:tcPr>
          <w:p>
            <w:pPr>
              <w:spacing w:after="0"/>
              <w:rPr>
                <w:sz w:val="20"/>
                <w:szCs w:val="20"/>
                <w:color w:val="auto"/>
              </w:rPr>
            </w:pPr>
            <w:r>
              <w:rPr>
                <w:rFonts w:ascii="Arial" w:cs="Arial" w:eastAsia="Arial" w:hAnsi="Arial"/>
                <w:sz w:val="18"/>
                <w:szCs w:val="18"/>
                <w:color w:val="auto"/>
              </w:rPr>
              <w:t>Specimen Preferred Stock Certificate*</w:t>
            </w:r>
          </w:p>
        </w:tc>
      </w:tr>
      <w:tr>
        <w:trPr>
          <w:trHeight w:val="318"/>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4.3</w:t>
            </w:r>
          </w:p>
        </w:tc>
        <w:tc>
          <w:tcPr>
            <w:tcW w:w="9980" w:type="dxa"/>
            <w:vAlign w:val="bottom"/>
          </w:tcPr>
          <w:p>
            <w:pPr>
              <w:spacing w:after="0"/>
              <w:rPr>
                <w:sz w:val="20"/>
                <w:szCs w:val="20"/>
                <w:color w:val="auto"/>
              </w:rPr>
            </w:pPr>
            <w:r>
              <w:rPr>
                <w:rFonts w:ascii="Arial" w:cs="Arial" w:eastAsia="Arial" w:hAnsi="Arial"/>
                <w:sz w:val="18"/>
                <w:szCs w:val="18"/>
                <w:color w:val="auto"/>
                <w:w w:val="90"/>
              </w:rPr>
              <w:t>Certificate of Designation relating to the Registrant’s Participating Cumulative Preferred Stock (incorporated by reference to Exhibit 4(a) to</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the Registrant’s Quarterly Report on Form 10-Q for the quarter ended September 30, 1998)</w:t>
            </w:r>
          </w:p>
        </w:tc>
      </w:tr>
      <w:tr>
        <w:trPr>
          <w:trHeight w:val="324"/>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4.4</w:t>
            </w:r>
          </w:p>
        </w:tc>
        <w:tc>
          <w:tcPr>
            <w:tcW w:w="9980" w:type="dxa"/>
            <w:vAlign w:val="bottom"/>
          </w:tcPr>
          <w:p>
            <w:pPr>
              <w:spacing w:after="0"/>
              <w:rPr>
                <w:sz w:val="20"/>
                <w:szCs w:val="20"/>
                <w:color w:val="auto"/>
              </w:rPr>
            </w:pPr>
            <w:r>
              <w:rPr>
                <w:rFonts w:ascii="Arial" w:cs="Arial" w:eastAsia="Arial" w:hAnsi="Arial"/>
                <w:sz w:val="18"/>
                <w:szCs w:val="18"/>
                <w:color w:val="auto"/>
              </w:rPr>
              <w:t>Form of Indenture between the Registrant and U.S. Bank National Association</w:t>
            </w:r>
          </w:p>
        </w:tc>
      </w:tr>
      <w:tr>
        <w:trPr>
          <w:trHeight w:val="324"/>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4.5</w:t>
            </w:r>
          </w:p>
        </w:tc>
        <w:tc>
          <w:tcPr>
            <w:tcW w:w="9980" w:type="dxa"/>
            <w:vAlign w:val="bottom"/>
          </w:tcPr>
          <w:p>
            <w:pPr>
              <w:spacing w:after="0"/>
              <w:rPr>
                <w:sz w:val="20"/>
                <w:szCs w:val="20"/>
                <w:color w:val="auto"/>
              </w:rPr>
            </w:pPr>
            <w:r>
              <w:rPr>
                <w:rFonts w:ascii="Arial" w:cs="Arial" w:eastAsia="Arial" w:hAnsi="Arial"/>
                <w:sz w:val="18"/>
                <w:szCs w:val="18"/>
                <w:color w:val="auto"/>
              </w:rPr>
              <w:t>Form of Note (included in Exhibit 4.4)</w:t>
            </w:r>
          </w:p>
        </w:tc>
      </w:tr>
      <w:tr>
        <w:trPr>
          <w:trHeight w:val="318"/>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4.6</w:t>
            </w:r>
          </w:p>
        </w:tc>
        <w:tc>
          <w:tcPr>
            <w:tcW w:w="9980" w:type="dxa"/>
            <w:vAlign w:val="bottom"/>
          </w:tcPr>
          <w:p>
            <w:pPr>
              <w:spacing w:after="0"/>
              <w:rPr>
                <w:sz w:val="20"/>
                <w:szCs w:val="20"/>
                <w:color w:val="auto"/>
              </w:rPr>
            </w:pPr>
            <w:r>
              <w:rPr>
                <w:rFonts w:ascii="Arial" w:cs="Arial" w:eastAsia="Arial" w:hAnsi="Arial"/>
                <w:sz w:val="18"/>
                <w:szCs w:val="18"/>
                <w:color w:val="auto"/>
                <w:w w:val="93"/>
              </w:rPr>
              <w:t>Form of Warrant Agreement (incorporated by reference to the Registrant’s Registration Statement on Form S-3 No. 333-03571 filed on</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December 17, 1999)</w:t>
            </w:r>
          </w:p>
        </w:tc>
      </w:tr>
      <w:tr>
        <w:trPr>
          <w:trHeight w:val="324"/>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4.7</w:t>
            </w:r>
          </w:p>
        </w:tc>
        <w:tc>
          <w:tcPr>
            <w:tcW w:w="9980" w:type="dxa"/>
            <w:vAlign w:val="bottom"/>
          </w:tcPr>
          <w:p>
            <w:pPr>
              <w:spacing w:after="0"/>
              <w:rPr>
                <w:sz w:val="20"/>
                <w:szCs w:val="20"/>
                <w:color w:val="auto"/>
              </w:rPr>
            </w:pPr>
            <w:r>
              <w:rPr>
                <w:rFonts w:ascii="Arial" w:cs="Arial" w:eastAsia="Arial" w:hAnsi="Arial"/>
                <w:sz w:val="18"/>
                <w:szCs w:val="18"/>
                <w:color w:val="auto"/>
              </w:rPr>
              <w:t>Form of Unit Agreement *</w:t>
            </w:r>
          </w:p>
        </w:tc>
      </w:tr>
      <w:tr>
        <w:trPr>
          <w:trHeight w:val="324"/>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5.1</w:t>
            </w:r>
          </w:p>
        </w:tc>
        <w:tc>
          <w:tcPr>
            <w:tcW w:w="9980" w:type="dxa"/>
            <w:vAlign w:val="bottom"/>
          </w:tcPr>
          <w:p>
            <w:pPr>
              <w:spacing w:after="0"/>
              <w:rPr>
                <w:sz w:val="20"/>
                <w:szCs w:val="20"/>
                <w:color w:val="auto"/>
              </w:rPr>
            </w:pPr>
            <w:r>
              <w:rPr>
                <w:rFonts w:ascii="Arial" w:cs="Arial" w:eastAsia="Arial" w:hAnsi="Arial"/>
                <w:sz w:val="18"/>
                <w:szCs w:val="18"/>
                <w:color w:val="auto"/>
              </w:rPr>
              <w:t>Opinion of Davis Polk &amp; Wardwell</w:t>
            </w:r>
          </w:p>
        </w:tc>
      </w:tr>
      <w:tr>
        <w:trPr>
          <w:trHeight w:val="324"/>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12.1</w:t>
            </w:r>
          </w:p>
        </w:tc>
        <w:tc>
          <w:tcPr>
            <w:tcW w:w="9980" w:type="dxa"/>
            <w:vAlign w:val="bottom"/>
          </w:tcPr>
          <w:p>
            <w:pPr>
              <w:spacing w:after="0"/>
              <w:rPr>
                <w:sz w:val="20"/>
                <w:szCs w:val="20"/>
                <w:color w:val="auto"/>
              </w:rPr>
            </w:pPr>
            <w:r>
              <w:rPr>
                <w:rFonts w:ascii="Arial" w:cs="Arial" w:eastAsia="Arial" w:hAnsi="Arial"/>
                <w:sz w:val="18"/>
                <w:szCs w:val="18"/>
                <w:color w:val="auto"/>
              </w:rPr>
              <w:t>Statement regarding computation of Consolidated Ratio of Earnings to Fixed Charges</w:t>
            </w:r>
          </w:p>
        </w:tc>
      </w:tr>
      <w:tr>
        <w:trPr>
          <w:trHeight w:val="324"/>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23.1</w:t>
            </w:r>
          </w:p>
        </w:tc>
        <w:tc>
          <w:tcPr>
            <w:tcW w:w="9980" w:type="dxa"/>
            <w:vAlign w:val="bottom"/>
          </w:tcPr>
          <w:p>
            <w:pPr>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23.2</w:t>
            </w:r>
          </w:p>
        </w:tc>
        <w:tc>
          <w:tcPr>
            <w:tcW w:w="9980" w:type="dxa"/>
            <w:vAlign w:val="bottom"/>
          </w:tcPr>
          <w:p>
            <w:pPr>
              <w:spacing w:after="0"/>
              <w:rPr>
                <w:sz w:val="20"/>
                <w:szCs w:val="20"/>
                <w:color w:val="auto"/>
              </w:rPr>
            </w:pPr>
            <w:r>
              <w:rPr>
                <w:rFonts w:ascii="Arial" w:cs="Arial" w:eastAsia="Arial" w:hAnsi="Arial"/>
                <w:sz w:val="18"/>
                <w:szCs w:val="18"/>
                <w:color w:val="auto"/>
              </w:rPr>
              <w:t>Consent of Davis Polk &amp; Wardwell (included in Exhibit 5.1)</w:t>
            </w:r>
          </w:p>
        </w:tc>
      </w:tr>
      <w:tr>
        <w:trPr>
          <w:trHeight w:val="324"/>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24.1</w:t>
            </w:r>
          </w:p>
        </w:tc>
        <w:tc>
          <w:tcPr>
            <w:tcW w:w="9980" w:type="dxa"/>
            <w:vAlign w:val="bottom"/>
          </w:tcPr>
          <w:p>
            <w:pPr>
              <w:spacing w:after="0"/>
              <w:rPr>
                <w:sz w:val="20"/>
                <w:szCs w:val="20"/>
                <w:color w:val="auto"/>
              </w:rPr>
            </w:pPr>
            <w:r>
              <w:rPr>
                <w:rFonts w:ascii="Arial" w:cs="Arial" w:eastAsia="Arial" w:hAnsi="Arial"/>
                <w:sz w:val="18"/>
                <w:szCs w:val="18"/>
                <w:color w:val="auto"/>
              </w:rPr>
              <w:t>Power of Attorney (included on the signature page of the Registration Statement)</w:t>
            </w:r>
          </w:p>
        </w:tc>
      </w:tr>
      <w:tr>
        <w:trPr>
          <w:trHeight w:val="324"/>
        </w:trPr>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25.1</w:t>
            </w:r>
          </w:p>
        </w:tc>
        <w:tc>
          <w:tcPr>
            <w:tcW w:w="9980" w:type="dxa"/>
            <w:vAlign w:val="bottom"/>
          </w:tcPr>
          <w:p>
            <w:pPr>
              <w:spacing w:after="0"/>
              <w:rPr>
                <w:sz w:val="20"/>
                <w:szCs w:val="20"/>
                <w:color w:val="auto"/>
              </w:rPr>
            </w:pPr>
            <w:r>
              <w:rPr>
                <w:rFonts w:ascii="Arial" w:cs="Arial" w:eastAsia="Arial" w:hAnsi="Arial"/>
                <w:sz w:val="18"/>
                <w:szCs w:val="18"/>
                <w:color w:val="auto"/>
              </w:rPr>
              <w:t>Statement of Eligibility on Form T-1 of U.S. Bank National Association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6000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459"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177" w:lineRule="exact"/>
        <w:rPr>
          <w:sz w:val="20"/>
          <w:szCs w:val="20"/>
          <w:color w:val="auto"/>
        </w:rPr>
      </w:pPr>
    </w:p>
    <w:p>
      <w:pPr>
        <w:ind w:left="10980"/>
        <w:spacing w:after="0"/>
        <w:rPr>
          <w:sz w:val="20"/>
          <w:szCs w:val="20"/>
          <w:color w:val="auto"/>
        </w:rPr>
      </w:pPr>
      <w:r>
        <w:rPr>
          <w:rFonts w:ascii="Arial" w:cs="Arial" w:eastAsia="Arial" w:hAnsi="Arial"/>
          <w:sz w:val="15"/>
          <w:szCs w:val="15"/>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6415405</wp:posOffset>
            </wp:positionH>
            <wp:positionV relativeFrom="paragraph">
              <wp:posOffset>6985</wp:posOffset>
            </wp:positionV>
            <wp:extent cx="5575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75266-0199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(the “</w:t>
      </w:r>
      <w:r>
        <w:rPr>
          <w:rFonts w:ascii="Arial" w:cs="Arial" w:eastAsia="Arial" w:hAnsi="Arial"/>
          <w:sz w:val="16"/>
          <w:szCs w:val="16"/>
          <w:b w:val="1"/>
          <w:bCs w:val="1"/>
          <w:color w:val="auto"/>
        </w:rPr>
        <w:t>Underwriters</w:t>
      </w:r>
      <w:r>
        <w:rPr>
          <w:rFonts w:ascii="Arial" w:cs="Arial" w:eastAsia="Arial" w:hAnsi="Arial"/>
          <w:sz w:val="16"/>
          <w:szCs w:val="16"/>
          <w:color w:val="auto"/>
        </w:rPr>
        <w:t>”) understand that Texas Instruments Incorporated,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indicate number/principal amount of each type of security to be sold</w:t>
      </w:r>
      <w:r>
        <w:rPr>
          <w:rFonts w:ascii="Arial" w:cs="Arial" w:eastAsia="Arial" w:hAnsi="Arial"/>
          <w:sz w:val="16"/>
          <w:szCs w:val="16"/>
          <w:color w:val="auto"/>
        </w:rPr>
        <w:t>] (the “</w:t>
      </w:r>
      <w:r>
        <w:rPr>
          <w:rFonts w:ascii="Arial" w:cs="Arial" w:eastAsia="Arial" w:hAnsi="Arial"/>
          <w:sz w:val="16"/>
          <w:szCs w:val="16"/>
          <w:b w:val="1"/>
          <w:bCs w:val="1"/>
          <w:color w:val="auto"/>
        </w:rPr>
        <w:t>Offered Securities</w:t>
      </w:r>
      <w:r>
        <w:rPr>
          <w:rFonts w:ascii="Arial" w:cs="Arial" w:eastAsia="Arial" w:hAnsi="Arial"/>
          <w:sz w:val="16"/>
          <w:szCs w:val="16"/>
          <w:color w:val="auto"/>
        </w:rPr>
        <w:t>”) identified in Schedule I hereto, as more fully described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Time of Sale Prospectus.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Include the following paragraphs if issuing Debt Securities, Warrants or Units, as applicable: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Offered Securities will be issued pursuant to an Indenture dated as of [•] between the Company and U.S. Bank National Association, as trustee.]</w:t>
      </w:r>
    </w:p>
    <w:p>
      <w:pPr>
        <w:spacing w:after="0" w:line="107" w:lineRule="exact"/>
        <w:rPr>
          <w:sz w:val="20"/>
          <w:szCs w:val="20"/>
          <w:color w:val="auto"/>
        </w:rPr>
      </w:pPr>
    </w:p>
    <w:p>
      <w:pPr>
        <w:ind w:left="460" w:right="420"/>
        <w:spacing w:after="0" w:line="275" w:lineRule="auto"/>
        <w:rPr>
          <w:sz w:val="20"/>
          <w:szCs w:val="20"/>
          <w:color w:val="auto"/>
        </w:rPr>
      </w:pPr>
      <w:r>
        <w:rPr>
          <w:rFonts w:ascii="Arial" w:cs="Arial" w:eastAsia="Arial" w:hAnsi="Arial"/>
          <w:sz w:val="18"/>
          <w:szCs w:val="18"/>
          <w:color w:val="auto"/>
        </w:rPr>
        <w:t>[The Offered Securities will be issued pursuant to a Warrant Agreement (the “</w:t>
      </w:r>
      <w:r>
        <w:rPr>
          <w:rFonts w:ascii="Arial" w:cs="Arial" w:eastAsia="Arial" w:hAnsi="Arial"/>
          <w:sz w:val="18"/>
          <w:szCs w:val="18"/>
          <w:b w:val="1"/>
          <w:bCs w:val="1"/>
          <w:color w:val="auto"/>
        </w:rPr>
        <w:t>Warrant Agreement</w:t>
      </w:r>
      <w:r>
        <w:rPr>
          <w:rFonts w:ascii="Arial" w:cs="Arial" w:eastAsia="Arial" w:hAnsi="Arial"/>
          <w:sz w:val="18"/>
          <w:szCs w:val="18"/>
          <w:color w:val="auto"/>
        </w:rPr>
        <w:t>”) dated as of [•] between the Company and [•], as Warrant Agent.]</w:t>
      </w:r>
    </w:p>
    <w:p>
      <w:pPr>
        <w:spacing w:after="0" w:line="39" w:lineRule="exact"/>
        <w:rPr>
          <w:sz w:val="20"/>
          <w:szCs w:val="20"/>
          <w:color w:val="auto"/>
        </w:rPr>
      </w:pPr>
    </w:p>
    <w:p>
      <w:pPr>
        <w:ind w:left="460" w:right="200"/>
        <w:spacing w:after="0" w:line="301" w:lineRule="auto"/>
        <w:rPr>
          <w:sz w:val="20"/>
          <w:szCs w:val="20"/>
          <w:color w:val="auto"/>
        </w:rPr>
      </w:pPr>
      <w:r>
        <w:rPr>
          <w:rFonts w:ascii="Arial" w:cs="Arial" w:eastAsia="Arial" w:hAnsi="Arial"/>
          <w:sz w:val="16"/>
          <w:szCs w:val="16"/>
          <w:color w:val="auto"/>
        </w:rPr>
        <w:t>[The Offered Securities will be issued pursuant to a Unit Agreement (the “</w:t>
      </w:r>
      <w:r>
        <w:rPr>
          <w:rFonts w:ascii="Arial" w:cs="Arial" w:eastAsia="Arial" w:hAnsi="Arial"/>
          <w:sz w:val="16"/>
          <w:szCs w:val="16"/>
          <w:b w:val="1"/>
          <w:bCs w:val="1"/>
          <w:color w:val="auto"/>
        </w:rPr>
        <w:t>Unit Agreement</w:t>
      </w:r>
      <w:r>
        <w:rPr>
          <w:rFonts w:ascii="Arial" w:cs="Arial" w:eastAsia="Arial" w:hAnsi="Arial"/>
          <w:sz w:val="16"/>
          <w:szCs w:val="16"/>
          <w:color w:val="auto"/>
        </w:rPr>
        <w:t>”) dated as of [•] among the Company, [•], as Unit Agent, and the holders from time to time of the Units. [The Debt Securities included in the Offered Securities will be issued pursuant to an Indenture dated as of [•] between the Company and U.S. Bank National Association, as trustee.] [The Warrants included in the Offered Securities will be issued pursuant to a Warrant Agreement (the “</w:t>
      </w:r>
      <w:r>
        <w:rPr>
          <w:rFonts w:ascii="Arial" w:cs="Arial" w:eastAsia="Arial" w:hAnsi="Arial"/>
          <w:sz w:val="16"/>
          <w:szCs w:val="16"/>
          <w:b w:val="1"/>
          <w:bCs w:val="1"/>
          <w:color w:val="auto"/>
        </w:rPr>
        <w:t>Warrant Agreement</w:t>
      </w:r>
      <w:r>
        <w:rPr>
          <w:rFonts w:ascii="Arial" w:cs="Arial" w:eastAsia="Arial" w:hAnsi="Arial"/>
          <w:sz w:val="16"/>
          <w:szCs w:val="16"/>
          <w:color w:val="auto"/>
        </w:rPr>
        <w:t>”) dated as of [•] between the Company and [•], as Warrant Agent.]]</w:t>
      </w:r>
    </w:p>
    <w:p>
      <w:pPr>
        <w:spacing w:after="0" w:line="109"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Subject to the terms and conditions set forth herein or incorporated by reference herein, the Company agrees to sell and the Underwriters agree to purchase, severally and not jointly, at the [respective] purchase price[s] set forth in Schedule I hereto, the [number/principal amount] of the Offered Securities set forth opposite their respective names in Schedule II hereto. For purposes of this Agreement, “</w:t>
      </w:r>
      <w:r>
        <w:rPr>
          <w:rFonts w:ascii="Arial" w:cs="Arial" w:eastAsia="Arial" w:hAnsi="Arial"/>
          <w:sz w:val="15"/>
          <w:szCs w:val="15"/>
          <w:b w:val="1"/>
          <w:bCs w:val="1"/>
          <w:color w:val="auto"/>
        </w:rPr>
        <w:t>Applicable Time</w:t>
      </w:r>
      <w:r>
        <w:rPr>
          <w:rFonts w:ascii="Arial" w:cs="Arial" w:eastAsia="Arial" w:hAnsi="Arial"/>
          <w:sz w:val="15"/>
          <w:szCs w:val="15"/>
          <w:color w:val="auto"/>
        </w:rPr>
        <w:t>” means [•] [p.m.] (New York time) on the date hereof.</w:t>
      </w:r>
    </w:p>
    <w:p>
      <w:pPr>
        <w:sectPr>
          <w:pgSz w:w="11900" w:h="16838" w:orient="portrait"/>
          <w:cols w:equalWidth="0" w:num="1">
            <w:col w:w="11420"/>
          </w:cols>
          <w:pgMar w:left="240" w:top="125" w:right="239" w:bottom="1440" w:gutter="0" w:footer="0" w:header="0"/>
        </w:sectPr>
      </w:pPr>
    </w:p>
    <w:bookmarkStart w:id="34" w:name="page35"/>
    <w:bookmarkEnd w:id="34"/>
    <w:p>
      <w:pPr>
        <w:ind w:right="2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of the purchase price for the Offered Securities shall be made to the Company by Federal funds wire transfer against delivery of the Offered Securities in book-entry form to the Manager through the facilities of The Depository Trust Company for the respective accounts of the Underwriters. Such payment and delivery and all documents with respect to the purchase of the Offered Securities shall be delivered by the parties at the offices of counsel for the Underwriters, [•] at 10:00 A.M. (New York time) on [•] or at such other time, not later than [•] as shall be designated by the Manager.</w:t>
      </w:r>
    </w:p>
    <w:p>
      <w:pPr>
        <w:spacing w:after="0" w:line="11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All the provisions contained in the document entitled Texas Instruments Incorporated Underwriting Agreement Standard Provisions dated March 2, 2007 (the “</w:t>
      </w:r>
      <w:r>
        <w:rPr>
          <w:rFonts w:ascii="Arial" w:cs="Arial" w:eastAsia="Arial" w:hAnsi="Arial"/>
          <w:sz w:val="16"/>
          <w:szCs w:val="16"/>
          <w:b w:val="1"/>
          <w:bCs w:val="1"/>
          <w:color w:val="auto"/>
        </w:rPr>
        <w:t>Standard Provisions</w:t>
      </w:r>
      <w:r>
        <w:rPr>
          <w:rFonts w:ascii="Arial" w:cs="Arial" w:eastAsia="Arial" w:hAnsi="Arial"/>
          <w:sz w:val="16"/>
          <w:szCs w:val="16"/>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 is not an Offered Security and the related representations, warranties, opinions given or to be given in respect thereof and the related covenants, conditions and other obligations relating thereto shall not be deemed to be a part of this Agreement, (iii) all references in the Standard Provisions to a type of agreement that has not been entered into in connection with the transactions contemplated hereby shall not be deemed to be a part of this Agreement and (iv) the term “</w:t>
      </w:r>
      <w:r>
        <w:rPr>
          <w:rFonts w:ascii="Arial" w:cs="Arial" w:eastAsia="Arial" w:hAnsi="Arial"/>
          <w:sz w:val="16"/>
          <w:szCs w:val="16"/>
          <w:b w:val="1"/>
          <w:bCs w:val="1"/>
          <w:color w:val="auto"/>
        </w:rPr>
        <w:t>Manager</w:t>
      </w:r>
      <w:r>
        <w:rPr>
          <w:rFonts w:ascii="Arial" w:cs="Arial" w:eastAsia="Arial" w:hAnsi="Arial"/>
          <w:sz w:val="16"/>
          <w:szCs w:val="16"/>
          <w:color w:val="auto"/>
        </w:rPr>
        <w:t>,” as used therein, shall, for</w:t>
      </w:r>
    </w:p>
    <w:tbl>
      <w:tblPr>
        <w:tblLayout w:type="fixed"/>
        <w:tblInd w:w="0" w:type="dxa"/>
        <w:tblCellMar>
          <w:top w:w="0" w:type="dxa"/>
          <w:left w:w="0" w:type="dxa"/>
          <w:bottom w:w="0" w:type="dxa"/>
          <w:right w:w="0" w:type="dxa"/>
        </w:tblCellMar>
      </w:tblPr>
      <w:tr>
        <w:trPr>
          <w:trHeight w:val="178"/>
        </w:trPr>
        <w:tc>
          <w:tcPr>
            <w:tcW w:w="2460" w:type="dxa"/>
            <w:vAlign w:val="bottom"/>
          </w:tcPr>
          <w:p>
            <w:pPr>
              <w:spacing w:after="0" w:line="178" w:lineRule="exact"/>
              <w:rPr>
                <w:sz w:val="20"/>
                <w:szCs w:val="20"/>
                <w:color w:val="auto"/>
              </w:rPr>
            </w:pPr>
            <w:r>
              <w:rPr>
                <w:rFonts w:ascii="Arial" w:cs="Arial" w:eastAsia="Arial" w:hAnsi="Arial"/>
                <w:sz w:val="18"/>
                <w:szCs w:val="18"/>
                <w:color w:val="auto"/>
                <w:w w:val="88"/>
              </w:rPr>
              <w:t>purposes of this Agreement, mean</w:t>
            </w:r>
          </w:p>
        </w:tc>
        <w:tc>
          <w:tcPr>
            <w:tcW w:w="1220" w:type="dxa"/>
            <w:vAlign w:val="bottom"/>
            <w:gridSpan w:val="2"/>
          </w:tcPr>
          <w:p>
            <w:pPr>
              <w:ind w:left="880"/>
              <w:spacing w:after="0" w:line="178" w:lineRule="exact"/>
              <w:rPr>
                <w:sz w:val="20"/>
                <w:szCs w:val="20"/>
                <w:color w:val="auto"/>
              </w:rPr>
            </w:pPr>
            <w:r>
              <w:rPr>
                <w:rFonts w:ascii="Arial" w:cs="Arial" w:eastAsia="Arial" w:hAnsi="Arial"/>
                <w:sz w:val="18"/>
                <w:szCs w:val="18"/>
                <w:color w:val="auto"/>
                <w:w w:val="91"/>
              </w:rPr>
              <w:t>[and</w:t>
            </w:r>
          </w:p>
        </w:tc>
        <w:tc>
          <w:tcPr>
            <w:tcW w:w="6520" w:type="dxa"/>
            <w:vAlign w:val="bottom"/>
            <w:gridSpan w:val="3"/>
          </w:tcPr>
          <w:p>
            <w:pPr>
              <w:ind w:left="880"/>
              <w:spacing w:after="0" w:line="178" w:lineRule="exact"/>
              <w:rPr>
                <w:sz w:val="20"/>
                <w:szCs w:val="20"/>
                <w:color w:val="auto"/>
              </w:rPr>
            </w:pPr>
            <w:r>
              <w:rPr>
                <w:rFonts w:ascii="Arial" w:cs="Arial" w:eastAsia="Arial" w:hAnsi="Arial"/>
                <w:sz w:val="18"/>
                <w:szCs w:val="18"/>
                <w:color w:val="auto"/>
              </w:rPr>
              <w:t>, whose authority hereunder may be exercised by them jointly or by</w:t>
            </w:r>
          </w:p>
        </w:tc>
        <w:tc>
          <w:tcPr>
            <w:tcW w:w="480" w:type="dxa"/>
            <w:vAlign w:val="bottom"/>
          </w:tcPr>
          <w:p>
            <w:pPr>
              <w:spacing w:after="0" w:line="178" w:lineRule="exact"/>
              <w:rPr>
                <w:sz w:val="20"/>
                <w:szCs w:val="20"/>
                <w:color w:val="auto"/>
              </w:rPr>
            </w:pPr>
            <w:r>
              <w:rPr>
                <w:rFonts w:ascii="Arial" w:cs="Arial" w:eastAsia="Arial" w:hAnsi="Arial"/>
                <w:sz w:val="18"/>
                <w:szCs w:val="18"/>
                <w:color w:val="auto"/>
                <w:w w:val="85"/>
              </w:rPr>
              <w:t>alone].</w:t>
            </w:r>
          </w:p>
        </w:tc>
      </w:tr>
      <w:tr>
        <w:trPr>
          <w:trHeight w:val="383"/>
        </w:trPr>
        <w:tc>
          <w:tcPr>
            <w:tcW w:w="24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760" w:type="dxa"/>
            <w:vAlign w:val="bottom"/>
          </w:tcPr>
          <w:p>
            <w:pPr>
              <w:jc w:val="right"/>
              <w:ind w:right="3472"/>
              <w:spacing w:after="0"/>
              <w:rPr>
                <w:sz w:val="20"/>
                <w:szCs w:val="20"/>
                <w:color w:val="auto"/>
              </w:rPr>
            </w:pPr>
            <w:r>
              <w:rPr>
                <w:rFonts w:ascii="Arial" w:cs="Arial" w:eastAsia="Arial" w:hAnsi="Arial"/>
                <w:sz w:val="18"/>
                <w:szCs w:val="18"/>
                <w:color w:val="auto"/>
              </w:rPr>
              <w:t>2</w:t>
            </w:r>
          </w:p>
        </w:tc>
        <w:tc>
          <w:tcPr>
            <w:tcW w:w="8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00"/>
          </w:cols>
          <w:pgMar w:left="240" w:top="280" w:right="259" w:bottom="1440" w:gutter="0" w:footer="0" w:header="0"/>
        </w:sectPr>
      </w:pPr>
    </w:p>
    <w:bookmarkStart w:id="35" w:name="page36"/>
    <w:bookmarkEnd w:id="35"/>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On behalf of themselves and the other Underwriters named</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herein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27940</wp:posOffset>
            </wp:positionV>
            <wp:extent cx="27101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written above: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27940</wp:posOffset>
            </wp:positionV>
            <wp:extent cx="27101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80" w:right="359" w:bottom="1440" w:gutter="0" w:footer="0" w:header="0"/>
        </w:sectPr>
      </w:pPr>
    </w:p>
    <w:bookmarkStart w:id="36" w:name="page37"/>
    <w:bookmarkEnd w:id="36"/>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TO UNDERWRITING AGREEMENT</w:t>
      </w:r>
    </w:p>
    <w:p>
      <w:pPr>
        <w:spacing w:after="0" w:line="3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Number of Firm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Number of Additional Securities: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37" w:name="page38"/>
    <w:bookmarkEnd w:id="37"/>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TO UNDERWRITING AGREEMENT</w:t>
      </w:r>
    </w:p>
    <w:p>
      <w:pPr>
        <w:spacing w:after="0" w:line="3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Number of Firm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Number of Additional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Redemption Provisions: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Conversion Provisions: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Provisions: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Terms: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274" w:right="1440" w:bottom="1440" w:gutter="0" w:footer="0" w:header="0"/>
        </w:sectPr>
      </w:pPr>
    </w:p>
    <w:bookmarkStart w:id="38" w:name="page39"/>
    <w:bookmarkEnd w:id="38"/>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2"/>
          </w:tcPr>
          <w:p>
            <w:pPr>
              <w:ind w:left="4260"/>
              <w:spacing w:after="0"/>
              <w:rPr>
                <w:sz w:val="20"/>
                <w:szCs w:val="20"/>
                <w:color w:val="auto"/>
              </w:rPr>
            </w:pPr>
            <w:r>
              <w:rPr>
                <w:rFonts w:ascii="Arial" w:cs="Arial" w:eastAsia="Arial" w:hAnsi="Arial"/>
                <w:sz w:val="18"/>
                <w:szCs w:val="18"/>
                <w:b w:val="1"/>
                <w:bCs w:val="1"/>
                <w:color w:val="auto"/>
                <w:w w:val="99"/>
              </w:rPr>
              <w:t>TO UNDERWRITING AGREEMENT</w:t>
            </w:r>
          </w:p>
        </w:tc>
      </w:tr>
      <w:tr>
        <w:trPr>
          <w:trHeight w:val="228"/>
        </w:trPr>
        <w:tc>
          <w:tcPr>
            <w:tcW w:w="7180" w:type="dxa"/>
            <w:vAlign w:val="bottom"/>
            <w:gridSpan w:val="2"/>
          </w:tcPr>
          <w:p>
            <w:pPr>
              <w:ind w:left="4860"/>
              <w:spacing w:after="0"/>
              <w:rPr>
                <w:sz w:val="20"/>
                <w:szCs w:val="20"/>
                <w:color w:val="auto"/>
              </w:rPr>
            </w:pPr>
            <w:r>
              <w:rPr>
                <w:rFonts w:ascii="Arial" w:cs="Arial" w:eastAsia="Arial" w:hAnsi="Arial"/>
                <w:sz w:val="18"/>
                <w:szCs w:val="18"/>
                <w:b w:val="1"/>
                <w:bCs w:val="1"/>
                <w:color w:val="auto"/>
              </w:rPr>
              <w:t>(DEBT SECURITIES)</w:t>
            </w:r>
          </w:p>
        </w:tc>
      </w:tr>
      <w:tr>
        <w:trPr>
          <w:trHeight w:val="378"/>
        </w:trPr>
        <w:tc>
          <w:tcPr>
            <w:tcW w:w="5780" w:type="dxa"/>
            <w:vAlign w:val="bottom"/>
          </w:tcPr>
          <w:p>
            <w:pPr>
              <w:spacing w:after="0"/>
              <w:rPr>
                <w:sz w:val="20"/>
                <w:szCs w:val="20"/>
                <w:color w:val="auto"/>
              </w:rPr>
            </w:pPr>
            <w:r>
              <w:rPr>
                <w:rFonts w:ascii="Arial" w:cs="Arial" w:eastAsia="Arial" w:hAnsi="Arial"/>
                <w:sz w:val="18"/>
                <w:szCs w:val="18"/>
                <w:color w:val="auto"/>
              </w:rPr>
              <w:t>Title:</w:t>
            </w:r>
          </w:p>
        </w:tc>
        <w:tc>
          <w:tcPr>
            <w:tcW w:w="1400" w:type="dxa"/>
            <w:vAlign w:val="bottom"/>
          </w:tcPr>
          <w:p>
            <w:pPr>
              <w:spacing w:after="0"/>
              <w:rPr>
                <w:sz w:val="24"/>
                <w:szCs w:val="24"/>
                <w:color w:val="auto"/>
              </w:rPr>
            </w:pPr>
          </w:p>
        </w:tc>
      </w:tr>
      <w:tr>
        <w:trPr>
          <w:trHeight w:val="378"/>
        </w:trPr>
        <w:tc>
          <w:tcPr>
            <w:tcW w:w="5780" w:type="dxa"/>
            <w:vAlign w:val="bottom"/>
          </w:tcPr>
          <w:p>
            <w:pPr>
              <w:spacing w:after="0"/>
              <w:rPr>
                <w:sz w:val="20"/>
                <w:szCs w:val="20"/>
                <w:color w:val="auto"/>
              </w:rPr>
            </w:pPr>
            <w:r>
              <w:rPr>
                <w:rFonts w:ascii="Arial" w:cs="Arial" w:eastAsia="Arial" w:hAnsi="Arial"/>
                <w:sz w:val="18"/>
                <w:szCs w:val="18"/>
                <w:color w:val="auto"/>
              </w:rPr>
              <w:t>Principal Amount: $</w:t>
            </w:r>
          </w:p>
        </w:tc>
        <w:tc>
          <w:tcPr>
            <w:tcW w:w="1400" w:type="dxa"/>
            <w:vAlign w:val="bottom"/>
          </w:tcPr>
          <w:p>
            <w:pPr>
              <w:spacing w:after="0"/>
              <w:rPr>
                <w:sz w:val="24"/>
                <w:szCs w:val="24"/>
                <w:color w:val="auto"/>
              </w:rPr>
            </w:pPr>
          </w:p>
        </w:tc>
      </w:tr>
      <w:tr>
        <w:trPr>
          <w:trHeight w:val="378"/>
        </w:trPr>
        <w:tc>
          <w:tcPr>
            <w:tcW w:w="5780" w:type="dxa"/>
            <w:vAlign w:val="bottom"/>
          </w:tcPr>
          <w:p>
            <w:pPr>
              <w:spacing w:after="0"/>
              <w:rPr>
                <w:sz w:val="20"/>
                <w:szCs w:val="20"/>
                <w:color w:val="auto"/>
              </w:rPr>
            </w:pPr>
            <w:r>
              <w:rPr>
                <w:rFonts w:ascii="Arial" w:cs="Arial" w:eastAsia="Arial" w:hAnsi="Arial"/>
                <w:sz w:val="18"/>
                <w:szCs w:val="18"/>
                <w:color w:val="auto"/>
              </w:rPr>
              <w:t>Principal Amount Subject to Overallotment Option: $</w:t>
            </w:r>
          </w:p>
        </w:tc>
        <w:tc>
          <w:tcPr>
            <w:tcW w:w="1400" w:type="dxa"/>
            <w:vAlign w:val="bottom"/>
          </w:tcPr>
          <w:p>
            <w:pPr>
              <w:spacing w:after="0"/>
              <w:rPr>
                <w:sz w:val="24"/>
                <w:szCs w:val="24"/>
                <w:color w:val="auto"/>
              </w:rPr>
            </w:pPr>
          </w:p>
        </w:tc>
      </w:tr>
      <w:tr>
        <w:trPr>
          <w:trHeight w:val="378"/>
        </w:trPr>
        <w:tc>
          <w:tcPr>
            <w:tcW w:w="5780" w:type="dxa"/>
            <w:vAlign w:val="bottom"/>
          </w:tcPr>
          <w:p>
            <w:pPr>
              <w:spacing w:after="0"/>
              <w:rPr>
                <w:sz w:val="20"/>
                <w:szCs w:val="20"/>
                <w:color w:val="auto"/>
              </w:rPr>
            </w:pPr>
            <w:r>
              <w:rPr>
                <w:rFonts w:ascii="Arial" w:cs="Arial" w:eastAsia="Arial" w:hAnsi="Arial"/>
                <w:sz w:val="18"/>
                <w:szCs w:val="18"/>
                <w:color w:val="auto"/>
                <w:w w:val="91"/>
              </w:rPr>
              <w:t>Purchase Price: $[  ] per [$1,000] principal amount (plus accrued interest from [</w:t>
            </w:r>
          </w:p>
        </w:tc>
        <w:tc>
          <w:tcPr>
            <w:tcW w:w="1400" w:type="dxa"/>
            <w:vAlign w:val="bottom"/>
          </w:tcPr>
          <w:p>
            <w:pPr>
              <w:jc w:val="right"/>
              <w:ind w:right="1092"/>
              <w:spacing w:after="0"/>
              <w:rPr>
                <w:sz w:val="20"/>
                <w:szCs w:val="20"/>
                <w:color w:val="auto"/>
              </w:rPr>
            </w:pPr>
            <w:r>
              <w:rPr>
                <w:rFonts w:ascii="Arial" w:cs="Arial" w:eastAsia="Arial" w:hAnsi="Arial"/>
                <w:sz w:val="18"/>
                <w:szCs w:val="18"/>
                <w:color w:val="auto"/>
              </w:rPr>
              <w:t>])</w:t>
            </w:r>
          </w:p>
        </w:tc>
      </w:tr>
      <w:tr>
        <w:trPr>
          <w:trHeight w:val="378"/>
        </w:trPr>
        <w:tc>
          <w:tcPr>
            <w:tcW w:w="7180" w:type="dxa"/>
            <w:vAlign w:val="bottom"/>
            <w:gridSpan w:val="2"/>
          </w:tcPr>
          <w:p>
            <w:pPr>
              <w:spacing w:after="0"/>
              <w:rPr>
                <w:sz w:val="20"/>
                <w:szCs w:val="20"/>
                <w:color w:val="auto"/>
              </w:rPr>
            </w:pPr>
            <w:r>
              <w:rPr>
                <w:rFonts w:ascii="Arial" w:cs="Arial" w:eastAsia="Arial" w:hAnsi="Arial"/>
                <w:sz w:val="18"/>
                <w:szCs w:val="18"/>
                <w:color w:val="auto"/>
              </w:rPr>
              <w:t>Price to the Public: $[  ] per [$1,000] principal amount (plus accrued interest from [  ])</w:t>
            </w:r>
          </w:p>
        </w:tc>
      </w:tr>
      <w:tr>
        <w:trPr>
          <w:trHeight w:val="378"/>
        </w:trPr>
        <w:tc>
          <w:tcPr>
            <w:tcW w:w="5780" w:type="dxa"/>
            <w:vAlign w:val="bottom"/>
          </w:tcPr>
          <w:p>
            <w:pPr>
              <w:spacing w:after="0"/>
              <w:rPr>
                <w:sz w:val="20"/>
                <w:szCs w:val="20"/>
                <w:color w:val="auto"/>
              </w:rPr>
            </w:pPr>
            <w:r>
              <w:rPr>
                <w:rFonts w:ascii="Arial" w:cs="Arial" w:eastAsia="Arial" w:hAnsi="Arial"/>
                <w:sz w:val="18"/>
                <w:szCs w:val="18"/>
                <w:color w:val="auto"/>
              </w:rPr>
              <w:t>Maturity Date:</w:t>
            </w:r>
          </w:p>
        </w:tc>
        <w:tc>
          <w:tcPr>
            <w:tcW w:w="1400" w:type="dxa"/>
            <w:vAlign w:val="bottom"/>
          </w:tcPr>
          <w:p>
            <w:pPr>
              <w:spacing w:after="0"/>
              <w:rPr>
                <w:sz w:val="24"/>
                <w:szCs w:val="24"/>
                <w:color w:val="auto"/>
              </w:rPr>
            </w:pPr>
          </w:p>
        </w:tc>
      </w:tr>
      <w:tr>
        <w:trPr>
          <w:trHeight w:val="378"/>
        </w:trPr>
        <w:tc>
          <w:tcPr>
            <w:tcW w:w="5780" w:type="dxa"/>
            <w:vAlign w:val="bottom"/>
          </w:tcPr>
          <w:p>
            <w:pPr>
              <w:spacing w:after="0"/>
              <w:rPr>
                <w:sz w:val="20"/>
                <w:szCs w:val="20"/>
                <w:color w:val="auto"/>
              </w:rPr>
            </w:pPr>
            <w:r>
              <w:rPr>
                <w:rFonts w:ascii="Arial" w:cs="Arial" w:eastAsia="Arial" w:hAnsi="Arial"/>
                <w:sz w:val="18"/>
                <w:szCs w:val="18"/>
                <w:color w:val="auto"/>
              </w:rPr>
              <w:t>Interest Rate:</w:t>
            </w:r>
          </w:p>
        </w:tc>
        <w:tc>
          <w:tcPr>
            <w:tcW w:w="1400" w:type="dxa"/>
            <w:vAlign w:val="bottom"/>
          </w:tcPr>
          <w:p>
            <w:pPr>
              <w:spacing w:after="0"/>
              <w:rPr>
                <w:sz w:val="24"/>
                <w:szCs w:val="24"/>
                <w:color w:val="auto"/>
              </w:rPr>
            </w:pPr>
          </w:p>
        </w:tc>
      </w:tr>
      <w:tr>
        <w:trPr>
          <w:trHeight w:val="378"/>
        </w:trPr>
        <w:tc>
          <w:tcPr>
            <w:tcW w:w="5780" w:type="dxa"/>
            <w:vAlign w:val="bottom"/>
          </w:tcPr>
          <w:p>
            <w:pPr>
              <w:spacing w:after="0"/>
              <w:rPr>
                <w:sz w:val="20"/>
                <w:szCs w:val="20"/>
                <w:color w:val="auto"/>
              </w:rPr>
            </w:pPr>
            <w:r>
              <w:rPr>
                <w:rFonts w:ascii="Arial" w:cs="Arial" w:eastAsia="Arial" w:hAnsi="Arial"/>
                <w:sz w:val="18"/>
                <w:szCs w:val="18"/>
                <w:color w:val="auto"/>
              </w:rPr>
              <w:t>Redemption Provisions:</w:t>
            </w:r>
          </w:p>
        </w:tc>
        <w:tc>
          <w:tcPr>
            <w:tcW w:w="1400" w:type="dxa"/>
            <w:vAlign w:val="bottom"/>
          </w:tcPr>
          <w:p>
            <w:pPr>
              <w:spacing w:after="0"/>
              <w:rPr>
                <w:sz w:val="24"/>
                <w:szCs w:val="24"/>
                <w:color w:val="auto"/>
              </w:rPr>
            </w:pPr>
          </w:p>
        </w:tc>
      </w:tr>
      <w:tr>
        <w:trPr>
          <w:trHeight w:val="378"/>
        </w:trPr>
        <w:tc>
          <w:tcPr>
            <w:tcW w:w="5780" w:type="dxa"/>
            <w:vAlign w:val="bottom"/>
          </w:tcPr>
          <w:p>
            <w:pPr>
              <w:spacing w:after="0"/>
              <w:rPr>
                <w:sz w:val="20"/>
                <w:szCs w:val="20"/>
                <w:color w:val="auto"/>
              </w:rPr>
            </w:pPr>
            <w:r>
              <w:rPr>
                <w:rFonts w:ascii="Arial" w:cs="Arial" w:eastAsia="Arial" w:hAnsi="Arial"/>
                <w:sz w:val="18"/>
                <w:szCs w:val="18"/>
                <w:color w:val="auto"/>
                <w:w w:val="95"/>
              </w:rPr>
              <w:t>Interest Payment Dates: [  ] and [  ], commencing [  ] (Interest accrues from [</w:t>
            </w:r>
          </w:p>
        </w:tc>
        <w:tc>
          <w:tcPr>
            <w:tcW w:w="1400" w:type="dxa"/>
            <w:vAlign w:val="bottom"/>
          </w:tcPr>
          <w:p>
            <w:pPr>
              <w:jc w:val="right"/>
              <w:ind w:right="1132"/>
              <w:spacing w:after="0"/>
              <w:rPr>
                <w:sz w:val="20"/>
                <w:szCs w:val="20"/>
                <w:color w:val="auto"/>
              </w:rPr>
            </w:pPr>
            <w:r>
              <w:rPr>
                <w:rFonts w:ascii="Arial" w:cs="Arial" w:eastAsia="Arial" w:hAnsi="Arial"/>
                <w:sz w:val="18"/>
                <w:szCs w:val="18"/>
                <w:color w:val="auto"/>
              </w:rPr>
              <w:t>])</w:t>
            </w:r>
          </w:p>
        </w:tc>
      </w:tr>
      <w:tr>
        <w:trPr>
          <w:trHeight w:val="378"/>
        </w:trPr>
        <w:tc>
          <w:tcPr>
            <w:tcW w:w="5780" w:type="dxa"/>
            <w:vAlign w:val="bottom"/>
          </w:tcPr>
          <w:p>
            <w:pPr>
              <w:spacing w:after="0"/>
              <w:rPr>
                <w:sz w:val="20"/>
                <w:szCs w:val="20"/>
                <w:color w:val="auto"/>
              </w:rPr>
            </w:pPr>
            <w:r>
              <w:rPr>
                <w:rFonts w:ascii="Arial" w:cs="Arial" w:eastAsia="Arial" w:hAnsi="Arial"/>
                <w:sz w:val="18"/>
                <w:szCs w:val="18"/>
                <w:color w:val="auto"/>
              </w:rPr>
              <w:t>Form and Denomination:</w:t>
            </w:r>
          </w:p>
        </w:tc>
        <w:tc>
          <w:tcPr>
            <w:tcW w:w="1400" w:type="dxa"/>
            <w:vAlign w:val="bottom"/>
          </w:tcPr>
          <w:p>
            <w:pPr>
              <w:spacing w:after="0"/>
              <w:rPr>
                <w:sz w:val="24"/>
                <w:szCs w:val="24"/>
                <w:color w:val="auto"/>
              </w:rPr>
            </w:pPr>
          </w:p>
        </w:tc>
      </w:tr>
      <w:tr>
        <w:trPr>
          <w:trHeight w:val="378"/>
        </w:trPr>
        <w:tc>
          <w:tcPr>
            <w:tcW w:w="5780" w:type="dxa"/>
            <w:vAlign w:val="bottom"/>
          </w:tcPr>
          <w:p>
            <w:pPr>
              <w:spacing w:after="0"/>
              <w:rPr>
                <w:sz w:val="20"/>
                <w:szCs w:val="20"/>
                <w:color w:val="auto"/>
              </w:rPr>
            </w:pPr>
            <w:r>
              <w:rPr>
                <w:rFonts w:ascii="Arial" w:cs="Arial" w:eastAsia="Arial" w:hAnsi="Arial"/>
                <w:sz w:val="18"/>
                <w:szCs w:val="18"/>
                <w:color w:val="auto"/>
              </w:rPr>
              <w:t>Ranking:</w:t>
            </w:r>
          </w:p>
        </w:tc>
        <w:tc>
          <w:tcPr>
            <w:tcW w:w="1400" w:type="dxa"/>
            <w:vAlign w:val="bottom"/>
          </w:tcPr>
          <w:p>
            <w:pPr>
              <w:spacing w:after="0"/>
              <w:rPr>
                <w:sz w:val="24"/>
                <w:szCs w:val="24"/>
                <w:color w:val="auto"/>
              </w:rPr>
            </w:pPr>
          </w:p>
        </w:tc>
      </w:tr>
      <w:tr>
        <w:trPr>
          <w:trHeight w:val="378"/>
        </w:trPr>
        <w:tc>
          <w:tcPr>
            <w:tcW w:w="5780" w:type="dxa"/>
            <w:vAlign w:val="bottom"/>
          </w:tcPr>
          <w:p>
            <w:pPr>
              <w:spacing w:after="0"/>
              <w:rPr>
                <w:sz w:val="20"/>
                <w:szCs w:val="20"/>
                <w:color w:val="auto"/>
              </w:rPr>
            </w:pPr>
            <w:r>
              <w:rPr>
                <w:rFonts w:ascii="Arial" w:cs="Arial" w:eastAsia="Arial" w:hAnsi="Arial"/>
                <w:sz w:val="18"/>
                <w:szCs w:val="18"/>
                <w:color w:val="auto"/>
              </w:rPr>
              <w:t>Conversion Provisions:</w:t>
            </w:r>
          </w:p>
        </w:tc>
        <w:tc>
          <w:tcPr>
            <w:tcW w:w="1400" w:type="dxa"/>
            <w:vAlign w:val="bottom"/>
          </w:tcPr>
          <w:p>
            <w:pPr>
              <w:spacing w:after="0"/>
              <w:rPr>
                <w:sz w:val="24"/>
                <w:szCs w:val="24"/>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Other Terms: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274" w:right="1440" w:bottom="1440" w:gutter="0" w:footer="0" w:header="0"/>
        </w:sectPr>
      </w:pPr>
    </w:p>
    <w:bookmarkStart w:id="39" w:name="page40"/>
    <w:bookmarkEnd w:id="39"/>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TO UNDERWRITING AGREEMENT</w:t>
      </w:r>
    </w:p>
    <w:p>
      <w:pPr>
        <w:spacing w:after="0" w:line="3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(WARRANTS)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Designation of the Series of Warrants: [Call] [Put]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Warrant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Aggregate Number of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per Warrant: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 per Warrant: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Warrant Exercise Price: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Dates upon which Warrants may be exercised: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Currency in which exercise payments shall be made: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Minimum number of Warrants exercisable by any holder on any day: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Maximum number of Warrants exercisable on any day: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Formula for determining Cash Settlement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Rate (or method of calculation):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on which Warrants are to be listed:</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274" w:right="1440" w:bottom="1440" w:gutter="0" w:footer="0" w:header="0"/>
        </w:sectPr>
      </w:pPr>
    </w:p>
    <w:bookmarkStart w:id="40" w:name="page41"/>
    <w:bookmarkEnd w:id="4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TO UNDERWRITING AGREEMENT</w:t>
      </w:r>
    </w:p>
    <w:p>
      <w:pPr>
        <w:spacing w:after="0" w:line="3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(UNITS)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per Unit: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 per Unit: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of Debt Securities included in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71" w:lineRule="exact"/>
        <w:rPr>
          <w:sz w:val="20"/>
          <w:szCs w:val="20"/>
          <w:color w:val="auto"/>
        </w:rPr>
      </w:pPr>
    </w:p>
    <w:p>
      <w:pPr>
        <w:spacing w:after="0"/>
        <w:tabs>
          <w:tab w:leader="none" w:pos="2920" w:val="left"/>
        </w:tabs>
        <w:rPr>
          <w:sz w:val="20"/>
          <w:szCs w:val="20"/>
          <w:color w:val="auto"/>
        </w:rPr>
      </w:pPr>
      <w:r>
        <w:rPr>
          <w:rFonts w:ascii="Arial" w:cs="Arial" w:eastAsia="Arial" w:hAnsi="Arial"/>
          <w:sz w:val="16"/>
          <w:szCs w:val="16"/>
          <w:color w:val="auto"/>
        </w:rPr>
        <w:t>Principal Amount included per Unit: $[</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Interest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Redemption Provisions:</w:t>
      </w:r>
    </w:p>
    <w:p>
      <w:pPr>
        <w:spacing w:after="0" w:line="171" w:lineRule="exact"/>
        <w:rPr>
          <w:sz w:val="20"/>
          <w:szCs w:val="20"/>
          <w:color w:val="auto"/>
        </w:rPr>
      </w:pPr>
    </w:p>
    <w:p>
      <w:pPr>
        <w:spacing w:after="0"/>
        <w:tabs>
          <w:tab w:leader="none" w:pos="1940" w:val="left"/>
          <w:tab w:leader="none" w:pos="2580" w:val="left"/>
          <w:tab w:leader="none" w:pos="3900" w:val="left"/>
          <w:tab w:leader="none" w:pos="5820" w:val="left"/>
        </w:tabs>
        <w:rPr>
          <w:sz w:val="20"/>
          <w:szCs w:val="20"/>
          <w:color w:val="auto"/>
        </w:rPr>
      </w:pPr>
      <w:r>
        <w:rPr>
          <w:rFonts w:ascii="Arial" w:cs="Arial" w:eastAsia="Arial" w:hAnsi="Arial"/>
          <w:sz w:val="18"/>
          <w:szCs w:val="18"/>
          <w:color w:val="auto"/>
        </w:rPr>
        <w:t>Interest Payment Dates: [</w:t>
        <w:tab/>
        <w:t>] and [</w:t>
        <w:tab/>
        <w:t>], commencing [</w:t>
        <w:tab/>
        <w:t>] (Interest accrues from [</w:t>
        <w:tab/>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Form and Denomination: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Ranking: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Conversion Provisions: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Terms: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of Warrants included in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Designation of the Series of Warrants: [Call] [Put]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Warrant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Aggregate Number of Warrants per Unit: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Warrant Exercise Price: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Dates upon which Warrants may be exercised: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Form:</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274" w:right="1440"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Currency in which exercise payments shall be made: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Minimum number of Warrants exercisable by any holder on any day: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Maximum number of Warrants exercisable on any day: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Formula for determining Cash Settlement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Rate (or method of calculation):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on which Warrants are to be listed:</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280"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7660" w:type="dxa"/>
            <w:vAlign w:val="bottom"/>
            <w:gridSpan w:val="3"/>
          </w:tcPr>
          <w:p>
            <w:pPr>
              <w:jc w:val="center"/>
              <w:ind w:right="3692"/>
              <w:spacing w:after="0"/>
              <w:rPr>
                <w:sz w:val="20"/>
                <w:szCs w:val="20"/>
                <w:color w:val="auto"/>
              </w:rPr>
            </w:pPr>
            <w:r>
              <w:rPr>
                <w:rFonts w:ascii="Arial" w:cs="Arial" w:eastAsia="Arial" w:hAnsi="Arial"/>
                <w:sz w:val="18"/>
                <w:szCs w:val="18"/>
                <w:b w:val="1"/>
                <w:bCs w:val="1"/>
                <w:color w:val="auto"/>
                <w:w w:val="99"/>
              </w:rPr>
              <w:t>SCHEDULE II</w:t>
            </w:r>
          </w:p>
        </w:tc>
      </w:tr>
      <w:tr>
        <w:trPr>
          <w:trHeight w:val="228"/>
        </w:trPr>
        <w:tc>
          <w:tcPr>
            <w:tcW w:w="3760" w:type="dxa"/>
            <w:vAlign w:val="bottom"/>
          </w:tcPr>
          <w:p>
            <w:pPr>
              <w:spacing w:after="0"/>
              <w:rPr>
                <w:sz w:val="19"/>
                <w:szCs w:val="19"/>
                <w:color w:val="auto"/>
              </w:rPr>
            </w:pPr>
          </w:p>
        </w:tc>
        <w:tc>
          <w:tcPr>
            <w:tcW w:w="7660" w:type="dxa"/>
            <w:vAlign w:val="bottom"/>
            <w:gridSpan w:val="3"/>
          </w:tcPr>
          <w:p>
            <w:pPr>
              <w:jc w:val="center"/>
              <w:ind w:right="3672"/>
              <w:spacing w:after="0"/>
              <w:rPr>
                <w:sz w:val="20"/>
                <w:szCs w:val="20"/>
                <w:color w:val="auto"/>
              </w:rPr>
            </w:pPr>
            <w:r>
              <w:rPr>
                <w:rFonts w:ascii="Arial" w:cs="Arial" w:eastAsia="Arial" w:hAnsi="Arial"/>
                <w:sz w:val="18"/>
                <w:szCs w:val="18"/>
                <w:b w:val="1"/>
                <w:bCs w:val="1"/>
                <w:color w:val="auto"/>
                <w:w w:val="99"/>
              </w:rPr>
              <w:t>TO UNDERWRITING AGREEMENT</w:t>
            </w:r>
          </w:p>
        </w:tc>
      </w:tr>
      <w:tr>
        <w:trPr>
          <w:trHeight w:val="340"/>
        </w:trPr>
        <w:tc>
          <w:tcPr>
            <w:tcW w:w="37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4"/>
                <w:szCs w:val="14"/>
                <w:b w:val="1"/>
                <w:bCs w:val="1"/>
                <w:color w:val="auto"/>
                <w:w w:val="89"/>
              </w:rPr>
              <w:t>[Number/Principal Amount of Offered</w:t>
            </w:r>
          </w:p>
        </w:tc>
      </w:tr>
      <w:tr>
        <w:trPr>
          <w:trHeight w:val="181"/>
        </w:trPr>
        <w:tc>
          <w:tcPr>
            <w:tcW w:w="3760" w:type="dxa"/>
            <w:vAlign w:val="bottom"/>
            <w:tcBorders>
              <w:bottom w:val="single" w:sz="8" w:color="auto"/>
            </w:tcBorders>
          </w:tcPr>
          <w:p>
            <w:pPr>
              <w:ind w:left="2560"/>
              <w:spacing w:after="0"/>
              <w:rPr>
                <w:sz w:val="20"/>
                <w:szCs w:val="20"/>
                <w:color w:val="auto"/>
              </w:rPr>
            </w:pPr>
            <w:r>
              <w:rPr>
                <w:rFonts w:ascii="Arial" w:cs="Arial" w:eastAsia="Arial" w:hAnsi="Arial"/>
                <w:sz w:val="14"/>
                <w:szCs w:val="14"/>
                <w:b w:val="1"/>
                <w:bCs w:val="1"/>
                <w:color w:val="auto"/>
              </w:rPr>
              <w:t>Underwriter</w:t>
            </w:r>
          </w:p>
        </w:tc>
        <w:tc>
          <w:tcPr>
            <w:tcW w:w="20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Purchased]</w:t>
            </w:r>
          </w:p>
        </w:tc>
      </w:tr>
      <w:tr>
        <w:trPr>
          <w:trHeight w:val="350"/>
        </w:trPr>
        <w:tc>
          <w:tcPr>
            <w:tcW w:w="3760" w:type="dxa"/>
            <w:vAlign w:val="bottom"/>
          </w:tcPr>
          <w:p>
            <w:pPr>
              <w:spacing w:after="0"/>
              <w:rPr>
                <w:sz w:val="24"/>
                <w:szCs w:val="24"/>
                <w:color w:val="auto"/>
              </w:rPr>
            </w:pPr>
          </w:p>
        </w:tc>
        <w:tc>
          <w:tcPr>
            <w:tcW w:w="2060" w:type="dxa"/>
            <w:vAlign w:val="bottom"/>
          </w:tcPr>
          <w:p>
            <w:pPr>
              <w:jc w:val="center"/>
              <w:ind w:left="1752"/>
              <w:spacing w:after="0"/>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24"/>
                <w:szCs w:val="24"/>
                <w:color w:val="auto"/>
              </w:rPr>
            </w:pPr>
          </w:p>
        </w:tc>
        <w:tc>
          <w:tcPr>
            <w:tcW w:w="54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3" w:name="page44"/>
    <w:bookmarkEnd w:id="43"/>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III</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TO UNDERWRITING AGREEMENT</w:t>
      </w:r>
    </w:p>
    <w:p>
      <w:pPr>
        <w:spacing w:after="0" w:line="165" w:lineRule="exact"/>
        <w:rPr>
          <w:sz w:val="20"/>
          <w:szCs w:val="20"/>
          <w:color w:val="auto"/>
        </w:rPr>
      </w:pPr>
    </w:p>
    <w:p>
      <w:pPr>
        <w:ind w:right="2359"/>
        <w:spacing w:after="0" w:line="430" w:lineRule="auto"/>
        <w:rPr>
          <w:sz w:val="20"/>
          <w:szCs w:val="20"/>
          <w:color w:val="auto"/>
        </w:rPr>
      </w:pPr>
      <w:r>
        <w:rPr>
          <w:rFonts w:ascii="Arial" w:cs="Arial" w:eastAsia="Arial" w:hAnsi="Arial"/>
          <w:sz w:val="18"/>
          <w:szCs w:val="18"/>
          <w:color w:val="auto"/>
        </w:rPr>
        <w:t>[Term sheet reflecting the terms on Schedule I or, if there is no term sheet, orally conveyed pricing information] [List any other free writing prospectus to be included in the Time of Sale Prospectus]</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274" w:right="1440" w:bottom="1440" w:gutter="0" w:footer="0" w:header="0"/>
        </w:sectPr>
      </w:pPr>
    </w:p>
    <w:bookmarkStart w:id="44" w:name="page45"/>
    <w:bookmarkEnd w:id="44"/>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IV</w:t>
      </w:r>
    </w:p>
    <w:p>
      <w:pPr>
        <w:spacing w:after="0" w:line="21"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TO UNDERWRITING AGREEMENT</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[Insert the information provided by the Underwriter expressly for use in the offering documents pursuant to the second paragraph under Article VI of the Underwriting Agreement.]</w:t>
      </w:r>
    </w:p>
    <w:p>
      <w:pPr>
        <w:spacing w:after="0" w:line="1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40"/>
          </w:cols>
          <w:pgMar w:left="240" w:top="274" w:right="91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Underwriting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Provisions</w:t>
      </w:r>
    </w:p>
    <w:p>
      <w:pPr>
        <w:spacing w:after="0" w:line="165" w:lineRule="exact"/>
        <w:rPr>
          <w:sz w:val="20"/>
          <w:szCs w:val="20"/>
          <w:color w:val="auto"/>
        </w:rPr>
      </w:pPr>
    </w:p>
    <w:p>
      <w:pPr>
        <w:ind w:left="10400"/>
        <w:spacing w:after="0"/>
        <w:rPr>
          <w:sz w:val="20"/>
          <w:szCs w:val="20"/>
          <w:color w:val="auto"/>
        </w:rPr>
      </w:pPr>
      <w:r>
        <w:rPr>
          <w:rFonts w:ascii="Arial" w:cs="Arial" w:eastAsia="Arial" w:hAnsi="Arial"/>
          <w:sz w:val="15"/>
          <w:szCs w:val="15"/>
          <w:color w:val="auto"/>
        </w:rPr>
        <w:t>March 2, 2007</w:t>
      </w:r>
    </w:p>
    <w:p>
      <w:pPr>
        <w:spacing w:after="0" w:line="20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6"/>
          <w:szCs w:val="16"/>
          <w:b w:val="1"/>
          <w:bCs w:val="1"/>
          <w:color w:val="auto"/>
        </w:rPr>
        <w:t>Underwriting Agreement</w:t>
      </w:r>
      <w:r>
        <w:rPr>
          <w:rFonts w:ascii="Arial" w:cs="Arial" w:eastAsia="Arial" w:hAnsi="Arial"/>
          <w:sz w:val="16"/>
          <w:szCs w:val="16"/>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13"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From time to time in one or more offerings on terms determined at the time of sale, the Company proposes to issue and sell (a) its common stock, $1.00 par value per share (the “</w:t>
      </w:r>
      <w:r>
        <w:rPr>
          <w:rFonts w:ascii="Arial" w:cs="Arial" w:eastAsia="Arial" w:hAnsi="Arial"/>
          <w:sz w:val="15"/>
          <w:szCs w:val="15"/>
          <w:b w:val="1"/>
          <w:bCs w:val="1"/>
          <w:color w:val="auto"/>
        </w:rPr>
        <w:t>Common Stock</w:t>
      </w:r>
      <w:r>
        <w:rPr>
          <w:rFonts w:ascii="Arial" w:cs="Arial" w:eastAsia="Arial" w:hAnsi="Arial"/>
          <w:sz w:val="15"/>
          <w:szCs w:val="15"/>
          <w:color w:val="auto"/>
        </w:rPr>
        <w:t>”), (b) its preferred stock, $25.00 par value per share (the “</w:t>
      </w:r>
      <w:r>
        <w:rPr>
          <w:rFonts w:ascii="Arial" w:cs="Arial" w:eastAsia="Arial" w:hAnsi="Arial"/>
          <w:sz w:val="15"/>
          <w:szCs w:val="15"/>
          <w:b w:val="1"/>
          <w:bCs w:val="1"/>
          <w:color w:val="auto"/>
        </w:rPr>
        <w:t>Preferred Stock</w:t>
      </w:r>
      <w:r>
        <w:rPr>
          <w:rFonts w:ascii="Arial" w:cs="Arial" w:eastAsia="Arial" w:hAnsi="Arial"/>
          <w:sz w:val="15"/>
          <w:szCs w:val="15"/>
          <w:color w:val="auto"/>
        </w:rPr>
        <w:t>”), (c) certain of its debt securities (the “</w:t>
      </w:r>
      <w:r>
        <w:rPr>
          <w:rFonts w:ascii="Arial" w:cs="Arial" w:eastAsia="Arial" w:hAnsi="Arial"/>
          <w:sz w:val="15"/>
          <w:szCs w:val="15"/>
          <w:b w:val="1"/>
          <w:bCs w:val="1"/>
          <w:color w:val="auto"/>
        </w:rPr>
        <w:t>Debt</w:t>
      </w:r>
      <w:r>
        <w:rPr>
          <w:rFonts w:ascii="Arial" w:cs="Arial" w:eastAsia="Arial" w:hAnsi="Arial"/>
          <w:sz w:val="15"/>
          <w:szCs w:val="15"/>
          <w:color w:val="auto"/>
        </w:rPr>
        <w:t xml:space="preserve"> </w:t>
      </w:r>
      <w:r>
        <w:rPr>
          <w:rFonts w:ascii="Arial" w:cs="Arial" w:eastAsia="Arial" w:hAnsi="Arial"/>
          <w:sz w:val="15"/>
          <w:szCs w:val="15"/>
          <w:b w:val="1"/>
          <w:bCs w:val="1"/>
          <w:color w:val="auto"/>
        </w:rPr>
        <w:t>Securities</w:t>
      </w:r>
      <w:r>
        <w:rPr>
          <w:rFonts w:ascii="Arial" w:cs="Arial" w:eastAsia="Arial" w:hAnsi="Arial"/>
          <w:sz w:val="15"/>
          <w:szCs w:val="15"/>
          <w:color w:val="auto"/>
        </w:rPr>
        <w:t>”) issuable under an indenture (the “</w:t>
      </w:r>
      <w:r>
        <w:rPr>
          <w:rFonts w:ascii="Arial" w:cs="Arial" w:eastAsia="Arial" w:hAnsi="Arial"/>
          <w:sz w:val="15"/>
          <w:szCs w:val="15"/>
          <w:b w:val="1"/>
          <w:bCs w:val="1"/>
          <w:color w:val="auto"/>
        </w:rPr>
        <w:t>Indenture</w:t>
      </w:r>
      <w:r>
        <w:rPr>
          <w:rFonts w:ascii="Arial" w:cs="Arial" w:eastAsia="Arial" w:hAnsi="Arial"/>
          <w:sz w:val="15"/>
          <w:szCs w:val="15"/>
          <w:color w:val="auto"/>
        </w:rPr>
        <w:t>”) to be entered into by the Company and U.S. Bank National Association, as trustee (the “</w:t>
      </w:r>
      <w:r>
        <w:rPr>
          <w:rFonts w:ascii="Arial" w:cs="Arial" w:eastAsia="Arial" w:hAnsi="Arial"/>
          <w:sz w:val="15"/>
          <w:szCs w:val="15"/>
          <w:b w:val="1"/>
          <w:bCs w:val="1"/>
          <w:color w:val="auto"/>
        </w:rPr>
        <w:t>Trustee</w:t>
      </w:r>
      <w:r>
        <w:rPr>
          <w:rFonts w:ascii="Arial" w:cs="Arial" w:eastAsia="Arial" w:hAnsi="Arial"/>
          <w:sz w:val="15"/>
          <w:szCs w:val="15"/>
          <w:color w:val="auto"/>
        </w:rPr>
        <w:t>”),</w:t>
      </w:r>
    </w:p>
    <w:p>
      <w:pPr>
        <w:spacing w:after="0" w:line="1" w:lineRule="exact"/>
        <w:rPr>
          <w:sz w:val="20"/>
          <w:szCs w:val="20"/>
          <w:color w:val="auto"/>
        </w:rPr>
      </w:pPr>
    </w:p>
    <w:p>
      <w:pPr>
        <w:ind w:right="300" w:firstLine="8"/>
        <w:spacing w:after="0" w:line="255" w:lineRule="auto"/>
        <w:tabs>
          <w:tab w:leader="none" w:pos="2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or Debt Securities (“</w:t>
      </w:r>
      <w:r>
        <w:rPr>
          <w:rFonts w:ascii="Arial" w:cs="Arial" w:eastAsia="Arial" w:hAnsi="Arial"/>
          <w:sz w:val="18"/>
          <w:szCs w:val="18"/>
          <w:b w:val="1"/>
          <w:bCs w:val="1"/>
          <w:color w:val="auto"/>
        </w:rPr>
        <w:t>Warrants</w:t>
      </w:r>
      <w:r>
        <w:rPr>
          <w:rFonts w:ascii="Arial" w:cs="Arial" w:eastAsia="Arial" w:hAnsi="Arial"/>
          <w:sz w:val="18"/>
          <w:szCs w:val="18"/>
          <w:color w:val="auto"/>
        </w:rPr>
        <w:t>”), and (e) units consisting of Common Stock, Preferred Stock, Debt Securities or Warrants or any combination thereof (“</w:t>
      </w:r>
      <w:r>
        <w:rPr>
          <w:rFonts w:ascii="Arial" w:cs="Arial" w:eastAsia="Arial" w:hAnsi="Arial"/>
          <w:sz w:val="18"/>
          <w:szCs w:val="18"/>
          <w:b w:val="1"/>
          <w:bCs w:val="1"/>
          <w:color w:val="auto"/>
        </w:rPr>
        <w:t>Units</w:t>
      </w:r>
      <w:r>
        <w:rPr>
          <w:rFonts w:ascii="Arial" w:cs="Arial" w:eastAsia="Arial" w:hAnsi="Arial"/>
          <w:sz w:val="18"/>
          <w:szCs w:val="18"/>
          <w:color w:val="auto"/>
        </w:rPr>
        <w:t>”). The Common Stock, Preferred Stock, Debt Securities, Warrants and Units are each referred to as “</w:t>
      </w:r>
      <w:r>
        <w:rPr>
          <w:rFonts w:ascii="Arial" w:cs="Arial" w:eastAsia="Arial" w:hAnsi="Arial"/>
          <w:sz w:val="18"/>
          <w:szCs w:val="18"/>
          <w:b w:val="1"/>
          <w:bCs w:val="1"/>
          <w:color w:val="auto"/>
        </w:rPr>
        <w:t>Securities</w:t>
      </w:r>
      <w:r>
        <w:rPr>
          <w:rFonts w:ascii="Arial" w:cs="Arial" w:eastAsia="Arial" w:hAnsi="Arial"/>
          <w:sz w:val="18"/>
          <w:szCs w:val="18"/>
          <w:color w:val="auto"/>
        </w:rPr>
        <w:t>” for the purposes of this Agreement.</w:t>
      </w:r>
    </w:p>
    <w:p>
      <w:pPr>
        <w:spacing w:after="0" w:line="138"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specifically relating to the Securities listed on Schedule I hereto (the “</w:t>
      </w:r>
      <w:r>
        <w:rPr>
          <w:rFonts w:ascii="Arial" w:cs="Arial" w:eastAsia="Arial" w:hAnsi="Arial"/>
          <w:sz w:val="16"/>
          <w:szCs w:val="16"/>
          <w:b w:val="1"/>
          <w:bCs w:val="1"/>
          <w:color w:val="auto"/>
        </w:rPr>
        <w:t>Offered Securities</w:t>
      </w:r>
      <w:r>
        <w:rPr>
          <w:rFonts w:ascii="Arial" w:cs="Arial" w:eastAsia="Arial" w:hAnsi="Arial"/>
          <w:sz w:val="16"/>
          <w:szCs w:val="16"/>
          <w:color w:val="auto"/>
        </w:rPr>
        <w:t>”) pursuant to Rule 424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the registration statement, including the exhibits thereto and any additional registration statement filed by the Company pursuant to Rule 462(b), as amended to the date of the Underwriting Agreement, including the information, if any, deemed to be part of the registration statement at the time of effectiveness pursuant to Rule 430A or Rule 430B under the Securities Act. The term “</w:t>
      </w:r>
      <w:r>
        <w:rPr>
          <w:rFonts w:ascii="Arial" w:cs="Arial" w:eastAsia="Arial" w:hAnsi="Arial"/>
          <w:sz w:val="16"/>
          <w:szCs w:val="16"/>
          <w:b w:val="1"/>
          <w:bCs w:val="1"/>
          <w:color w:val="auto"/>
        </w:rPr>
        <w:t>Base Prospectus</w:t>
      </w:r>
      <w:r>
        <w:rPr>
          <w:rFonts w:ascii="Arial" w:cs="Arial" w:eastAsia="Arial" w:hAnsi="Arial"/>
          <w:sz w:val="16"/>
          <w:szCs w:val="16"/>
          <w:color w:val="auto"/>
        </w:rPr>
        <w:t>” means the prospectus included in the Registration Statement. The term “</w:t>
      </w:r>
      <w:r>
        <w:rPr>
          <w:rFonts w:ascii="Arial" w:cs="Arial" w:eastAsia="Arial" w:hAnsi="Arial"/>
          <w:sz w:val="16"/>
          <w:szCs w:val="16"/>
          <w:b w:val="1"/>
          <w:bCs w:val="1"/>
          <w:color w:val="auto"/>
        </w:rPr>
        <w:t>Prospectus</w:t>
      </w:r>
      <w:r>
        <w:rPr>
          <w:rFonts w:ascii="Arial" w:cs="Arial" w:eastAsia="Arial" w:hAnsi="Arial"/>
          <w:sz w:val="16"/>
          <w:szCs w:val="16"/>
          <w:color w:val="auto"/>
        </w:rPr>
        <w:t>” means the Base Prospectus together with the Prospectus Supplement or supplements specifically relating to the Offered Securities, as filed with, or transmitted for filing to, the Commission pursuant to Rule 424.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a preliminary prospectus supplement specifically relating to the Offered Securities, together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46" w:name="page47"/>
    <w:bookmarkEnd w:id="46"/>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the Base Prospectus. The term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The term “</w:t>
      </w:r>
      <w:r>
        <w:rPr>
          <w:rFonts w:ascii="Arial" w:cs="Arial" w:eastAsia="Arial" w:hAnsi="Arial"/>
          <w:sz w:val="16"/>
          <w:szCs w:val="16"/>
          <w:b w:val="1"/>
          <w:bCs w:val="1"/>
          <w:color w:val="auto"/>
        </w:rPr>
        <w:t>issuer free writing</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has the meaning set forth in Rule 433 under the Securities Act. The term “</w:t>
      </w:r>
      <w:r>
        <w:rPr>
          <w:rFonts w:ascii="Arial" w:cs="Arial" w:eastAsia="Arial" w:hAnsi="Arial"/>
          <w:sz w:val="16"/>
          <w:szCs w:val="16"/>
          <w:b w:val="1"/>
          <w:bCs w:val="1"/>
          <w:color w:val="auto"/>
        </w:rPr>
        <w:t>Time of Sale Prospectus</w:t>
      </w:r>
      <w:r>
        <w:rPr>
          <w:rFonts w:ascii="Arial" w:cs="Arial" w:eastAsia="Arial" w:hAnsi="Arial"/>
          <w:sz w:val="16"/>
          <w:szCs w:val="16"/>
          <w:color w:val="auto"/>
        </w:rPr>
        <w:t>” means the Base Prospectus and preliminary</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prospectus, if any, together with any additional documents or other information identified in Schedule III to the Underwriting Agreement. As used herein, the terms “Registration Statement,” “Base Prospectus,” “Prospectus,” “preliminary prospectus” and “Time of Sale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As used herein, the term “</w:t>
      </w:r>
      <w:r>
        <w:rPr>
          <w:rFonts w:ascii="Arial" w:cs="Arial" w:eastAsia="Arial" w:hAnsi="Arial"/>
          <w:sz w:val="16"/>
          <w:szCs w:val="16"/>
          <w:b w:val="1"/>
          <w:bCs w:val="1"/>
          <w:color w:val="auto"/>
        </w:rPr>
        <w:t>Applicable Time</w:t>
      </w:r>
      <w:r>
        <w:rPr>
          <w:rFonts w:ascii="Arial" w:cs="Arial" w:eastAsia="Arial" w:hAnsi="Arial"/>
          <w:sz w:val="16"/>
          <w:szCs w:val="16"/>
          <w:color w:val="auto"/>
        </w:rPr>
        <w:t>” means the time and date set forth in the Underwriting Agreement or such other time as agreed in writing by the Company and the Manager.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II.</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III.</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90" w:lineRule="exact"/>
        <w:rPr>
          <w:sz w:val="20"/>
          <w:szCs w:val="20"/>
          <w:color w:val="auto"/>
        </w:rPr>
      </w:pPr>
    </w:p>
    <w:p>
      <w:pPr>
        <w:ind w:left="460" w:right="80" w:firstLine="443"/>
        <w:spacing w:after="0" w:line="259" w:lineRule="auto"/>
        <w:tabs>
          <w:tab w:leader="none" w:pos="1137"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47" w:name="page48"/>
    <w:bookmarkEnd w:id="47"/>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that the representations and warranties of the Company contained herein are true and correct as of the Closing Date. The officer making such certificate may rely upon the best of his knowledge as to proceedings pending or threatened.</w:t>
      </w:r>
    </w:p>
    <w:p>
      <w:pPr>
        <w:spacing w:after="0" w:line="32" w:lineRule="exact"/>
        <w:rPr>
          <w:sz w:val="20"/>
          <w:szCs w:val="20"/>
          <w:color w:val="auto"/>
        </w:rPr>
      </w:pPr>
    </w:p>
    <w:p>
      <w:pPr>
        <w:ind w:right="580" w:firstLine="443"/>
        <w:spacing w:after="0" w:line="259" w:lineRule="auto"/>
        <w:tabs>
          <w:tab w:leader="none" w:pos="6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Manager shall have received on the Closing Date an opinion of Joseph F. Hubach, Esq., Senior Vice President, Secretary and General Counsel of the Company (or another lawyer of the Company reasonably satisfactory to the Underwriters), dated the Closing Date, to the effect (as applicable) that:</w:t>
      </w:r>
    </w:p>
    <w:p>
      <w:pPr>
        <w:spacing w:after="0" w:line="59" w:lineRule="exact"/>
        <w:rPr>
          <w:rFonts w:ascii="Arial" w:cs="Arial" w:eastAsia="Arial" w:hAnsi="Arial"/>
          <w:sz w:val="18"/>
          <w:szCs w:val="18"/>
          <w:color w:val="auto"/>
        </w:rPr>
      </w:pPr>
    </w:p>
    <w:p>
      <w:pPr>
        <w:ind w:left="460" w:right="160" w:firstLine="421"/>
        <w:spacing w:after="0" w:line="268" w:lineRule="auto"/>
        <w:tabs>
          <w:tab w:leader="none" w:pos="1089"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full corporate power and authority to own its properties and conduct its business as presently conducted;</w:t>
      </w:r>
    </w:p>
    <w:p>
      <w:pPr>
        <w:spacing w:after="0" w:line="50" w:lineRule="exact"/>
        <w:rPr>
          <w:rFonts w:ascii="Arial" w:cs="Arial" w:eastAsia="Arial" w:hAnsi="Arial"/>
          <w:sz w:val="18"/>
          <w:szCs w:val="18"/>
          <w:color w:val="auto"/>
        </w:rPr>
      </w:pPr>
    </w:p>
    <w:p>
      <w:pPr>
        <w:ind w:left="460" w:firstLine="421"/>
        <w:spacing w:after="0" w:line="306" w:lineRule="auto"/>
        <w:tabs>
          <w:tab w:leader="none" w:pos="1138"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Company is duly qualified to transact business and is in good standing in each other state of the United States, wherein it owns or leases material property or conducts material business, which requires such qualification, except to the extent that the failure to be so qualified or be in good standing would not have a material adverse effect on the Company and its subsidiaries, taken as a whole;</w:t>
      </w:r>
    </w:p>
    <w:p>
      <w:pPr>
        <w:spacing w:after="0" w:line="25" w:lineRule="exact"/>
        <w:rPr>
          <w:rFonts w:ascii="Arial" w:cs="Arial" w:eastAsia="Arial" w:hAnsi="Arial"/>
          <w:sz w:val="16"/>
          <w:szCs w:val="16"/>
          <w:color w:val="auto"/>
        </w:rPr>
      </w:pPr>
    </w:p>
    <w:p>
      <w:pPr>
        <w:ind w:left="1180" w:hanging="299"/>
        <w:spacing w:after="0"/>
        <w:tabs>
          <w:tab w:leader="none" w:pos="11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Time of Sale Prospectus;</w:t>
      </w:r>
    </w:p>
    <w:p>
      <w:pPr>
        <w:spacing w:after="0" w:line="90" w:lineRule="exact"/>
        <w:rPr>
          <w:rFonts w:ascii="Arial" w:cs="Arial" w:eastAsia="Arial" w:hAnsi="Arial"/>
          <w:sz w:val="18"/>
          <w:szCs w:val="18"/>
          <w:color w:val="auto"/>
        </w:rPr>
      </w:pPr>
    </w:p>
    <w:p>
      <w:pPr>
        <w:ind w:left="460" w:right="280" w:firstLine="421"/>
        <w:spacing w:after="0" w:line="268" w:lineRule="auto"/>
        <w:tabs>
          <w:tab w:leader="none" w:pos="1177"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Registration Statement is effective under the Securities Act, and, to the best of such counsel’s knowledge, no proceedings for a stop order are pending or threatened by the Commission;</w:t>
      </w:r>
    </w:p>
    <w:p>
      <w:pPr>
        <w:spacing w:after="0" w:line="50" w:lineRule="exact"/>
        <w:rPr>
          <w:rFonts w:ascii="Arial" w:cs="Arial" w:eastAsia="Arial" w:hAnsi="Arial"/>
          <w:sz w:val="18"/>
          <w:szCs w:val="18"/>
          <w:color w:val="auto"/>
        </w:rPr>
      </w:pPr>
    </w:p>
    <w:p>
      <w:pPr>
        <w:jc w:val="both"/>
        <w:ind w:left="460" w:right="20" w:firstLine="421"/>
        <w:spacing w:after="0" w:line="298" w:lineRule="auto"/>
        <w:tabs>
          <w:tab w:leader="none" w:pos="1128"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and, as applicable, the Indenture, the Offered Securities, the Warrant Agreement and the Unit Agreement (each, a “</w:t>
      </w:r>
      <w:r>
        <w:rPr>
          <w:rFonts w:ascii="Arial" w:cs="Arial" w:eastAsia="Arial" w:hAnsi="Arial"/>
          <w:sz w:val="16"/>
          <w:szCs w:val="16"/>
          <w:b w:val="1"/>
          <w:bCs w:val="1"/>
          <w:color w:val="auto"/>
        </w:rPr>
        <w:t>Transaction Document</w:t>
      </w:r>
      <w:r>
        <w:rPr>
          <w:rFonts w:ascii="Arial" w:cs="Arial" w:eastAsia="Arial" w:hAnsi="Arial"/>
          <w:sz w:val="16"/>
          <w:szCs w:val="16"/>
          <w:color w:val="auto"/>
        </w:rPr>
        <w:t>”) will not contravene any provision of applicable law or the certificate of incorporation or by-laws of the Company or, to the knowledge of such counsel, any agreement or other instrument binding upon the Company that is filed as an exhibit to the Registration Statement or to any document incorporated by reference in the Time of Sale Prospectus, and no</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80" w:right="239" w:bottom="1440" w:gutter="0" w:footer="0" w:header="0"/>
        </w:sectPr>
      </w:pPr>
    </w:p>
    <w:bookmarkStart w:id="48" w:name="page49"/>
    <w:bookmarkEnd w:id="48"/>
    <w:p>
      <w:pPr>
        <w:jc w:val="both"/>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consent, approval or authorization of any governmental body or agency is required for the performance by the Company of its obligations under this Agreement or the applicable Transaction Documents, if any, except such as are specified and have been obtained and such as may be required by the securities or Blue Sky laws of the various states in connection with the offer and sale of the Offered Securities by the Underwriters;</w:t>
      </w:r>
    </w:p>
    <w:p>
      <w:pPr>
        <w:spacing w:after="0" w:line="26" w:lineRule="exact"/>
        <w:rPr>
          <w:sz w:val="20"/>
          <w:szCs w:val="20"/>
          <w:color w:val="auto"/>
        </w:rPr>
      </w:pPr>
    </w:p>
    <w:p>
      <w:pPr>
        <w:ind w:firstLine="421"/>
        <w:spacing w:after="0" w:line="255" w:lineRule="auto"/>
        <w:tabs>
          <w:tab w:leader="none" w:pos="717" w:val="left"/>
        </w:tabs>
        <w:numPr>
          <w:ilvl w:val="0"/>
          <w:numId w:val="34"/>
        </w:numPr>
        <w:rPr>
          <w:rFonts w:ascii="Arial" w:cs="Arial" w:eastAsia="Arial" w:hAnsi="Arial"/>
          <w:sz w:val="18"/>
          <w:szCs w:val="18"/>
          <w:color w:val="auto"/>
        </w:rPr>
      </w:pPr>
      <w:r>
        <w:rPr>
          <w:rFonts w:ascii="Arial" w:cs="Arial" w:eastAsia="Arial" w:hAnsi="Arial"/>
          <w:sz w:val="18"/>
          <w:szCs w:val="18"/>
          <w:color w:val="auto"/>
        </w:rPr>
        <w:t>after due inquiry, such counsel does not know of any legal or governmental proceedings pending or threatened to which the Company or any of its subsidiaries is a party or to which any of the properties of the Company or any of its subsidiaries is subject that are required to be described in the Registration Statement or the Time of Sale Prospectus and are not so described or of any contract or other document that is required to be described in the Registration Statement or the Time of Sale Prospectus or to be filed as an exhibit to the Registration Statement that is not described or filed as required;</w:t>
      </w:r>
    </w:p>
    <w:p>
      <w:pPr>
        <w:spacing w:after="0" w:line="61" w:lineRule="exact"/>
        <w:rPr>
          <w:rFonts w:ascii="Arial" w:cs="Arial" w:eastAsia="Arial" w:hAnsi="Arial"/>
          <w:sz w:val="18"/>
          <w:szCs w:val="18"/>
          <w:color w:val="auto"/>
        </w:rPr>
      </w:pPr>
    </w:p>
    <w:p>
      <w:pPr>
        <w:ind w:firstLine="421"/>
        <w:spacing w:after="0" w:line="286" w:lineRule="auto"/>
        <w:tabs>
          <w:tab w:leader="none" w:pos="766"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in the opinion of such counsel each document filed pursuant to the Exchange Act and incorporated by reference in the Registration Statement and the Prospectus (except for the financial statements and financial schedules and other financial and statistical data included therein, as to which such counsel need not express any opinion) appeared on its face to be appropriately responsive as of its filing date in all material respects to the requirements of the Exchange Act and the applicable rules and regulations of the Commission thereunder, and (B) nothing has come to the attention of such counsel that causes such counsel to believe that, insofar as relevant to the offering of the Offered Securities (1) 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 or (2) the Registration Statement or any amendment thereto (except for the financial statements and financial schedules and other financial and statistical data included therein and except for that part of the Registration Statement that constitutes the Form T-1, as to which</w:t>
      </w:r>
    </w:p>
    <w:p>
      <w:pPr>
        <w:spacing w:after="0" w:line="1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480"/>
          </w:cols>
          <w:pgMar w:left="1160" w:top="280" w:right="259" w:bottom="1440" w:gutter="0" w:footer="0" w:header="0"/>
        </w:sectPr>
      </w:pPr>
    </w:p>
    <w:bookmarkStart w:id="49" w:name="page50"/>
    <w:bookmarkEnd w:id="49"/>
    <w:p>
      <w:pPr>
        <w:ind w:left="460" w:right="1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counsel need not express any belief) as of the date of this Agreement contained any untrue statement of a material fact or omitted to state a material fact required to be stated therein or necessary to make the statements therein not misleading or (3) 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 (4) the Prospectus (except for the financial statements and financial schedules and other financial and statistical data included therein, as to which such counsel need not express any belief) at the date of the Underwriting Agreement or as amended or supplemented, if applicable, as of the Closing Date contains any untrue statement of a material fact or omits to state a material fact necessary in order to make the statements therein, in the light of the circumstances under which they were made, not misleading.</w:t>
      </w:r>
    </w:p>
    <w:p>
      <w:pPr>
        <w:spacing w:after="0" w:line="39" w:lineRule="exact"/>
        <w:rPr>
          <w:sz w:val="20"/>
          <w:szCs w:val="20"/>
          <w:color w:val="auto"/>
        </w:rPr>
      </w:pPr>
    </w:p>
    <w:p>
      <w:pPr>
        <w:ind w:right="220" w:firstLine="443"/>
        <w:spacing w:after="0" w:line="268" w:lineRule="auto"/>
        <w:tabs>
          <w:tab w:leader="none" w:pos="67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Manager shall have received on the Closing Date an opinion of Davis Polk &amp; Wardwell, special outside counsel to the Company, dated the Closing Date, to the effect (as applicable) that:</w:t>
      </w:r>
    </w:p>
    <w:p>
      <w:pPr>
        <w:spacing w:after="0" w:line="50" w:lineRule="exact"/>
        <w:rPr>
          <w:rFonts w:ascii="Arial" w:cs="Arial" w:eastAsia="Arial" w:hAnsi="Arial"/>
          <w:sz w:val="18"/>
          <w:szCs w:val="18"/>
          <w:color w:val="auto"/>
        </w:rPr>
      </w:pPr>
    </w:p>
    <w:p>
      <w:pPr>
        <w:ind w:left="460" w:firstLine="421"/>
        <w:spacing w:after="0" w:line="259" w:lineRule="auto"/>
        <w:tabs>
          <w:tab w:leader="none" w:pos="1089"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59" w:lineRule="exact"/>
        <w:rPr>
          <w:rFonts w:ascii="Arial" w:cs="Arial" w:eastAsia="Arial" w:hAnsi="Arial"/>
          <w:sz w:val="18"/>
          <w:szCs w:val="18"/>
          <w:color w:val="auto"/>
        </w:rPr>
      </w:pPr>
    </w:p>
    <w:p>
      <w:pPr>
        <w:ind w:left="460" w:right="160" w:firstLine="421"/>
        <w:spacing w:after="0" w:line="291" w:lineRule="auto"/>
        <w:tabs>
          <w:tab w:leader="none" w:pos="1138" w:val="left"/>
        </w:tabs>
        <w:numPr>
          <w:ilvl w:val="1"/>
          <w:numId w:val="35"/>
        </w:numPr>
        <w:rPr>
          <w:rFonts w:ascii="Arial" w:cs="Arial" w:eastAsia="Arial" w:hAnsi="Arial"/>
          <w:sz w:val="16"/>
          <w:szCs w:val="16"/>
          <w:color w:val="auto"/>
        </w:rPr>
      </w:pPr>
      <w:r>
        <w:rPr>
          <w:rFonts w:ascii="Arial" w:cs="Arial" w:eastAsia="Arial" w:hAnsi="Arial"/>
          <w:sz w:val="16"/>
          <w:szCs w:val="16"/>
          <w:color w:val="auto"/>
        </w:rPr>
        <w:t>if Debt Securities are Offered Securities, (A) such Debt Securities have been duly authorized and, when executed and authenticated in accordance with the Indenture and delivered to and paid for by the Underwriters, will be valid and binding obligations of the Company enforceable in accordance with their terms, subject to applicable bankruptcy, insolvency and similar laws affecting creditors’ rights generally and equitable principles of general applicability (collectively,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(B) the Indenture has been duly authorized, executed and delivered by the Company and is a valid and binding agreement of the Company enforceable in accordance with its terms, subject to the Enforceability Exceptions, and (C) the Indenture has been duly qualified under the Trust Indenture Act of 1939;</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80" w:right="239" w:bottom="1440" w:gutter="0" w:footer="0" w:header="0"/>
        </w:sectPr>
      </w:pPr>
    </w:p>
    <w:bookmarkStart w:id="50" w:name="page51"/>
    <w:bookmarkEnd w:id="50"/>
    <w:p>
      <w:pPr>
        <w:ind w:right="100" w:firstLine="421"/>
        <w:spacing w:after="0" w:line="294" w:lineRule="auto"/>
        <w:tabs>
          <w:tab w:leader="none" w:pos="727" w:val="left"/>
        </w:tabs>
        <w:numPr>
          <w:ilvl w:val="0"/>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Warrants are Offered Securities, (A)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(B) the Warrant Agreement has been duly authorized, executed and delivered by, and is a valid and binding agreement of, the Company, enforceable in accordance with its terms, subject to the Enforceability Exceptions;</w:t>
      </w:r>
    </w:p>
    <w:p>
      <w:pPr>
        <w:spacing w:after="0" w:line="34" w:lineRule="exact"/>
        <w:rPr>
          <w:rFonts w:ascii="Arial" w:cs="Arial" w:eastAsia="Arial" w:hAnsi="Arial"/>
          <w:sz w:val="16"/>
          <w:szCs w:val="16"/>
          <w:color w:val="auto"/>
        </w:rPr>
      </w:pPr>
    </w:p>
    <w:p>
      <w:pPr>
        <w:ind w:right="100" w:firstLine="421"/>
        <w:spacing w:after="0" w:line="294" w:lineRule="auto"/>
        <w:tabs>
          <w:tab w:leader="none" w:pos="717"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Units are Offered Securities, (A)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 (B) the Unit Agreement has been duly authorized, executed and delivered by, and is a valid and binding agreement of, the Company, enforceable in accordance with its terms, subject to the Enforceability Exceptions;</w:t>
      </w:r>
    </w:p>
    <w:p>
      <w:pPr>
        <w:spacing w:after="0" w:line="34" w:lineRule="exact"/>
        <w:rPr>
          <w:rFonts w:ascii="Arial" w:cs="Arial" w:eastAsia="Arial" w:hAnsi="Arial"/>
          <w:sz w:val="16"/>
          <w:szCs w:val="16"/>
          <w:color w:val="auto"/>
        </w:rPr>
      </w:pPr>
    </w:p>
    <w:p>
      <w:pPr>
        <w:ind w:left="660" w:hanging="239"/>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90" w:lineRule="exact"/>
        <w:rPr>
          <w:rFonts w:ascii="Arial" w:cs="Arial" w:eastAsia="Arial" w:hAnsi="Arial"/>
          <w:sz w:val="18"/>
          <w:szCs w:val="18"/>
          <w:color w:val="auto"/>
        </w:rPr>
      </w:pPr>
    </w:p>
    <w:p>
      <w:pPr>
        <w:ind w:firstLine="421"/>
        <w:spacing w:after="0" w:line="259" w:lineRule="auto"/>
        <w:tabs>
          <w:tab w:leader="none" w:pos="71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Offered Securities conform in all material respects to the description thereof contained in the Time of Sale Prospectus, as then amended or supplemented, if applicable, under the captions “Description of Capital Stock,” “Description of Debt Securities,” “Description of Warrants,” and “Description of Units,” as applicable;</w:t>
      </w:r>
    </w:p>
    <w:p>
      <w:pPr>
        <w:spacing w:after="0" w:line="59" w:lineRule="exact"/>
        <w:rPr>
          <w:rFonts w:ascii="Arial" w:cs="Arial" w:eastAsia="Arial" w:hAnsi="Arial"/>
          <w:sz w:val="18"/>
          <w:szCs w:val="18"/>
          <w:color w:val="auto"/>
        </w:rPr>
      </w:pPr>
    </w:p>
    <w:p>
      <w:pPr>
        <w:ind w:right="60" w:firstLine="421"/>
        <w:spacing w:after="0" w:line="268" w:lineRule="auto"/>
        <w:tabs>
          <w:tab w:leader="none" w:pos="76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statements in the Time of Sale Prospectus under “Certain U.S. Tax Considerations” and “Underwriting” relating to legal matters fairly summarize in all material respects such legal matters;</w:t>
      </w:r>
    </w:p>
    <w:p>
      <w:pPr>
        <w:spacing w:after="0" w:line="44" w:lineRule="exact"/>
        <w:rPr>
          <w:rFonts w:ascii="Arial" w:cs="Arial" w:eastAsia="Arial" w:hAnsi="Arial"/>
          <w:sz w:val="18"/>
          <w:szCs w:val="18"/>
          <w:color w:val="auto"/>
        </w:rPr>
      </w:pPr>
    </w:p>
    <w:p>
      <w:pPr>
        <w:ind w:left="820" w:hanging="399"/>
        <w:spacing w:after="0"/>
        <w:tabs>
          <w:tab w:leader="none" w:pos="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the case of Offered Securities that are convertible into or exercisable or exchangeable for other Securities (the “</w:t>
      </w:r>
      <w:r>
        <w:rPr>
          <w:rFonts w:ascii="Arial" w:cs="Arial" w:eastAsia="Arial" w:hAnsi="Arial"/>
          <w:sz w:val="16"/>
          <w:szCs w:val="16"/>
          <w:b w:val="1"/>
          <w:bCs w:val="1"/>
          <w:color w:val="auto"/>
        </w:rPr>
        <w:t>Underlying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 the Underlying Securities have been duly authorized and reserved for issuance;</w:t>
      </w:r>
    </w:p>
    <w:p>
      <w:pPr>
        <w:spacing w:after="0" w:line="15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00"/>
          </w:cols>
          <w:pgMar w:left="1160" w:top="280" w:right="239" w:bottom="1440" w:gutter="0" w:footer="0" w:header="0"/>
        </w:sectPr>
      </w:pPr>
    </w:p>
    <w:bookmarkStart w:id="51" w:name="page52"/>
    <w:bookmarkEnd w:id="51"/>
    <w:p>
      <w:pPr>
        <w:jc w:val="both"/>
        <w:ind w:firstLine="421"/>
        <w:spacing w:after="0" w:line="306" w:lineRule="auto"/>
        <w:tabs>
          <w:tab w:leader="none" w:pos="717" w:val="left"/>
        </w:tabs>
        <w:numPr>
          <w:ilvl w:val="0"/>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 and</w:t>
      </w:r>
    </w:p>
    <w:p>
      <w:pPr>
        <w:spacing w:after="0" w:line="25" w:lineRule="exact"/>
        <w:rPr>
          <w:rFonts w:ascii="Arial" w:cs="Arial" w:eastAsia="Arial" w:hAnsi="Arial"/>
          <w:sz w:val="16"/>
          <w:szCs w:val="16"/>
          <w:color w:val="auto"/>
        </w:rPr>
      </w:pPr>
    </w:p>
    <w:p>
      <w:pPr>
        <w:ind w:left="660" w:hanging="239"/>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in the opinion of such counsel the Registration Statement and the Prospectus (except for the financial statements and financial</w:t>
      </w:r>
    </w:p>
    <w:p>
      <w:pPr>
        <w:spacing w:after="0" w:line="38" w:lineRule="exact"/>
        <w:rPr>
          <w:rFonts w:ascii="Arial" w:cs="Arial" w:eastAsia="Arial" w:hAnsi="Arial"/>
          <w:sz w:val="16"/>
          <w:szCs w:val="16"/>
          <w:color w:val="auto"/>
        </w:rPr>
      </w:pPr>
    </w:p>
    <w:p>
      <w:pPr>
        <w:spacing w:after="0" w:line="305" w:lineRule="auto"/>
        <w:rPr>
          <w:rFonts w:ascii="Arial" w:cs="Arial" w:eastAsia="Arial" w:hAnsi="Arial"/>
          <w:sz w:val="16"/>
          <w:szCs w:val="16"/>
          <w:color w:val="auto"/>
        </w:rPr>
      </w:pPr>
      <w:r>
        <w:rPr>
          <w:rFonts w:ascii="Arial" w:cs="Arial" w:eastAsia="Arial" w:hAnsi="Arial"/>
          <w:sz w:val="15"/>
          <w:szCs w:val="15"/>
          <w:color w:val="auto"/>
        </w:rPr>
        <w:t>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 and (B) nothing has come to the attention of such counsel that causes such counsel to believe that, insofar as relevant to the offering of the Offered Securities (1) 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 or (2) 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 or (3) 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w:t>
      </w:r>
    </w:p>
    <w:p>
      <w:pPr>
        <w:spacing w:after="0" w:line="9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480"/>
          </w:cols>
          <w:pgMar w:left="1160" w:top="280" w:right="259" w:bottom="1440" w:gutter="0" w:footer="0" w:header="0"/>
        </w:sectPr>
      </w:pPr>
    </w:p>
    <w:bookmarkStart w:id="52" w:name="page53"/>
    <w:bookmarkEnd w:id="52"/>
    <w:p>
      <w:pPr>
        <w:ind w:left="460"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misleading or (4) the Prospectus (except for the financial statements and financial schedules and other financial and statistical data included therein, as to which such counsel need not express any belief) at the date of the Underwriting Agreement or as amended or supplemented, if applicable, as of the Closing Date contained or contains any untrue statement of a material fact or omits to state a material fact necessary in order to make the statements therein, in the light of the circumstances under which they were made, not misleading.</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(d) The Manager shall have received on the Closing Date an opinion of its own counsel, in a form acceptable to the Manager, dated the Closing Date.</w:t>
      </w:r>
    </w:p>
    <w:p>
      <w:pPr>
        <w:spacing w:after="0" w:line="206"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It is understood that Joseph F. Hubach, Esq. may rely as to all matters relating to the laws of the State of New York upon the opinion of Davis Polk &amp; Wardwell.</w:t>
      </w:r>
    </w:p>
    <w:p>
      <w:pPr>
        <w:spacing w:after="0" w:line="132" w:lineRule="exact"/>
        <w:rPr>
          <w:sz w:val="20"/>
          <w:szCs w:val="20"/>
          <w:color w:val="auto"/>
        </w:rPr>
      </w:pPr>
    </w:p>
    <w:p>
      <w:pPr>
        <w:ind w:right="280" w:firstLine="438"/>
        <w:spacing w:after="0" w:line="298" w:lineRule="auto"/>
        <w:rPr>
          <w:sz w:val="20"/>
          <w:szCs w:val="20"/>
          <w:color w:val="auto"/>
        </w:rPr>
      </w:pPr>
      <w:r>
        <w:rPr>
          <w:rFonts w:ascii="Arial" w:cs="Arial" w:eastAsia="Arial" w:hAnsi="Arial"/>
          <w:sz w:val="16"/>
          <w:szCs w:val="16"/>
          <w:color w:val="auto"/>
        </w:rPr>
        <w:t>With respect to the matters set forth in (b)(vii) and (c)(x) above, Joseph F. Hubach, Esq., and Davis Polk &amp; Wardwell may state that their belief is based upon participation by them in the preparation of the Registration Statement (excluding, in the case of Davis Polk &amp; Wardwell,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32" w:lineRule="exact"/>
        <w:rPr>
          <w:sz w:val="20"/>
          <w:szCs w:val="20"/>
          <w:color w:val="auto"/>
        </w:rPr>
      </w:pPr>
    </w:p>
    <w:p>
      <w:pPr>
        <w:ind w:right="300" w:firstLine="443"/>
        <w:spacing w:after="0" w:line="256" w:lineRule="auto"/>
        <w:tabs>
          <w:tab w:leader="none" w:pos="67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62" w:lineRule="exact"/>
        <w:rPr>
          <w:rFonts w:ascii="Arial" w:cs="Arial" w:eastAsia="Arial" w:hAnsi="Arial"/>
          <w:sz w:val="18"/>
          <w:szCs w:val="18"/>
          <w:color w:val="auto"/>
        </w:rPr>
      </w:pPr>
    </w:p>
    <w:p>
      <w:pPr>
        <w:ind w:right="120" w:firstLine="443"/>
        <w:spacing w:after="0" w:line="254" w:lineRule="auto"/>
        <w:tabs>
          <w:tab w:leader="none" w:pos="657"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Subsequent to the Applicable Time and prior to the Closing Date, there shall not have occurred any downgrading, nor shall any notice have been 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defined for purposes of Rule 436(g)(2) under the Securities Act,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63" w:lineRule="exact"/>
        <w:rPr>
          <w:rFonts w:ascii="Arial" w:cs="Arial" w:eastAsia="Arial" w:hAnsi="Arial"/>
          <w:sz w:val="18"/>
          <w:szCs w:val="18"/>
          <w:color w:val="auto"/>
        </w:rPr>
      </w:pPr>
    </w:p>
    <w:p>
      <w:pPr>
        <w:ind w:right="140" w:firstLine="443"/>
        <w:spacing w:after="0" w:line="256" w:lineRule="auto"/>
        <w:tabs>
          <w:tab w:leader="none" w:pos="68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shall not have occurred any change, or any event that is reasonably likely to cause a change, in the condition of the Company and its subsidiaries, taken as a whole, from that set forth in or contemplated in the Registration Statement and the Prospectus,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700" w:top="280" w:right="259" w:bottom="1440" w:gutter="0" w:footer="0" w:header="0"/>
        </w:sectPr>
      </w:pPr>
    </w:p>
    <w:bookmarkStart w:id="53" w:name="page54"/>
    <w:bookmarkEnd w:id="53"/>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IV.</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90" w:lineRule="exact"/>
        <w:rPr>
          <w:sz w:val="20"/>
          <w:szCs w:val="20"/>
          <w:color w:val="auto"/>
        </w:rPr>
      </w:pPr>
    </w:p>
    <w:p>
      <w:pPr>
        <w:ind w:firstLine="443"/>
        <w:spacing w:after="0" w:line="306" w:lineRule="auto"/>
        <w:tabs>
          <w:tab w:leader="none" w:pos="677"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25" w:lineRule="exact"/>
        <w:rPr>
          <w:rFonts w:ascii="Arial" w:cs="Arial" w:eastAsia="Arial" w:hAnsi="Arial"/>
          <w:sz w:val="16"/>
          <w:szCs w:val="16"/>
          <w:color w:val="auto"/>
        </w:rPr>
      </w:pPr>
    </w:p>
    <w:p>
      <w:pPr>
        <w:ind w:right="540" w:firstLine="443"/>
        <w:spacing w:after="0" w:line="268" w:lineRule="auto"/>
        <w:tabs>
          <w:tab w:leader="none" w:pos="687"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with respect to the Offered Securities, to furnish the Manager a copy of each such proposed amendment or supplement.</w:t>
      </w:r>
    </w:p>
    <w:p>
      <w:pPr>
        <w:spacing w:after="0" w:line="50" w:lineRule="exact"/>
        <w:rPr>
          <w:rFonts w:ascii="Arial" w:cs="Arial" w:eastAsia="Arial" w:hAnsi="Arial"/>
          <w:sz w:val="18"/>
          <w:szCs w:val="18"/>
          <w:color w:val="auto"/>
        </w:rPr>
      </w:pPr>
    </w:p>
    <w:p>
      <w:pPr>
        <w:ind w:right="20" w:firstLine="443"/>
        <w:spacing w:after="0" w:line="268" w:lineRule="auto"/>
        <w:tabs>
          <w:tab w:leader="none" w:pos="677"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 a copy of each such free writing prospectus.</w:t>
      </w:r>
    </w:p>
    <w:p>
      <w:pPr>
        <w:spacing w:after="0" w:line="50" w:lineRule="exact"/>
        <w:rPr>
          <w:rFonts w:ascii="Arial" w:cs="Arial" w:eastAsia="Arial" w:hAnsi="Arial"/>
          <w:sz w:val="18"/>
          <w:szCs w:val="18"/>
          <w:color w:val="auto"/>
        </w:rPr>
      </w:pPr>
    </w:p>
    <w:p>
      <w:pPr>
        <w:ind w:right="160" w:firstLine="443"/>
        <w:spacing w:after="0" w:line="259" w:lineRule="auto"/>
        <w:tabs>
          <w:tab w:leader="none" w:pos="687"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59" w:lineRule="exact"/>
        <w:rPr>
          <w:rFonts w:ascii="Arial" w:cs="Arial" w:eastAsia="Arial" w:hAnsi="Arial"/>
          <w:sz w:val="18"/>
          <w:szCs w:val="18"/>
          <w:color w:val="auto"/>
        </w:rPr>
      </w:pPr>
    </w:p>
    <w:p>
      <w:pPr>
        <w:ind w:right="20" w:firstLine="443"/>
        <w:spacing w:after="0" w:line="259" w:lineRule="auto"/>
        <w:tabs>
          <w:tab w:leader="none" w:pos="677"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w:t>
      </w:r>
    </w:p>
    <w:p>
      <w:pPr>
        <w:spacing w:after="0" w:line="12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40"/>
          </w:cols>
          <w:pgMar w:left="700" w:top="274" w:right="359" w:bottom="1440" w:gutter="0" w:footer="0" w:header="0"/>
        </w:sectPr>
      </w:pPr>
    </w:p>
    <w:bookmarkStart w:id="54" w:name="page55"/>
    <w:bookmarkEnd w:id="54"/>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existing at the time, not 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66" w:lineRule="exact"/>
        <w:rPr>
          <w:sz w:val="20"/>
          <w:szCs w:val="20"/>
          <w:color w:val="auto"/>
        </w:rPr>
      </w:pPr>
    </w:p>
    <w:p>
      <w:pPr>
        <w:ind w:right="80" w:firstLine="443"/>
        <w:spacing w:after="0" w:line="308" w:lineRule="auto"/>
        <w:tabs>
          <w:tab w:leader="none" w:pos="657" w:val="left"/>
        </w:tabs>
        <w:numPr>
          <w:ilvl w:val="0"/>
          <w:numId w:val="40"/>
        </w:numPr>
        <w:rPr>
          <w:rFonts w:ascii="Arial" w:cs="Arial" w:eastAsia="Arial" w:hAnsi="Arial"/>
          <w:sz w:val="15"/>
          <w:szCs w:val="15"/>
          <w:color w:val="auto"/>
        </w:rPr>
      </w:pPr>
      <w:r>
        <w:rPr>
          <w:rFonts w:ascii="Arial" w:cs="Arial" w:eastAsia="Arial" w:hAnsi="Arial"/>
          <w:sz w:val="15"/>
          <w:szCs w:val="15"/>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28" w:lineRule="exact"/>
        <w:rPr>
          <w:rFonts w:ascii="Arial" w:cs="Arial" w:eastAsia="Arial" w:hAnsi="Arial"/>
          <w:sz w:val="15"/>
          <w:szCs w:val="15"/>
          <w:color w:val="auto"/>
        </w:rPr>
      </w:pPr>
    </w:p>
    <w:p>
      <w:pPr>
        <w:ind w:right="180" w:firstLine="443"/>
        <w:spacing w:after="0" w:line="332" w:lineRule="auto"/>
        <w:tabs>
          <w:tab w:leader="none" w:pos="687"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4" w:lineRule="exact"/>
        <w:rPr>
          <w:rFonts w:ascii="Arial" w:cs="Arial" w:eastAsia="Arial" w:hAnsi="Arial"/>
          <w:sz w:val="16"/>
          <w:szCs w:val="16"/>
          <w:color w:val="auto"/>
        </w:rPr>
      </w:pPr>
    </w:p>
    <w:p>
      <w:pPr>
        <w:ind w:right="440" w:firstLine="443"/>
        <w:spacing w:after="0" w:line="332" w:lineRule="auto"/>
        <w:tabs>
          <w:tab w:leader="none" w:pos="687"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make generally available to the Company’s security holders as soon as practicable an earning statement covering a twelve month period beginning after the date of this Agreement, which shall satisfy the provisions of Section 11(a) of the Securities Act and the applicable rules</w:t>
      </w:r>
    </w:p>
    <w:p>
      <w:pPr>
        <w:spacing w:after="0" w:line="7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0"/>
          </w:cols>
          <w:pgMar w:left="700" w:top="280" w:right="299" w:bottom="1440" w:gutter="0" w:footer="0" w:header="0"/>
        </w:sectPr>
      </w:pPr>
    </w:p>
    <w:bookmarkStart w:id="55" w:name="page56"/>
    <w:bookmarkEnd w:id="55"/>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regulations thereunder; it being intended that the Company will satisfy the foregoing obligations by making available in the manner provided for by Rule 158 of the Securities Act copies of its annual report on Form 10-K and its current reports on Form 10-Q.</w:t>
      </w:r>
    </w:p>
    <w:p>
      <w:pPr>
        <w:spacing w:after="0" w:line="51" w:lineRule="exact"/>
        <w:rPr>
          <w:sz w:val="20"/>
          <w:szCs w:val="20"/>
          <w:color w:val="auto"/>
        </w:rPr>
      </w:pPr>
    </w:p>
    <w:p>
      <w:pPr>
        <w:ind w:right="40" w:firstLine="443"/>
        <w:spacing w:after="0" w:line="305" w:lineRule="auto"/>
        <w:tabs>
          <w:tab w:leader="none" w:pos="648" w:val="left"/>
        </w:tabs>
        <w:numPr>
          <w:ilvl w:val="1"/>
          <w:numId w:val="41"/>
        </w:numPr>
        <w:rPr>
          <w:rFonts w:ascii="Arial" w:cs="Arial" w:eastAsia="Arial" w:hAnsi="Arial"/>
          <w:sz w:val="15"/>
          <w:szCs w:val="15"/>
          <w:color w:val="auto"/>
        </w:rPr>
      </w:pPr>
      <w:r>
        <w:rPr>
          <w:rFonts w:ascii="Arial" w:cs="Arial" w:eastAsia="Arial" w:hAnsi="Arial"/>
          <w:sz w:val="15"/>
          <w:szCs w:val="15"/>
          <w:color w:val="auto"/>
        </w:rPr>
        <w:t>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w:t>
      </w:r>
    </w:p>
    <w:p>
      <w:pPr>
        <w:ind w:left="220" w:hanging="216"/>
        <w:spacing w:after="0"/>
        <w:tabs>
          <w:tab w:leader="none" w:pos="2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Offered Securities or (ii) commercial paper issued in the ordinary course of business) without the prior written consent of the Manager.</w:t>
      </w:r>
    </w:p>
    <w:p>
      <w:pPr>
        <w:spacing w:after="0" w:line="106" w:lineRule="exact"/>
        <w:rPr>
          <w:rFonts w:ascii="Arial" w:cs="Arial" w:eastAsia="Arial" w:hAnsi="Arial"/>
          <w:sz w:val="16"/>
          <w:szCs w:val="16"/>
          <w:color w:val="auto"/>
        </w:rPr>
      </w:pPr>
    </w:p>
    <w:p>
      <w:pPr>
        <w:ind w:right="100" w:firstLine="443"/>
        <w:spacing w:after="0" w:line="306" w:lineRule="auto"/>
        <w:tabs>
          <w:tab w:leader="none" w:pos="648" w:val="left"/>
        </w:tabs>
        <w:numPr>
          <w:ilvl w:val="1"/>
          <w:numId w:val="42"/>
        </w:numPr>
        <w:rPr>
          <w:rFonts w:ascii="Arial" w:cs="Arial" w:eastAsia="Arial" w:hAnsi="Arial"/>
          <w:sz w:val="16"/>
          <w:szCs w:val="16"/>
          <w:color w:val="auto"/>
        </w:rPr>
      </w:pPr>
      <w:r>
        <w:rPr>
          <w:rFonts w:ascii="Arial" w:cs="Arial" w:eastAsia="Arial" w:hAnsi="Arial"/>
          <w:sz w:val="16"/>
          <w:szCs w:val="16"/>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182"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V.</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represents and warrants to each Underwriter as of the date of the Underwriting Agreement that:</w:t>
      </w:r>
    </w:p>
    <w:p>
      <w:pPr>
        <w:spacing w:after="0" w:line="90" w:lineRule="exact"/>
        <w:rPr>
          <w:sz w:val="20"/>
          <w:szCs w:val="20"/>
          <w:color w:val="auto"/>
        </w:rPr>
      </w:pPr>
    </w:p>
    <w:p>
      <w:pPr>
        <w:ind w:right="80" w:firstLine="443"/>
        <w:spacing w:after="0" w:line="298" w:lineRule="auto"/>
        <w:tabs>
          <w:tab w:leader="none" w:pos="677"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31" w:lineRule="exact"/>
        <w:rPr>
          <w:rFonts w:ascii="Arial" w:cs="Arial" w:eastAsia="Arial" w:hAnsi="Arial"/>
          <w:sz w:val="16"/>
          <w:szCs w:val="16"/>
          <w:color w:val="auto"/>
        </w:rPr>
      </w:pPr>
    </w:p>
    <w:p>
      <w:pPr>
        <w:ind w:firstLine="443"/>
        <w:spacing w:after="0" w:line="294" w:lineRule="auto"/>
        <w:tabs>
          <w:tab w:leader="none" w:pos="687" w:val="left"/>
        </w:tabs>
        <w:numPr>
          <w:ilvl w:val="0"/>
          <w:numId w:val="43"/>
        </w:numPr>
        <w:rPr>
          <w:rFonts w:ascii="Arial" w:cs="Arial" w:eastAsia="Arial" w:hAnsi="Arial"/>
          <w:sz w:val="16"/>
          <w:szCs w:val="16"/>
          <w:color w:val="auto"/>
        </w:rPr>
      </w:pPr>
      <w:r>
        <w:rPr>
          <w:rFonts w:ascii="Arial" w:cs="Arial" w:eastAsia="Arial" w:hAnsi="Arial"/>
          <w:sz w:val="16"/>
          <w:szCs w:val="16"/>
          <w:color w:val="auto"/>
        </w:rPr>
        <w:t>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700" w:top="280" w:right="259" w:bottom="1440" w:gutter="0" w:footer="0" w:header="0"/>
        </w:sectPr>
      </w:pPr>
    </w:p>
    <w:bookmarkStart w:id="56" w:name="page57"/>
    <w:bookmarkEnd w:id="56"/>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untrue statement of a material fact or omit to state a material fact required to be stated therein or necessary to make the statements therein not misleading,</w:t>
      </w:r>
    </w:p>
    <w:p>
      <w:pPr>
        <w:spacing w:after="0" w:line="50" w:lineRule="exact"/>
        <w:rPr>
          <w:sz w:val="20"/>
          <w:szCs w:val="20"/>
          <w:color w:val="auto"/>
        </w:rPr>
      </w:pPr>
    </w:p>
    <w:p>
      <w:pPr>
        <w:ind w:right="20" w:firstLine="4"/>
        <w:spacing w:after="0" w:line="285" w:lineRule="auto"/>
        <w:tabs>
          <w:tab w:leader="none" w:pos="307"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 for use therein or (B) that part of the Registration Statement that constitutes the Statement of Eligibility (Form T-1) under the Trust Indenture Act of the Trustee.</w:t>
      </w:r>
    </w:p>
    <w:p>
      <w:pPr>
        <w:spacing w:after="0" w:line="43" w:lineRule="exact"/>
        <w:rPr>
          <w:rFonts w:ascii="Arial" w:cs="Arial" w:eastAsia="Arial" w:hAnsi="Arial"/>
          <w:sz w:val="16"/>
          <w:szCs w:val="16"/>
          <w:color w:val="auto"/>
        </w:rPr>
      </w:pPr>
    </w:p>
    <w:p>
      <w:pPr>
        <w:ind w:firstLine="443"/>
        <w:spacing w:after="0" w:line="289" w:lineRule="auto"/>
        <w:tabs>
          <w:tab w:leader="none" w:pos="677"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700" w:top="280" w:right="259" w:bottom="1440" w:gutter="0" w:footer="0" w:header="0"/>
        </w:sectPr>
      </w:pPr>
    </w:p>
    <w:bookmarkStart w:id="57" w:name="page58"/>
    <w:bookmarkEnd w:id="57"/>
    <w:p>
      <w:pPr>
        <w:ind w:firstLine="443"/>
        <w:spacing w:after="0" w:line="255" w:lineRule="auto"/>
        <w:tabs>
          <w:tab w:leader="none" w:pos="687"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has been duly incorporated, is validly existing as a corporation in good standing under the laws of the jurisdiction of its incorporation, has the corporate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61" w:lineRule="exact"/>
        <w:rPr>
          <w:rFonts w:ascii="Arial" w:cs="Arial" w:eastAsia="Arial" w:hAnsi="Arial"/>
          <w:sz w:val="18"/>
          <w:szCs w:val="18"/>
          <w:color w:val="auto"/>
        </w:rPr>
      </w:pPr>
    </w:p>
    <w:p>
      <w:pPr>
        <w:jc w:val="both"/>
        <w:ind w:right="160" w:firstLine="443"/>
        <w:spacing w:after="0" w:line="259" w:lineRule="auto"/>
        <w:tabs>
          <w:tab w:leader="none" w:pos="6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59" w:lineRule="exact"/>
        <w:rPr>
          <w:rFonts w:ascii="Arial" w:cs="Arial" w:eastAsia="Arial" w:hAnsi="Arial"/>
          <w:sz w:val="18"/>
          <w:szCs w:val="18"/>
          <w:color w:val="auto"/>
        </w:rPr>
      </w:pPr>
    </w:p>
    <w:p>
      <w:pPr>
        <w:ind w:right="20" w:firstLine="443"/>
        <w:spacing w:after="0" w:line="254" w:lineRule="auto"/>
        <w:tabs>
          <w:tab w:leader="none" w:pos="657"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Debt Securities are the Offered Securities, (i) such Debt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63" w:lineRule="exact"/>
        <w:rPr>
          <w:rFonts w:ascii="Arial" w:cs="Arial" w:eastAsia="Arial" w:hAnsi="Arial"/>
          <w:sz w:val="18"/>
          <w:szCs w:val="18"/>
          <w:color w:val="auto"/>
        </w:rPr>
      </w:pPr>
    </w:p>
    <w:p>
      <w:pPr>
        <w:ind w:firstLine="443"/>
        <w:spacing w:after="0" w:line="255" w:lineRule="auto"/>
        <w:tabs>
          <w:tab w:leader="none" w:pos="687"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Warrants are Offered Securities, (i)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(ii) the Warrant Agreement has been duly authorized, executed and delivered by, and is a valid and binding agreement of, the Company, enforceable in accordance with its terms, subject to the Enforceability Exceptions.</w:t>
      </w:r>
    </w:p>
    <w:p>
      <w:pPr>
        <w:spacing w:after="0" w:line="61" w:lineRule="exact"/>
        <w:rPr>
          <w:rFonts w:ascii="Arial" w:cs="Arial" w:eastAsia="Arial" w:hAnsi="Arial"/>
          <w:sz w:val="18"/>
          <w:szCs w:val="18"/>
          <w:color w:val="auto"/>
        </w:rPr>
      </w:pPr>
    </w:p>
    <w:p>
      <w:pPr>
        <w:ind w:right="120" w:firstLine="443"/>
        <w:spacing w:after="0" w:line="268" w:lineRule="auto"/>
        <w:tabs>
          <w:tab w:leader="none" w:pos="687"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Units are Offered Securities, (i) such Units have been duly authorized and, when executed and delivered in accordance with the provisions of the Unit Agreement and delivered to and paid for by the</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0"/>
          </w:cols>
          <w:pgMar w:left="700" w:top="280" w:right="299" w:bottom="1440" w:gutter="0" w:footer="0" w:header="0"/>
        </w:sectPr>
      </w:pPr>
    </w:p>
    <w:bookmarkStart w:id="58" w:name="page59"/>
    <w:bookmarkEnd w:id="58"/>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Underwriters in accordance with the terms of this Agreement, such Units will be valid and binding obligations of the Company, enforceable in accordance with their terms, subject to the Enforceability Exceptions and (ii) the Unit Agreement has been duly authorized, executed and delivered by, and is a valid and binding agreement of, the Company, enforceable in accordance with its terms, subject to the Enforceability Exceptions.</w:t>
      </w:r>
    </w:p>
    <w:p>
      <w:pPr>
        <w:spacing w:after="0" w:line="26" w:lineRule="exact"/>
        <w:rPr>
          <w:sz w:val="20"/>
          <w:szCs w:val="20"/>
          <w:color w:val="auto"/>
        </w:rPr>
      </w:pPr>
    </w:p>
    <w:p>
      <w:pPr>
        <w:ind w:left="660" w:hanging="217"/>
        <w:spacing w:after="0"/>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90" w:lineRule="exact"/>
        <w:rPr>
          <w:rFonts w:ascii="Arial" w:cs="Arial" w:eastAsia="Arial" w:hAnsi="Arial"/>
          <w:sz w:val="18"/>
          <w:szCs w:val="18"/>
          <w:color w:val="auto"/>
        </w:rPr>
      </w:pPr>
    </w:p>
    <w:p>
      <w:pPr>
        <w:ind w:right="60" w:firstLine="443"/>
        <w:spacing w:after="0" w:line="305" w:lineRule="auto"/>
        <w:tabs>
          <w:tab w:leader="none" w:pos="648" w:val="left"/>
        </w:tabs>
        <w:numPr>
          <w:ilvl w:val="1"/>
          <w:numId w:val="46"/>
        </w:numPr>
        <w:rPr>
          <w:rFonts w:ascii="Arial" w:cs="Arial" w:eastAsia="Arial" w:hAnsi="Arial"/>
          <w:sz w:val="15"/>
          <w:szCs w:val="15"/>
          <w:color w:val="auto"/>
        </w:rPr>
      </w:pPr>
      <w:r>
        <w:rPr>
          <w:rFonts w:ascii="Arial" w:cs="Arial" w:eastAsia="Arial" w:hAnsi="Arial"/>
          <w:sz w:val="15"/>
          <w:szCs w:val="15"/>
          <w:color w:val="auto"/>
        </w:rPr>
        <w:t>The execution and delivery by the Company of, and the performance by the Company of its obligations under, this Agreement and, as applicable, each other Transaction Document will not contravene (i) any provision of applicable law, (ii) the certificate of incorporation or by-laws of the Company,</w:t>
      </w:r>
    </w:p>
    <w:p>
      <w:pPr>
        <w:jc w:val="both"/>
        <w:ind w:firstLine="4"/>
        <w:spacing w:after="0" w:line="331" w:lineRule="auto"/>
        <w:tabs>
          <w:tab w:leader="none" w:pos="307" w:val="left"/>
        </w:tabs>
        <w:numPr>
          <w:ilvl w:val="0"/>
          <w:numId w:val="47"/>
        </w:numPr>
        <w:rPr>
          <w:rFonts w:ascii="Arial" w:cs="Arial" w:eastAsia="Arial" w:hAnsi="Arial"/>
          <w:sz w:val="15"/>
          <w:szCs w:val="15"/>
          <w:color w:val="auto"/>
        </w:rPr>
      </w:pPr>
      <w:r>
        <w:rPr>
          <w:rFonts w:ascii="Arial" w:cs="Arial" w:eastAsia="Arial" w:hAnsi="Arial"/>
          <w:sz w:val="15"/>
          <w:szCs w:val="15"/>
          <w:color w:val="auto"/>
        </w:rPr>
        <w:t>any agreement or other instrument binding upon the Company or any of its subsidiaries, or (iv) any judgment, order or decree of any governmental body, agency or court having jurisdiction over the Company or any subsidiary of the Company except, in the case of clauses (i), (iii) and (iv) above, as would not, individually or in the aggregate, reasonably be expected to have a material adverse effect on the Company and its subsidiaries, taken as a whole.</w:t>
      </w:r>
    </w:p>
    <w:p>
      <w:pPr>
        <w:spacing w:after="0" w:line="9" w:lineRule="exact"/>
        <w:rPr>
          <w:rFonts w:ascii="Arial" w:cs="Arial" w:eastAsia="Arial" w:hAnsi="Arial"/>
          <w:sz w:val="15"/>
          <w:szCs w:val="15"/>
          <w:color w:val="auto"/>
        </w:rPr>
      </w:pPr>
    </w:p>
    <w:p>
      <w:pPr>
        <w:jc w:val="both"/>
        <w:ind w:right="160" w:firstLine="443"/>
        <w:spacing w:after="0" w:line="259" w:lineRule="auto"/>
        <w:tabs>
          <w:tab w:leader="none" w:pos="687" w:val="left"/>
        </w:tabs>
        <w:numPr>
          <w:ilvl w:val="1"/>
          <w:numId w:val="47"/>
        </w:numPr>
        <w:rPr>
          <w:rFonts w:ascii="Arial" w:cs="Arial" w:eastAsia="Arial" w:hAnsi="Arial"/>
          <w:sz w:val="18"/>
          <w:szCs w:val="18"/>
          <w:color w:val="auto"/>
        </w:rPr>
      </w:pPr>
      <w:r>
        <w:rPr>
          <w:rFonts w:ascii="Arial" w:cs="Arial" w:eastAsia="Arial" w:hAnsi="Arial"/>
          <w:sz w:val="18"/>
          <w:szCs w:val="18"/>
          <w:color w:val="auto"/>
        </w:rPr>
        <w:t>No consent, approval, authorization or order of, or qualification with, any governmental body or agency is required for the performance by the Company of its obligations under this Agreement or the applicable Transaction Documents, except such as may be required by the securities or Blue Sky laws of the various states in connection with the offer and sale of the Offered Securities.</w:t>
      </w:r>
    </w:p>
    <w:p>
      <w:pPr>
        <w:spacing w:after="0" w:line="59" w:lineRule="exact"/>
        <w:rPr>
          <w:rFonts w:ascii="Arial" w:cs="Arial" w:eastAsia="Arial" w:hAnsi="Arial"/>
          <w:sz w:val="18"/>
          <w:szCs w:val="18"/>
          <w:color w:val="auto"/>
        </w:rPr>
      </w:pPr>
    </w:p>
    <w:p>
      <w:pPr>
        <w:ind w:right="220" w:firstLine="443"/>
        <w:spacing w:after="0" w:line="259" w:lineRule="auto"/>
        <w:tabs>
          <w:tab w:leader="none" w:pos="648"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59" w:lineRule="exact"/>
        <w:rPr>
          <w:rFonts w:ascii="Arial" w:cs="Arial" w:eastAsia="Arial" w:hAnsi="Arial"/>
          <w:sz w:val="18"/>
          <w:szCs w:val="18"/>
          <w:color w:val="auto"/>
        </w:rPr>
      </w:pPr>
    </w:p>
    <w:p>
      <w:pPr>
        <w:ind w:firstLine="443"/>
        <w:spacing w:after="0" w:line="294" w:lineRule="auto"/>
        <w:tabs>
          <w:tab w:leader="none" w:pos="736"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10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700" w:top="280" w:right="279" w:bottom="1440" w:gutter="0" w:footer="0" w:header="0"/>
        </w:sectPr>
      </w:pPr>
    </w:p>
    <w:bookmarkStart w:id="59" w:name="page60"/>
    <w:bookmarkEnd w:id="59"/>
    <w:p>
      <w:pPr>
        <w:ind w:left="460" w:firstLine="443"/>
        <w:spacing w:after="0" w:line="259" w:lineRule="auto"/>
        <w:tabs>
          <w:tab w:leader="none" w:pos="1147"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59"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w:t>
      </w:r>
    </w:p>
    <w:p>
      <w:pPr>
        <w:spacing w:after="0" w:line="177" w:lineRule="exact"/>
        <w:rPr>
          <w:sz w:val="20"/>
          <w:szCs w:val="20"/>
          <w:color w:val="auto"/>
        </w:rPr>
      </w:pPr>
    </w:p>
    <w:p>
      <w:pPr>
        <w:ind w:right="280" w:firstLine="456"/>
        <w:spacing w:after="0" w:line="288" w:lineRule="auto"/>
        <w:rPr>
          <w:sz w:val="20"/>
          <w:szCs w:val="20"/>
          <w:color w:val="auto"/>
        </w:rPr>
      </w:pPr>
      <w:r>
        <w:rPr>
          <w:rFonts w:ascii="Arial" w:cs="Arial" w:eastAsia="Arial" w:hAnsi="Arial"/>
          <w:sz w:val="16"/>
          <w:szCs w:val="16"/>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12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 preliminary prospectus, the Time of Sale Prospectus, any issuer free writing prospectus or the Prospectus or any amendment or supplement thereto.</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In case any proceeding (including any governmental investigation) shall be instituted involving any person in respect of which indemnity may be sought pursuant to either of the two preceding paragraphs, such person (the </w:t>
      </w:r>
      <w:r>
        <w:rPr>
          <w:rFonts w:ascii="Arial" w:cs="Arial" w:eastAsia="Arial" w:hAnsi="Arial"/>
          <w:sz w:val="18"/>
          <w:szCs w:val="18"/>
          <w:b w:val="1"/>
          <w:bCs w:val="1"/>
          <w:color w:val="auto"/>
        </w:rPr>
        <w:t>“indemnified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280" w:right="319" w:bottom="1440" w:gutter="0" w:footer="0" w:header="0"/>
        </w:sectPr>
      </w:pPr>
    </w:p>
    <w:bookmarkStart w:id="60" w:name="page61"/>
    <w:bookmarkEnd w:id="60"/>
    <w:p>
      <w:pPr>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w:t>
      </w:r>
      <w:r>
        <w:rPr>
          <w:rFonts w:ascii="Arial" w:cs="Arial" w:eastAsia="Arial" w:hAnsi="Arial"/>
          <w:sz w:val="16"/>
          <w:szCs w:val="16"/>
          <w:b w:val="1"/>
          <w:bCs w:val="1"/>
          <w:color w:val="auto"/>
        </w:rPr>
        <w:t xml:space="preserve"> </w:t>
      </w:r>
      <w:r>
        <w:rPr>
          <w:rFonts w:ascii="Arial" w:cs="Arial" w:eastAsia="Arial" w:hAnsi="Arial"/>
          <w:sz w:val="16"/>
          <w:szCs w:val="16"/>
          <w:color w:val="auto"/>
        </w:rPr>
        <w:t>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3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If the indemnification provided for in this Article VI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 (ii) if the allocation provided by clause (i) above is not permitted by applicable law, such proportion as is appropriate to reflect not only the relative benefits referred to in clause (i) above but also the relative fault of the Company on the one hand and of the Underwriters on the other in connection with the statements or omissions which</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61" w:name="page62"/>
    <w:bookmarkEnd w:id="61"/>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1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2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62" w:name="page63"/>
    <w:bookmarkEnd w:id="62"/>
    <w:p>
      <w:pPr>
        <w:ind w:left="5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VII.</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further consideration of the agreements of the Company herein contained, each Underwriter severally covenants as follows:</w:t>
      </w:r>
    </w:p>
    <w:p>
      <w:pPr>
        <w:spacing w:after="0" w:line="90" w:lineRule="exact"/>
        <w:rPr>
          <w:sz w:val="20"/>
          <w:szCs w:val="20"/>
          <w:color w:val="auto"/>
        </w:rPr>
      </w:pPr>
    </w:p>
    <w:p>
      <w:pPr>
        <w:ind w:left="460" w:right="120" w:firstLine="443"/>
        <w:spacing w:after="0" w:line="259" w:lineRule="auto"/>
        <w:tabs>
          <w:tab w:leader="none" w:pos="1137"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59" w:lineRule="exact"/>
        <w:rPr>
          <w:rFonts w:ascii="Arial" w:cs="Arial" w:eastAsia="Arial" w:hAnsi="Arial"/>
          <w:sz w:val="18"/>
          <w:szCs w:val="18"/>
          <w:color w:val="auto"/>
        </w:rPr>
      </w:pPr>
    </w:p>
    <w:p>
      <w:pPr>
        <w:ind w:left="460" w:firstLine="443"/>
        <w:spacing w:after="0" w:line="291" w:lineRule="auto"/>
        <w:tabs>
          <w:tab w:leader="none" w:pos="1147"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Not to use, refer to or distribute any free writing prospectus except (i) a free writing prospectus that (A) is not an issuer free writing prospectus and (B)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 (ii) 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VIII.</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the American Stock Exchange or the NASDAQ Global Market, (ii) trading of any securities of the Company shall have been suspended on the New York Stock Exchange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(b) in the case of any of the events specified in clauses (a)(i) through (iv), such event singly or together with any other such event makes it, in the Manager’s judgment, impracticable to market the Offered Securities on the terms, in the manner and substantially at the price contemplated in the Time of Sale Prospectus and this Agreement. Any such termination of this Agreement shall be without liability on the part of any Manager or on the part of the Company except as stated in Article IX.</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IX.</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 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2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acknowledges and agrees that the Underwriters are acting solely in the capacity of an arm’s length contractual counterparty to the Company with respect to the offering of Offered Securities contemplated hereby (including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64" w:name="page65"/>
    <w:bookmarkEnd w:id="6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2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132" w:lineRule="exact"/>
        <w:rPr>
          <w:sz w:val="20"/>
          <w:szCs w:val="20"/>
          <w:color w:val="auto"/>
        </w:rPr>
      </w:pPr>
    </w:p>
    <w:p>
      <w:pPr>
        <w:jc w:val="center"/>
        <w:ind w:left="420" w:right="280"/>
        <w:spacing w:after="0" w:line="440"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32</w:t>
      </w:r>
    </w:p>
    <w:p>
      <w:pPr>
        <w:sectPr>
          <w:pgSz w:w="11900" w:h="16838" w:orient="portrait"/>
          <w:cols w:equalWidth="0" w:num="1">
            <w:col w:w="11360"/>
          </w:cols>
          <w:pgMar w:left="240" w:top="280" w:right="29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210185</wp:posOffset>
            </wp:positionV>
            <wp:extent cx="725043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TEXAS INSTRUMENTS INCORPORATED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U.S. BANK NATIONAL ASSOCIATION</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Trustee</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INDENTURE</w:t>
      </w:r>
    </w:p>
    <w:p>
      <w:pPr>
        <w:spacing w:after="0" w:line="17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Dated as of _______________,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309245</wp:posOffset>
            </wp:positionV>
            <wp:extent cx="725043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28"/>
        </w:trPr>
        <w:tc>
          <w:tcPr>
            <w:tcW w:w="4740" w:type="dxa"/>
            <w:vAlign w:val="bottom"/>
          </w:tcPr>
          <w:p>
            <w:pPr>
              <w:spacing w:after="0"/>
              <w:rPr>
                <w:sz w:val="19"/>
                <w:szCs w:val="19"/>
                <w:color w:val="auto"/>
              </w:rPr>
            </w:pPr>
          </w:p>
        </w:tc>
        <w:tc>
          <w:tcPr>
            <w:tcW w:w="6340" w:type="dxa"/>
            <w:vAlign w:val="bottom"/>
            <w:gridSpan w:val="2"/>
          </w:tcPr>
          <w:p>
            <w:pPr>
              <w:ind w:left="4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74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4380" w:type="dxa"/>
            <w:vAlign w:val="bottom"/>
          </w:tcPr>
          <w:p>
            <w:pPr>
              <w:spacing w:after="0"/>
              <w:rPr>
                <w:sz w:val="16"/>
                <w:szCs w:val="16"/>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P</w:t>
            </w:r>
            <w:r>
              <w:rPr>
                <w:rFonts w:ascii="Arial" w:cs="Arial" w:eastAsia="Arial" w:hAnsi="Arial"/>
                <w:sz w:val="11"/>
                <w:szCs w:val="11"/>
                <w:b w:val="1"/>
                <w:bCs w:val="1"/>
                <w:color w:val="auto"/>
                <w:w w:val="96"/>
              </w:rPr>
              <w:t>AGE</w:t>
            </w:r>
          </w:p>
        </w:tc>
        <w:tc>
          <w:tcPr>
            <w:tcW w:w="0" w:type="dxa"/>
            <w:vAlign w:val="bottom"/>
          </w:tcPr>
          <w:p>
            <w:pPr>
              <w:spacing w:after="0"/>
              <w:rPr>
                <w:sz w:val="1"/>
                <w:szCs w:val="1"/>
                <w:color w:val="auto"/>
              </w:rPr>
            </w:pPr>
          </w:p>
        </w:tc>
      </w:tr>
      <w:tr>
        <w:trPr>
          <w:trHeight w:val="539"/>
        </w:trPr>
        <w:tc>
          <w:tcPr>
            <w:tcW w:w="4740" w:type="dxa"/>
            <w:vAlign w:val="bottom"/>
          </w:tcPr>
          <w:p>
            <w:pPr>
              <w:spacing w:after="0"/>
              <w:rPr>
                <w:sz w:val="24"/>
                <w:szCs w:val="24"/>
                <w:color w:val="auto"/>
              </w:rPr>
            </w:pPr>
          </w:p>
        </w:tc>
        <w:tc>
          <w:tcPr>
            <w:tcW w:w="6340" w:type="dxa"/>
            <w:vAlign w:val="bottom"/>
            <w:gridSpan w:val="2"/>
            <w:vMerge w:val="restart"/>
          </w:tcPr>
          <w:p>
            <w:pPr>
              <w:jc w:val="center"/>
              <w:ind w:right="5160"/>
              <w:spacing w:after="0"/>
              <w:rPr>
                <w:sz w:val="20"/>
                <w:szCs w:val="20"/>
                <w:color w:val="auto"/>
              </w:rPr>
            </w:pPr>
            <w:r>
              <w:rPr>
                <w:rFonts w:ascii="Arial" w:cs="Arial" w:eastAsia="Arial" w:hAnsi="Arial"/>
                <w:sz w:val="18"/>
                <w:szCs w:val="18"/>
                <w:color w:val="auto"/>
                <w:w w:val="94"/>
              </w:rPr>
              <w:t>ARTICLE 1</w:t>
            </w:r>
          </w:p>
        </w:tc>
        <w:tc>
          <w:tcPr>
            <w:tcW w:w="3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740" w:type="dxa"/>
            <w:vAlign w:val="bottom"/>
          </w:tcPr>
          <w:p>
            <w:pPr>
              <w:spacing w:after="0"/>
              <w:rPr>
                <w:sz w:val="17"/>
                <w:szCs w:val="17"/>
                <w:color w:val="auto"/>
              </w:rPr>
            </w:pPr>
          </w:p>
        </w:tc>
        <w:tc>
          <w:tcPr>
            <w:tcW w:w="63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6340" w:type="dxa"/>
            <w:vAlign w:val="bottom"/>
            <w:gridSpan w:val="2"/>
          </w:tcPr>
          <w:p>
            <w:pPr>
              <w:jc w:val="center"/>
              <w:ind w:right="51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Certain Terms Defined</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26"/>
        </w:trPr>
        <w:tc>
          <w:tcPr>
            <w:tcW w:w="4740" w:type="dxa"/>
            <w:vAlign w:val="bottom"/>
          </w:tcPr>
          <w:p>
            <w:pPr>
              <w:spacing w:after="0"/>
              <w:rPr>
                <w:sz w:val="24"/>
                <w:szCs w:val="24"/>
                <w:color w:val="auto"/>
              </w:rPr>
            </w:pPr>
          </w:p>
        </w:tc>
        <w:tc>
          <w:tcPr>
            <w:tcW w:w="6340" w:type="dxa"/>
            <w:vAlign w:val="bottom"/>
            <w:gridSpan w:val="2"/>
          </w:tcPr>
          <w:p>
            <w:pPr>
              <w:jc w:val="center"/>
              <w:ind w:right="5160"/>
              <w:spacing w:after="0"/>
              <w:rPr>
                <w:sz w:val="20"/>
                <w:szCs w:val="20"/>
                <w:color w:val="auto"/>
              </w:rPr>
            </w:pPr>
            <w:r>
              <w:rPr>
                <w:rFonts w:ascii="Arial" w:cs="Arial" w:eastAsia="Arial" w:hAnsi="Arial"/>
                <w:sz w:val="18"/>
                <w:szCs w:val="18"/>
                <w:color w:val="auto"/>
                <w:w w:val="94"/>
              </w:rPr>
              <w:t>ARTICLE 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740" w:type="dxa"/>
            <w:vAlign w:val="bottom"/>
          </w:tcPr>
          <w:p>
            <w:pPr>
              <w:spacing w:after="0"/>
              <w:rPr>
                <w:sz w:val="19"/>
                <w:szCs w:val="19"/>
                <w:color w:val="auto"/>
              </w:rPr>
            </w:pPr>
          </w:p>
        </w:tc>
        <w:tc>
          <w:tcPr>
            <w:tcW w:w="6340" w:type="dxa"/>
            <w:vAlign w:val="bottom"/>
            <w:gridSpan w:val="2"/>
          </w:tcPr>
          <w:p>
            <w:pPr>
              <w:jc w:val="center"/>
              <w:ind w:right="5180"/>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ECURITIES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Forms Generally</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Form of Trustee’s Certificate of Authentication</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Amount Unlimited; Issuable in Series</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Authentication and Delivery of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Execution of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Certificate of Authentication</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Denomination and Date of Securities; Payments of Interest</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Registration, Transfer and Exchange</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Mutilated, Defaced, Destroyed, Lost and Stolen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Cancellation of Securities; Destruction Thereof</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Temporary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26"/>
        </w:trPr>
        <w:tc>
          <w:tcPr>
            <w:tcW w:w="4740" w:type="dxa"/>
            <w:vAlign w:val="bottom"/>
          </w:tcPr>
          <w:p>
            <w:pPr>
              <w:spacing w:after="0"/>
              <w:rPr>
                <w:sz w:val="24"/>
                <w:szCs w:val="24"/>
                <w:color w:val="auto"/>
              </w:rPr>
            </w:pPr>
          </w:p>
        </w:tc>
        <w:tc>
          <w:tcPr>
            <w:tcW w:w="6340" w:type="dxa"/>
            <w:vAlign w:val="bottom"/>
            <w:gridSpan w:val="2"/>
          </w:tcPr>
          <w:p>
            <w:pPr>
              <w:jc w:val="center"/>
              <w:ind w:right="5160"/>
              <w:spacing w:after="0"/>
              <w:rPr>
                <w:sz w:val="20"/>
                <w:szCs w:val="20"/>
                <w:color w:val="auto"/>
              </w:rPr>
            </w:pPr>
            <w:r>
              <w:rPr>
                <w:rFonts w:ascii="Arial" w:cs="Arial" w:eastAsia="Arial" w:hAnsi="Arial"/>
                <w:sz w:val="18"/>
                <w:szCs w:val="18"/>
                <w:color w:val="auto"/>
                <w:w w:val="94"/>
              </w:rPr>
              <w:t>ARTICLE 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08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OVENANTS OF THE</w:t>
            </w:r>
            <w:r>
              <w:rPr>
                <w:rFonts w:ascii="Arial" w:cs="Arial" w:eastAsia="Arial" w:hAnsi="Arial"/>
                <w:sz w:val="18"/>
                <w:szCs w:val="18"/>
                <w:color w:val="auto"/>
                <w:w w:val="99"/>
              </w:rPr>
              <w:t xml:space="preserve"> I</w:t>
            </w:r>
            <w:r>
              <w:rPr>
                <w:rFonts w:ascii="Arial" w:cs="Arial" w:eastAsia="Arial" w:hAnsi="Arial"/>
                <w:sz w:val="14"/>
                <w:szCs w:val="14"/>
                <w:color w:val="auto"/>
                <w:w w:val="99"/>
              </w:rPr>
              <w:t>SSUER</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Payment of Principal and Interest</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Offices for Payments, Etc</w:t>
            </w: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Appointment to Fill a Vacancy in Office of Trustee</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Paying Agents</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Written Statement to Trustee</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Limitation on Liens</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Limitation on Sale and Leaseback</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26"/>
        </w:trPr>
        <w:tc>
          <w:tcPr>
            <w:tcW w:w="4740" w:type="dxa"/>
            <w:vAlign w:val="bottom"/>
          </w:tcPr>
          <w:p>
            <w:pPr>
              <w:spacing w:after="0"/>
              <w:rPr>
                <w:sz w:val="24"/>
                <w:szCs w:val="24"/>
                <w:color w:val="auto"/>
              </w:rPr>
            </w:pPr>
          </w:p>
        </w:tc>
        <w:tc>
          <w:tcPr>
            <w:tcW w:w="6340" w:type="dxa"/>
            <w:vAlign w:val="bottom"/>
            <w:gridSpan w:val="2"/>
          </w:tcPr>
          <w:p>
            <w:pPr>
              <w:jc w:val="center"/>
              <w:ind w:right="5160"/>
              <w:spacing w:after="0"/>
              <w:rPr>
                <w:sz w:val="20"/>
                <w:szCs w:val="20"/>
                <w:color w:val="auto"/>
              </w:rPr>
            </w:pPr>
            <w:r>
              <w:rPr>
                <w:rFonts w:ascii="Arial" w:cs="Arial" w:eastAsia="Arial" w:hAnsi="Arial"/>
                <w:sz w:val="18"/>
                <w:szCs w:val="18"/>
                <w:color w:val="auto"/>
                <w:w w:val="94"/>
              </w:rPr>
              <w:t>ARTICLE 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08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ECURITYHOLDERS</w:t>
            </w:r>
            <w:r>
              <w:rPr>
                <w:rFonts w:ascii="Arial" w:cs="Arial" w:eastAsia="Arial" w:hAnsi="Arial"/>
                <w:sz w:val="18"/>
                <w:szCs w:val="18"/>
                <w:color w:val="auto"/>
                <w:w w:val="99"/>
              </w:rPr>
              <w:t xml:space="preserve"> L</w:t>
            </w:r>
            <w:r>
              <w:rPr>
                <w:rFonts w:ascii="Arial" w:cs="Arial" w:eastAsia="Arial" w:hAnsi="Arial"/>
                <w:sz w:val="14"/>
                <w:szCs w:val="14"/>
                <w:color w:val="auto"/>
                <w:w w:val="99"/>
              </w:rPr>
              <w:t>ISTS AND</w:t>
            </w:r>
            <w:r>
              <w:rPr>
                <w:rFonts w:ascii="Arial" w:cs="Arial" w:eastAsia="Arial" w:hAnsi="Arial"/>
                <w:sz w:val="18"/>
                <w:szCs w:val="18"/>
                <w:color w:val="auto"/>
                <w:w w:val="99"/>
              </w:rPr>
              <w:t xml:space="preserve"> R</w:t>
            </w:r>
            <w:r>
              <w:rPr>
                <w:rFonts w:ascii="Arial" w:cs="Arial" w:eastAsia="Arial" w:hAnsi="Arial"/>
                <w:sz w:val="14"/>
                <w:szCs w:val="14"/>
                <w:color w:val="auto"/>
                <w:w w:val="99"/>
              </w:rPr>
              <w:t>EPORTS BY THE</w:t>
            </w:r>
            <w:r>
              <w:rPr>
                <w:rFonts w:ascii="Arial" w:cs="Arial" w:eastAsia="Arial" w:hAnsi="Arial"/>
                <w:sz w:val="18"/>
                <w:szCs w:val="18"/>
                <w:color w:val="auto"/>
                <w:w w:val="99"/>
              </w:rPr>
              <w:t xml:space="preserve"> I</w:t>
            </w:r>
            <w:r>
              <w:rPr>
                <w:rFonts w:ascii="Arial" w:cs="Arial" w:eastAsia="Arial" w:hAnsi="Arial"/>
                <w:sz w:val="14"/>
                <w:szCs w:val="14"/>
                <w:color w:val="auto"/>
                <w:w w:val="99"/>
              </w:rPr>
              <w:t>SSUER AND THE</w:t>
            </w:r>
            <w:r>
              <w:rPr>
                <w:rFonts w:ascii="Arial" w:cs="Arial" w:eastAsia="Arial" w:hAnsi="Arial"/>
                <w:sz w:val="18"/>
                <w:szCs w:val="18"/>
                <w:color w:val="auto"/>
                <w:w w:val="99"/>
              </w:rPr>
              <w:t xml:space="preserve"> T</w:t>
            </w:r>
            <w:r>
              <w:rPr>
                <w:rFonts w:ascii="Arial" w:cs="Arial" w:eastAsia="Arial" w:hAnsi="Arial"/>
                <w:sz w:val="14"/>
                <w:szCs w:val="14"/>
                <w:color w:val="auto"/>
                <w:w w:val="99"/>
              </w:rPr>
              <w:t>RUSTEE</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Issuer to Furnish Trustee Information as to Names and Addresses of Securityholders</w:t>
            </w: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Reports by the Issuer</w:t>
            </w: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Reports by the Trustee</w:t>
            </w: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7" w:name="page68"/>
    <w:bookmarkEnd w:id="67"/>
    <w:p>
      <w:pPr>
        <w:jc w:val="center"/>
        <w:ind w:righ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5</w:t>
      </w:r>
    </w:p>
    <w:p>
      <w:pPr>
        <w:spacing w:after="0" w:line="1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EMEDIES OF THE</w:t>
      </w:r>
      <w:r>
        <w:rPr>
          <w:rFonts w:ascii="Arial" w:cs="Arial" w:eastAsia="Arial" w:hAnsi="Arial"/>
          <w:sz w:val="18"/>
          <w:szCs w:val="18"/>
          <w:color w:val="auto"/>
        </w:rPr>
        <w:t xml:space="preserve"> T</w:t>
      </w:r>
      <w:r>
        <w:rPr>
          <w:rFonts w:ascii="Arial" w:cs="Arial" w:eastAsia="Arial" w:hAnsi="Arial"/>
          <w:sz w:val="14"/>
          <w:szCs w:val="14"/>
          <w:color w:val="auto"/>
        </w:rPr>
        <w:t>RUSTEE AND</w:t>
      </w:r>
      <w:r>
        <w:rPr>
          <w:rFonts w:ascii="Arial" w:cs="Arial" w:eastAsia="Arial" w:hAnsi="Arial"/>
          <w:sz w:val="18"/>
          <w:szCs w:val="18"/>
          <w:color w:val="auto"/>
        </w:rPr>
        <w:t xml:space="preserve"> S</w:t>
      </w:r>
      <w:r>
        <w:rPr>
          <w:rFonts w:ascii="Arial" w:cs="Arial" w:eastAsia="Arial" w:hAnsi="Arial"/>
          <w:sz w:val="14"/>
          <w:szCs w:val="14"/>
          <w:color w:val="auto"/>
        </w:rPr>
        <w:t>ECURITYHOLDERS ON</w:t>
      </w:r>
      <w:r>
        <w:rPr>
          <w:rFonts w:ascii="Arial" w:cs="Arial" w:eastAsia="Arial" w:hAnsi="Arial"/>
          <w:sz w:val="18"/>
          <w:szCs w:val="18"/>
          <w:color w:val="auto"/>
        </w:rPr>
        <w:t xml:space="preserve"> E</w:t>
      </w:r>
      <w:r>
        <w:rPr>
          <w:rFonts w:ascii="Arial" w:cs="Arial" w:eastAsia="Arial" w:hAnsi="Arial"/>
          <w:sz w:val="14"/>
          <w:szCs w:val="14"/>
          <w:color w:val="auto"/>
        </w:rPr>
        <w:t>VENT OF</w:t>
      </w:r>
      <w:r>
        <w:rPr>
          <w:rFonts w:ascii="Arial" w:cs="Arial" w:eastAsia="Arial" w:hAnsi="Arial"/>
          <w:sz w:val="18"/>
          <w:szCs w:val="18"/>
          <w:color w:val="auto"/>
        </w:rPr>
        <w:t xml:space="preserve"> D</w:t>
      </w:r>
      <w:r>
        <w:rPr>
          <w:rFonts w:ascii="Arial" w:cs="Arial" w:eastAsia="Arial" w:hAnsi="Arial"/>
          <w:sz w:val="14"/>
          <w:szCs w:val="14"/>
          <w:color w:val="auto"/>
        </w:rPr>
        <w:t>EFAULT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Event of Default Defined; Acceleration of Maturity; Waiver of Default</w:t>
            </w:r>
          </w:p>
        </w:tc>
        <w:tc>
          <w:tcPr>
            <w:tcW w:w="1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Collection of Debt by Trustee; Trustee May Prove Debt</w:t>
            </w:r>
          </w:p>
        </w:tc>
        <w:tc>
          <w:tcPr>
            <w:tcW w:w="1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Application of Proceeds</w:t>
            </w:r>
          </w:p>
        </w:tc>
        <w:tc>
          <w:tcPr>
            <w:tcW w:w="1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Suits for Enforcement</w:t>
            </w:r>
          </w:p>
        </w:tc>
        <w:tc>
          <w:tcPr>
            <w:tcW w:w="1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Restoration of Rights on Abandonment of Proceedings</w:t>
            </w:r>
          </w:p>
        </w:tc>
        <w:tc>
          <w:tcPr>
            <w:tcW w:w="1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i w:val="1"/>
                <w:iCs w:val="1"/>
                <w:color w:val="auto"/>
              </w:rPr>
              <w:t>Limitations on Suits by Securityholders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Unconditional Right of Securityholders to Institute Certain Suits</w:t>
            </w:r>
          </w:p>
        </w:tc>
        <w:tc>
          <w:tcPr>
            <w:tcW w:w="1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Powers and Remedies Cumulative; Delay or Omission Not Waiver of Default</w:t>
            </w:r>
          </w:p>
        </w:tc>
        <w:tc>
          <w:tcPr>
            <w:tcW w:w="1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i w:val="1"/>
                <w:iCs w:val="1"/>
                <w:color w:val="auto"/>
              </w:rPr>
              <w:t>Control by Holders of Securities</w:t>
            </w:r>
          </w:p>
        </w:tc>
        <w:tc>
          <w:tcPr>
            <w:tcW w:w="1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Waiver of Past Defaults</w:t>
            </w:r>
          </w:p>
        </w:tc>
        <w:tc>
          <w:tcPr>
            <w:tcW w:w="1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Trustee to Give Notice of Default, but May Withhold in Certain Circumstances</w:t>
            </w:r>
          </w:p>
        </w:tc>
        <w:tc>
          <w:tcPr>
            <w:tcW w:w="1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2"/>
        </w:trPr>
        <w:tc>
          <w:tcPr>
            <w:tcW w:w="9560" w:type="dxa"/>
            <w:vAlign w:val="bottom"/>
          </w:tcPr>
          <w:p>
            <w:pPr>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Right of Court to Require Filing of Undertaking to Pay Costs</w:t>
            </w:r>
          </w:p>
        </w:tc>
        <w:tc>
          <w:tcPr>
            <w:tcW w:w="1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26"/>
        </w:trPr>
        <w:tc>
          <w:tcPr>
            <w:tcW w:w="9560" w:type="dxa"/>
            <w:vAlign w:val="bottom"/>
          </w:tcPr>
          <w:p>
            <w:pPr>
              <w:jc w:val="center"/>
              <w:ind w:left="1372"/>
              <w:spacing w:after="0"/>
              <w:rPr>
                <w:sz w:val="20"/>
                <w:szCs w:val="20"/>
                <w:color w:val="auto"/>
              </w:rPr>
            </w:pPr>
            <w:r>
              <w:rPr>
                <w:rFonts w:ascii="Arial" w:cs="Arial" w:eastAsia="Arial" w:hAnsi="Arial"/>
                <w:sz w:val="18"/>
                <w:szCs w:val="18"/>
                <w:color w:val="auto"/>
                <w:w w:val="94"/>
              </w:rPr>
              <w:t>ARTICLE 6</w:t>
            </w:r>
          </w:p>
        </w:tc>
        <w:tc>
          <w:tcPr>
            <w:tcW w:w="1860" w:type="dxa"/>
            <w:vAlign w:val="bottom"/>
          </w:tcPr>
          <w:p>
            <w:pPr>
              <w:spacing w:after="0"/>
              <w:rPr>
                <w:sz w:val="24"/>
                <w:szCs w:val="24"/>
                <w:color w:val="auto"/>
              </w:rPr>
            </w:pPr>
          </w:p>
        </w:tc>
      </w:tr>
      <w:tr>
        <w:trPr>
          <w:trHeight w:val="222"/>
        </w:trPr>
        <w:tc>
          <w:tcPr>
            <w:tcW w:w="9560" w:type="dxa"/>
            <w:vAlign w:val="bottom"/>
          </w:tcPr>
          <w:p>
            <w:pPr>
              <w:jc w:val="center"/>
              <w:ind w:left="1392"/>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ONCERNING THE</w:t>
            </w:r>
            <w:r>
              <w:rPr>
                <w:rFonts w:ascii="Arial" w:cs="Arial" w:eastAsia="Arial" w:hAnsi="Arial"/>
                <w:sz w:val="18"/>
                <w:szCs w:val="18"/>
                <w:color w:val="auto"/>
                <w:w w:val="98"/>
              </w:rPr>
              <w:t xml:space="preserve"> T</w:t>
            </w:r>
            <w:r>
              <w:rPr>
                <w:rFonts w:ascii="Arial" w:cs="Arial" w:eastAsia="Arial" w:hAnsi="Arial"/>
                <w:sz w:val="14"/>
                <w:szCs w:val="14"/>
                <w:color w:val="auto"/>
                <w:w w:val="98"/>
              </w:rPr>
              <w:t>RUSTEE</w:t>
            </w:r>
          </w:p>
        </w:tc>
        <w:tc>
          <w:tcPr>
            <w:tcW w:w="1860" w:type="dxa"/>
            <w:vAlign w:val="bottom"/>
          </w:tcPr>
          <w:p>
            <w:pPr>
              <w:spacing w:after="0"/>
              <w:rPr>
                <w:sz w:val="19"/>
                <w:szCs w:val="19"/>
                <w:color w:val="auto"/>
              </w:rPr>
            </w:pPr>
          </w:p>
        </w:tc>
      </w:tr>
      <w:tr>
        <w:trPr>
          <w:trHeight w:val="318"/>
        </w:trPr>
        <w:tc>
          <w:tcPr>
            <w:tcW w:w="9560" w:type="dxa"/>
            <w:vAlign w:val="bottom"/>
          </w:tcPr>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Duties and Responsibilities of the Trustee; During Default; Prior to Default</w:t>
            </w:r>
          </w:p>
        </w:tc>
        <w:tc>
          <w:tcPr>
            <w:tcW w:w="1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Certain Rights of the Trustee</w:t>
            </w:r>
          </w:p>
        </w:tc>
        <w:tc>
          <w:tcPr>
            <w:tcW w:w="1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Trustee Not Responsible for Recitals, Disposition of Securities or Application of Proceeds Thereof</w:t>
            </w:r>
          </w:p>
        </w:tc>
        <w:tc>
          <w:tcPr>
            <w:tcW w:w="1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Trustee and Agents May Hold Securities; Collections, Etc</w:t>
            </w: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Moneys Held by Trustee</w:t>
            </w:r>
          </w:p>
        </w:tc>
        <w:tc>
          <w:tcPr>
            <w:tcW w:w="1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Compensation and Indemnification of Trustee and Its Prior Claim</w:t>
            </w:r>
          </w:p>
        </w:tc>
        <w:tc>
          <w:tcPr>
            <w:tcW w:w="1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Right of Trustee to Rely on Officers’ Certificate, Etc</w:t>
            </w: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Indentures Creating Potential Conflicting Interests for the Trustee</w:t>
            </w:r>
          </w:p>
        </w:tc>
        <w:tc>
          <w:tcPr>
            <w:tcW w:w="18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i w:val="1"/>
                <w:iCs w:val="1"/>
                <w:color w:val="auto"/>
              </w:rPr>
              <w:t>Persons Eligible for Appointment as Trustee</w:t>
            </w:r>
          </w:p>
        </w:tc>
        <w:tc>
          <w:tcPr>
            <w:tcW w:w="18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Resignation and Removal; Appointment of Successor Trustee</w:t>
            </w:r>
          </w:p>
        </w:tc>
        <w:tc>
          <w:tcPr>
            <w:tcW w:w="18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Acceptance of Appointment by Successor Trustee</w:t>
            </w:r>
          </w:p>
        </w:tc>
        <w:tc>
          <w:tcPr>
            <w:tcW w:w="18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9560" w:type="dxa"/>
            <w:vAlign w:val="bottom"/>
          </w:tcPr>
          <w:p>
            <w:pPr>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Merger, Conversion, Consolidation or Succession to Business of Trustee</w:t>
            </w:r>
          </w:p>
        </w:tc>
        <w:tc>
          <w:tcPr>
            <w:tcW w:w="18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26"/>
        </w:trPr>
        <w:tc>
          <w:tcPr>
            <w:tcW w:w="9560" w:type="dxa"/>
            <w:vAlign w:val="bottom"/>
          </w:tcPr>
          <w:p>
            <w:pPr>
              <w:jc w:val="center"/>
              <w:ind w:left="1372"/>
              <w:spacing w:after="0"/>
              <w:rPr>
                <w:sz w:val="20"/>
                <w:szCs w:val="20"/>
                <w:color w:val="auto"/>
              </w:rPr>
            </w:pPr>
            <w:r>
              <w:rPr>
                <w:rFonts w:ascii="Arial" w:cs="Arial" w:eastAsia="Arial" w:hAnsi="Arial"/>
                <w:sz w:val="18"/>
                <w:szCs w:val="18"/>
                <w:color w:val="auto"/>
                <w:w w:val="94"/>
              </w:rPr>
              <w:t>ARTICLE 7</w:t>
            </w:r>
          </w:p>
        </w:tc>
        <w:tc>
          <w:tcPr>
            <w:tcW w:w="1860" w:type="dxa"/>
            <w:vAlign w:val="bottom"/>
          </w:tcPr>
          <w:p>
            <w:pPr>
              <w:spacing w:after="0"/>
              <w:rPr>
                <w:sz w:val="24"/>
                <w:szCs w:val="24"/>
                <w:color w:val="auto"/>
              </w:rPr>
            </w:pPr>
          </w:p>
        </w:tc>
      </w:tr>
      <w:tr>
        <w:trPr>
          <w:trHeight w:val="222"/>
        </w:trPr>
        <w:tc>
          <w:tcPr>
            <w:tcW w:w="9560" w:type="dxa"/>
            <w:vAlign w:val="bottom"/>
          </w:tcPr>
          <w:p>
            <w:pPr>
              <w:jc w:val="center"/>
              <w:ind w:left="1392"/>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ONCERNING THE</w:t>
            </w:r>
            <w:r>
              <w:rPr>
                <w:rFonts w:ascii="Arial" w:cs="Arial" w:eastAsia="Arial" w:hAnsi="Arial"/>
                <w:sz w:val="18"/>
                <w:szCs w:val="18"/>
                <w:color w:val="auto"/>
                <w:w w:val="99"/>
              </w:rPr>
              <w:t xml:space="preserve"> S</w:t>
            </w:r>
            <w:r>
              <w:rPr>
                <w:rFonts w:ascii="Arial" w:cs="Arial" w:eastAsia="Arial" w:hAnsi="Arial"/>
                <w:sz w:val="14"/>
                <w:szCs w:val="14"/>
                <w:color w:val="auto"/>
                <w:w w:val="99"/>
              </w:rPr>
              <w:t>ECURITYHOLDERS</w:t>
            </w:r>
          </w:p>
        </w:tc>
        <w:tc>
          <w:tcPr>
            <w:tcW w:w="1860" w:type="dxa"/>
            <w:vAlign w:val="bottom"/>
          </w:tcPr>
          <w:p>
            <w:pPr>
              <w:spacing w:after="0"/>
              <w:rPr>
                <w:sz w:val="19"/>
                <w:szCs w:val="19"/>
                <w:color w:val="auto"/>
              </w:rPr>
            </w:pPr>
          </w:p>
        </w:tc>
      </w:tr>
      <w:tr>
        <w:trPr>
          <w:trHeight w:val="324"/>
        </w:trPr>
        <w:tc>
          <w:tcPr>
            <w:tcW w:w="9560" w:type="dxa"/>
            <w:vAlign w:val="bottom"/>
          </w:tcPr>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Evidence of Action Taken by Securityholders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65"/>
        </w:trPr>
        <w:tc>
          <w:tcPr>
            <w:tcW w:w="9560" w:type="dxa"/>
            <w:vAlign w:val="bottom"/>
          </w:tcPr>
          <w:p>
            <w:pPr>
              <w:ind w:left="5660"/>
              <w:spacing w:after="0"/>
              <w:rPr>
                <w:sz w:val="20"/>
                <w:szCs w:val="20"/>
                <w:color w:val="auto"/>
              </w:rPr>
            </w:pPr>
            <w:r>
              <w:rPr>
                <w:rFonts w:ascii="Arial" w:cs="Arial" w:eastAsia="Arial" w:hAnsi="Arial"/>
                <w:sz w:val="18"/>
                <w:szCs w:val="18"/>
                <w:color w:val="auto"/>
              </w:rPr>
              <w:t>ii</w:t>
            </w:r>
          </w:p>
        </w:tc>
        <w:tc>
          <w:tcPr>
            <w:tcW w:w="18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68" w:name="page69"/>
    <w:bookmarkEnd w:id="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Proof of Execution of Instruments and of Holding of 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Holders to Be Treated as Owners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Securities Owned by Issuer Deemed Not Outstanding</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2"/>
        </w:trPr>
        <w:tc>
          <w:tcPr>
            <w:tcW w:w="9660" w:type="dxa"/>
            <w:vAlign w:val="bottom"/>
          </w:tcPr>
          <w:p>
            <w:pPr>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Right of Revocation of Action Taken</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26"/>
        </w:trPr>
        <w:tc>
          <w:tcPr>
            <w:tcW w:w="9660" w:type="dxa"/>
            <w:vAlign w:val="bottom"/>
          </w:tcPr>
          <w:p>
            <w:pPr>
              <w:jc w:val="center"/>
              <w:ind w:left="1272"/>
              <w:spacing w:after="0"/>
              <w:rPr>
                <w:sz w:val="20"/>
                <w:szCs w:val="20"/>
                <w:color w:val="auto"/>
              </w:rPr>
            </w:pPr>
            <w:r>
              <w:rPr>
                <w:rFonts w:ascii="Arial" w:cs="Arial" w:eastAsia="Arial" w:hAnsi="Arial"/>
                <w:sz w:val="18"/>
                <w:szCs w:val="18"/>
                <w:color w:val="auto"/>
                <w:w w:val="94"/>
              </w:rPr>
              <w:t>ARTICLE 8</w:t>
            </w:r>
          </w:p>
        </w:tc>
        <w:tc>
          <w:tcPr>
            <w:tcW w:w="1760" w:type="dxa"/>
            <w:vAlign w:val="bottom"/>
          </w:tcPr>
          <w:p>
            <w:pPr>
              <w:spacing w:after="0"/>
              <w:rPr>
                <w:sz w:val="24"/>
                <w:szCs w:val="24"/>
                <w:color w:val="auto"/>
              </w:rPr>
            </w:pPr>
          </w:p>
        </w:tc>
      </w:tr>
      <w:tr>
        <w:trPr>
          <w:trHeight w:val="222"/>
        </w:trPr>
        <w:tc>
          <w:tcPr>
            <w:tcW w:w="9660" w:type="dxa"/>
            <w:vAlign w:val="bottom"/>
          </w:tcPr>
          <w:p>
            <w:pPr>
              <w:jc w:val="center"/>
              <w:ind w:left="129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UPPLEMENTAL</w:t>
            </w:r>
            <w:r>
              <w:rPr>
                <w:rFonts w:ascii="Arial" w:cs="Arial" w:eastAsia="Arial" w:hAnsi="Arial"/>
                <w:sz w:val="18"/>
                <w:szCs w:val="18"/>
                <w:color w:val="auto"/>
              </w:rPr>
              <w:t xml:space="preserve"> I</w:t>
            </w:r>
            <w:r>
              <w:rPr>
                <w:rFonts w:ascii="Arial" w:cs="Arial" w:eastAsia="Arial" w:hAnsi="Arial"/>
                <w:sz w:val="14"/>
                <w:szCs w:val="14"/>
                <w:color w:val="auto"/>
              </w:rPr>
              <w:t>NDENTURES</w:t>
            </w:r>
          </w:p>
        </w:tc>
        <w:tc>
          <w:tcPr>
            <w:tcW w:w="1760" w:type="dxa"/>
            <w:vAlign w:val="bottom"/>
          </w:tcPr>
          <w:p>
            <w:pPr>
              <w:spacing w:after="0"/>
              <w:rPr>
                <w:sz w:val="19"/>
                <w:szCs w:val="19"/>
                <w:color w:val="auto"/>
              </w:rPr>
            </w:pPr>
          </w:p>
        </w:tc>
      </w:tr>
      <w:tr>
        <w:trPr>
          <w:trHeight w:val="318"/>
        </w:trPr>
        <w:tc>
          <w:tcPr>
            <w:tcW w:w="9660" w:type="dxa"/>
            <w:vAlign w:val="bottom"/>
          </w:tcPr>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Supplemental Indentures Without Consent of Securityholders</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Supplemental Indentures With Consent of Securityholders</w:t>
            </w: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Effect of Supplemental Indenture</w:t>
            </w:r>
          </w:p>
        </w:tc>
        <w:tc>
          <w:tcPr>
            <w:tcW w:w="17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Documents to Be Given to Trustee</w:t>
            </w:r>
          </w:p>
        </w:tc>
        <w:tc>
          <w:tcPr>
            <w:tcW w:w="17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9660" w:type="dxa"/>
            <w:vAlign w:val="bottom"/>
          </w:tcPr>
          <w:p>
            <w:pPr>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Notation on Securities in Respect of Supplemental Indentures</w:t>
            </w:r>
          </w:p>
        </w:tc>
        <w:tc>
          <w:tcPr>
            <w:tcW w:w="17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26"/>
        </w:trPr>
        <w:tc>
          <w:tcPr>
            <w:tcW w:w="9660" w:type="dxa"/>
            <w:vAlign w:val="bottom"/>
          </w:tcPr>
          <w:p>
            <w:pPr>
              <w:jc w:val="center"/>
              <w:ind w:left="1272"/>
              <w:spacing w:after="0"/>
              <w:rPr>
                <w:sz w:val="20"/>
                <w:szCs w:val="20"/>
                <w:color w:val="auto"/>
              </w:rPr>
            </w:pPr>
            <w:r>
              <w:rPr>
                <w:rFonts w:ascii="Arial" w:cs="Arial" w:eastAsia="Arial" w:hAnsi="Arial"/>
                <w:sz w:val="18"/>
                <w:szCs w:val="18"/>
                <w:color w:val="auto"/>
                <w:w w:val="94"/>
              </w:rPr>
              <w:t>ARTICLE 9</w:t>
            </w:r>
          </w:p>
        </w:tc>
        <w:tc>
          <w:tcPr>
            <w:tcW w:w="1760" w:type="dxa"/>
            <w:vAlign w:val="bottom"/>
          </w:tcPr>
          <w:p>
            <w:pPr>
              <w:spacing w:after="0"/>
              <w:rPr>
                <w:sz w:val="24"/>
                <w:szCs w:val="24"/>
                <w:color w:val="auto"/>
              </w:rPr>
            </w:pPr>
          </w:p>
        </w:tc>
      </w:tr>
      <w:tr>
        <w:trPr>
          <w:trHeight w:val="222"/>
        </w:trPr>
        <w:tc>
          <w:tcPr>
            <w:tcW w:w="9660" w:type="dxa"/>
            <w:vAlign w:val="bottom"/>
          </w:tcPr>
          <w:p>
            <w:pPr>
              <w:jc w:val="center"/>
              <w:ind w:left="1292"/>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ONSOLIDATION</w:t>
            </w:r>
            <w:r>
              <w:rPr>
                <w:rFonts w:ascii="Arial" w:cs="Arial" w:eastAsia="Arial" w:hAnsi="Arial"/>
                <w:sz w:val="18"/>
                <w:szCs w:val="18"/>
                <w:color w:val="auto"/>
                <w:w w:val="98"/>
              </w:rPr>
              <w:t>, M</w:t>
            </w:r>
            <w:r>
              <w:rPr>
                <w:rFonts w:ascii="Arial" w:cs="Arial" w:eastAsia="Arial" w:hAnsi="Arial"/>
                <w:sz w:val="14"/>
                <w:szCs w:val="14"/>
                <w:color w:val="auto"/>
                <w:w w:val="98"/>
              </w:rPr>
              <w:t>ERGER</w:t>
            </w:r>
            <w:r>
              <w:rPr>
                <w:rFonts w:ascii="Arial" w:cs="Arial" w:eastAsia="Arial" w:hAnsi="Arial"/>
                <w:sz w:val="18"/>
                <w:szCs w:val="18"/>
                <w:color w:val="auto"/>
                <w:w w:val="98"/>
              </w:rPr>
              <w:t>, S</w:t>
            </w:r>
            <w:r>
              <w:rPr>
                <w:rFonts w:ascii="Arial" w:cs="Arial" w:eastAsia="Arial" w:hAnsi="Arial"/>
                <w:sz w:val="14"/>
                <w:szCs w:val="14"/>
                <w:color w:val="auto"/>
                <w:w w:val="98"/>
              </w:rPr>
              <w:t>ALE OR</w:t>
            </w:r>
            <w:r>
              <w:rPr>
                <w:rFonts w:ascii="Arial" w:cs="Arial" w:eastAsia="Arial" w:hAnsi="Arial"/>
                <w:sz w:val="18"/>
                <w:szCs w:val="18"/>
                <w:color w:val="auto"/>
                <w:w w:val="98"/>
              </w:rPr>
              <w:t xml:space="preserve"> C</w:t>
            </w:r>
            <w:r>
              <w:rPr>
                <w:rFonts w:ascii="Arial" w:cs="Arial" w:eastAsia="Arial" w:hAnsi="Arial"/>
                <w:sz w:val="14"/>
                <w:szCs w:val="14"/>
                <w:color w:val="auto"/>
                <w:w w:val="98"/>
              </w:rPr>
              <w:t>ONVEYANCE</w:t>
            </w:r>
          </w:p>
        </w:tc>
        <w:tc>
          <w:tcPr>
            <w:tcW w:w="1760" w:type="dxa"/>
            <w:vAlign w:val="bottom"/>
          </w:tcPr>
          <w:p>
            <w:pPr>
              <w:spacing w:after="0"/>
              <w:rPr>
                <w:sz w:val="19"/>
                <w:szCs w:val="19"/>
                <w:color w:val="auto"/>
              </w:rPr>
            </w:pPr>
          </w:p>
        </w:tc>
      </w:tr>
      <w:tr>
        <w:trPr>
          <w:trHeight w:val="318"/>
        </w:trPr>
        <w:tc>
          <w:tcPr>
            <w:tcW w:w="9660" w:type="dxa"/>
            <w:vAlign w:val="bottom"/>
          </w:tcPr>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Issuer May Consolidate, Etc., on Certain Terms</w:t>
            </w:r>
          </w:p>
        </w:tc>
        <w:tc>
          <w:tcPr>
            <w:tcW w:w="17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Successor Issuer Substituted</w:t>
            </w:r>
          </w:p>
        </w:tc>
        <w:tc>
          <w:tcPr>
            <w:tcW w:w="17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2"/>
        </w:trPr>
        <w:tc>
          <w:tcPr>
            <w:tcW w:w="9660" w:type="dxa"/>
            <w:vAlign w:val="bottom"/>
          </w:tcPr>
          <w:p>
            <w:pPr>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Opinion of Counsel and Officers’ Certificate to Trustee</w:t>
            </w:r>
          </w:p>
        </w:tc>
        <w:tc>
          <w:tcPr>
            <w:tcW w:w="17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26"/>
        </w:trPr>
        <w:tc>
          <w:tcPr>
            <w:tcW w:w="9660" w:type="dxa"/>
            <w:vAlign w:val="bottom"/>
          </w:tcPr>
          <w:p>
            <w:pPr>
              <w:jc w:val="center"/>
              <w:ind w:left="1292"/>
              <w:spacing w:after="0"/>
              <w:rPr>
                <w:sz w:val="20"/>
                <w:szCs w:val="20"/>
                <w:color w:val="auto"/>
              </w:rPr>
            </w:pPr>
            <w:r>
              <w:rPr>
                <w:rFonts w:ascii="Arial" w:cs="Arial" w:eastAsia="Arial" w:hAnsi="Arial"/>
                <w:sz w:val="18"/>
                <w:szCs w:val="18"/>
                <w:color w:val="auto"/>
                <w:w w:val="94"/>
              </w:rPr>
              <w:t>ARTICLE 10</w:t>
            </w:r>
          </w:p>
        </w:tc>
        <w:tc>
          <w:tcPr>
            <w:tcW w:w="1760" w:type="dxa"/>
            <w:vAlign w:val="bottom"/>
          </w:tcPr>
          <w:p>
            <w:pPr>
              <w:spacing w:after="0"/>
              <w:rPr>
                <w:sz w:val="24"/>
                <w:szCs w:val="24"/>
                <w:color w:val="auto"/>
              </w:rPr>
            </w:pPr>
          </w:p>
        </w:tc>
      </w:tr>
      <w:tr>
        <w:trPr>
          <w:trHeight w:val="222"/>
        </w:trPr>
        <w:tc>
          <w:tcPr>
            <w:tcW w:w="9660" w:type="dxa"/>
            <w:vAlign w:val="bottom"/>
          </w:tcPr>
          <w:p>
            <w:pPr>
              <w:jc w:val="center"/>
              <w:ind w:left="129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ATISFACTION AND</w:t>
            </w:r>
            <w:r>
              <w:rPr>
                <w:rFonts w:ascii="Arial" w:cs="Arial" w:eastAsia="Arial" w:hAnsi="Arial"/>
                <w:sz w:val="18"/>
                <w:szCs w:val="18"/>
                <w:color w:val="auto"/>
              </w:rPr>
              <w:t xml:space="preserve"> D</w:t>
            </w:r>
            <w:r>
              <w:rPr>
                <w:rFonts w:ascii="Arial" w:cs="Arial" w:eastAsia="Arial" w:hAnsi="Arial"/>
                <w:sz w:val="14"/>
                <w:szCs w:val="14"/>
                <w:color w:val="auto"/>
              </w:rPr>
              <w:t>ISCHARGE OF</w:t>
            </w:r>
            <w:r>
              <w:rPr>
                <w:rFonts w:ascii="Arial" w:cs="Arial" w:eastAsia="Arial" w:hAnsi="Arial"/>
                <w:sz w:val="18"/>
                <w:szCs w:val="18"/>
                <w:color w:val="auto"/>
              </w:rPr>
              <w:t xml:space="preserve"> I</w:t>
            </w:r>
            <w:r>
              <w:rPr>
                <w:rFonts w:ascii="Arial" w:cs="Arial" w:eastAsia="Arial" w:hAnsi="Arial"/>
                <w:sz w:val="14"/>
                <w:szCs w:val="14"/>
                <w:color w:val="auto"/>
              </w:rPr>
              <w:t>NDENTURE</w:t>
            </w:r>
            <w:r>
              <w:rPr>
                <w:rFonts w:ascii="Arial" w:cs="Arial" w:eastAsia="Arial" w:hAnsi="Arial"/>
                <w:sz w:val="18"/>
                <w:szCs w:val="18"/>
                <w:color w:val="auto"/>
              </w:rPr>
              <w:t>; U</w:t>
            </w:r>
            <w:r>
              <w:rPr>
                <w:rFonts w:ascii="Arial" w:cs="Arial" w:eastAsia="Arial" w:hAnsi="Arial"/>
                <w:sz w:val="14"/>
                <w:szCs w:val="14"/>
                <w:color w:val="auto"/>
              </w:rPr>
              <w:t>NCLAIMED</w:t>
            </w:r>
            <w:r>
              <w:rPr>
                <w:rFonts w:ascii="Arial" w:cs="Arial" w:eastAsia="Arial" w:hAnsi="Arial"/>
                <w:sz w:val="18"/>
                <w:szCs w:val="18"/>
                <w:color w:val="auto"/>
              </w:rPr>
              <w:t xml:space="preserve"> M</w:t>
            </w:r>
            <w:r>
              <w:rPr>
                <w:rFonts w:ascii="Arial" w:cs="Arial" w:eastAsia="Arial" w:hAnsi="Arial"/>
                <w:sz w:val="14"/>
                <w:szCs w:val="14"/>
                <w:color w:val="auto"/>
              </w:rPr>
              <w:t>ONEYS</w:t>
            </w:r>
          </w:p>
        </w:tc>
        <w:tc>
          <w:tcPr>
            <w:tcW w:w="1760" w:type="dxa"/>
            <w:vAlign w:val="bottom"/>
          </w:tcPr>
          <w:p>
            <w:pPr>
              <w:spacing w:after="0"/>
              <w:rPr>
                <w:sz w:val="19"/>
                <w:szCs w:val="19"/>
                <w:color w:val="auto"/>
              </w:rPr>
            </w:pPr>
          </w:p>
        </w:tc>
      </w:tr>
      <w:tr>
        <w:trPr>
          <w:trHeight w:val="318"/>
        </w:trPr>
        <w:tc>
          <w:tcPr>
            <w:tcW w:w="9660" w:type="dxa"/>
            <w:vAlign w:val="bottom"/>
          </w:tcPr>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Satisfaction and Discharge of Indenture</w:t>
            </w:r>
          </w:p>
        </w:tc>
        <w:tc>
          <w:tcPr>
            <w:tcW w:w="17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Application by Trustee of Funds Deposited for Payment of 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Repayment of Moneys Held by Paying Agent</w:t>
            </w:r>
          </w:p>
        </w:tc>
        <w:tc>
          <w:tcPr>
            <w:tcW w:w="17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Return of Moneys Held by Trustee and Paying Agent Unclaimed for Two Years</w:t>
            </w:r>
          </w:p>
        </w:tc>
        <w:tc>
          <w:tcPr>
            <w:tcW w:w="17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2"/>
        </w:trPr>
        <w:tc>
          <w:tcPr>
            <w:tcW w:w="9660" w:type="dxa"/>
            <w:vAlign w:val="bottom"/>
          </w:tcPr>
          <w:p>
            <w:pPr>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Indemnity for U.S. Government Obligations</w:t>
            </w:r>
          </w:p>
        </w:tc>
        <w:tc>
          <w:tcPr>
            <w:tcW w:w="17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26"/>
        </w:trPr>
        <w:tc>
          <w:tcPr>
            <w:tcW w:w="9660" w:type="dxa"/>
            <w:vAlign w:val="bottom"/>
          </w:tcPr>
          <w:p>
            <w:pPr>
              <w:jc w:val="center"/>
              <w:ind w:left="1292"/>
              <w:spacing w:after="0"/>
              <w:rPr>
                <w:sz w:val="20"/>
                <w:szCs w:val="20"/>
                <w:color w:val="auto"/>
              </w:rPr>
            </w:pPr>
            <w:r>
              <w:rPr>
                <w:rFonts w:ascii="Arial" w:cs="Arial" w:eastAsia="Arial" w:hAnsi="Arial"/>
                <w:sz w:val="18"/>
                <w:szCs w:val="18"/>
                <w:color w:val="auto"/>
                <w:w w:val="94"/>
              </w:rPr>
              <w:t>ARTICLE 11</w:t>
            </w:r>
          </w:p>
        </w:tc>
        <w:tc>
          <w:tcPr>
            <w:tcW w:w="1760" w:type="dxa"/>
            <w:vAlign w:val="bottom"/>
          </w:tcPr>
          <w:p>
            <w:pPr>
              <w:spacing w:after="0"/>
              <w:rPr>
                <w:sz w:val="24"/>
                <w:szCs w:val="24"/>
                <w:color w:val="auto"/>
              </w:rPr>
            </w:pPr>
          </w:p>
        </w:tc>
      </w:tr>
      <w:tr>
        <w:trPr>
          <w:trHeight w:val="222"/>
        </w:trPr>
        <w:tc>
          <w:tcPr>
            <w:tcW w:w="9660" w:type="dxa"/>
            <w:vAlign w:val="bottom"/>
          </w:tcPr>
          <w:p>
            <w:pPr>
              <w:jc w:val="center"/>
              <w:ind w:left="1292"/>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ISCELLANEOUS</w:t>
            </w:r>
            <w:r>
              <w:rPr>
                <w:rFonts w:ascii="Arial" w:cs="Arial" w:eastAsia="Arial" w:hAnsi="Arial"/>
                <w:sz w:val="18"/>
                <w:szCs w:val="18"/>
                <w:color w:val="auto"/>
                <w:w w:val="99"/>
              </w:rPr>
              <w:t xml:space="preserve"> P</w:t>
            </w:r>
            <w:r>
              <w:rPr>
                <w:rFonts w:ascii="Arial" w:cs="Arial" w:eastAsia="Arial" w:hAnsi="Arial"/>
                <w:sz w:val="14"/>
                <w:szCs w:val="14"/>
                <w:color w:val="auto"/>
                <w:w w:val="99"/>
              </w:rPr>
              <w:t>ROVISIONS</w:t>
            </w:r>
          </w:p>
        </w:tc>
        <w:tc>
          <w:tcPr>
            <w:tcW w:w="1760" w:type="dxa"/>
            <w:vAlign w:val="bottom"/>
          </w:tcPr>
          <w:p>
            <w:pPr>
              <w:spacing w:after="0"/>
              <w:rPr>
                <w:sz w:val="19"/>
                <w:szCs w:val="19"/>
                <w:color w:val="auto"/>
              </w:rPr>
            </w:pPr>
          </w:p>
        </w:tc>
      </w:tr>
      <w:tr>
        <w:trPr>
          <w:trHeight w:val="318"/>
        </w:trPr>
        <w:tc>
          <w:tcPr>
            <w:tcW w:w="9660" w:type="dxa"/>
            <w:vAlign w:val="bottom"/>
          </w:tcPr>
          <w:p>
            <w:pPr>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Incorporators, Stockholders, Officers and Directors of Issuer Exempt from Individual Liability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Provisions of Indenture for the Sole Benefit of Parties and Holders of 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Successors and Assigns of Issuer Bound by Indenture</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Notices and Demands on Issuer, Trustee and Holders of 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Officers’ Certificates and Opinions of Counsel; Statements to Be Contained Therein</w:t>
            </w:r>
          </w:p>
        </w:tc>
        <w:tc>
          <w:tcPr>
            <w:tcW w:w="17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2"/>
        </w:trPr>
        <w:tc>
          <w:tcPr>
            <w:tcW w:w="9660" w:type="dxa"/>
            <w:vAlign w:val="bottom"/>
          </w:tcPr>
          <w:p>
            <w:pPr>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Payments Due on Saturdays, Sundays and Holidays</w:t>
            </w:r>
          </w:p>
        </w:tc>
        <w:tc>
          <w:tcPr>
            <w:tcW w:w="176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80"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i w:val="1"/>
                <w:iCs w:val="1"/>
                <w:color w:val="auto"/>
              </w:rPr>
              <w:t>Conflict of Any Provision of Indenture With Trust Indenture Act of 1939</w:t>
            </w:r>
          </w:p>
        </w:tc>
        <w:tc>
          <w:tcPr>
            <w:tcW w:w="21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i w:val="1"/>
                <w:iCs w:val="1"/>
                <w:color w:val="auto"/>
              </w:rPr>
              <w:t>New York Law to Govern</w:t>
            </w:r>
          </w:p>
        </w:tc>
        <w:tc>
          <w:tcPr>
            <w:tcW w:w="21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i w:val="1"/>
                <w:iCs w:val="1"/>
                <w:color w:val="auto"/>
              </w:rPr>
              <w:t>Counterparts</w:t>
            </w:r>
          </w:p>
        </w:tc>
        <w:tc>
          <w:tcPr>
            <w:tcW w:w="21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i w:val="1"/>
                <w:iCs w:val="1"/>
                <w:color w:val="auto"/>
              </w:rPr>
              <w:t>Effect of Headings</w:t>
            </w:r>
          </w:p>
        </w:tc>
        <w:tc>
          <w:tcPr>
            <w:tcW w:w="21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i w:val="1"/>
                <w:iCs w:val="1"/>
                <w:color w:val="auto"/>
              </w:rPr>
              <w:t>Securities in a Foreign Currency</w:t>
            </w:r>
          </w:p>
        </w:tc>
        <w:tc>
          <w:tcPr>
            <w:tcW w:w="21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2"/>
        </w:trPr>
        <w:tc>
          <w:tcPr>
            <w:tcW w:w="9300" w:type="dxa"/>
            <w:vAlign w:val="bottom"/>
          </w:tcPr>
          <w:p>
            <w:pPr>
              <w:spacing w:after="0"/>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i w:val="1"/>
                <w:iCs w:val="1"/>
                <w:color w:val="auto"/>
              </w:rPr>
              <w:t>Judgment Currency</w:t>
            </w:r>
          </w:p>
        </w:tc>
        <w:tc>
          <w:tcPr>
            <w:tcW w:w="21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26"/>
        </w:trPr>
        <w:tc>
          <w:tcPr>
            <w:tcW w:w="9300" w:type="dxa"/>
            <w:vAlign w:val="bottom"/>
          </w:tcPr>
          <w:p>
            <w:pPr>
              <w:ind w:left="5040"/>
              <w:spacing w:after="0"/>
              <w:rPr>
                <w:sz w:val="20"/>
                <w:szCs w:val="20"/>
                <w:color w:val="auto"/>
              </w:rPr>
            </w:pPr>
            <w:r>
              <w:rPr>
                <w:rFonts w:ascii="Arial" w:cs="Arial" w:eastAsia="Arial" w:hAnsi="Arial"/>
                <w:sz w:val="18"/>
                <w:szCs w:val="18"/>
                <w:color w:val="auto"/>
              </w:rPr>
              <w:t>ARTICLE 12</w:t>
            </w:r>
          </w:p>
        </w:tc>
        <w:tc>
          <w:tcPr>
            <w:tcW w:w="2120" w:type="dxa"/>
            <w:vAlign w:val="bottom"/>
          </w:tcPr>
          <w:p>
            <w:pPr>
              <w:spacing w:after="0"/>
              <w:rPr>
                <w:sz w:val="24"/>
                <w:szCs w:val="24"/>
                <w:color w:val="auto"/>
              </w:rPr>
            </w:pPr>
          </w:p>
        </w:tc>
      </w:tr>
      <w:tr>
        <w:trPr>
          <w:trHeight w:val="222"/>
        </w:trPr>
        <w:tc>
          <w:tcPr>
            <w:tcW w:w="9300" w:type="dxa"/>
            <w:vAlign w:val="bottom"/>
          </w:tcPr>
          <w:p>
            <w:pPr>
              <w:ind w:left="370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EDEMPTION OF</w:t>
            </w:r>
            <w:r>
              <w:rPr>
                <w:rFonts w:ascii="Arial" w:cs="Arial" w:eastAsia="Arial" w:hAnsi="Arial"/>
                <w:sz w:val="18"/>
                <w:szCs w:val="18"/>
                <w:color w:val="auto"/>
              </w:rPr>
              <w:t xml:space="preserve"> S</w:t>
            </w:r>
            <w:r>
              <w:rPr>
                <w:rFonts w:ascii="Arial" w:cs="Arial" w:eastAsia="Arial" w:hAnsi="Arial"/>
                <w:sz w:val="14"/>
                <w:szCs w:val="14"/>
                <w:color w:val="auto"/>
              </w:rPr>
              <w:t>ECURITIES AND</w:t>
            </w:r>
            <w:r>
              <w:rPr>
                <w:rFonts w:ascii="Arial" w:cs="Arial" w:eastAsia="Arial" w:hAnsi="Arial"/>
                <w:sz w:val="18"/>
                <w:szCs w:val="18"/>
                <w:color w:val="auto"/>
              </w:rPr>
              <w:t xml:space="preserve"> S</w:t>
            </w:r>
            <w:r>
              <w:rPr>
                <w:rFonts w:ascii="Arial" w:cs="Arial" w:eastAsia="Arial" w:hAnsi="Arial"/>
                <w:sz w:val="14"/>
                <w:szCs w:val="14"/>
                <w:color w:val="auto"/>
              </w:rPr>
              <w:t>INKING</w:t>
            </w:r>
            <w:r>
              <w:rPr>
                <w:rFonts w:ascii="Arial" w:cs="Arial" w:eastAsia="Arial" w:hAnsi="Arial"/>
                <w:sz w:val="18"/>
                <w:szCs w:val="18"/>
                <w:color w:val="auto"/>
              </w:rPr>
              <w:t xml:space="preserve"> F</w:t>
            </w:r>
            <w:r>
              <w:rPr>
                <w:rFonts w:ascii="Arial" w:cs="Arial" w:eastAsia="Arial" w:hAnsi="Arial"/>
                <w:sz w:val="14"/>
                <w:szCs w:val="14"/>
                <w:color w:val="auto"/>
              </w:rPr>
              <w:t>UNDS</w:t>
            </w:r>
          </w:p>
        </w:tc>
        <w:tc>
          <w:tcPr>
            <w:tcW w:w="2120" w:type="dxa"/>
            <w:vAlign w:val="bottom"/>
          </w:tcPr>
          <w:p>
            <w:pPr>
              <w:spacing w:after="0"/>
              <w:rPr>
                <w:sz w:val="19"/>
                <w:szCs w:val="19"/>
                <w:color w:val="auto"/>
              </w:rPr>
            </w:pPr>
          </w:p>
        </w:tc>
      </w:tr>
      <w:tr>
        <w:trPr>
          <w:trHeight w:val="318"/>
        </w:trPr>
        <w:tc>
          <w:tcPr>
            <w:tcW w:w="9300" w:type="dxa"/>
            <w:vAlign w:val="bottom"/>
          </w:tcPr>
          <w:p>
            <w:pPr>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Applicability of Article</w:t>
            </w:r>
          </w:p>
        </w:tc>
        <w:tc>
          <w:tcPr>
            <w:tcW w:w="21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i w:val="1"/>
                <w:iCs w:val="1"/>
                <w:color w:val="auto"/>
              </w:rPr>
              <w:t>Notice of Redemption; Partial Redemptions</w:t>
            </w:r>
          </w:p>
        </w:tc>
        <w:tc>
          <w:tcPr>
            <w:tcW w:w="21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i w:val="1"/>
                <w:iCs w:val="1"/>
                <w:color w:val="auto"/>
              </w:rPr>
              <w:t>Payment of Securities Called for Redemption</w:t>
            </w:r>
          </w:p>
        </w:tc>
        <w:tc>
          <w:tcPr>
            <w:tcW w:w="21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i w:val="1"/>
                <w:iCs w:val="1"/>
                <w:color w:val="auto"/>
              </w:rPr>
              <w:t>Exclusion of Certain Securities from Eligibility for Selection for Redemption</w:t>
            </w:r>
          </w:p>
        </w:tc>
        <w:tc>
          <w:tcPr>
            <w:tcW w:w="21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2"/>
        </w:trPr>
        <w:tc>
          <w:tcPr>
            <w:tcW w:w="9300" w:type="dxa"/>
            <w:vAlign w:val="bottom"/>
          </w:tcPr>
          <w:p>
            <w:pPr>
              <w:spacing w:after="0"/>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i w:val="1"/>
                <w:iCs w:val="1"/>
                <w:color w:val="auto"/>
              </w:rPr>
              <w:t>Mandatory and Optional Sinking Funds</w:t>
            </w:r>
          </w:p>
        </w:tc>
        <w:tc>
          <w:tcPr>
            <w:tcW w:w="212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80" w:right="239" w:bottom="1440" w:gutter="0" w:footer="0" w:header="0"/>
        </w:sectPr>
      </w:pPr>
    </w:p>
    <w:bookmarkStart w:id="70" w:name="page71"/>
    <w:bookmarkEnd w:id="7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INDENTURE, dated as of ______ __, 2007 between TEXAS INSTRUMENTS INCORPORATED, a Delaware corporation (the “</w:t>
      </w:r>
      <w:r>
        <w:rPr>
          <w:rFonts w:ascii="Arial" w:cs="Arial" w:eastAsia="Arial" w:hAnsi="Arial"/>
          <w:sz w:val="16"/>
          <w:szCs w:val="16"/>
          <w:b w:val="1"/>
          <w:bCs w:val="1"/>
          <w:color w:val="auto"/>
        </w:rPr>
        <w:t>Issuer</w:t>
      </w:r>
      <w:r>
        <w:rPr>
          <w:rFonts w:ascii="Arial" w:cs="Arial" w:eastAsia="Arial" w:hAnsi="Arial"/>
          <w:sz w:val="16"/>
          <w:szCs w:val="16"/>
          <w:color w:val="auto"/>
        </w:rPr>
        <w:t>”), and 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BANK NATIONAL ASSOCIATION, a New York banking corporation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 I T N E S S E T H :</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WHEREAS, the Issuer may from time to time duly authorize the issue of its unsecured debentures, notes or other evidences of indebtedness to be issued in one or more series (the “</w:t>
      </w:r>
      <w:r>
        <w:rPr>
          <w:rFonts w:ascii="Arial" w:cs="Arial" w:eastAsia="Arial" w:hAnsi="Arial"/>
          <w:sz w:val="18"/>
          <w:szCs w:val="18"/>
          <w:b w:val="1"/>
          <w:bCs w:val="1"/>
          <w:color w:val="auto"/>
        </w:rPr>
        <w:t>Securities</w:t>
      </w:r>
      <w:r>
        <w:rPr>
          <w:rFonts w:ascii="Arial" w:cs="Arial" w:eastAsia="Arial" w:hAnsi="Arial"/>
          <w:sz w:val="18"/>
          <w:szCs w:val="18"/>
          <w:color w:val="auto"/>
        </w:rPr>
        <w:t>”) up to such principal amount or amounts as may from time to time be authorized in accordance with the terms of this Indenture;</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WHEREAS, the Issuer has duly authorized the execution and delivery of this Indenture to provide, among other things, for the authentication, delivery and administration of the Securities;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all things necessary to make this Indenture a valid indenture and agreement according to its terms have been done;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1.01</w:t>
      </w:r>
      <w:r>
        <w:rPr>
          <w:rFonts w:ascii="Arial" w:cs="Arial" w:eastAsia="Arial" w:hAnsi="Arial"/>
          <w:sz w:val="16"/>
          <w:szCs w:val="16"/>
          <w:i w:val="1"/>
          <w:iCs w:val="1"/>
          <w:color w:val="auto"/>
        </w:rPr>
        <w:t>. Certain Terms Defined.</w:t>
      </w:r>
      <w:r>
        <w:rPr>
          <w:rFonts w:ascii="Arial" w:cs="Arial" w:eastAsia="Arial" w:hAnsi="Arial"/>
          <w:sz w:val="16"/>
          <w:szCs w:val="16"/>
          <w:color w:val="auto"/>
        </w:rPr>
        <w:t xml:space="preserve">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are referred to in the Trust Indenture Act of 1939, including terms defined therein by reference to the Securities Act of 1933 (except as herein otherwise expressly provided or unless the context otherwise clearly requires), shall have the meanings assigned to such terms in said Trust Indenture Act and in said Securities Act as in force at the date of this Indenture. All accounting terms used herein and not expressly defined shall have the meanings assigned to such terms in accordance with generally accepted accounting principles, and the term “</w:t>
      </w:r>
      <w:r>
        <w:rPr>
          <w:rFonts w:ascii="Arial" w:cs="Arial" w:eastAsia="Arial" w:hAnsi="Arial"/>
          <w:sz w:val="16"/>
          <w:szCs w:val="16"/>
          <w:b w:val="1"/>
          <w:bCs w:val="1"/>
          <w:color w:val="auto"/>
        </w:rPr>
        <w:t>generally accepted accounting principles</w:t>
      </w:r>
      <w:r>
        <w:rPr>
          <w:rFonts w:ascii="Arial" w:cs="Arial" w:eastAsia="Arial" w:hAnsi="Arial"/>
          <w:sz w:val="16"/>
          <w:szCs w:val="16"/>
          <w:color w:val="auto"/>
        </w:rPr>
        <w:t>” means such accounting principles as are generally accepted at the time of any</w:t>
      </w:r>
    </w:p>
    <w:p>
      <w:pPr>
        <w:sectPr>
          <w:pgSz w:w="11900" w:h="16838" w:orient="portrait"/>
          <w:cols w:equalWidth="0" w:num="1">
            <w:col w:w="11380"/>
          </w:cols>
          <w:pgMar w:left="240" w:top="274" w:right="279" w:bottom="1440" w:gutter="0" w:footer="0" w:header="0"/>
        </w:sectPr>
      </w:pPr>
    </w:p>
    <w:bookmarkStart w:id="71" w:name="page72"/>
    <w:bookmarkEnd w:id="71"/>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computation.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Interest Period</w:t>
      </w:r>
      <w:r>
        <w:rPr>
          <w:rFonts w:ascii="Arial" w:cs="Arial" w:eastAsia="Arial" w:hAnsi="Arial"/>
          <w:sz w:val="18"/>
          <w:szCs w:val="18"/>
          <w:color w:val="auto"/>
        </w:rPr>
        <w:t>” has the meaning set forth in Section 5.01(g).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Debt</w:t>
      </w:r>
      <w:r>
        <w:rPr>
          <w:rFonts w:ascii="Arial" w:cs="Arial" w:eastAsia="Arial" w:hAnsi="Arial"/>
          <w:sz w:val="18"/>
          <w:szCs w:val="18"/>
          <w:color w:val="auto"/>
        </w:rPr>
        <w:t>” shall have the meaning set forth in Section 3.07.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either the Board of Directors of the Issuer or any committee of such Board duly authorized to act on its behalf.</w:t>
      </w:r>
    </w:p>
    <w:p>
      <w:pPr>
        <w:spacing w:after="0" w:line="194"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one or more resolutions, certified by the secretary or an assistant secretary of the Issuer to have been duly adopted by the Board of Directors and to be in full force and effect, and delivered to the Trustee.</w:t>
      </w:r>
    </w:p>
    <w:p>
      <w:pPr>
        <w:spacing w:after="0" w:line="120" w:lineRule="exact"/>
        <w:rPr>
          <w:sz w:val="20"/>
          <w:szCs w:val="20"/>
          <w:color w:val="auto"/>
        </w:rPr>
      </w:pPr>
    </w:p>
    <w:p>
      <w:pPr>
        <w:ind w:right="48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with respect to any Security, a day that in the city (or in any of the cities, if more than one) in which amounts are payable, as specified in the form of such Security, is not a day on which banking institutions are authorized or required by law or regulation to close.</w:t>
      </w:r>
    </w:p>
    <w:p>
      <w:pPr>
        <w:spacing w:after="0" w:line="74"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of 1939, then the body performing such duties on such date.</w:t>
      </w:r>
    </w:p>
    <w:p>
      <w:pPr>
        <w:spacing w:after="0" w:line="132"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common stock, par value $1.00 per share, of the Issuer as the same exists at the date of execution and delivery of this Indenture or as such stock may be reconstituted from time to time.</w:t>
      </w:r>
    </w:p>
    <w:p>
      <w:pPr>
        <w:spacing w:after="0" w:line="12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Tangible Assets</w:t>
      </w:r>
      <w:r>
        <w:rPr>
          <w:rFonts w:ascii="Arial" w:cs="Arial" w:eastAsia="Arial" w:hAnsi="Arial"/>
          <w:sz w:val="16"/>
          <w:szCs w:val="16"/>
          <w:color w:val="auto"/>
        </w:rPr>
        <w:t>” means, at any date, the total assets appearing on the most recent consolidated balance sheet, prepared in accordance with generally accepted accounting principles, less (a) all current liabilities as shown on such balance sheet, and (b) intangible assets. “</w:t>
      </w:r>
      <w:r>
        <w:rPr>
          <w:rFonts w:ascii="Arial" w:cs="Arial" w:eastAsia="Arial" w:hAnsi="Arial"/>
          <w:sz w:val="16"/>
          <w:szCs w:val="16"/>
          <w:b w:val="1"/>
          <w:bCs w:val="1"/>
          <w:color w:val="auto"/>
        </w:rPr>
        <w:t>Intangible assets</w:t>
      </w:r>
      <w:r>
        <w:rPr>
          <w:rFonts w:ascii="Arial" w:cs="Arial" w:eastAsia="Arial" w:hAnsi="Arial"/>
          <w:sz w:val="16"/>
          <w:szCs w:val="16"/>
          <w:color w:val="auto"/>
        </w:rPr>
        <w:t>” means the value (net of applicable reserves), as shown on or reflected in such balance sheet, of: (i) all trade names, trademarks, licenses, patents, copyrights and goodwill; (ii) organizational or development costs; (iii) deferred charges (other than prepaid items such as insurance, taxes, interest, commissions, rents and similar items and tangible assets being amortized); and (iv) unamortized debt discount and expenses, less unamortized premium; but in no event shall the term “</w:t>
      </w:r>
      <w:r>
        <w:rPr>
          <w:rFonts w:ascii="Arial" w:cs="Arial" w:eastAsia="Arial" w:hAnsi="Arial"/>
          <w:sz w:val="16"/>
          <w:szCs w:val="16"/>
          <w:b w:val="1"/>
          <w:bCs w:val="1"/>
          <w:color w:val="auto"/>
        </w:rPr>
        <w:t>intangible assets</w:t>
      </w:r>
      <w:r>
        <w:rPr>
          <w:rFonts w:ascii="Arial" w:cs="Arial" w:eastAsia="Arial" w:hAnsi="Arial"/>
          <w:sz w:val="16"/>
          <w:szCs w:val="16"/>
          <w:color w:val="auto"/>
        </w:rPr>
        <w:t>” include computer programs and related products.</w:t>
      </w:r>
    </w:p>
    <w:p>
      <w:pPr>
        <w:spacing w:after="0" w:line="111"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Trust Office</w:t>
      </w:r>
      <w:r>
        <w:rPr>
          <w:rFonts w:ascii="Arial" w:cs="Arial" w:eastAsia="Arial" w:hAnsi="Arial"/>
          <w:sz w:val="16"/>
          <w:szCs w:val="16"/>
          <w:color w:val="auto"/>
        </w:rPr>
        <w:t>” means the office of the Trustee at which the corporate trust business of the Trustee shall, at any particular time, be principally administered, which office is, at the date as of which this Indenture is dated, located at 120 Wall Street, New York, New York 10043.</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72" w:name="page73"/>
    <w:bookmarkEnd w:id="72"/>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Debt</w:t>
      </w:r>
      <w:r>
        <w:rPr>
          <w:rFonts w:ascii="Arial" w:cs="Arial" w:eastAsia="Arial" w:hAnsi="Arial"/>
          <w:sz w:val="16"/>
          <w:szCs w:val="16"/>
          <w:color w:val="auto"/>
        </w:rPr>
        <w:t>” of any Person means any debt for money borrowed which is created, assumed, incurred or guaranteed in any manner by such Person or for which such Person is otherwise responsible or liable, and shall expressly include any such guaranty thereof by such Person. For the purpose of computing the amount of any Funded Debt or other Debt of any Person there shall be excluded all Debt of such Person for the payment or redemption or satisfaction of which money or securities (or evidences of such Debt, if permitted under the terms of the instrument creating such Debt) in the necessary amount shall have been deposited in trust with the proper depositary, whether upon or prior to the maturity or the date fixed for redemption of such Debt; and, in any instance where Debt is so excluded, for the purpose of computing the assets of such Person there shall be excluded the money, securities or evidences of Debt deposited by such Person in trust for the purpose of paying or satisfying such Debt.</w:t>
      </w:r>
    </w:p>
    <w:p>
      <w:pPr>
        <w:spacing w:after="0" w:line="113"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Depositary</w:t>
      </w:r>
      <w:r>
        <w:rPr>
          <w:rFonts w:ascii="Arial" w:cs="Arial" w:eastAsia="Arial" w:hAnsi="Arial"/>
          <w:sz w:val="16"/>
          <w:szCs w:val="16"/>
          <w:color w:val="auto"/>
        </w:rPr>
        <w:t>” means, with respect to the Securities of any series issuable or issued in the form of one or more Global Securities, the Person designated as Depositary by the Issuer pursuant to Section 2.04 until a successor Depositary shall have become such pursuant to the applicable provisions of this Indenture, and thereafter “</w:t>
      </w:r>
      <w:r>
        <w:rPr>
          <w:rFonts w:ascii="Arial" w:cs="Arial" w:eastAsia="Arial" w:hAnsi="Arial"/>
          <w:sz w:val="16"/>
          <w:szCs w:val="16"/>
          <w:b w:val="1"/>
          <w:bCs w:val="1"/>
          <w:color w:val="auto"/>
        </w:rPr>
        <w:t>Depositary</w:t>
      </w:r>
      <w:r>
        <w:rPr>
          <w:rFonts w:ascii="Arial" w:cs="Arial" w:eastAsia="Arial" w:hAnsi="Arial"/>
          <w:sz w:val="16"/>
          <w:szCs w:val="16"/>
          <w:color w:val="auto"/>
        </w:rPr>
        <w:t>” shall mean or include each Person who is then a Depositary hereunder, and if at any time there is more than one such Person, “</w:t>
      </w:r>
      <w:r>
        <w:rPr>
          <w:rFonts w:ascii="Arial" w:cs="Arial" w:eastAsia="Arial" w:hAnsi="Arial"/>
          <w:sz w:val="16"/>
          <w:szCs w:val="16"/>
          <w:b w:val="1"/>
          <w:bCs w:val="1"/>
          <w:color w:val="auto"/>
        </w:rPr>
        <w:t>Depositary</w:t>
      </w:r>
      <w:r>
        <w:rPr>
          <w:rFonts w:ascii="Arial" w:cs="Arial" w:eastAsia="Arial" w:hAnsi="Arial"/>
          <w:sz w:val="16"/>
          <w:szCs w:val="16"/>
          <w:color w:val="auto"/>
        </w:rPr>
        <w:t>” as used with respect to the Securities of any such series shall mean the Depositary with respect to the Global Securities of that series.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w:t>
      </w:r>
      <w:r>
        <w:rPr>
          <w:rFonts w:ascii="Arial" w:cs="Arial" w:eastAsia="Arial" w:hAnsi="Arial"/>
          <w:sz w:val="16"/>
          <w:szCs w:val="16"/>
          <w:color w:val="auto"/>
        </w:rPr>
        <w:t>” means the currency of the United States of America as at the time of payment is legal tender for the payment of public and private debts.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condition specified as such in Section 5.01.</w:t>
      </w:r>
    </w:p>
    <w:p>
      <w:pPr>
        <w:spacing w:after="0" w:line="171"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Exempted Debt</w:t>
      </w:r>
      <w:r>
        <w:rPr>
          <w:rFonts w:ascii="Arial" w:cs="Arial" w:eastAsia="Arial" w:hAnsi="Arial"/>
          <w:sz w:val="18"/>
          <w:szCs w:val="18"/>
          <w:color w:val="auto"/>
        </w:rPr>
        <w:t>” means the sum of the following items outstanding as of the date Exempted Debt is being determined: (i) Debt of the Issuer and its Subsidiaries incurred after the date of this Indenture and secured by liens created, assumed or permitted to exist pursuant to Section 3.06(b) and (ii) Attributable Debt of the Issuer and its Subsidiaries in respect of all sale and leaseback transactions entered into pursuant to Section 3.07(b), including amounts considered to be Attributable Debt pursuant to Section 3.07(a)(iii)(B).</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a currency issued by the government of a country other than the United States.</w:t>
      </w:r>
    </w:p>
    <w:p>
      <w:pPr>
        <w:spacing w:after="0" w:line="171"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Funded Debt</w:t>
      </w:r>
      <w:r>
        <w:rPr>
          <w:rFonts w:ascii="Arial" w:cs="Arial" w:eastAsia="Arial" w:hAnsi="Arial"/>
          <w:sz w:val="18"/>
          <w:szCs w:val="18"/>
          <w:color w:val="auto"/>
        </w:rPr>
        <w: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73" w:name="page74"/>
    <w:bookmarkEnd w:id="73"/>
    <w:p>
      <w:pPr>
        <w:ind w:right="76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Global Security</w:t>
      </w:r>
      <w:r>
        <w:rPr>
          <w:rFonts w:ascii="Arial" w:cs="Arial" w:eastAsia="Arial" w:hAnsi="Arial"/>
          <w:sz w:val="18"/>
          <w:szCs w:val="18"/>
          <w:color w:val="auto"/>
        </w:rPr>
        <w:t>”, means a Security evidencing all or a part of a series of Securities, issued to the Depositary for such series in accordance with Section 2.04, and bearing the legend prescribed in Section 2.04.</w:t>
      </w:r>
    </w:p>
    <w:p>
      <w:pPr>
        <w:spacing w:after="0" w:line="120"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w:t>
      </w:r>
      <w:r>
        <w:rPr>
          <w:rFonts w:ascii="Arial" w:cs="Arial" w:eastAsia="Arial" w:hAnsi="Arial"/>
          <w:sz w:val="18"/>
          <w:szCs w:val="18"/>
          <w:b w:val="1"/>
          <w:bCs w:val="1"/>
          <w:color w:val="auto"/>
        </w:rPr>
        <w:t>holder of Securities</w:t>
      </w:r>
      <w:r>
        <w:rPr>
          <w:rFonts w:ascii="Arial" w:cs="Arial" w:eastAsia="Arial" w:hAnsi="Arial"/>
          <w:sz w:val="18"/>
          <w:szCs w:val="18"/>
          <w:color w:val="auto"/>
        </w:rPr>
        <w:t>”, “</w:t>
      </w:r>
      <w:r>
        <w:rPr>
          <w:rFonts w:ascii="Arial" w:cs="Arial" w:eastAsia="Arial" w:hAnsi="Arial"/>
          <w:sz w:val="18"/>
          <w:szCs w:val="18"/>
          <w:b w:val="1"/>
          <w:bCs w:val="1"/>
          <w:color w:val="auto"/>
        </w:rPr>
        <w:t>Securityholder</w:t>
      </w:r>
      <w:r>
        <w:rPr>
          <w:rFonts w:ascii="Arial" w:cs="Arial" w:eastAsia="Arial" w:hAnsi="Arial"/>
          <w:sz w:val="18"/>
          <w:szCs w:val="18"/>
          <w:color w:val="auto"/>
        </w:rPr>
        <w:t>” or other similar terms mean the Person in whose name such Security is registered in the Security register kept by the Issuer for that purpose in accordance with the terms hereof.</w:t>
      </w:r>
    </w:p>
    <w:p>
      <w:pPr>
        <w:spacing w:after="0" w:line="120" w:lineRule="exact"/>
        <w:rPr>
          <w:sz w:val="20"/>
          <w:szCs w:val="20"/>
          <w:color w:val="auto"/>
        </w:rPr>
      </w:pPr>
    </w:p>
    <w:p>
      <w:pPr>
        <w:ind w:right="96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74"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unless the context otherwise requires, refers to interest and Reporting Interest, if any, and when used with respect to non-interest bearing Securities, refers to interest payable after maturity and Reporting Interest, if 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means Texas Instruments Incorporated and, subject to Article 9, its successors and assigns.</w:t>
      </w:r>
    </w:p>
    <w:p>
      <w:pPr>
        <w:spacing w:after="0" w:line="17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Order</w:t>
      </w:r>
      <w:r>
        <w:rPr>
          <w:rFonts w:ascii="Arial" w:cs="Arial" w:eastAsia="Arial" w:hAnsi="Arial"/>
          <w:sz w:val="18"/>
          <w:szCs w:val="18"/>
          <w:color w:val="auto"/>
        </w:rPr>
        <w:t>” means a written statement, request or order of the Issuer signed in its name by the chairman of the Board of Directors, the president or any vice president of the Issuer.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Exchange Rate</w:t>
      </w:r>
      <w:r>
        <w:rPr>
          <w:rFonts w:ascii="Arial" w:cs="Arial" w:eastAsia="Arial" w:hAnsi="Arial"/>
          <w:sz w:val="18"/>
          <w:szCs w:val="18"/>
          <w:color w:val="auto"/>
        </w:rPr>
        <w:t>” has the meaning set forth in Section 11.11.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has the meaning set forth in Section 3.06.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rental payments</w:t>
      </w:r>
      <w:r>
        <w:rPr>
          <w:rFonts w:ascii="Arial" w:cs="Arial" w:eastAsia="Arial" w:hAnsi="Arial"/>
          <w:sz w:val="18"/>
          <w:szCs w:val="18"/>
          <w:color w:val="auto"/>
        </w:rPr>
        <w:t>” has the meaning set forth in Section 3.07.</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signed by (i) the chairman of the Board of Directors or the president or any vice president and (ii) the treasurer or the secretary or any assistant secretary of the Issuer and delivered to the Trustee. Each such certificate shall comply with Section 314 of the Trust Indenture Act of 1939 and shall include the statements provided for in Section 11.05.</w:t>
      </w:r>
    </w:p>
    <w:p>
      <w:pPr>
        <w:spacing w:after="0" w:line="132"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an opinion in writing signed by the general corporate counsel or such other legal counsel who may be an employee of or counsel to the Issuer and who shall be satisfactory to the Trustee. Each such opinion shall comply with Section 314 of the Trust Indenture Act of 1939 and shall include the statements provided for in Section 11.05, if and to the extent required hereby.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74" w:name="page75"/>
    <w:bookmarkEnd w:id="74"/>
    <w:p>
      <w:pPr>
        <w:ind w:right="50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original issue date</w:t>
      </w:r>
      <w:r>
        <w:rPr>
          <w:rFonts w:ascii="Arial" w:cs="Arial" w:eastAsia="Arial" w:hAnsi="Arial"/>
          <w:sz w:val="18"/>
          <w:szCs w:val="18"/>
          <w:color w:val="auto"/>
        </w:rPr>
        <w:t>”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20"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5.01.</w:t>
      </w:r>
    </w:p>
    <w:p>
      <w:pPr>
        <w:spacing w:after="0" w:line="120"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Securities, shall, subject to the provisions of Section 7.04, mean, as of any particular time, all Securities authenticated and delivered by the Trustee under this Indenture, except</w:t>
      </w:r>
    </w:p>
    <w:p>
      <w:pPr>
        <w:spacing w:after="0" w:line="45" w:lineRule="exact"/>
        <w:rPr>
          <w:sz w:val="20"/>
          <w:szCs w:val="20"/>
          <w:color w:val="auto"/>
        </w:rPr>
      </w:pPr>
    </w:p>
    <w:p>
      <w:pPr>
        <w:ind w:left="1140" w:hanging="237"/>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Securities, or portions thereof, for the payment or redemption of which moneys or U.S. Government Obligations (as provided for in</w:t>
      </w:r>
    </w:p>
    <w:p>
      <w:pPr>
        <w:spacing w:after="0" w:line="38" w:lineRule="exact"/>
        <w:rPr>
          <w:sz w:val="20"/>
          <w:szCs w:val="20"/>
          <w:color w:val="auto"/>
        </w:rPr>
      </w:pPr>
    </w:p>
    <w:p>
      <w:pPr>
        <w:ind w:left="460"/>
        <w:spacing w:after="0" w:line="295" w:lineRule="auto"/>
        <w:rPr>
          <w:sz w:val="20"/>
          <w:szCs w:val="20"/>
          <w:color w:val="auto"/>
        </w:rPr>
      </w:pPr>
      <w:r>
        <w:rPr>
          <w:rFonts w:ascii="Arial" w:cs="Arial" w:eastAsia="Arial" w:hAnsi="Arial"/>
          <w:sz w:val="16"/>
          <w:szCs w:val="16"/>
          <w:color w:val="auto"/>
        </w:rPr>
        <w:t xml:space="preserve">Section 10.01) in the necessary amount shall have been deposited in trust with the Trustee or with any paying agent (other than the Issuer) or shall have been set aside, segregated and held in trust by the Issuer for the Holders of such Securities (if the Issuer shall act as its own paying agent); </w:t>
      </w:r>
      <w:r>
        <w:rPr>
          <w:rFonts w:ascii="Arial" w:cs="Arial" w:eastAsia="Arial" w:hAnsi="Arial"/>
          <w:sz w:val="16"/>
          <w:szCs w:val="16"/>
          <w:i w:val="1"/>
          <w:iCs w:val="1"/>
          <w:color w:val="auto"/>
        </w:rPr>
        <w:t>provided</w:t>
      </w:r>
      <w:r>
        <w:rPr>
          <w:rFonts w:ascii="Arial" w:cs="Arial" w:eastAsia="Arial" w:hAnsi="Arial"/>
          <w:sz w:val="16"/>
          <w:szCs w:val="16"/>
          <w:color w:val="auto"/>
        </w:rPr>
        <w:t>, that if such Securities, or portions thereof, are to be redeemed prior to the maturity thereof, notice of such redemption shall have been given as herein provided, or provision satisfactory to the Trustee shall have been made for giving such notice; and</w:t>
      </w:r>
    </w:p>
    <w:p>
      <w:pPr>
        <w:spacing w:after="0" w:line="34" w:lineRule="exact"/>
        <w:rPr>
          <w:sz w:val="20"/>
          <w:szCs w:val="20"/>
          <w:color w:val="auto"/>
        </w:rPr>
      </w:pPr>
    </w:p>
    <w:p>
      <w:pPr>
        <w:ind w:left="460" w:right="220" w:firstLine="443"/>
        <w:spacing w:after="0" w:line="256" w:lineRule="auto"/>
        <w:tabs>
          <w:tab w:leader="none" w:pos="1137"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 Securities converted into Common Stock pursuant hereto and Securities not deemed outstanding pursuant to Section 12.02.</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determining whether the Holders of the requisite principal amount of Outstanding Securities of any or all series have given any request, demand, authorization, 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5.01.</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75" w:name="page76"/>
    <w:bookmarkEnd w:id="75"/>
    <w:p>
      <w:pPr>
        <w:ind w:right="30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partnership, limited liability company, joint venture, association, joint stock company, trust, unincorporated organization or government or any agency or political subdivision thereof.</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w:t>
      </w:r>
      <w:r>
        <w:rPr>
          <w:rFonts w:ascii="Arial" w:cs="Arial" w:eastAsia="Arial" w:hAnsi="Arial"/>
          <w:sz w:val="16"/>
          <w:szCs w:val="16"/>
          <w:color w:val="auto"/>
        </w:rPr>
        <w:t>” whenever used with reference to the Securities or any Security or any portion thereof, shall be deemed to include “and premium, if any”.</w:t>
      </w:r>
    </w:p>
    <w:p>
      <w:pPr>
        <w:spacing w:after="0" w:line="194" w:lineRule="exact"/>
        <w:rPr>
          <w:sz w:val="20"/>
          <w:szCs w:val="20"/>
          <w:color w:val="auto"/>
        </w:rPr>
      </w:pPr>
    </w:p>
    <w:p>
      <w:pPr>
        <w:ind w:right="44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 Manufacturing Property</w:t>
      </w:r>
      <w:r>
        <w:rPr>
          <w:rFonts w:ascii="Arial" w:cs="Arial" w:eastAsia="Arial" w:hAnsi="Arial"/>
          <w:sz w:val="16"/>
          <w:szCs w:val="16"/>
          <w:color w:val="auto"/>
        </w:rPr>
        <w:t>” means each manufacturing or processing plant or facility of the Issuer located in the United States of America (other than its territories and possessions) or Puerto Rico; except any such manufacturing or processing plant or facility which the Board of Directors by resolution determines not to be of material importance to the total business conducted by the Issuer and its consolidated Subsidiaries, taken as a whole.</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Interest</w:t>
      </w:r>
      <w:r>
        <w:rPr>
          <w:rFonts w:ascii="Arial" w:cs="Arial" w:eastAsia="Arial" w:hAnsi="Arial"/>
          <w:sz w:val="18"/>
          <w:szCs w:val="18"/>
          <w:color w:val="auto"/>
        </w:rPr>
        <w:t>” has the meaning set forth in Section 5.01(g).</w:t>
      </w:r>
    </w:p>
    <w:p>
      <w:pPr>
        <w:spacing w:after="0" w:line="171" w:lineRule="exact"/>
        <w:rPr>
          <w:sz w:val="20"/>
          <w:szCs w:val="20"/>
          <w:color w:val="auto"/>
        </w:rPr>
      </w:pPr>
    </w:p>
    <w:p>
      <w:pPr>
        <w:jc w:val="both"/>
        <w:ind w:right="20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the cashier, the secretary, the treasurer, any trust 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w:t>
      </w:r>
    </w:p>
    <w:p>
      <w:pPr>
        <w:spacing w:after="0" w:line="139"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or “</w:t>
      </w:r>
      <w:r>
        <w:rPr>
          <w:rFonts w:ascii="Arial" w:cs="Arial" w:eastAsia="Arial" w:hAnsi="Arial"/>
          <w:sz w:val="18"/>
          <w:szCs w:val="18"/>
          <w:b w:val="1"/>
          <w:bCs w:val="1"/>
          <w:color w:val="auto"/>
        </w:rPr>
        <w:t>Securities</w:t>
      </w:r>
      <w:r>
        <w:rPr>
          <w:rFonts w:ascii="Arial" w:cs="Arial" w:eastAsia="Arial" w:hAnsi="Arial"/>
          <w:sz w:val="18"/>
          <w:szCs w:val="18"/>
          <w:color w:val="auto"/>
        </w:rPr>
        <w:t>” has the meaning stated in the first recital of this Indenture, or, as the case may be, Securities that have been authenticated and delivered under this Indenture.</w:t>
      </w:r>
    </w:p>
    <w:p>
      <w:pPr>
        <w:spacing w:after="0" w:line="120"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 corporation of which stock having a majority of the voting power under ordinary circumstances is owned, directly or indirectly, by the Issuer or by one or more subsidiaries of the Issuer, or by the Issuer and one or more subsidiaries of the Issuer.</w:t>
      </w:r>
    </w:p>
    <w:p>
      <w:pPr>
        <w:spacing w:after="0" w:line="12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 of 1939</w:t>
      </w:r>
      <w:r>
        <w:rPr>
          <w:rFonts w:ascii="Arial" w:cs="Arial" w:eastAsia="Arial" w:hAnsi="Arial"/>
          <w:sz w:val="18"/>
          <w:szCs w:val="18"/>
          <w:color w:val="auto"/>
        </w:rPr>
        <w:t>” (except as otherwise provided in Sections 8.01 and 8.02) means the Trust Indenture Act of 1939 as in force at the date as of which this Indenture was originally executed.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76" w:name="page77"/>
    <w:bookmarkEnd w:id="76"/>
    <w:p>
      <w:pPr>
        <w:jc w:val="both"/>
        <w:ind w:firstLine="456"/>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Trustee</w:t>
      </w:r>
      <w:r>
        <w:rPr>
          <w:rFonts w:ascii="Arial" w:cs="Arial" w:eastAsia="Arial" w:hAnsi="Arial"/>
          <w:sz w:val="16"/>
          <w:szCs w:val="16"/>
          <w:color w:val="auto"/>
        </w:rPr>
        <w:t>” means the Person identified as “</w:t>
      </w:r>
      <w:r>
        <w:rPr>
          <w:rFonts w:ascii="Arial" w:cs="Arial" w:eastAsia="Arial" w:hAnsi="Arial"/>
          <w:sz w:val="16"/>
          <w:szCs w:val="16"/>
          <w:b w:val="1"/>
          <w:bCs w:val="1"/>
          <w:color w:val="auto"/>
        </w:rPr>
        <w:t>Trustee</w:t>
      </w:r>
      <w:r>
        <w:rPr>
          <w:rFonts w:ascii="Arial" w:cs="Arial" w:eastAsia="Arial" w:hAnsi="Arial"/>
          <w:sz w:val="16"/>
          <w:szCs w:val="16"/>
          <w:color w:val="auto"/>
        </w:rPr>
        <w:t>” in the first paragraph hereof and, subject to the provisions of Article 6, shall also include any successor trustee. “</w:t>
      </w:r>
      <w:r>
        <w:rPr>
          <w:rFonts w:ascii="Arial" w:cs="Arial" w:eastAsia="Arial" w:hAnsi="Arial"/>
          <w:sz w:val="16"/>
          <w:szCs w:val="16"/>
          <w:b w:val="1"/>
          <w:bCs w:val="1"/>
          <w:color w:val="auto"/>
        </w:rPr>
        <w:t>Trustee</w:t>
      </w:r>
      <w:r>
        <w:rPr>
          <w:rFonts w:ascii="Arial" w:cs="Arial" w:eastAsia="Arial" w:hAnsi="Arial"/>
          <w:sz w:val="16"/>
          <w:szCs w:val="16"/>
          <w:color w:val="auto"/>
        </w:rPr>
        <w:t>” shall also mean or include each Person who is then a trustee hereunder and if at any time there is more than one such Person, “</w:t>
      </w:r>
      <w:r>
        <w:rPr>
          <w:rFonts w:ascii="Arial" w:cs="Arial" w:eastAsia="Arial" w:hAnsi="Arial"/>
          <w:sz w:val="16"/>
          <w:szCs w:val="16"/>
          <w:b w:val="1"/>
          <w:bCs w:val="1"/>
          <w:color w:val="auto"/>
        </w:rPr>
        <w:t>Trustee</w:t>
      </w:r>
      <w:r>
        <w:rPr>
          <w:rFonts w:ascii="Arial" w:cs="Arial" w:eastAsia="Arial" w:hAnsi="Arial"/>
          <w:sz w:val="16"/>
          <w:szCs w:val="16"/>
          <w:color w:val="auto"/>
        </w:rPr>
        <w:t>” as used with respect to the Securities of any series shall mean the trustee with respect to the Securities of such series.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Government Obligations</w:t>
      </w:r>
      <w:r>
        <w:rPr>
          <w:rFonts w:ascii="Arial" w:cs="Arial" w:eastAsia="Arial" w:hAnsi="Arial"/>
          <w:sz w:val="18"/>
          <w:szCs w:val="18"/>
          <w:color w:val="auto"/>
        </w:rPr>
        <w:t>” shall have the meaning set forth in Section 10.01(a).</w:t>
      </w:r>
    </w:p>
    <w:p>
      <w:pPr>
        <w:spacing w:after="0" w:line="17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vice president</w:t>
      </w:r>
      <w:r>
        <w:rPr>
          <w:rFonts w:ascii="Arial" w:cs="Arial" w:eastAsia="Arial" w:hAnsi="Arial"/>
          <w:sz w:val="18"/>
          <w:szCs w:val="18"/>
          <w:color w:val="auto"/>
        </w:rPr>
        <w:t>”, when used with respect to the Issuer or the Trustee, means any vice president, whether or not designated by a number or a word or words added before or after the title of “vice president”.</w:t>
      </w:r>
    </w:p>
    <w:p>
      <w:pPr>
        <w:spacing w:after="0" w:line="120"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Yield to Maturity</w:t>
      </w:r>
      <w:r>
        <w:rPr>
          <w:rFonts w:ascii="Arial" w:cs="Arial" w:eastAsia="Arial" w:hAnsi="Arial"/>
          <w:sz w:val="18"/>
          <w:szCs w:val="18"/>
          <w:color w:val="auto"/>
        </w:rPr>
        <w:t>”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ECURITIES</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2.01</w:t>
      </w:r>
      <w:r>
        <w:rPr>
          <w:rFonts w:ascii="Arial" w:cs="Arial" w:eastAsia="Arial" w:hAnsi="Arial"/>
          <w:sz w:val="16"/>
          <w:szCs w:val="16"/>
          <w:i w:val="1"/>
          <w:iCs w:val="1"/>
          <w:color w:val="auto"/>
        </w:rPr>
        <w:t>. Forms Generally.</w:t>
      </w:r>
      <w:r>
        <w:rPr>
          <w:rFonts w:ascii="Arial" w:cs="Arial" w:eastAsia="Arial" w:hAnsi="Arial"/>
          <w:sz w:val="16"/>
          <w:szCs w:val="16"/>
          <w:color w:val="auto"/>
        </w:rPr>
        <w:t xml:space="preserve"> The Securities of each series shall be substantially in such form (not inconsistent with this Indenture) as shall be established by or pursuant to one or more Board Resolutions (as set forth in a Board Resolution or, to the extent established pursuant to (rather than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such Securities.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77" w:name="page78"/>
    <w:bookmarkEnd w:id="77"/>
    <w:p>
      <w:pPr>
        <w:ind w:right="5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2.02</w:t>
      </w:r>
      <w:r>
        <w:rPr>
          <w:rFonts w:ascii="Arial" w:cs="Arial" w:eastAsia="Arial" w:hAnsi="Arial"/>
          <w:sz w:val="18"/>
          <w:szCs w:val="18"/>
          <w:i w:val="1"/>
          <w:iCs w:val="1"/>
          <w:color w:val="auto"/>
        </w:rPr>
        <w:t>. Form of Trustee’s Certificate of Authentication.</w:t>
      </w:r>
      <w:r>
        <w:rPr>
          <w:rFonts w:ascii="Arial" w:cs="Arial" w:eastAsia="Arial" w:hAnsi="Arial"/>
          <w:sz w:val="18"/>
          <w:szCs w:val="18"/>
          <w:color w:val="auto"/>
        </w:rPr>
        <w:t xml:space="preserve"> The Trustee’s certificate of authentication on all Securities shall be in substantially the following form: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Officer</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Section 2.03</w:t>
      </w:r>
      <w:r>
        <w:rPr>
          <w:rFonts w:ascii="Arial" w:cs="Arial" w:eastAsia="Arial" w:hAnsi="Arial"/>
          <w:sz w:val="18"/>
          <w:szCs w:val="18"/>
          <w:i w:val="1"/>
          <w:iCs w:val="1"/>
          <w:color w:val="auto"/>
        </w:rPr>
        <w:t>. Amount Unlimited</w:t>
      </w:r>
      <w:r>
        <w:rPr>
          <w:rFonts w:ascii="Arial" w:cs="Arial" w:eastAsia="Arial" w:hAnsi="Arial"/>
          <w:sz w:val="18"/>
          <w:szCs w:val="18"/>
          <w:color w:val="auto"/>
        </w:rPr>
        <w:t xml:space="preserve">; </w:t>
      </w:r>
      <w:r>
        <w:rPr>
          <w:rFonts w:ascii="Arial" w:cs="Arial" w:eastAsia="Arial" w:hAnsi="Arial"/>
          <w:sz w:val="18"/>
          <w:szCs w:val="18"/>
          <w:i w:val="1"/>
          <w:iCs w:val="1"/>
          <w:color w:val="auto"/>
        </w:rPr>
        <w:t>Issuable in Series.</w:t>
      </w:r>
      <w:r>
        <w:rPr>
          <w:rFonts w:ascii="Arial" w:cs="Arial" w:eastAsia="Arial" w:hAnsi="Arial"/>
          <w:sz w:val="18"/>
          <w:szCs w:val="18"/>
          <w:color w:val="auto"/>
        </w:rPr>
        <w:t xml:space="preserve"> The aggregate principal amount of Securities which may be authenticated and delivered under this Indenture is unlimited.</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Securities may be issued in one or more series. The terms of a series of Securities shall be established prior to the initial issuance thereof in or pursuant to one or more Board Resolutions of the Board of Directors and set forth in a Board Resolution, or, to the extent established pursuant to (rather than set forth in) a Board Resolution, in an Officers’ Certificate detailing such establishment and/or established in one or more indentures supplemental hereto. The terms of such series reflected in such Board Resolution, Officers’ Certificate, or supplemental indenture may include the following or any additional or different terms:</w:t>
      </w:r>
    </w:p>
    <w:p>
      <w:pPr>
        <w:spacing w:after="0" w:line="113" w:lineRule="exact"/>
        <w:rPr>
          <w:sz w:val="20"/>
          <w:szCs w:val="20"/>
          <w:color w:val="auto"/>
        </w:rPr>
      </w:pPr>
    </w:p>
    <w:p>
      <w:pPr>
        <w:ind w:left="700" w:hanging="23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designation of the Securities of the series (which may be part of a series of Securities previously issued);</w:t>
      </w:r>
    </w:p>
    <w:p>
      <w:pPr>
        <w:spacing w:after="0" w:line="171" w:lineRule="exact"/>
        <w:rPr>
          <w:rFonts w:ascii="Arial" w:cs="Arial" w:eastAsia="Arial" w:hAnsi="Arial"/>
          <w:sz w:val="18"/>
          <w:szCs w:val="18"/>
          <w:color w:val="auto"/>
        </w:rPr>
      </w:pPr>
    </w:p>
    <w:p>
      <w:pPr>
        <w:ind w:right="240" w:firstLine="464"/>
        <w:spacing w:after="0" w:line="268"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conversion of the Securities into Common Stock will be effected, including the initial conversion price or rate, the conversion period and other provisions in addition to or in lieu of those described herein;</w:t>
      </w:r>
    </w:p>
    <w:p>
      <w:pPr>
        <w:spacing w:after="0" w:line="131" w:lineRule="exact"/>
        <w:rPr>
          <w:rFonts w:ascii="Arial" w:cs="Arial" w:eastAsia="Arial" w:hAnsi="Arial"/>
          <w:sz w:val="18"/>
          <w:szCs w:val="18"/>
          <w:color w:val="auto"/>
        </w:rPr>
      </w:pPr>
    </w:p>
    <w:p>
      <w:pPr>
        <w:ind w:firstLine="464"/>
        <w:spacing w:after="0" w:line="259"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8.05 or 12.03);</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other than Dollars, the Foreign Currency in which the Securities of that series are denominated;</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date on which the principal of the Securities of the series is payable;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78" w:name="page79"/>
    <w:bookmarkEnd w:id="78"/>
    <w:p>
      <w:pPr>
        <w:ind w:left="-20" w:right="120" w:firstLine="464"/>
        <w:spacing w:after="0" w:line="259" w:lineRule="auto"/>
        <w:tabs>
          <w:tab w:leader="none" w:pos="656"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rate or rates at which the Securities of the series shall bear interest, if any, the record date or dates for the determination of holders to whom interest is payable, the date or dates from which such interest shall accrue and on which such interest shall be payable and/or the method by which such rate or rates or date or dates shall be determined;</w:t>
      </w:r>
    </w:p>
    <w:p>
      <w:pPr>
        <w:spacing w:after="0" w:line="140" w:lineRule="exact"/>
        <w:rPr>
          <w:rFonts w:ascii="Arial" w:cs="Arial" w:eastAsia="Arial" w:hAnsi="Arial"/>
          <w:sz w:val="18"/>
          <w:szCs w:val="18"/>
          <w:color w:val="auto"/>
        </w:rPr>
      </w:pPr>
    </w:p>
    <w:p>
      <w:pPr>
        <w:ind w:left="700" w:hanging="256"/>
        <w:spacing w:after="0"/>
        <w:tabs>
          <w:tab w:leader="none" w:pos="7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interest on Securities of the series shall be payable (if other than as provided in Section 3.02);</w:t>
      </w:r>
    </w:p>
    <w:p>
      <w:pPr>
        <w:spacing w:after="0" w:line="194" w:lineRule="exact"/>
        <w:rPr>
          <w:rFonts w:ascii="Arial" w:cs="Arial" w:eastAsia="Arial" w:hAnsi="Arial"/>
          <w:sz w:val="16"/>
          <w:szCs w:val="16"/>
          <w:color w:val="auto"/>
        </w:rPr>
      </w:pPr>
    </w:p>
    <w:p>
      <w:pPr>
        <w:ind w:left="-20" w:right="220" w:firstLine="464"/>
        <w:spacing w:after="0" w:line="268" w:lineRule="auto"/>
        <w:tabs>
          <w:tab w:leader="none" w:pos="6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price or prices at which, the period or periods within which and the terms and conditions upon which Securities of the series may be redeemed, in whole or in part, at the option of the Issuer, pursuant to any sinking fund or otherwise;</w:t>
      </w:r>
    </w:p>
    <w:p>
      <w:pPr>
        <w:spacing w:after="0" w:line="131" w:lineRule="exact"/>
        <w:rPr>
          <w:rFonts w:ascii="Arial" w:cs="Arial" w:eastAsia="Arial" w:hAnsi="Arial"/>
          <w:sz w:val="18"/>
          <w:szCs w:val="18"/>
          <w:color w:val="auto"/>
        </w:rPr>
      </w:pPr>
    </w:p>
    <w:p>
      <w:pPr>
        <w:ind w:left="-20" w:right="320" w:firstLine="464"/>
        <w:spacing w:after="0" w:line="306" w:lineRule="auto"/>
        <w:tabs>
          <w:tab w:leader="none" w:pos="646"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obligation, if any, of the Issuer to redeem, purchase or repay Securities of the series pursuant to any mandatory redemption, sinking fund or analogous provisions or at the option of a Holder thereof and the price or prices at which and the period or periods within which and any terms and conditions upon which Securities of the series shall be redeemed, purchased or repaid, in whole or in part, pursuant to such obligation;</w:t>
      </w:r>
    </w:p>
    <w:p>
      <w:pPr>
        <w:spacing w:after="0" w:line="106" w:lineRule="exact"/>
        <w:rPr>
          <w:rFonts w:ascii="Arial" w:cs="Arial" w:eastAsia="Arial" w:hAnsi="Arial"/>
          <w:sz w:val="16"/>
          <w:szCs w:val="16"/>
          <w:color w:val="auto"/>
        </w:rPr>
      </w:pPr>
    </w:p>
    <w:p>
      <w:pPr>
        <w:ind w:left="660" w:hanging="216"/>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Securities of the series shall be issuable;</w:t>
      </w:r>
    </w:p>
    <w:p>
      <w:pPr>
        <w:spacing w:after="0" w:line="194" w:lineRule="exact"/>
        <w:rPr>
          <w:rFonts w:ascii="Arial" w:cs="Arial" w:eastAsia="Arial" w:hAnsi="Arial"/>
          <w:sz w:val="16"/>
          <w:szCs w:val="16"/>
          <w:color w:val="auto"/>
        </w:rPr>
      </w:pPr>
    </w:p>
    <w:p>
      <w:pPr>
        <w:ind w:left="-20" w:right="400" w:firstLine="464"/>
        <w:spacing w:after="0" w:line="268" w:lineRule="auto"/>
        <w:tabs>
          <w:tab w:leader="none" w:pos="6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w:t>
      </w:r>
    </w:p>
    <w:p>
      <w:pPr>
        <w:spacing w:after="0" w:line="131" w:lineRule="exact"/>
        <w:rPr>
          <w:rFonts w:ascii="Arial" w:cs="Arial" w:eastAsia="Arial" w:hAnsi="Arial"/>
          <w:sz w:val="18"/>
          <w:szCs w:val="18"/>
          <w:color w:val="auto"/>
        </w:rPr>
      </w:pPr>
    </w:p>
    <w:p>
      <w:pPr>
        <w:ind w:left="-20" w:right="380" w:firstLine="464"/>
        <w:spacing w:after="0" w:line="268" w:lineRule="auto"/>
        <w:tabs>
          <w:tab w:leader="none" w:pos="6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other than the currency in which the Securities of that series are denominated, the currency in which payment of the principal of or interest on the Securities of such series shall be payable;</w:t>
      </w:r>
    </w:p>
    <w:p>
      <w:pPr>
        <w:spacing w:after="0" w:line="131" w:lineRule="exact"/>
        <w:rPr>
          <w:rFonts w:ascii="Arial" w:cs="Arial" w:eastAsia="Arial" w:hAnsi="Arial"/>
          <w:sz w:val="18"/>
          <w:szCs w:val="18"/>
          <w:color w:val="auto"/>
        </w:rPr>
      </w:pPr>
    </w:p>
    <w:p>
      <w:pPr>
        <w:ind w:left="-20" w:firstLine="464"/>
        <w:spacing w:after="0" w:line="332" w:lineRule="auto"/>
        <w:tabs>
          <w:tab w:leader="none" w:pos="734"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principal of or interest on the Securities of the series is to be payable, at the election of the Issuer or a Holder thereof, in a currency other than that in which the Securities are denominated, the period or periods within which, and the terms and conditions upon which, such election may be made;</w:t>
      </w:r>
    </w:p>
    <w:p>
      <w:pPr>
        <w:spacing w:after="0" w:line="85" w:lineRule="exact"/>
        <w:rPr>
          <w:rFonts w:ascii="Arial" w:cs="Arial" w:eastAsia="Arial" w:hAnsi="Arial"/>
          <w:sz w:val="16"/>
          <w:szCs w:val="16"/>
          <w:color w:val="auto"/>
        </w:rPr>
      </w:pPr>
    </w:p>
    <w:p>
      <w:pPr>
        <w:ind w:left="-20" w:right="140" w:firstLine="464"/>
        <w:spacing w:after="0" w:line="332" w:lineRule="auto"/>
        <w:tabs>
          <w:tab w:leader="none" w:pos="685"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amount of payments of principal of and interest on the Securities of the series may be determined with reference to an index based on a currency other than that in which the Securities of the series are denominated, the manner in which such amounts shall be determined;</w:t>
      </w:r>
    </w:p>
    <w:p>
      <w:pPr>
        <w:spacing w:after="0" w:line="85" w:lineRule="exact"/>
        <w:rPr>
          <w:rFonts w:ascii="Arial" w:cs="Arial" w:eastAsia="Arial" w:hAnsi="Arial"/>
          <w:sz w:val="16"/>
          <w:szCs w:val="16"/>
          <w:color w:val="auto"/>
        </w:rPr>
      </w:pPr>
    </w:p>
    <w:p>
      <w:pPr>
        <w:ind w:left="700" w:hanging="256"/>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and upon what terms the Securities may be defeased;</w:t>
      </w:r>
    </w:p>
    <w:p>
      <w:pPr>
        <w:spacing w:after="0" w:line="171" w:lineRule="exact"/>
        <w:rPr>
          <w:rFonts w:ascii="Arial" w:cs="Arial" w:eastAsia="Arial" w:hAnsi="Arial"/>
          <w:sz w:val="18"/>
          <w:szCs w:val="18"/>
          <w:color w:val="auto"/>
        </w:rPr>
      </w:pPr>
    </w:p>
    <w:p>
      <w:pPr>
        <w:ind w:left="-20" w:right="80" w:firstLine="464"/>
        <w:spacing w:after="0" w:line="259" w:lineRule="auto"/>
        <w:tabs>
          <w:tab w:leader="none" w:pos="6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and under what circumstances the Issuer will pay additional amounts on the Securities of the series held by a Person who is not a U.S. Person in respect of any tax, assessment or governmental charge withheld or deducted and, if so, whether the Issuer will have the option to redeem such Securities rather than pay such additional amounts;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79" w:name="page80"/>
    <w:bookmarkEnd w:id="79"/>
    <w:p>
      <w:pPr>
        <w:ind w:right="160" w:firstLine="464"/>
        <w:spacing w:after="0" w:line="259" w:lineRule="auto"/>
        <w:tabs>
          <w:tab w:leader="none" w:pos="705"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Securities of such series are to be issuable in definitive form (whether upon original issue or upon exchange of a temporary Security of such series) only upon receipt of certain certificates or other documents or satisfaction of other conditions, then the form and terms of such certificates, documents or conditions;</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trustees, authenticating or paying agents, transfer agents or registrars or any other agents with respect to the Securities of such series;</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other events of default or covenants with respect to the Securities of such series in addition to or in lieu of those contained in this Indenture;</w:t>
      </w:r>
    </w:p>
    <w:p>
      <w:pPr>
        <w:spacing w:after="0" w:line="194" w:lineRule="exact"/>
        <w:rPr>
          <w:rFonts w:ascii="Arial" w:cs="Arial" w:eastAsia="Arial" w:hAnsi="Arial"/>
          <w:sz w:val="16"/>
          <w:szCs w:val="16"/>
          <w:color w:val="auto"/>
        </w:rPr>
      </w:pPr>
    </w:p>
    <w:p>
      <w:pPr>
        <w:jc w:val="both"/>
        <w:ind w:right="60" w:firstLine="464"/>
        <w:spacing w:after="0" w:line="306" w:lineRule="auto"/>
        <w:tabs>
          <w:tab w:leader="none" w:pos="666"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the Securities of the series may be issued in exchange for surrendered Securities of another series, or for other securities of the Issuer, pursuant to the terms of such Securities or securities or of any agreement entered into by the Issuer, the ratio of the principal amount of the Securities of the series to be issued to the principal amount of the Securities or securities to be surrendered in exchange, and any other material terms of the exchange;</w:t>
      </w:r>
    </w:p>
    <w:p>
      <w:pPr>
        <w:spacing w:after="0" w:line="106" w:lineRule="exact"/>
        <w:rPr>
          <w:rFonts w:ascii="Arial" w:cs="Arial" w:eastAsia="Arial" w:hAnsi="Arial"/>
          <w:sz w:val="16"/>
          <w:szCs w:val="16"/>
          <w:color w:val="auto"/>
        </w:rPr>
      </w:pPr>
    </w:p>
    <w:p>
      <w:pPr>
        <w:ind w:right="240" w:firstLine="464"/>
        <w:spacing w:after="0" w:line="268" w:lineRule="auto"/>
        <w:tabs>
          <w:tab w:leader="none" w:pos="7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Securities may be exchanged for the cash value of other securities issued by the Issuer or by a third party;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other terms of the series.</w:t>
      </w:r>
    </w:p>
    <w:p>
      <w:pPr>
        <w:spacing w:after="0" w:line="171"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Issuer may from time to time, without notice to or the consent of the holders of any series of Securities, create and issue further Securities of any such series ranking equally with the Securities of such series in all respects (or in all respects other than the payment of interest accruing prior to the issue date of such further Securities or except for the first payment of interest following the issue date of such further Securities). Such further Securities may be consolidated and form a single series with the Securities of such series and have the same terms as to status, redemption or otherwise as the Securities of such series.</w:t>
      </w:r>
    </w:p>
    <w:p>
      <w:pPr>
        <w:spacing w:after="0" w:line="98"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Section 2.04</w:t>
      </w:r>
      <w:r>
        <w:rPr>
          <w:rFonts w:ascii="Arial" w:cs="Arial" w:eastAsia="Arial" w:hAnsi="Arial"/>
          <w:sz w:val="15"/>
          <w:szCs w:val="15"/>
          <w:i w:val="1"/>
          <w:iCs w:val="1"/>
          <w:color w:val="auto"/>
        </w:rPr>
        <w:t>. Authentication and Delivery of Securities.</w:t>
      </w:r>
      <w:r>
        <w:rPr>
          <w:rFonts w:ascii="Arial" w:cs="Arial" w:eastAsia="Arial" w:hAnsi="Arial"/>
          <w:sz w:val="15"/>
          <w:szCs w:val="15"/>
          <w:color w:val="auto"/>
        </w:rPr>
        <w:t xml:space="preserve"> The Issuer may deliver Securities of any series executed by the Issuer to the Trustee for authentication together with the applicable documents referred to below in this Section, and the Trustee shall thereupon authenticate and deliver such Securities to or upon the order of the Issuer (contained in the Issuer Order referred to below in this Section) or pursuant to such procedures acceptable to the Trustee and to</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80" w:name="page81"/>
    <w:bookmarkEnd w:id="80"/>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recipients as may be specified from time to time by an Issuer Order. The maturity date, original issue date, interest rate and any other terms of the Securities of such series shall be determined by or pursuant to such Issuer Order and procedures. If provided for in such procedures, such Issuer Order may authorize authentication and delivery pursuant to oral instructions from the Issuer or its duly authorized agent, which instructions shall be promptly confirmed in writing. In authenticating such Securities and accepting the additional responsibilities under this Indenture in relation to such Securities, the Trustee shall be entitled to receive, and (subject to Section 6.01) shall be fully protected in relying upon:</w:t>
      </w:r>
    </w:p>
    <w:p>
      <w:pPr>
        <w:spacing w:after="0" w:line="116" w:lineRule="exact"/>
        <w:rPr>
          <w:sz w:val="20"/>
          <w:szCs w:val="20"/>
          <w:color w:val="auto"/>
        </w:rPr>
      </w:pPr>
    </w:p>
    <w:p>
      <w:pPr>
        <w:ind w:left="700" w:hanging="236"/>
        <w:spacing w:after="0"/>
        <w:tabs>
          <w:tab w:leader="none" w:pos="7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 Issuer Order requesting such authentication and setting forth delivery instructions if the Securities are not to be delivered to the Issuer;</w:t>
      </w:r>
    </w:p>
    <w:p>
      <w:pPr>
        <w:spacing w:after="0" w:line="194" w:lineRule="exact"/>
        <w:rPr>
          <w:rFonts w:ascii="Arial" w:cs="Arial" w:eastAsia="Arial" w:hAnsi="Arial"/>
          <w:sz w:val="16"/>
          <w:szCs w:val="16"/>
          <w:color w:val="auto"/>
        </w:rPr>
      </w:pPr>
    </w:p>
    <w:p>
      <w:pPr>
        <w:ind w:right="260" w:firstLine="464"/>
        <w:spacing w:after="0" w:line="268" w:lineRule="auto"/>
        <w:tabs>
          <w:tab w:leader="none" w:pos="70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Board Resolution, Officers’ Certificate and/or executed supplemental indenture referred to in Sections 2.01 and 2.03 by or pursuant to which the forms and terms of the Securities were established;</w:t>
      </w:r>
    </w:p>
    <w:p>
      <w:pPr>
        <w:spacing w:after="0" w:line="131" w:lineRule="exact"/>
        <w:rPr>
          <w:rFonts w:ascii="Arial" w:cs="Arial" w:eastAsia="Arial" w:hAnsi="Arial"/>
          <w:sz w:val="18"/>
          <w:szCs w:val="18"/>
          <w:color w:val="auto"/>
        </w:rPr>
      </w:pPr>
    </w:p>
    <w:p>
      <w:pPr>
        <w:ind w:right="220" w:firstLine="464"/>
        <w:spacing w:after="0" w:line="332" w:lineRule="auto"/>
        <w:tabs>
          <w:tab w:leader="none" w:pos="695"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 Officers’ Certificate setting forth the form or forms and terms of the Securities stating that the form or forms and terms of the Securities have been established pursuant to Sections 2.01 and 2.03 and comply with this Indenture, and covering such other matters as the Trustee may reasonably request; and</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Opinion of Counsel to the effect that: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form or forms and terms of such Securities have been established pursuant to Sections 2.01 and 2.03 and comply with this Indenture,</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authentication and delivery of such Securities by the Trustee are authorized under the provisions of this Indenture,</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205" w:val="left"/>
        </w:tabs>
        <w:numPr>
          <w:ilvl w:val="1"/>
          <w:numId w:val="55"/>
        </w:numPr>
        <w:rPr>
          <w:rFonts w:ascii="Arial" w:cs="Arial" w:eastAsia="Arial" w:hAnsi="Arial"/>
          <w:sz w:val="18"/>
          <w:szCs w:val="18"/>
          <w:color w:val="auto"/>
        </w:rPr>
      </w:pPr>
      <w:r>
        <w:rPr>
          <w:rFonts w:ascii="Arial" w:cs="Arial" w:eastAsia="Arial" w:hAnsi="Arial"/>
          <w:sz w:val="18"/>
          <w:szCs w:val="18"/>
          <w:color w:val="auto"/>
        </w:rPr>
        <w:t>such Securities when authenticated and delivered by the Trustee and issued by the Issuer in the manner and subject to any conditions specified in such Opinion of Counsel, will constitute valid and binding obligations of the Issuer,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laws and requirements in respect of the execution and delivery by the Issuer of the Securities have been complied with,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and covering such other matters as the Trustee may reasonably request.</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 or would affect the Trustee’s own rights, duties or immunities under the Securities, this Indenture or otherwise.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81" w:name="page82"/>
    <w:bookmarkEnd w:id="81"/>
    <w:p>
      <w:pPr>
        <w:ind w:firstLine="456"/>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Issuer shall execute and the Trustee shall, in accordance with this Section with respect to the Securities of a series, authenticate and deliver one or more Global Securities that (i) shall represent and shall be denominated in an amount equal to the aggregate principal amount of all of the Securities of such series issued and not yet cancelled, (ii) shall be registered in the name of the Depositary for such Global Security or Securities or the nominee of such Depositary,</w:t>
      </w:r>
    </w:p>
    <w:p>
      <w:pPr>
        <w:spacing w:after="0" w:line="1" w:lineRule="exact"/>
        <w:rPr>
          <w:sz w:val="20"/>
          <w:szCs w:val="20"/>
          <w:color w:val="auto"/>
        </w:rPr>
      </w:pPr>
    </w:p>
    <w:p>
      <w:pPr>
        <w:ind w:right="160" w:firstLine="8"/>
        <w:spacing w:after="0" w:line="295" w:lineRule="auto"/>
        <w:tabs>
          <w:tab w:leader="none" w:pos="307" w:val="left"/>
        </w:tabs>
        <w:numPr>
          <w:ilvl w:val="0"/>
          <w:numId w:val="56"/>
        </w:numPr>
        <w:rPr>
          <w:rFonts w:ascii="Arial" w:cs="Arial" w:eastAsia="Arial" w:hAnsi="Arial"/>
          <w:sz w:val="16"/>
          <w:szCs w:val="16"/>
          <w:color w:val="auto"/>
        </w:rPr>
      </w:pPr>
      <w:r>
        <w:rPr>
          <w:rFonts w:ascii="Arial" w:cs="Arial" w:eastAsia="Arial" w:hAnsi="Arial"/>
          <w:sz w:val="16"/>
          <w:szCs w:val="16"/>
          <w:color w:val="auto"/>
        </w:rPr>
        <w:t>shall be delivered by the Trustee to such Depositary or pursuant to such Depositary’s instructions and (iv) shall bear a legend substantially to the following effect: “Unless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1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Each Depositary designated pursuant to this Section must, at the time of its designation and at all times while it serves as Depositary, be a clearing agency registered under the Securities Exchange Act of 1934 and any other applicable statute or regulation.</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Execution of Securities</w:t>
      </w:r>
      <w:r>
        <w:rPr>
          <w:rFonts w:ascii="Arial" w:cs="Arial" w:eastAsia="Arial" w:hAnsi="Arial"/>
          <w:sz w:val="18"/>
          <w:szCs w:val="18"/>
          <w:color w:val="auto"/>
        </w:rPr>
        <w:t>. The Securities shall be signed on behalf of the Issuer by the chairman of its Board of Directors or any vice chairman of its Board of Directors or its president or any vice president or its treasurer. Such signatures may be the manual or facsimile signatures of the present or any future such officers. Typographical and other minor errors or defects in any such reproduction of any such signature shall not affect the validity or enforceability of any Security that has been duly authenticated and delivered by the Trustee.</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82" w:name="page83"/>
    <w:bookmarkEnd w:id="82"/>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2.06. </w:t>
      </w:r>
      <w:r>
        <w:rPr>
          <w:rFonts w:ascii="Arial" w:cs="Arial" w:eastAsia="Arial" w:hAnsi="Arial"/>
          <w:sz w:val="16"/>
          <w:szCs w:val="16"/>
          <w:i w:val="1"/>
          <w:iCs w:val="1"/>
          <w:color w:val="auto"/>
        </w:rPr>
        <w:t>Certificate of Authentication</w:t>
      </w:r>
      <w:r>
        <w:rPr>
          <w:rFonts w:ascii="Arial" w:cs="Arial" w:eastAsia="Arial" w:hAnsi="Arial"/>
          <w:sz w:val="16"/>
          <w:szCs w:val="16"/>
          <w:color w:val="auto"/>
        </w:rPr>
        <w:t>.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The execution of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i w:val="1"/>
          <w:iCs w:val="1"/>
          <w:color w:val="auto"/>
        </w:rPr>
        <w:t>Denomination and Date of Securities; Payments of Interest</w:t>
      </w:r>
      <w:r>
        <w:rPr>
          <w:rFonts w:ascii="Arial" w:cs="Arial" w:eastAsia="Arial" w:hAnsi="Arial"/>
          <w:sz w:val="16"/>
          <w:szCs w:val="16"/>
          <w:color w:val="auto"/>
        </w:rPr>
        <w:t>. The Securities of each series shall be issuable in denominations established as contemplated by Section 2.03 or, if not so established, in denominations of $1,000 and any integral multiple thereof. The Securities of each series shall be numbered, lettered or otherwise distinguished in such manner or in accordance with such plan as the officers of the Issuer executing the same may determine with the approval of the Trustee, as evidenced by the execution and authentication thereof. Unless otherwise indicated in a Board Resolution, Officers’ Certificate or supplemental indenture for a particular series, interest will be calculated on the basis of a 360-day year of twelve 30-day months.</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Each Security shall be dated the date of its authentication. The Securities of each series shall bear interest, if any, from the date, and such interest shall be payable on the dates, established as contemplated by Section 2.03.</w:t>
      </w:r>
    </w:p>
    <w:p>
      <w:pPr>
        <w:spacing w:after="0" w:line="132"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exchange or conversion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Securities not less than 15 days preceding such subsequent record date. The term “record date”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established, if such interest payment date is the first day of a calendar month, the 15th day of the next preceding calendar month or, if such interest payment date is the 15th day of a calendar month, the first day of such calendar month, whether or not such record date is a Business Day.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83" w:name="page84"/>
    <w:bookmarkEnd w:id="83"/>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2.08. </w:t>
      </w:r>
      <w:r>
        <w:rPr>
          <w:rFonts w:ascii="Arial" w:cs="Arial" w:eastAsia="Arial" w:hAnsi="Arial"/>
          <w:sz w:val="18"/>
          <w:szCs w:val="18"/>
          <w:i w:val="1"/>
          <w:iCs w:val="1"/>
          <w:color w:val="auto"/>
        </w:rPr>
        <w:t>Registration, Transfer and Exchange</w:t>
      </w:r>
      <w:r>
        <w:rPr>
          <w:rFonts w:ascii="Arial" w:cs="Arial" w:eastAsia="Arial" w:hAnsi="Arial"/>
          <w:sz w:val="18"/>
          <w:szCs w:val="18"/>
          <w:color w:val="auto"/>
        </w:rPr>
        <w:t>. The Issuer will keep at each office or agency to be maintained for the purpose as provided in Section 3.02 for each series of Securities a register or registers in which, subject to such reasonable regulations as it may prescribe, it will provide for the registration of Securities of such series and the registration of transfer of Securities of such series.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14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maturity date, interest rate and original issue date in authorized denominations for a like aggregate principal amount.</w:t>
      </w:r>
    </w:p>
    <w:p>
      <w:pPr>
        <w:spacing w:after="0" w:line="10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At the option of the Holder thereof, Securities of any series (except a Global Security) may be exchanged for a Security or Securities of such series having authorized denominations and an equal aggregate principal amount, upon surrender of such Securities to be exchanged at the agency of the Issuer that shall be maintained for such purpose in accordance with Section 3.02 and upon payment, if the Issuer shall so require, of the charges hereinafter provided. Whenever any Securities are so surrendered for exchange, the Issuer shall execute, and the Trustee shall authenticate and deliver, the Securities which the Holder making the exchange is entitled to receive. All Securities surrendered upon any exchange or transfer provided for in this Indenture shall be promptly cancelled and disposed of by the Trustee and the Trustee will deliver a certificate of disposition thereof to the Issuer.</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or her attorney duly authorized in writing.</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Issuer may require payment of a sum sufficient to cover any stamp or other tax or other governmental charge that may be imposed in connection with any exchange or registration of transfer of Securities. No service charge shall be made for any such transaction.</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Issuer shall not be required to exchange or register a transfer of (a) any Securities of any series for a period of 15 days next preceding the first mailing of notice of redemption of Securities of such series to be redeemed or (b) any Securities selected, called or being called for redemption, in whole or in part, except, in the case of any Security to be redeemed in part, the portion thereof not so to be redeemed.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84" w:name="page85"/>
    <w:bookmarkEnd w:id="84"/>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 other provision of this Section 2.08, unless and until it is exchanged in whole or in part for Securities in definitive registered form,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If at any time the Depositary for the Securities of a series notifies the Issuer that it is unwilling or unable to continue as Depositary for the Securities of such series or if at any time the Depositary for the Securities of a series shall no longer be eligible under Section 2.04, the Issuer shall appoint a successor Depositary with respect to the Securities of such series. If a successor Depositary for the Securities of such series is not appointed by the Issuer within 90 days after the Issuer receives such notice or becomes aware of such ineligibility, the Issuer’s election pursuant to Section 2.03 that the Securities of such series be represented by a Global Security shall no longer be effective and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the Securities of such series, in exchange for such Global Security or Securities.</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Issuer may at any time and in its sole discretion determine that the Securities of any series issued in the form of one or more Global Securities shall no longer be represented by a Global Security or Securities. In such event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such series, in exchange for such Global Security or Securities.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Depositary for such Global Security may surrender such Global Security in exchange in whole or in part for Securities of the same series in definitive registered form on such terms as are acceptable to the Issuer and such Depositary. Thereupon, the Issuer shall execute, and the Trustee shall authenticate and deliver, without service charge,</w:t>
      </w:r>
    </w:p>
    <w:p>
      <w:pPr>
        <w:spacing w:after="0" w:line="59" w:lineRule="exact"/>
        <w:rPr>
          <w:sz w:val="20"/>
          <w:szCs w:val="20"/>
          <w:color w:val="auto"/>
        </w:rPr>
      </w:pPr>
    </w:p>
    <w:p>
      <w:pPr>
        <w:ind w:left="460" w:right="120" w:firstLine="443"/>
        <w:spacing w:after="0" w:line="332" w:lineRule="auto"/>
        <w:tabs>
          <w:tab w:leader="none" w:pos="1108"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 the Person specified by such Depositary a new Security or Securities of the same series, of any authorized denominations as requested by such Person, in an aggregate principal amount equal to and in exchange for such Person’s beneficial interest in the Global Security;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85" w:name="page86"/>
    <w:bookmarkEnd w:id="85"/>
    <w:p>
      <w:pPr>
        <w:ind w:left="460" w:right="420" w:firstLine="443"/>
        <w:spacing w:after="0" w:line="332" w:lineRule="auto"/>
        <w:tabs>
          <w:tab w:leader="none" w:pos="1157"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such Depositary a new Global Security in a denomination equal to the difference, if any, between the principal amount of the surrendered Global Security and the aggregate principal amount of Securities authenticated and delivered pursuant to clause (i) above.</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Upon the exchange of a Global Security for Securities in definitive registered form, in authorized denominations, such Global Security shall be cancelled by the Trustee. Securities in definitive registered form issued in exchange for a Global Security pursuant to this Section 2.08 shall be registered in such names and in such authorized denominations as the Depositary for such Global Security, pursuant to instructions from its direct or indirect participants or otherwise, shall instruct the Trustee. The Trustee shall deliver such Securities to or as directed by the Persons in whose names such Securities are so registered.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Section 2.09</w:t>
      </w:r>
      <w:r>
        <w:rPr>
          <w:rFonts w:ascii="Arial" w:cs="Arial" w:eastAsia="Arial" w:hAnsi="Arial"/>
          <w:sz w:val="16"/>
          <w:szCs w:val="16"/>
          <w:i w:val="1"/>
          <w:iCs w:val="1"/>
          <w:color w:val="auto"/>
        </w:rPr>
        <w:t>. Mutilated, Defaced, Destroyed, Lost and Stolen Securities.</w:t>
      </w:r>
      <w:r>
        <w:rPr>
          <w:rFonts w:ascii="Arial" w:cs="Arial" w:eastAsia="Arial" w:hAnsi="Arial"/>
          <w:sz w:val="16"/>
          <w:szCs w:val="16"/>
          <w:color w:val="auto"/>
        </w:rPr>
        <w:t xml:space="preserve"> In case any temporary or definitive Security shall become mutilated, defaced or be destroyed, lost or stolen, the Issuer in its discretion may execute, and upon the written request of any officer of the Issuer, the Trustee shall authenticate and deliver a new Security of the same series, maturity date, interest rate and original issue date, bearing a number or other distinguishing symbol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and of the ownership thereof and in the case of mutilation or defacement shall surrender the Security to the Trustee.</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or is being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86" w:name="page87"/>
    <w:bookmarkEnd w:id="86"/>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surrendered for conversion in full, shall become mutilated or defaced or be destroyed, lost or stolen, the Issuer may, instead of issuing a substitute Security (with the Holder’s consent, in the case of convertible Securities), pay or authorize the payment of the same or convert, or authorize conversion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spacing w:after="0" w:line="12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or conversion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2.10</w:t>
      </w:r>
      <w:r>
        <w:rPr>
          <w:rFonts w:ascii="Arial" w:cs="Arial" w:eastAsia="Arial" w:hAnsi="Arial"/>
          <w:sz w:val="16"/>
          <w:szCs w:val="16"/>
          <w:i w:val="1"/>
          <w:iCs w:val="1"/>
          <w:color w:val="auto"/>
        </w:rPr>
        <w:t>. Cancellation of Securities; Destruction Thereof.</w:t>
      </w:r>
      <w:r>
        <w:rPr>
          <w:rFonts w:ascii="Arial" w:cs="Arial" w:eastAsia="Arial" w:hAnsi="Arial"/>
          <w:sz w:val="16"/>
          <w:szCs w:val="16"/>
          <w:color w:val="auto"/>
        </w:rPr>
        <w:t xml:space="preserve"> All Securities surrendered for exchange for Securities of the same series or for payment, redemption, registration of transfer, conversion or for credit against any payment in respect of a sinking or analogous fund,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and deliver a certificate of disposition to the Issuer. If the Issuer shall acquire any of the Securities, such acquisition shall not operate as a redemption or satisfaction of the Debt represented by such Securities unless and until the same are delivered to the Trustee for cancellation.</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Section 2.11</w:t>
      </w:r>
      <w:r>
        <w:rPr>
          <w:rFonts w:ascii="Arial" w:cs="Arial" w:eastAsia="Arial" w:hAnsi="Arial"/>
          <w:sz w:val="18"/>
          <w:szCs w:val="18"/>
          <w:i w:val="1"/>
          <w:iCs w:val="1"/>
          <w:color w:val="auto"/>
        </w:rPr>
        <w:t>. Temporary Securities.</w:t>
      </w:r>
      <w:r>
        <w:rPr>
          <w:rFonts w:ascii="Arial" w:cs="Arial" w:eastAsia="Arial" w:hAnsi="Arial"/>
          <w:sz w:val="18"/>
          <w:szCs w:val="18"/>
          <w:color w:val="auto"/>
        </w:rPr>
        <w:t xml:space="preserve">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in any authorized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87" w:name="page88"/>
    <w:bookmarkEnd w:id="87"/>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denomination, and substantially in the form of the definitive Securities of such series but with such omissions, insertions and variations as may be appropriate for temporary Securities, all as may be determined by the Issuer with the concurrence of the Trustee as evidenced by the execution and authentication thereof.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an equal aggregate principal amount of definitive Securities of the same series having authorized denominations. Until so exchanged, the temporary Securities of any series shall be entitled to the same benefits under this Indenture as definitive Securities of such series, unless the benefits of the temporary Securities are limited pursuant to Section 2.03.</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OVENANTS OF THE</w:t>
      </w:r>
      <w:r>
        <w:rPr>
          <w:rFonts w:ascii="Arial" w:cs="Arial" w:eastAsia="Arial" w:hAnsi="Arial"/>
          <w:sz w:val="18"/>
          <w:szCs w:val="18"/>
          <w:color w:val="auto"/>
        </w:rPr>
        <w:t xml:space="preserve"> I</w:t>
      </w:r>
      <w:r>
        <w:rPr>
          <w:rFonts w:ascii="Arial" w:cs="Arial" w:eastAsia="Arial" w:hAnsi="Arial"/>
          <w:sz w:val="14"/>
          <w:szCs w:val="14"/>
          <w:color w:val="auto"/>
        </w:rPr>
        <w:t>SSUER</w:t>
      </w:r>
    </w:p>
    <w:p>
      <w:pPr>
        <w:spacing w:after="0" w:line="16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Section 3.01</w:t>
      </w:r>
      <w:r>
        <w:rPr>
          <w:rFonts w:ascii="Arial" w:cs="Arial" w:eastAsia="Arial" w:hAnsi="Arial"/>
          <w:sz w:val="16"/>
          <w:szCs w:val="16"/>
          <w:i w:val="1"/>
          <w:iCs w:val="1"/>
          <w:color w:val="auto"/>
        </w:rPr>
        <w:t>. Payment of Principal and Interest.</w:t>
      </w:r>
      <w:r>
        <w:rPr>
          <w:rFonts w:ascii="Arial" w:cs="Arial" w:eastAsia="Arial" w:hAnsi="Arial"/>
          <w:sz w:val="16"/>
          <w:szCs w:val="16"/>
          <w:color w:val="auto"/>
        </w:rPr>
        <w:t xml:space="preserve"> The Issuer covenants and agrees for the benefit of each series of Securities that it will duly and punctually pay or cause to be paid the principal of, and interest on, each of the Securities of such series (together with any additional amounts payable pursuant to the terms of such Securities) at the place or places, at the respective times and in the manner provided in such Securities and in this Indenture. The interest on Securities (together with any additional amounts payable pursuant to the terms of such Securities) shall be payable only to or upon the written order of the Holders thereof and at the option of the Issuer may be paid by mailing checks for such interest payable to or upon the written order of such Holders at their last addresses as they appear on the Security register of the Issuer.</w:t>
      </w:r>
    </w:p>
    <w:p>
      <w:pPr>
        <w:spacing w:after="0" w:line="120" w:lineRule="exact"/>
        <w:rPr>
          <w:sz w:val="20"/>
          <w:szCs w:val="20"/>
          <w:color w:val="auto"/>
        </w:rPr>
      </w:pPr>
    </w:p>
    <w:p>
      <w:pPr>
        <w:ind w:right="180" w:firstLine="456"/>
        <w:spacing w:after="0" w:line="284" w:lineRule="auto"/>
        <w:rPr>
          <w:sz w:val="20"/>
          <w:szCs w:val="20"/>
          <w:color w:val="auto"/>
        </w:rPr>
      </w:pPr>
      <w:r>
        <w:rPr>
          <w:rFonts w:ascii="Arial" w:cs="Arial" w:eastAsia="Arial" w:hAnsi="Arial"/>
          <w:sz w:val="16"/>
          <w:szCs w:val="16"/>
          <w:color w:val="auto"/>
        </w:rPr>
        <w:t>Section 3.02</w:t>
      </w:r>
      <w:r>
        <w:rPr>
          <w:rFonts w:ascii="Arial" w:cs="Arial" w:eastAsia="Arial" w:hAnsi="Arial"/>
          <w:sz w:val="16"/>
          <w:szCs w:val="16"/>
          <w:i w:val="1"/>
          <w:iCs w:val="1"/>
          <w:color w:val="auto"/>
        </w:rPr>
        <w:t>. Offices for Payments, Etc.</w:t>
      </w:r>
      <w:r>
        <w:rPr>
          <w:rFonts w:ascii="Arial" w:cs="Arial" w:eastAsia="Arial" w:hAnsi="Arial"/>
          <w:sz w:val="16"/>
          <w:szCs w:val="16"/>
          <w:color w:val="auto"/>
        </w:rPr>
        <w:t xml:space="preserve"> The Issuer will maintain (i) in the Borough of Manhattan, The City of New York, an agency where the Securities of each series may be presented for payment, an agency where the Securities of each series may be presented for exchange and conversion, if applicable, as provided in this Indenture and an agency where the Securities of each series may be presented for registration of transfer as in this Indenture provided and</w:t>
      </w:r>
    </w:p>
    <w:p>
      <w:pPr>
        <w:spacing w:after="0" w:line="1" w:lineRule="exact"/>
        <w:rPr>
          <w:sz w:val="20"/>
          <w:szCs w:val="20"/>
          <w:color w:val="auto"/>
        </w:rPr>
      </w:pPr>
    </w:p>
    <w:p>
      <w:pPr>
        <w:ind w:left="5620" w:right="3020" w:hanging="5612"/>
        <w:spacing w:after="0" w:line="433" w:lineRule="auto"/>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further agencies in such places as may be determined for the Securities of such series pursuant to Section 2.03. 18</w:t>
      </w:r>
    </w:p>
    <w:p>
      <w:pPr>
        <w:sectPr>
          <w:pgSz w:w="11900" w:h="16838" w:orient="portrait"/>
          <w:cols w:equalWidth="0" w:num="1">
            <w:col w:w="11420"/>
          </w:cols>
          <w:pgMar w:left="240" w:top="280" w:right="239" w:bottom="1440" w:gutter="0" w:footer="0" w:header="0"/>
        </w:sectPr>
      </w:pPr>
    </w:p>
    <w:bookmarkStart w:id="88" w:name="page89"/>
    <w:bookmarkEnd w:id="88"/>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Issuer will maintain in the Borough of Manhattan, The City of New York, an agency where notices and demands to or upon the Issuer in respect of the Securities of any series or this Indenture may be served.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Issuer will give to the Trustee written notice of the location of each such agency and of any change of location thereof. In case the Issuer shall fail to maintain any agency required by this Section to be located in the Borough of Manhattan, The City of New York, or shall fail to give such notice of the location or of any change in the location of any of the above agencies, presentations and demands may be made and notices may be served at the Corporate Trust Office of the Trustee.</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The Issuer may from time to time designate one or more additional agencies where the Securities of a series may be presented for payment, where the Securities of that series may be presented for exchange or conversion, if applicable, as provided in this Indenture and pursuant to Section 2.03 and where the Securities of that series may be presented for registration of transfer as in this Indenture provided, and the Issuer may from time to time rescind any such designation, as the Issuer may deem desirable or expedient;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designation or rescission shall in any manner relieve the Issuer of its obligation to maintain the agencies provided for in this Section. The Issuer will give to the Trustee prompt written notice of any such designation or rescission thereof.</w:t>
      </w:r>
    </w:p>
    <w:p>
      <w:pPr>
        <w:spacing w:after="0" w:line="144" w:lineRule="exact"/>
        <w:rPr>
          <w:sz w:val="20"/>
          <w:szCs w:val="20"/>
          <w:color w:val="auto"/>
        </w:rPr>
      </w:pPr>
    </w:p>
    <w:p>
      <w:pPr>
        <w:jc w:val="both"/>
        <w:ind w:right="300" w:firstLine="456"/>
        <w:spacing w:after="0" w:line="332" w:lineRule="auto"/>
        <w:rPr>
          <w:sz w:val="20"/>
          <w:szCs w:val="20"/>
          <w:color w:val="auto"/>
        </w:rPr>
      </w:pPr>
      <w:r>
        <w:rPr>
          <w:rFonts w:ascii="Arial" w:cs="Arial" w:eastAsia="Arial" w:hAnsi="Arial"/>
          <w:sz w:val="16"/>
          <w:szCs w:val="16"/>
          <w:color w:val="auto"/>
        </w:rPr>
        <w:t>Section 3.03</w:t>
      </w:r>
      <w:r>
        <w:rPr>
          <w:rFonts w:ascii="Arial" w:cs="Arial" w:eastAsia="Arial" w:hAnsi="Arial"/>
          <w:sz w:val="16"/>
          <w:szCs w:val="16"/>
          <w:i w:val="1"/>
          <w:iCs w:val="1"/>
          <w:color w:val="auto"/>
        </w:rPr>
        <w:t>. Appointment to Fill a Vacancy in Office of Trustee.</w:t>
      </w:r>
      <w:r>
        <w:rPr>
          <w:rFonts w:ascii="Arial" w:cs="Arial" w:eastAsia="Arial" w:hAnsi="Arial"/>
          <w:sz w:val="16"/>
          <w:szCs w:val="16"/>
          <w:color w:val="auto"/>
        </w:rPr>
        <w:t xml:space="preserve"> The Issuer, whenever necessary to avoid or fill a vacancy in the office of Trustee, will appoint, in the manner provided in Section 6.10, a Trustee, so that there shall at all times be a Trustee with respect to each series of Securities hereunder.</w:t>
      </w:r>
    </w:p>
    <w:p>
      <w:pPr>
        <w:spacing w:after="0" w:line="85"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Section 3.04</w:t>
      </w:r>
      <w:r>
        <w:rPr>
          <w:rFonts w:ascii="Arial" w:cs="Arial" w:eastAsia="Arial" w:hAnsi="Arial"/>
          <w:sz w:val="18"/>
          <w:szCs w:val="18"/>
          <w:i w:val="1"/>
          <w:iCs w:val="1"/>
          <w:color w:val="auto"/>
        </w:rPr>
        <w:t>. Paying Agents.</w:t>
      </w:r>
      <w:r>
        <w:rPr>
          <w:rFonts w:ascii="Arial" w:cs="Arial" w:eastAsia="Arial" w:hAnsi="Arial"/>
          <w:sz w:val="18"/>
          <w:szCs w:val="18"/>
          <w:color w:val="auto"/>
        </w:rPr>
        <w:t xml:space="preserve">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140" w:lineRule="exact"/>
        <w:rPr>
          <w:sz w:val="20"/>
          <w:szCs w:val="20"/>
          <w:color w:val="auto"/>
        </w:rPr>
      </w:pPr>
    </w:p>
    <w:p>
      <w:pPr>
        <w:jc w:val="both"/>
        <w:ind w:right="100" w:firstLine="464"/>
        <w:spacing w:after="0" w:line="259"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140" w:lineRule="exact"/>
        <w:rPr>
          <w:rFonts w:ascii="Arial" w:cs="Arial" w:eastAsia="Arial" w:hAnsi="Arial"/>
          <w:sz w:val="18"/>
          <w:szCs w:val="18"/>
          <w:color w:val="auto"/>
        </w:rPr>
      </w:pPr>
    </w:p>
    <w:p>
      <w:pPr>
        <w:ind w:right="360" w:firstLine="464"/>
        <w:spacing w:after="0" w:line="268" w:lineRule="auto"/>
        <w:tabs>
          <w:tab w:leader="none" w:pos="7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80" w:right="299" w:bottom="1440" w:gutter="0" w:footer="0" w:header="0"/>
        </w:sectPr>
      </w:pPr>
    </w:p>
    <w:bookmarkStart w:id="89" w:name="page90"/>
    <w:bookmarkEnd w:id="89"/>
    <w:p>
      <w:pPr>
        <w:ind w:right="140" w:firstLine="464"/>
        <w:spacing w:after="0" w:line="268" w:lineRule="auto"/>
        <w:tabs>
          <w:tab w:leader="none" w:pos="695"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at any time during the continuance of any such failure, upon the written request of the Trustee, it will forthwith pay to the Trustee all sums so held in trust by such paying agent.</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107"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Anything in this Section to the contrary notwithstanding, but subject to Section 10.01,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8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Anything in this Section to the contrary notwithstanding, the agreement to hold sums in trust as provided in this Section is subject to the provisions of Sections 10.03 and 10.04.</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Section 3.05</w:t>
      </w:r>
      <w:r>
        <w:rPr>
          <w:rFonts w:ascii="Arial" w:cs="Arial" w:eastAsia="Arial" w:hAnsi="Arial"/>
          <w:sz w:val="18"/>
          <w:szCs w:val="18"/>
          <w:i w:val="1"/>
          <w:iCs w:val="1"/>
          <w:color w:val="auto"/>
        </w:rPr>
        <w:t>. Written Statement to Trustee.</w:t>
      </w:r>
      <w:r>
        <w:rPr>
          <w:rFonts w:ascii="Arial" w:cs="Arial" w:eastAsia="Arial" w:hAnsi="Arial"/>
          <w:sz w:val="18"/>
          <w:szCs w:val="18"/>
          <w:color w:val="auto"/>
        </w:rPr>
        <w:t xml:space="preserve"> So long as any Securities are Outstanding hereunder, the Issuer will deliver to the Trustee on or before April 30 in each year (beginning in the year following the first issuance of Securities pursuant to this Indenture) a written statement covering the previous calendar year, signed by two of its officers (which need not comply with Section 11.05), stating that in the course of the performance of their duties as officers of the Issuer they would normally have knowledge of any default by the Issuer in the performance or fulfillment of any covenant, agreement or condition contained in this Indenture, stating whether or not they have knowledge of any such default and, if so, specifying each such default of which the signers have knowledge and the nature thereof.</w:t>
      </w:r>
    </w:p>
    <w:p>
      <w:pPr>
        <w:spacing w:after="0" w:line="14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Section 3.06</w:t>
      </w:r>
      <w:r>
        <w:rPr>
          <w:rFonts w:ascii="Arial" w:cs="Arial" w:eastAsia="Arial" w:hAnsi="Arial"/>
          <w:sz w:val="18"/>
          <w:szCs w:val="18"/>
          <w:i w:val="1"/>
          <w:iCs w:val="1"/>
          <w:color w:val="auto"/>
        </w:rPr>
        <w:t>. Limitation on Liens.</w:t>
      </w:r>
      <w:r>
        <w:rPr>
          <w:rFonts w:ascii="Arial" w:cs="Arial" w:eastAsia="Arial" w:hAnsi="Arial"/>
          <w:sz w:val="18"/>
          <w:szCs w:val="18"/>
          <w:color w:val="auto"/>
        </w:rPr>
        <w:t xml:space="preserve"> The following provisions shall apply to the Securities of each series unless specifically otherwise provided in a Board Resolution, Officers’ Certificate or indenture supplemental hereto as provided pursuant to Section 2.03.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90" w:name="page91"/>
    <w:bookmarkEnd w:id="90"/>
    <w:p>
      <w:pPr>
        <w:ind w:left="-60" w:right="80" w:firstLine="464"/>
        <w:spacing w:after="0" w:line="254" w:lineRule="auto"/>
        <w:tabs>
          <w:tab w:leader="none" w:pos="635"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Issuer will not issue or assume any Debt secured by any mortgage, pledge, lien or other encumbrance (mortgages, pledges, liens and other encumbrances being hereinafter called “</w:t>
      </w:r>
      <w:r>
        <w:rPr>
          <w:rFonts w:ascii="Arial" w:cs="Arial" w:eastAsia="Arial" w:hAnsi="Arial"/>
          <w:sz w:val="18"/>
          <w:szCs w:val="18"/>
          <w:b w:val="1"/>
          <w:bCs w:val="1"/>
          <w:color w:val="auto"/>
        </w:rPr>
        <w:t>Mortgage</w:t>
      </w:r>
      <w:r>
        <w:rPr>
          <w:rFonts w:ascii="Arial" w:cs="Arial" w:eastAsia="Arial" w:hAnsi="Arial"/>
          <w:sz w:val="18"/>
          <w:szCs w:val="18"/>
          <w:color w:val="auto"/>
        </w:rPr>
        <w:t>” or “</w:t>
      </w:r>
      <w:r>
        <w:rPr>
          <w:rFonts w:ascii="Arial" w:cs="Arial" w:eastAsia="Arial" w:hAnsi="Arial"/>
          <w:sz w:val="18"/>
          <w:szCs w:val="18"/>
          <w:b w:val="1"/>
          <w:bCs w:val="1"/>
          <w:color w:val="auto"/>
        </w:rPr>
        <w:t>Mortgages</w:t>
      </w:r>
      <w:r>
        <w:rPr>
          <w:rFonts w:ascii="Arial" w:cs="Arial" w:eastAsia="Arial" w:hAnsi="Arial"/>
          <w:sz w:val="18"/>
          <w:szCs w:val="18"/>
          <w:color w:val="auto"/>
        </w:rPr>
        <w:t xml:space="preserve">”) upon any Principal Manufacturing Property (whether such Principal Manufacturing Property is now owned or hereafter acquired) without in any such case effectively providing, concurrently with the issuance or assumption of such Debt, that the Securities (together with, if the Issuer shall so determine, any other Debt of the Issuer ranking equally with the Securities and then existing or thereafter created) shall be secured equally and ratably with such Debt until such time as such Debt is no longer secured by such Mortgage; </w:t>
      </w:r>
      <w:r>
        <w:rPr>
          <w:rFonts w:ascii="Arial" w:cs="Arial" w:eastAsia="Arial" w:hAnsi="Arial"/>
          <w:sz w:val="18"/>
          <w:szCs w:val="18"/>
          <w:i w:val="1"/>
          <w:iCs w:val="1"/>
          <w:color w:val="auto"/>
        </w:rPr>
        <w:t>provided</w:t>
      </w:r>
      <w:r>
        <w:rPr>
          <w:rFonts w:ascii="Arial" w:cs="Arial" w:eastAsia="Arial" w:hAnsi="Arial"/>
          <w:sz w:val="18"/>
          <w:szCs w:val="18"/>
          <w:color w:val="auto"/>
        </w:rPr>
        <w:t>, that the foregoing restrictions shall not apply to:</w:t>
      </w:r>
    </w:p>
    <w:p>
      <w:pPr>
        <w:spacing w:after="0" w:line="63" w:lineRule="exact"/>
        <w:rPr>
          <w:rFonts w:ascii="Arial" w:cs="Arial" w:eastAsia="Arial" w:hAnsi="Arial"/>
          <w:sz w:val="18"/>
          <w:szCs w:val="18"/>
          <w:color w:val="auto"/>
        </w:rPr>
      </w:pPr>
    </w:p>
    <w:p>
      <w:pPr>
        <w:ind w:left="1060" w:hanging="217"/>
        <w:spacing w:after="0"/>
        <w:tabs>
          <w:tab w:leader="none" w:pos="10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Securities;</w:t>
      </w:r>
    </w:p>
    <w:p>
      <w:pPr>
        <w:spacing w:after="0" w:line="90" w:lineRule="exact"/>
        <w:rPr>
          <w:rFonts w:ascii="Arial" w:cs="Arial" w:eastAsia="Arial" w:hAnsi="Arial"/>
          <w:sz w:val="18"/>
          <w:szCs w:val="18"/>
          <w:color w:val="auto"/>
        </w:rPr>
      </w:pPr>
    </w:p>
    <w:p>
      <w:pPr>
        <w:ind w:left="400" w:firstLine="443"/>
        <w:spacing w:after="0" w:line="287" w:lineRule="auto"/>
        <w:tabs>
          <w:tab w:leader="none" w:pos="1097"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Mortgages on any Principal Manufacturing Property hereafter acquired by the Issuer prior to, at the time of, or within 120 days after the latest of the acquisition, completion of construction (including any improvements on an existing property) or commencement of commercial operation of such property, to secure or provide for the payment or financing of all or any part of the purchase price thereof or construction of fixed improvements thereon, or, in addition to assumptions in transactions contemplated by subparagraph (iii) below, the assumption of any Mortgage upon any such property hereafter acquired existing at the time of such acquisition, or the acquisition of any such property subject to any Mortgage without the assumption thereof; </w:t>
      </w:r>
      <w:r>
        <w:rPr>
          <w:rFonts w:ascii="Arial" w:cs="Arial" w:eastAsia="Arial" w:hAnsi="Arial"/>
          <w:sz w:val="16"/>
          <w:szCs w:val="16"/>
          <w:i w:val="1"/>
          <w:iCs w:val="1"/>
          <w:color w:val="auto"/>
        </w:rPr>
        <w:t>provided</w:t>
      </w:r>
      <w:r>
        <w:rPr>
          <w:rFonts w:ascii="Arial" w:cs="Arial" w:eastAsia="Arial" w:hAnsi="Arial"/>
          <w:sz w:val="16"/>
          <w:szCs w:val="16"/>
          <w:color w:val="auto"/>
        </w:rPr>
        <w:t>, that the aggregate principal amount of Debt secured by any such Mortgage so issued, assumed or existing shall not exceed 100% of the cost of such Principal Manufacturing Property to the corporation acquiring the same or of the fair value thereof (as determined by resolution adopted by the Board of Directors) at the time of such acquisition, whichever is less, and provided, further, that in the case of any such acquisition, construction or improvement the Mortgage shall not apply to any property theretofore owned by the Issuer, other than, in the case of any such construction or improvement, any theretofore unimproved real property on which the property so constructed, or the improvement, is located;</w:t>
      </w:r>
    </w:p>
    <w:p>
      <w:pPr>
        <w:spacing w:after="0" w:line="41" w:lineRule="exact"/>
        <w:rPr>
          <w:rFonts w:ascii="Arial" w:cs="Arial" w:eastAsia="Arial" w:hAnsi="Arial"/>
          <w:sz w:val="16"/>
          <w:szCs w:val="16"/>
          <w:color w:val="auto"/>
        </w:rPr>
      </w:pPr>
    </w:p>
    <w:p>
      <w:pPr>
        <w:ind w:left="400" w:right="220" w:firstLine="443"/>
        <w:spacing w:after="0" w:line="268" w:lineRule="auto"/>
        <w:tabs>
          <w:tab w:leader="none" w:pos="1145"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assumption of any Mortgage on any Principal Manufacturing Property of an entity which is merged into or consolidated with the Issuer or substantially all the assets of which are acquired by the Issuer;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300" w:top="280" w:right="279" w:bottom="1440" w:gutter="0" w:footer="0" w:header="0"/>
        </w:sectPr>
      </w:pPr>
    </w:p>
    <w:bookmarkStart w:id="91" w:name="page92"/>
    <w:bookmarkEnd w:id="91"/>
    <w:p>
      <w:pPr>
        <w:ind w:left="1180" w:hanging="297"/>
        <w:spacing w:after="0"/>
        <w:tabs>
          <w:tab w:leader="none" w:pos="1180" w:val="left"/>
        </w:tabs>
        <w:numPr>
          <w:ilvl w:val="1"/>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Mortgages on any Principal Manufacturing Property of the Issuer in favor of the United States of America or any State thereof, or any</w:t>
      </w:r>
    </w:p>
    <w:p>
      <w:pPr>
        <w:spacing w:after="0" w:line="38" w:lineRule="exact"/>
        <w:rPr>
          <w:rFonts w:ascii="Arial" w:cs="Arial" w:eastAsia="Arial" w:hAnsi="Arial"/>
          <w:sz w:val="16"/>
          <w:szCs w:val="16"/>
          <w:color w:val="auto"/>
        </w:rPr>
      </w:pPr>
    </w:p>
    <w:p>
      <w:pPr>
        <w:ind w:left="440" w:right="20"/>
        <w:spacing w:after="0" w:line="295" w:lineRule="auto"/>
        <w:rPr>
          <w:rFonts w:ascii="Arial" w:cs="Arial" w:eastAsia="Arial" w:hAnsi="Arial"/>
          <w:sz w:val="16"/>
          <w:szCs w:val="16"/>
          <w:color w:val="auto"/>
        </w:rPr>
      </w:pPr>
      <w:r>
        <w:rPr>
          <w:rFonts w:ascii="Arial" w:cs="Arial" w:eastAsia="Arial" w:hAnsi="Arial"/>
          <w:sz w:val="16"/>
          <w:szCs w:val="16"/>
          <w:color w:val="auto"/>
        </w:rPr>
        <w:t>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Debt incurred or guaranteed for the purpose of financing all or any part of the cost of acquiring, constructing or improving the property subject to such Mortgages (including Mortgages incurred in connection with pollution control, industrial revenue, Title XI maritime financings or similar financings);</w:t>
      </w:r>
    </w:p>
    <w:p>
      <w:pPr>
        <w:spacing w:after="0" w:line="34" w:lineRule="exact"/>
        <w:rPr>
          <w:rFonts w:ascii="Arial" w:cs="Arial" w:eastAsia="Arial" w:hAnsi="Arial"/>
          <w:sz w:val="16"/>
          <w:szCs w:val="16"/>
          <w:color w:val="auto"/>
        </w:rPr>
      </w:pPr>
    </w:p>
    <w:p>
      <w:pPr>
        <w:ind w:left="440" w:right="420" w:firstLine="443"/>
        <w:spacing w:after="0" w:line="268" w:lineRule="auto"/>
        <w:tabs>
          <w:tab w:leader="none" w:pos="1127" w:val="left"/>
        </w:tabs>
        <w:numPr>
          <w:ilvl w:val="1"/>
          <w:numId w:val="63"/>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the Issuer is contesting in good faith by appropriate proceedings;</w:t>
      </w:r>
    </w:p>
    <w:p>
      <w:pPr>
        <w:spacing w:after="0" w:line="50" w:lineRule="exact"/>
        <w:rPr>
          <w:rFonts w:ascii="Arial" w:cs="Arial" w:eastAsia="Arial" w:hAnsi="Arial"/>
          <w:sz w:val="18"/>
          <w:szCs w:val="18"/>
          <w:color w:val="auto"/>
        </w:rPr>
      </w:pPr>
    </w:p>
    <w:p>
      <w:pPr>
        <w:ind w:left="440" w:firstLine="443"/>
        <w:spacing w:after="0" w:line="268" w:lineRule="auto"/>
        <w:tabs>
          <w:tab w:leader="none" w:pos="1176" w:val="left"/>
        </w:tabs>
        <w:numPr>
          <w:ilvl w:val="1"/>
          <w:numId w:val="63"/>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50" w:lineRule="exact"/>
        <w:rPr>
          <w:rFonts w:ascii="Arial" w:cs="Arial" w:eastAsia="Arial" w:hAnsi="Arial"/>
          <w:sz w:val="18"/>
          <w:szCs w:val="18"/>
          <w:color w:val="auto"/>
        </w:rPr>
      </w:pPr>
    </w:p>
    <w:p>
      <w:pPr>
        <w:ind w:left="440" w:right="20" w:firstLine="443"/>
        <w:spacing w:after="0" w:line="255" w:lineRule="auto"/>
        <w:tabs>
          <w:tab w:leader="none" w:pos="1224" w:val="left"/>
        </w:tabs>
        <w:numPr>
          <w:ilvl w:val="1"/>
          <w:numId w:val="63"/>
        </w:numPr>
        <w:rPr>
          <w:rFonts w:ascii="Arial" w:cs="Arial" w:eastAsia="Arial" w:hAnsi="Arial"/>
          <w:sz w:val="18"/>
          <w:szCs w:val="18"/>
          <w:color w:val="auto"/>
        </w:rPr>
      </w:pPr>
      <w:r>
        <w:rPr>
          <w:rFonts w:ascii="Arial" w:cs="Arial" w:eastAsia="Arial" w:hAnsi="Arial"/>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the Issuer with respect to which the Issuer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61" w:lineRule="exact"/>
        <w:rPr>
          <w:rFonts w:ascii="Arial" w:cs="Arial" w:eastAsia="Arial" w:hAnsi="Arial"/>
          <w:sz w:val="18"/>
          <w:szCs w:val="18"/>
          <w:color w:val="auto"/>
        </w:rPr>
      </w:pPr>
    </w:p>
    <w:p>
      <w:pPr>
        <w:ind w:left="440" w:right="100" w:firstLine="443"/>
        <w:spacing w:after="0" w:line="298" w:lineRule="auto"/>
        <w:tabs>
          <w:tab w:leader="none" w:pos="1273"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any extension, renewal or replacement (or successive extensions, renewals or replacements) in whole or in part, of any Mortgage referred to in the foregoing clauses (i) through (vii);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principal amount of Debt so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and construction on such property).</w:t>
      </w:r>
    </w:p>
    <w:p>
      <w:pPr>
        <w:spacing w:after="0" w:line="112" w:lineRule="exact"/>
        <w:rPr>
          <w:rFonts w:ascii="Arial" w:cs="Arial" w:eastAsia="Arial" w:hAnsi="Arial"/>
          <w:sz w:val="16"/>
          <w:szCs w:val="16"/>
          <w:color w:val="auto"/>
        </w:rPr>
      </w:pPr>
    </w:p>
    <w:p>
      <w:pPr>
        <w:ind w:left="-20" w:right="40" w:firstLine="464"/>
        <w:spacing w:after="0" w:line="256" w:lineRule="auto"/>
        <w:tabs>
          <w:tab w:leader="none" w:pos="685"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subsection (a) of this Section 3.06, the Issuer or any one or more Subsidiaries may issue or assume Debt secured by a Mortgage in addition to those permitted by subsection (a) of this Section 3.06 and renew, extend or replace such Mortgages; </w:t>
      </w:r>
      <w:r>
        <w:rPr>
          <w:rFonts w:ascii="Arial" w:cs="Arial" w:eastAsia="Arial" w:hAnsi="Arial"/>
          <w:sz w:val="18"/>
          <w:szCs w:val="18"/>
          <w:i w:val="1"/>
          <w:iCs w:val="1"/>
          <w:color w:val="auto"/>
        </w:rPr>
        <w:t>provided</w:t>
      </w:r>
      <w:r>
        <w:rPr>
          <w:rFonts w:ascii="Arial" w:cs="Arial" w:eastAsia="Arial" w:hAnsi="Arial"/>
          <w:sz w:val="18"/>
          <w:szCs w:val="18"/>
          <w:color w:val="auto"/>
        </w:rPr>
        <w:t>, that at the time of such creation, assumption, renewal, extension or replacement, and after giving effect thereto, Exempted Debt does not exceed 15% of Consolidated Net Tangible Assets.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60" w:top="280" w:right="239" w:bottom="1440" w:gutter="0" w:footer="0" w:header="0"/>
        </w:sectPr>
      </w:pPr>
    </w:p>
    <w:bookmarkStart w:id="92" w:name="page93"/>
    <w:bookmarkEnd w:id="9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3.07</w:t>
      </w:r>
      <w:r>
        <w:rPr>
          <w:rFonts w:ascii="Arial" w:cs="Arial" w:eastAsia="Arial" w:hAnsi="Arial"/>
          <w:sz w:val="18"/>
          <w:szCs w:val="18"/>
          <w:i w:val="1"/>
          <w:iCs w:val="1"/>
          <w:color w:val="auto"/>
        </w:rPr>
        <w:t>. Limitation on Sale and Leaseback.</w:t>
      </w:r>
      <w:r>
        <w:rPr>
          <w:rFonts w:ascii="Arial" w:cs="Arial" w:eastAsia="Arial" w:hAnsi="Arial"/>
          <w:sz w:val="18"/>
          <w:szCs w:val="18"/>
          <w:color w:val="auto"/>
        </w:rPr>
        <w:t xml:space="preserve"> The following provisions shall apply to the Securities of each series unless specifically otherwise provided in a Board Resolution, Officers’ Certificate or indenture supplemental hereto provided pursuant to Section 2.03.</w:t>
      </w:r>
    </w:p>
    <w:p>
      <w:pPr>
        <w:spacing w:after="0" w:line="132" w:lineRule="exact"/>
        <w:rPr>
          <w:sz w:val="20"/>
          <w:szCs w:val="20"/>
          <w:color w:val="auto"/>
        </w:rPr>
      </w:pPr>
    </w:p>
    <w:p>
      <w:pPr>
        <w:ind w:right="100" w:firstLine="464"/>
        <w:spacing w:after="0" w:line="294" w:lineRule="auto"/>
        <w:tabs>
          <w:tab w:leader="none" w:pos="695"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Issuer will not enter into any arrangement with any Person (other than any then-existing subsidiary) providing for the leasing by the Issuer of any Principal Manufacturing Property, whether such Principal Manufacturing Property is now owned or hereafter acquired, except for temporary leases for a term, including renewals at the option of the lessee, of not more than three years, which property has been or is to be sold or transferred by the Issuer to such Person with the intention of taking back a lease of such property (a “</w:t>
      </w:r>
      <w:r>
        <w:rPr>
          <w:rFonts w:ascii="Arial" w:cs="Arial" w:eastAsia="Arial" w:hAnsi="Arial"/>
          <w:sz w:val="16"/>
          <w:szCs w:val="16"/>
          <w:b w:val="1"/>
          <w:bCs w:val="1"/>
          <w:color w:val="auto"/>
        </w:rPr>
        <w:t>sale and leaseback transaction</w:t>
      </w:r>
      <w:r>
        <w:rPr>
          <w:rFonts w:ascii="Arial" w:cs="Arial" w:eastAsia="Arial" w:hAnsi="Arial"/>
          <w:sz w:val="16"/>
          <w:szCs w:val="16"/>
          <w:color w:val="auto"/>
        </w:rPr>
        <w:t>”) unless the proceeds of such sale or transfer shall be at least equal to the fair value of such property as determined by resolution adopted by the Board of Directors and either:</w:t>
      </w:r>
    </w:p>
    <w:p>
      <w:pPr>
        <w:spacing w:after="0" w:line="34" w:lineRule="exact"/>
        <w:rPr>
          <w:rFonts w:ascii="Arial" w:cs="Arial" w:eastAsia="Arial" w:hAnsi="Arial"/>
          <w:sz w:val="16"/>
          <w:szCs w:val="16"/>
          <w:color w:val="auto"/>
        </w:rPr>
      </w:pPr>
    </w:p>
    <w:p>
      <w:pPr>
        <w:ind w:left="460" w:right="80" w:firstLine="443"/>
        <w:spacing w:after="0" w:line="298" w:lineRule="auto"/>
        <w:tabs>
          <w:tab w:leader="none" w:pos="1108"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the Issuer would be entitled, pursuant to the provisions of Section 3.06, to issue or assume Debt secured by a Mortgage on such property at least equal in amount to the Attributable Debt in respect of such sale and leaseback transaction without equally and ratably securing the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from and after the date on which such sale and leaseback transaction becomes effective the Attributable Debt in respect of such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deemed for all purposes under Section 3.06 and this Section 3.07 to be Debt subject to the provisions of Section 3.06; or</w:t>
      </w:r>
    </w:p>
    <w:p>
      <w:pPr>
        <w:spacing w:after="0" w:line="31" w:lineRule="exact"/>
        <w:rPr>
          <w:rFonts w:ascii="Arial" w:cs="Arial" w:eastAsia="Arial" w:hAnsi="Arial"/>
          <w:sz w:val="16"/>
          <w:szCs w:val="16"/>
          <w:color w:val="auto"/>
        </w:rPr>
      </w:pPr>
    </w:p>
    <w:p>
      <w:pPr>
        <w:ind w:left="460" w:right="240" w:firstLine="443"/>
        <w:spacing w:after="0" w:line="305" w:lineRule="auto"/>
        <w:tabs>
          <w:tab w:leader="none" w:pos="1157" w:val="left"/>
        </w:tabs>
        <w:numPr>
          <w:ilvl w:val="1"/>
          <w:numId w:val="65"/>
        </w:numPr>
        <w:rPr>
          <w:rFonts w:ascii="Arial" w:cs="Arial" w:eastAsia="Arial" w:hAnsi="Arial"/>
          <w:sz w:val="15"/>
          <w:szCs w:val="15"/>
          <w:color w:val="auto"/>
        </w:rPr>
      </w:pPr>
      <w:r>
        <w:rPr>
          <w:rFonts w:ascii="Arial" w:cs="Arial" w:eastAsia="Arial" w:hAnsi="Arial"/>
          <w:sz w:val="15"/>
          <w:szCs w:val="15"/>
          <w:color w:val="auto"/>
        </w:rPr>
        <w:t>within a period commencing 12 months prior to the consummation of such sale and leaseback transaction and ending 12 months after the consummation of such sale and leaseback transaction, the Issuer has expended, or will expend, for Principal Manufacturing Property an amount equal to</w:t>
      </w:r>
    </w:p>
    <w:p>
      <w:pPr>
        <w:ind w:left="460" w:right="160"/>
        <w:spacing w:after="0" w:line="302" w:lineRule="auto"/>
        <w:rPr>
          <w:rFonts w:ascii="Arial" w:cs="Arial" w:eastAsia="Arial" w:hAnsi="Arial"/>
          <w:sz w:val="15"/>
          <w:szCs w:val="15"/>
          <w:color w:val="auto"/>
        </w:rPr>
      </w:pPr>
      <w:r>
        <w:rPr>
          <w:rFonts w:ascii="Arial" w:cs="Arial" w:eastAsia="Arial" w:hAnsi="Arial"/>
          <w:sz w:val="16"/>
          <w:szCs w:val="16"/>
          <w:color w:val="auto"/>
        </w:rPr>
        <w:t>(A) the proceeds of such sale and leaseback transaction and the Issuer elects to designate such amount as a credit against such sale and leaseback transaction or (B) a part of the proceeds of such sale and leaseback transaction and the Issuer elects to designate such amount as a credit against such sale and leaseback transaction and treats an amount equal to the remainder of the proceeds as provided in clause (iii) hereof; or</w:t>
      </w:r>
    </w:p>
    <w:p>
      <w:pPr>
        <w:spacing w:after="0" w:line="28" w:lineRule="exact"/>
        <w:rPr>
          <w:rFonts w:ascii="Arial" w:cs="Arial" w:eastAsia="Arial" w:hAnsi="Arial"/>
          <w:sz w:val="15"/>
          <w:szCs w:val="15"/>
          <w:color w:val="auto"/>
        </w:rPr>
      </w:pPr>
    </w:p>
    <w:p>
      <w:pPr>
        <w:ind w:left="460" w:right="160" w:firstLine="443"/>
        <w:spacing w:after="0" w:line="259" w:lineRule="auto"/>
        <w:tabs>
          <w:tab w:leader="none" w:pos="1205" w:val="left"/>
        </w:tabs>
        <w:numPr>
          <w:ilvl w:val="1"/>
          <w:numId w:val="65"/>
        </w:numPr>
        <w:rPr>
          <w:rFonts w:ascii="Arial" w:cs="Arial" w:eastAsia="Arial" w:hAnsi="Arial"/>
          <w:sz w:val="18"/>
          <w:szCs w:val="18"/>
          <w:color w:val="auto"/>
        </w:rPr>
      </w:pPr>
      <w:r>
        <w:rPr>
          <w:rFonts w:ascii="Arial" w:cs="Arial" w:eastAsia="Arial" w:hAnsi="Arial"/>
          <w:sz w:val="18"/>
          <w:szCs w:val="18"/>
          <w:color w:val="auto"/>
        </w:rPr>
        <w:t>such sale or transfer does not come within the exceptions provided by clause (i) hereof and the Issuer does not make the election permitted by clause (ii) hereof or makes such election only as to part of such proceeds, in either of which events the Issuer will (A) within 120 days after such sale and leaseback transaction, apply an amount equal 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93" w:name="page94"/>
    <w:bookmarkEnd w:id="93"/>
    <w:p>
      <w:pPr>
        <w:ind w:left="460"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Attributable Debt in respect of such sale and leaseback transaction (less an amount equal to the amount, if any, elected under clause (ii) hereof) to the retirement (other than any mandatory retirement or by way of payment at maturity) of Funded Debt of the Issuer, or (iv) consider an amount equal to the Attributable Debt in respect of such sale and leaseback transaction (less an amount equal to the amount, if any, elected under clause (ii) hereof) to be Attributable Debt for purposes of the calculation of Exempted Debt; </w:t>
      </w:r>
      <w:r>
        <w:rPr>
          <w:rFonts w:ascii="Arial" w:cs="Arial" w:eastAsia="Arial" w:hAnsi="Arial"/>
          <w:sz w:val="18"/>
          <w:szCs w:val="18"/>
          <w:i w:val="1"/>
          <w:iCs w:val="1"/>
          <w:color w:val="auto"/>
        </w:rPr>
        <w:t>provided</w:t>
      </w:r>
      <w:r>
        <w:rPr>
          <w:rFonts w:ascii="Arial" w:cs="Arial" w:eastAsia="Arial" w:hAnsi="Arial"/>
          <w:sz w:val="18"/>
          <w:szCs w:val="18"/>
          <w:color w:val="auto"/>
        </w:rPr>
        <w:t>, that, after giving effect thereto, Exempted Debt does not exceed 15% of Consolidated Net Tangible Assets.</w:t>
      </w:r>
    </w:p>
    <w:p>
      <w:pPr>
        <w:spacing w:after="0" w:line="13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the purpose of this Section 3.07 the term “</w:t>
      </w:r>
      <w:r>
        <w:rPr>
          <w:rFonts w:ascii="Arial" w:cs="Arial" w:eastAsia="Arial" w:hAnsi="Arial"/>
          <w:sz w:val="16"/>
          <w:szCs w:val="16"/>
          <w:b w:val="1"/>
          <w:bCs w:val="1"/>
          <w:color w:val="auto"/>
        </w:rPr>
        <w:t>Attributable Debt</w:t>
      </w:r>
      <w:r>
        <w:rPr>
          <w:rFonts w:ascii="Arial" w:cs="Arial" w:eastAsia="Arial" w:hAnsi="Arial"/>
          <w:sz w:val="16"/>
          <w:szCs w:val="16"/>
          <w:color w:val="auto"/>
        </w:rPr>
        <w:t>” shall mean, at the time of determination, the lesser of (i) the fair market value of the assets subject to such transaction, as determined by our Board of Directors, and (2) the present value (discounted at the interest rate implicit in the lease or, if it is not practicable to determine such rate, then at the Issuer’s incremental borrowing rate determined in accordance with generally accepted accounting principles) of the obligation of the lessee for net rental payments during the remaining term of any lease included in the sale and leaseback transaction (including any period for which such lease has been extended or may, at the option of the lessor, be extended). The term “</w:t>
      </w:r>
      <w:r>
        <w:rPr>
          <w:rFonts w:ascii="Arial" w:cs="Arial" w:eastAsia="Arial" w:hAnsi="Arial"/>
          <w:sz w:val="16"/>
          <w:szCs w:val="16"/>
          <w:b w:val="1"/>
          <w:bCs w:val="1"/>
          <w:color w:val="auto"/>
        </w:rPr>
        <w:t>net rental payments</w:t>
      </w:r>
      <w:r>
        <w:rPr>
          <w:rFonts w:ascii="Arial" w:cs="Arial" w:eastAsia="Arial" w:hAnsi="Arial"/>
          <w:sz w:val="16"/>
          <w:szCs w:val="16"/>
          <w:color w:val="auto"/>
        </w:rPr>
        <w:t>” under any lease for any period shall mean the sum of the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19" w:lineRule="exact"/>
        <w:rPr>
          <w:sz w:val="20"/>
          <w:szCs w:val="20"/>
          <w:color w:val="auto"/>
        </w:rPr>
      </w:pPr>
    </w:p>
    <w:p>
      <w:pPr>
        <w:jc w:val="both"/>
        <w:ind w:right="400" w:firstLine="464"/>
        <w:spacing w:after="0" w:line="256" w:lineRule="auto"/>
        <w:tabs>
          <w:tab w:leader="none" w:pos="7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paragraph (a) of this Section 3.07, the Issuer may enter into sale and leaseback transactions in addition to those permitted by paragraph (a) of this Section 3.07 and without any obligation to make expenditures for Principal Manufacturing Property or to retire any Debt; </w:t>
      </w:r>
      <w:r>
        <w:rPr>
          <w:rFonts w:ascii="Arial" w:cs="Arial" w:eastAsia="Arial" w:hAnsi="Arial"/>
          <w:sz w:val="18"/>
          <w:szCs w:val="18"/>
          <w:i w:val="1"/>
          <w:iCs w:val="1"/>
          <w:color w:val="auto"/>
        </w:rPr>
        <w:t>provided</w:t>
      </w:r>
      <w:r>
        <w:rPr>
          <w:rFonts w:ascii="Arial" w:cs="Arial" w:eastAsia="Arial" w:hAnsi="Arial"/>
          <w:sz w:val="18"/>
          <w:szCs w:val="18"/>
          <w:color w:val="auto"/>
        </w:rPr>
        <w:t>, that at the time of entering into such sale and leaseback transactions and after giving effect thereto, Exempted Debt does not exceed 15% of</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Net Tangible Assets.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ECURITYHOLDERS</w:t>
      </w:r>
      <w:r>
        <w:rPr>
          <w:rFonts w:ascii="Arial" w:cs="Arial" w:eastAsia="Arial" w:hAnsi="Arial"/>
          <w:sz w:val="18"/>
          <w:szCs w:val="18"/>
          <w:color w:val="auto"/>
        </w:rPr>
        <w:t xml:space="preserve"> L</w:t>
      </w:r>
      <w:r>
        <w:rPr>
          <w:rFonts w:ascii="Arial" w:cs="Arial" w:eastAsia="Arial" w:hAnsi="Arial"/>
          <w:sz w:val="14"/>
          <w:szCs w:val="14"/>
          <w:color w:val="auto"/>
        </w:rPr>
        <w:t>ISTS AND</w:t>
      </w:r>
      <w:r>
        <w:rPr>
          <w:rFonts w:ascii="Arial" w:cs="Arial" w:eastAsia="Arial" w:hAnsi="Arial"/>
          <w:sz w:val="18"/>
          <w:szCs w:val="18"/>
          <w:color w:val="auto"/>
        </w:rPr>
        <w:t xml:space="preserve"> R</w:t>
      </w:r>
      <w:r>
        <w:rPr>
          <w:rFonts w:ascii="Arial" w:cs="Arial" w:eastAsia="Arial" w:hAnsi="Arial"/>
          <w:sz w:val="14"/>
          <w:szCs w:val="14"/>
          <w:color w:val="auto"/>
        </w:rPr>
        <w:t>EPORTS BY THE</w:t>
      </w:r>
      <w:r>
        <w:rPr>
          <w:rFonts w:ascii="Arial" w:cs="Arial" w:eastAsia="Arial" w:hAnsi="Arial"/>
          <w:sz w:val="18"/>
          <w:szCs w:val="18"/>
          <w:color w:val="auto"/>
        </w:rPr>
        <w:t xml:space="preserve"> I</w:t>
      </w:r>
      <w:r>
        <w:rPr>
          <w:rFonts w:ascii="Arial" w:cs="Arial" w:eastAsia="Arial" w:hAnsi="Arial"/>
          <w:sz w:val="14"/>
          <w:szCs w:val="14"/>
          <w:color w:val="auto"/>
        </w:rPr>
        <w:t>SSUER AND THE</w:t>
      </w:r>
      <w:r>
        <w:rPr>
          <w:rFonts w:ascii="Arial" w:cs="Arial" w:eastAsia="Arial" w:hAnsi="Arial"/>
          <w:sz w:val="18"/>
          <w:szCs w:val="18"/>
          <w:color w:val="auto"/>
        </w:rPr>
        <w:t xml:space="preserve"> T</w:t>
      </w:r>
      <w:r>
        <w:rPr>
          <w:rFonts w:ascii="Arial" w:cs="Arial" w:eastAsia="Arial" w:hAnsi="Arial"/>
          <w:sz w:val="14"/>
          <w:szCs w:val="14"/>
          <w:color w:val="auto"/>
        </w:rPr>
        <w:t>RUSTEE</w:t>
      </w:r>
    </w:p>
    <w:p>
      <w:pPr>
        <w:spacing w:after="0" w:line="16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Section 4.01</w:t>
      </w:r>
      <w:r>
        <w:rPr>
          <w:rFonts w:ascii="Arial" w:cs="Arial" w:eastAsia="Arial" w:hAnsi="Arial"/>
          <w:sz w:val="18"/>
          <w:szCs w:val="18"/>
          <w:i w:val="1"/>
          <w:iCs w:val="1"/>
          <w:color w:val="auto"/>
        </w:rPr>
        <w:t>. Issuer to Furnish Trustee Information as to Names and Addresses of Securityholders.</w:t>
      </w:r>
      <w:r>
        <w:rPr>
          <w:rFonts w:ascii="Arial" w:cs="Arial" w:eastAsia="Arial" w:hAnsi="Arial"/>
          <w:sz w:val="18"/>
          <w:szCs w:val="18"/>
          <w:color w:val="auto"/>
        </w:rPr>
        <w:t xml:space="preserve"> The Issuer covenants and agrees that it will furnish or cause to be furnished to the Trustee a list in such form as the Trustee may reasonably require of the names and addresses of the Holders of the Securities of each series pursuant to Section 312 of the Trust Indenture Act of 1939:</w:t>
      </w:r>
    </w:p>
    <w:p>
      <w:pPr>
        <w:spacing w:after="0" w:line="140" w:lineRule="exact"/>
        <w:rPr>
          <w:sz w:val="20"/>
          <w:szCs w:val="20"/>
          <w:color w:val="auto"/>
        </w:rPr>
      </w:pPr>
    </w:p>
    <w:p>
      <w:pPr>
        <w:ind w:right="420" w:firstLine="464"/>
        <w:spacing w:after="0" w:line="332" w:lineRule="auto"/>
        <w:tabs>
          <w:tab w:leader="none" w:pos="695" w:val="left"/>
        </w:tabs>
        <w:numPr>
          <w:ilvl w:val="0"/>
          <w:numId w:val="67"/>
        </w:numPr>
        <w:rPr>
          <w:rFonts w:ascii="Arial" w:cs="Arial" w:eastAsia="Arial" w:hAnsi="Arial"/>
          <w:sz w:val="16"/>
          <w:szCs w:val="16"/>
          <w:color w:val="auto"/>
        </w:rPr>
      </w:pPr>
      <w:r>
        <w:rPr>
          <w:rFonts w:ascii="Arial" w:cs="Arial" w:eastAsia="Arial" w:hAnsi="Arial"/>
          <w:sz w:val="16"/>
          <w:szCs w:val="16"/>
          <w:color w:val="auto"/>
        </w:rPr>
        <w:t>semiannually and not more than 15 days after each record date for the payment of interest on such Securities, as hereinabove specified, as of such record date and on dates to be determined pursuant to Section 2.03 for non-interest bearing Securities in each year, and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80" w:right="299" w:bottom="1440" w:gutter="0" w:footer="0" w:header="0"/>
        </w:sectPr>
      </w:pPr>
    </w:p>
    <w:bookmarkStart w:id="94" w:name="page95"/>
    <w:bookmarkEnd w:id="94"/>
    <w:p>
      <w:pPr>
        <w:ind w:firstLine="464"/>
        <w:spacing w:after="0" w:line="259"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at such other times as the Trustee may request in writing, within 30 days after receipt by the Issuer of any such request as of a date not more than 15 days prior to the time such information is furnished, </w:t>
      </w:r>
      <w:r>
        <w:rPr>
          <w:rFonts w:ascii="Arial" w:cs="Arial" w:eastAsia="Arial" w:hAnsi="Arial"/>
          <w:sz w:val="18"/>
          <w:szCs w:val="18"/>
          <w:i w:val="1"/>
          <w:iCs w:val="1"/>
          <w:color w:val="auto"/>
        </w:rPr>
        <w:t>provided</w:t>
      </w:r>
      <w:r>
        <w:rPr>
          <w:rFonts w:ascii="Arial" w:cs="Arial" w:eastAsia="Arial" w:hAnsi="Arial"/>
          <w:sz w:val="18"/>
          <w:szCs w:val="18"/>
          <w:color w:val="auto"/>
        </w:rPr>
        <w:t>, that, if and so long as the Trustee shall be the Security registrar for such series, such list shall not be required to be furnished.</w:t>
      </w:r>
    </w:p>
    <w:p>
      <w:pPr>
        <w:spacing w:after="0" w:line="140"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Section 4.02</w:t>
      </w:r>
      <w:r>
        <w:rPr>
          <w:rFonts w:ascii="Arial" w:cs="Arial" w:eastAsia="Arial" w:hAnsi="Arial"/>
          <w:sz w:val="16"/>
          <w:szCs w:val="16"/>
          <w:i w:val="1"/>
          <w:iCs w:val="1"/>
          <w:color w:val="auto"/>
        </w:rPr>
        <w:t>. Reports by the Issuer.</w:t>
      </w:r>
      <w:r>
        <w:rPr>
          <w:rFonts w:ascii="Arial" w:cs="Arial" w:eastAsia="Arial" w:hAnsi="Arial"/>
          <w:sz w:val="16"/>
          <w:szCs w:val="16"/>
          <w:color w:val="auto"/>
        </w:rPr>
        <w:t xml:space="preserve"> The Issuer covenants to file with the Trustee, within 15 days after the Issuer files the same with the Commission, copies of the annual reports and of the information, documents, and other reports which the Issuer may be required to file with the Commission pursuant to Section 13 or Section 15(d) of the Securities Exchange Act of 1934. The filing of such reports, information and documents with the Commission on EDGAR (or any successor system thereto) shall be deemed to constitute filing of such reports, information and documents with the Trustee, provided however that the Issuer shall provide a physical or electronic copy thereof to the Trustee promptly following a request therefor from the Trustee.</w:t>
      </w:r>
    </w:p>
    <w:p>
      <w:pPr>
        <w:spacing w:after="0" w:line="116"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Section 4.03</w:t>
      </w:r>
      <w:r>
        <w:rPr>
          <w:rFonts w:ascii="Arial" w:cs="Arial" w:eastAsia="Arial" w:hAnsi="Arial"/>
          <w:sz w:val="18"/>
          <w:szCs w:val="18"/>
          <w:i w:val="1"/>
          <w:iCs w:val="1"/>
          <w:color w:val="auto"/>
        </w:rPr>
        <w:t>. Reports by the Trustee.</w:t>
      </w:r>
      <w:r>
        <w:rPr>
          <w:rFonts w:ascii="Arial" w:cs="Arial" w:eastAsia="Arial" w:hAnsi="Arial"/>
          <w:sz w:val="18"/>
          <w:szCs w:val="18"/>
          <w:color w:val="auto"/>
        </w:rPr>
        <w:t xml:space="preserve"> Any Trustee’s report required under Section 313(a) of the Trust Indenture Act of 1939 shall be transmitted on or before [May 1] in each year following the date hereof, so long as any Securities are Outstanding hereunder, and shall be dated as of a date convenient to the Trustee but no more than 60 nor less than 45 days prior thereto.</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EMEDIES OF THE</w:t>
      </w:r>
      <w:r>
        <w:rPr>
          <w:rFonts w:ascii="Arial" w:cs="Arial" w:eastAsia="Arial" w:hAnsi="Arial"/>
          <w:sz w:val="18"/>
          <w:szCs w:val="18"/>
          <w:color w:val="auto"/>
        </w:rPr>
        <w:t xml:space="preserve"> T</w:t>
      </w:r>
      <w:r>
        <w:rPr>
          <w:rFonts w:ascii="Arial" w:cs="Arial" w:eastAsia="Arial" w:hAnsi="Arial"/>
          <w:sz w:val="14"/>
          <w:szCs w:val="14"/>
          <w:color w:val="auto"/>
        </w:rPr>
        <w:t>RUSTEE AND</w:t>
      </w:r>
      <w:r>
        <w:rPr>
          <w:rFonts w:ascii="Arial" w:cs="Arial" w:eastAsia="Arial" w:hAnsi="Arial"/>
          <w:sz w:val="18"/>
          <w:szCs w:val="18"/>
          <w:color w:val="auto"/>
        </w:rPr>
        <w:t xml:space="preserve"> S</w:t>
      </w:r>
      <w:r>
        <w:rPr>
          <w:rFonts w:ascii="Arial" w:cs="Arial" w:eastAsia="Arial" w:hAnsi="Arial"/>
          <w:sz w:val="14"/>
          <w:szCs w:val="14"/>
          <w:color w:val="auto"/>
        </w:rPr>
        <w:t>ECURITYHOLDERS ON</w:t>
      </w:r>
      <w:r>
        <w:rPr>
          <w:rFonts w:ascii="Arial" w:cs="Arial" w:eastAsia="Arial" w:hAnsi="Arial"/>
          <w:sz w:val="18"/>
          <w:szCs w:val="18"/>
          <w:color w:val="auto"/>
        </w:rPr>
        <w:t xml:space="preserve"> E</w:t>
      </w:r>
      <w:r>
        <w:rPr>
          <w:rFonts w:ascii="Arial" w:cs="Arial" w:eastAsia="Arial" w:hAnsi="Arial"/>
          <w:sz w:val="14"/>
          <w:szCs w:val="14"/>
          <w:color w:val="auto"/>
        </w:rPr>
        <w:t>VENT OF</w:t>
      </w:r>
      <w:r>
        <w:rPr>
          <w:rFonts w:ascii="Arial" w:cs="Arial" w:eastAsia="Arial" w:hAnsi="Arial"/>
          <w:sz w:val="18"/>
          <w:szCs w:val="18"/>
          <w:color w:val="auto"/>
        </w:rPr>
        <w:t xml:space="preserve"> D</w:t>
      </w:r>
      <w:r>
        <w:rPr>
          <w:rFonts w:ascii="Arial" w:cs="Arial" w:eastAsia="Arial" w:hAnsi="Arial"/>
          <w:sz w:val="14"/>
          <w:szCs w:val="14"/>
          <w:color w:val="auto"/>
        </w:rPr>
        <w:t>EFAULT</w:t>
      </w:r>
    </w:p>
    <w:p>
      <w:pPr>
        <w:spacing w:after="0" w:line="159"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Section 5.01</w:t>
      </w:r>
      <w:r>
        <w:rPr>
          <w:rFonts w:ascii="Arial" w:cs="Arial" w:eastAsia="Arial" w:hAnsi="Arial"/>
          <w:sz w:val="18"/>
          <w:szCs w:val="18"/>
          <w:i w:val="1"/>
          <w:iCs w:val="1"/>
          <w:color w:val="auto"/>
        </w:rPr>
        <w:t>. Event of Default Defined; Acceleration of Maturity; Waiver of Default.</w:t>
      </w:r>
      <w:r>
        <w:rPr>
          <w:rFonts w:ascii="Arial" w:cs="Arial" w:eastAsia="Arial" w:hAnsi="Arial"/>
          <w:sz w:val="18"/>
          <w:szCs w:val="18"/>
          <w:color w:val="auto"/>
        </w:rPr>
        <w:t xml:space="preserve"> “</w:t>
      </w:r>
      <w:r>
        <w:rPr>
          <w:rFonts w:ascii="Arial" w:cs="Arial" w:eastAsia="Arial" w:hAnsi="Arial"/>
          <w:sz w:val="18"/>
          <w:szCs w:val="18"/>
          <w:b w:val="1"/>
          <w:bCs w:val="1"/>
          <w:color w:val="auto"/>
        </w:rPr>
        <w:t>Event of Default</w:t>
      </w:r>
      <w:r>
        <w:rPr>
          <w:rFonts w:ascii="Arial" w:cs="Arial" w:eastAsia="Arial" w:hAnsi="Arial"/>
          <w:sz w:val="18"/>
          <w:szCs w:val="18"/>
          <w:color w:val="auto"/>
        </w:rPr>
        <w:t>”, with respect to Securities of any series wherever used herein, means each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42" w:lineRule="exact"/>
        <w:rPr>
          <w:sz w:val="20"/>
          <w:szCs w:val="20"/>
          <w:color w:val="auto"/>
        </w:rPr>
      </w:pPr>
    </w:p>
    <w:p>
      <w:pPr>
        <w:ind w:right="140" w:firstLine="464"/>
        <w:spacing w:after="0" w:line="268" w:lineRule="auto"/>
        <w:tabs>
          <w:tab w:leader="none" w:pos="6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upon any of the Securities of such series as and when the same shall become due and payable, and continuance of such default for a period of 60 days;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95" w:name="page96"/>
    <w:bookmarkEnd w:id="95"/>
    <w:p>
      <w:pPr>
        <w:ind w:left="-40" w:right="340" w:firstLine="464"/>
        <w:spacing w:after="0" w:line="332" w:lineRule="auto"/>
        <w:tabs>
          <w:tab w:leader="none" w:pos="665" w:val="left"/>
        </w:tabs>
        <w:numPr>
          <w:ilvl w:val="0"/>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default in the payment of all or any part of the principal on any of the Securities of such series as and when the same shall become due and payable either at maturity, upon redemption, by declaration or otherwise, and the continuance of such default for five days; or</w:t>
      </w:r>
    </w:p>
    <w:p>
      <w:pPr>
        <w:spacing w:after="0" w:line="85" w:lineRule="exact"/>
        <w:rPr>
          <w:rFonts w:ascii="Arial" w:cs="Arial" w:eastAsia="Arial" w:hAnsi="Arial"/>
          <w:sz w:val="16"/>
          <w:szCs w:val="16"/>
          <w:color w:val="auto"/>
        </w:rPr>
      </w:pPr>
    </w:p>
    <w:p>
      <w:pPr>
        <w:ind w:left="-40" w:firstLine="464"/>
        <w:spacing w:after="0" w:line="294" w:lineRule="auto"/>
        <w:tabs>
          <w:tab w:leader="none" w:pos="655" w:val="left"/>
        </w:tabs>
        <w:numPr>
          <w:ilvl w:val="0"/>
          <w:numId w:val="70"/>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or warranty of the Issuer in respect of the Securities of such series (other than a covenant or warranty in respect of the Securities of such series a default in the performance or breach of which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all series affected thereby, a written notice specifying such default or breach and requiring it to be remedied and stating that such notice is a “</w:t>
      </w:r>
      <w:r>
        <w:rPr>
          <w:rFonts w:ascii="Arial" w:cs="Arial" w:eastAsia="Arial" w:hAnsi="Arial"/>
          <w:sz w:val="16"/>
          <w:szCs w:val="16"/>
          <w:b w:val="1"/>
          <w:bCs w:val="1"/>
          <w:color w:val="auto"/>
        </w:rPr>
        <w:t>Notice of Default</w:t>
      </w:r>
      <w:r>
        <w:rPr>
          <w:rFonts w:ascii="Arial" w:cs="Arial" w:eastAsia="Arial" w:hAnsi="Arial"/>
          <w:sz w:val="16"/>
          <w:szCs w:val="16"/>
          <w:color w:val="auto"/>
        </w:rPr>
        <w:t>” hereunder; or</w:t>
      </w:r>
    </w:p>
    <w:p>
      <w:pPr>
        <w:spacing w:after="0" w:line="115" w:lineRule="exact"/>
        <w:rPr>
          <w:rFonts w:ascii="Arial" w:cs="Arial" w:eastAsia="Arial" w:hAnsi="Arial"/>
          <w:sz w:val="16"/>
          <w:szCs w:val="16"/>
          <w:color w:val="auto"/>
        </w:rPr>
      </w:pPr>
    </w:p>
    <w:p>
      <w:pPr>
        <w:ind w:left="-40" w:right="120" w:firstLine="464"/>
        <w:spacing w:after="0" w:line="256" w:lineRule="auto"/>
        <w:tabs>
          <w:tab w:leader="none" w:pos="66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all or substantially all of its property or ordering the winding up or liquidation of its affairs, and such decree or order shall remain unstayed and in effect for a period of 60 consecutive days; or</w:t>
      </w:r>
    </w:p>
    <w:p>
      <w:pPr>
        <w:spacing w:after="0" w:line="143" w:lineRule="exact"/>
        <w:rPr>
          <w:rFonts w:ascii="Arial" w:cs="Arial" w:eastAsia="Arial" w:hAnsi="Arial"/>
          <w:sz w:val="18"/>
          <w:szCs w:val="18"/>
          <w:color w:val="auto"/>
        </w:rPr>
      </w:pPr>
    </w:p>
    <w:p>
      <w:pPr>
        <w:ind w:left="-40" w:right="20" w:firstLine="464"/>
        <w:spacing w:after="0" w:line="256"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or make any general assignment for the benefit of creditors; or</w:t>
      </w:r>
    </w:p>
    <w:p>
      <w:pPr>
        <w:spacing w:after="0" w:line="143" w:lineRule="exact"/>
        <w:rPr>
          <w:rFonts w:ascii="Arial" w:cs="Arial" w:eastAsia="Arial" w:hAnsi="Arial"/>
          <w:sz w:val="18"/>
          <w:szCs w:val="18"/>
          <w:color w:val="auto"/>
        </w:rPr>
      </w:pPr>
    </w:p>
    <w:p>
      <w:pPr>
        <w:ind w:left="640" w:hanging="2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Securities.</w:t>
      </w:r>
    </w:p>
    <w:p>
      <w:pPr>
        <w:spacing w:after="0" w:line="171" w:lineRule="exact"/>
        <w:rPr>
          <w:rFonts w:ascii="Arial" w:cs="Arial" w:eastAsia="Arial" w:hAnsi="Arial"/>
          <w:sz w:val="18"/>
          <w:szCs w:val="18"/>
          <w:color w:val="auto"/>
        </w:rPr>
      </w:pPr>
    </w:p>
    <w:p>
      <w:pPr>
        <w:ind w:left="-40" w:firstLine="464"/>
        <w:spacing w:after="0" w:line="254" w:lineRule="auto"/>
        <w:tabs>
          <w:tab w:leader="none" w:pos="665"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Notwithstanding any other provisions in this Indenture, if so elected by the Issuer, the sole remedy for an Event of Default relating to the failure to comply with Section 4.02 of this Indenture or Section 314(a)(1) of the Trust Indenture Act of 1939, will for the Additional Interest Period (as defined below) consist exclusively of the right to receive additional interest (the “</w:t>
      </w:r>
      <w:r>
        <w:rPr>
          <w:rFonts w:ascii="Arial" w:cs="Arial" w:eastAsia="Arial" w:hAnsi="Arial"/>
          <w:sz w:val="18"/>
          <w:szCs w:val="18"/>
          <w:b w:val="1"/>
          <w:bCs w:val="1"/>
          <w:color w:val="auto"/>
        </w:rPr>
        <w:t>Reporting Interest</w:t>
      </w:r>
      <w:r>
        <w:rPr>
          <w:rFonts w:ascii="Arial" w:cs="Arial" w:eastAsia="Arial" w:hAnsi="Arial"/>
          <w:sz w:val="18"/>
          <w:szCs w:val="18"/>
          <w:color w:val="auto"/>
        </w:rPr>
        <w:t>”) on the Securities accruing at an annual rate equal to 0.25% of the principal amount of the Securities. The Reporting Interest will accrue on all outstanding Securities from and including the date on which an Event of Default relating to a failure to comply with the reporting obligations in the Indenture first occurs to, but not including, the date on which such Event of Default is cured or waived (the “</w:t>
      </w:r>
      <w:r>
        <w:rPr>
          <w:rFonts w:ascii="Arial" w:cs="Arial" w:eastAsia="Arial" w:hAnsi="Arial"/>
          <w:sz w:val="18"/>
          <w:szCs w:val="18"/>
          <w:b w:val="1"/>
          <w:bCs w:val="1"/>
          <w:color w:val="auto"/>
        </w:rPr>
        <w:t>Additional Interest Period</w:t>
      </w:r>
      <w:r>
        <w:rPr>
          <w:rFonts w:ascii="Arial" w:cs="Arial" w:eastAsia="Arial" w:hAnsi="Arial"/>
          <w:sz w:val="18"/>
          <w:szCs w:val="18"/>
          <w:color w:val="auto"/>
        </w:rPr>
        <w:t>”). The foregoing</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80" w:top="280" w:right="279" w:bottom="1440" w:gutter="0" w:footer="0" w:header="0"/>
        </w:sectPr>
      </w:pPr>
    </w:p>
    <w:bookmarkStart w:id="96" w:name="page97"/>
    <w:bookmarkEnd w:id="96"/>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provisions in this Section 5.01(g) will not affect the rights of Securityholders in the event of the occurrence of any other Event of Default. In the event the Issuer does not elect to pay the Reporting Interest upon an Event of Default in accordance with this Section 5.01(g), the Securities will be subject to acceleration as provided below. In order to elect to pay the Reporting Interest as the sole remedy during the Additional Interest Period, the Issuer must notify all holders of Securities and the Trustee and paying agent of such election on or before the close of business on the date on which such Event of Default occurs.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an Event of Default described in clauses (a), (b), (c) or (f) occurs and is continuing, then, and in each and every such case, unless the principal of all of the Securities of such series shall have already become due and payable, either the Trustee or the Holders of not less than 25% in aggregate principal amount of the Securities of such series then Outstanding hereunder (each such series voting as a separate class) by notice in writing to the Issuer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 (d) or (e) occurs and is continuing, then and in each and every such case, unless the principal of all the Securities shall have already become due and payable, either the Trustee or the Holders of not less than 25% in aggregate principal amount of all the Securities then Outstanding hereunder (treated as one class), by notice in writing to the Issuer (and to the Trustee if given by Securityholders), may declare the entire principal (or, if any Securities are Original Issue Discount Securities, such portion of the principal as may be specified in the terms thereof) of all the Securities then Outstanding and interest accrued thereon, if any, to be due and payable immediately, and upon any such declaration the same shall become immediately due and payable.</w:t>
      </w:r>
    </w:p>
    <w:p>
      <w:pPr>
        <w:spacing w:after="0" w:line="127"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The foregoing provisions, however, are subject to the condition that if, at any time after the principal (or, if the Securities are Original Issue Discount Securities, such portion of the principal as may be specified in the terms thereof) of the Securities of any series (or of all the Securities, as the case may be)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(or of all the Securities, as the case may be) and the principal of any and all Securities of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97" w:name="page98"/>
    <w:bookmarkEnd w:id="97"/>
    <w:p>
      <w:pPr>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of such series, (or at the respective rates of interest or Yields to Maturity of all the Securities, as the case may be)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other than the non-payment of the principal of Securities which shall have become due by acceleration, shall have been cured, waived or otherwise remedied as provided herein—then and in every such case the Holders of a majority in aggregate principal amount of all the Securities of such series, each series voting as a separate class, (or of all the Securities, as the case may be, voting as a single class) then Outstanding, by written notice to the Issuer and to the Trustee, may waive all defaults with respect to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10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Section 5.02</w:t>
      </w:r>
      <w:r>
        <w:rPr>
          <w:rFonts w:ascii="Arial" w:cs="Arial" w:eastAsia="Arial" w:hAnsi="Arial"/>
          <w:sz w:val="16"/>
          <w:szCs w:val="16"/>
          <w:i w:val="1"/>
          <w:iCs w:val="1"/>
          <w:color w:val="auto"/>
        </w:rPr>
        <w:t>. Collection of Debt by Trustee; Trustee May Prove Debt.</w:t>
      </w:r>
      <w:r>
        <w:rPr>
          <w:rFonts w:ascii="Arial" w:cs="Arial" w:eastAsia="Arial" w:hAnsi="Arial"/>
          <w:sz w:val="16"/>
          <w:szCs w:val="16"/>
          <w:color w:val="auto"/>
        </w:rPr>
        <w:t xml:space="preserve">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and such default shall have continued for a period of five days, whether upon maturity of the Securities of such series or upon any redemption or by declaration or otherwise—then,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98" w:name="page99"/>
    <w:bookmarkEnd w:id="98"/>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its property,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37" w:lineRule="exact"/>
        <w:rPr>
          <w:sz w:val="20"/>
          <w:szCs w:val="20"/>
          <w:color w:val="auto"/>
        </w:rPr>
      </w:pPr>
    </w:p>
    <w:p>
      <w:pPr>
        <w:ind w:left="460" w:firstLine="443"/>
        <w:spacing w:after="0" w:line="253" w:lineRule="auto"/>
        <w:tabs>
          <w:tab w:leader="none" w:pos="110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99" w:name="page100"/>
    <w:bookmarkEnd w:id="99"/>
    <w:p>
      <w:pPr>
        <w:ind w:left="460" w:firstLine="443"/>
        <w:spacing w:after="0" w:line="259" w:lineRule="auto"/>
        <w:tabs>
          <w:tab w:leader="none" w:pos="1157"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59" w:lineRule="exact"/>
        <w:rPr>
          <w:rFonts w:ascii="Arial" w:cs="Arial" w:eastAsia="Arial" w:hAnsi="Arial"/>
          <w:sz w:val="18"/>
          <w:szCs w:val="18"/>
          <w:color w:val="auto"/>
        </w:rPr>
      </w:pPr>
    </w:p>
    <w:p>
      <w:pPr>
        <w:ind w:left="460" w:right="80" w:firstLine="443"/>
        <w:spacing w:after="0" w:line="253" w:lineRule="auto"/>
        <w:tabs>
          <w:tab w:leader="none" w:pos="12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6.06.</w:t>
      </w:r>
    </w:p>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All rights of action and of asserting claims under this Indenture, or under any of the Securities of any series, may be enforced by the Trustee without the possession of any of the Securities of such series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100" w:name="page101"/>
    <w:bookmarkEnd w:id="100"/>
    <w:p>
      <w:pPr>
        <w:ind w:right="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5.03</w:t>
      </w:r>
      <w:r>
        <w:rPr>
          <w:rFonts w:ascii="Arial" w:cs="Arial" w:eastAsia="Arial" w:hAnsi="Arial"/>
          <w:sz w:val="16"/>
          <w:szCs w:val="16"/>
          <w:i w:val="1"/>
          <w:iCs w:val="1"/>
          <w:color w:val="auto"/>
        </w:rPr>
        <w:t>. Application of Proceeds.</w:t>
      </w:r>
      <w:r>
        <w:rPr>
          <w:rFonts w:ascii="Arial" w:cs="Arial" w:eastAsia="Arial" w:hAnsi="Arial"/>
          <w:sz w:val="16"/>
          <w:szCs w:val="16"/>
          <w:color w:val="auto"/>
        </w:rPr>
        <w:t xml:space="preserve">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FIRST: To the payment of all amounts due to the Trustee or any predecessor trustee pursuant to Section 6.06;</w:t>
      </w:r>
    </w:p>
    <w:p>
      <w:pPr>
        <w:spacing w:after="0" w:line="90" w:lineRule="exact"/>
        <w:rPr>
          <w:sz w:val="20"/>
          <w:szCs w:val="20"/>
          <w:color w:val="auto"/>
        </w:rPr>
      </w:pPr>
    </w:p>
    <w:p>
      <w:pPr>
        <w:ind w:left="460" w:right="40" w:firstLine="438"/>
        <w:spacing w:after="0" w:line="255" w:lineRule="auto"/>
        <w:rPr>
          <w:sz w:val="20"/>
          <w:szCs w:val="20"/>
          <w:color w:val="auto"/>
        </w:rPr>
      </w:pPr>
      <w:r>
        <w:rPr>
          <w:rFonts w:ascii="Arial" w:cs="Arial" w:eastAsia="Arial" w:hAnsi="Arial"/>
          <w:sz w:val="18"/>
          <w:szCs w:val="18"/>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62" w:lineRule="exact"/>
        <w:rPr>
          <w:sz w:val="20"/>
          <w:szCs w:val="20"/>
          <w:color w:val="auto"/>
        </w:rPr>
      </w:pPr>
    </w:p>
    <w:p>
      <w:pPr>
        <w:ind w:left="460" w:firstLine="438"/>
        <w:spacing w:after="0" w:line="289" w:lineRule="auto"/>
        <w:rPr>
          <w:sz w:val="20"/>
          <w:szCs w:val="20"/>
          <w:color w:val="auto"/>
        </w:rPr>
      </w:pPr>
      <w:r>
        <w:rPr>
          <w:rFonts w:ascii="Arial" w:cs="Arial" w:eastAsia="Arial" w:hAnsi="Arial"/>
          <w:sz w:val="16"/>
          <w:szCs w:val="16"/>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FOURTH: To the payment of the remainder, if any, to the Issuer or any other Person lawfully entitled thereto.</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101" w:name="page102"/>
    <w:bookmarkEnd w:id="101"/>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5.04. </w:t>
      </w:r>
      <w:r>
        <w:rPr>
          <w:rFonts w:ascii="Arial" w:cs="Arial" w:eastAsia="Arial" w:hAnsi="Arial"/>
          <w:sz w:val="18"/>
          <w:szCs w:val="18"/>
          <w:i w:val="1"/>
          <w:iCs w:val="1"/>
          <w:color w:val="auto"/>
        </w:rPr>
        <w:t>Suits for Enforcement</w:t>
      </w:r>
      <w:r>
        <w:rPr>
          <w:rFonts w:ascii="Arial" w:cs="Arial" w:eastAsia="Arial" w:hAnsi="Arial"/>
          <w:sz w:val="18"/>
          <w:szCs w:val="18"/>
          <w:color w:val="auto"/>
        </w:rPr>
        <w:t>.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i w:val="1"/>
          <w:iCs w:val="1"/>
          <w:color w:val="auto"/>
        </w:rPr>
        <w:t>Restoration of Rights on Abandonment of Proceedings</w:t>
      </w:r>
      <w:r>
        <w:rPr>
          <w:rFonts w:ascii="Arial" w:cs="Arial" w:eastAsia="Arial" w:hAnsi="Arial"/>
          <w:sz w:val="16"/>
          <w:szCs w:val="16"/>
          <w:color w:val="auto"/>
        </w:rPr>
        <w:t>. In case the Trustee shall have proceeded to enforce any right under this Indenture and such proceedings shall have been discontinued or abandoned for any reason, or shall have been determined adversely to the Trustee, then and in every such case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11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i w:val="1"/>
          <w:iCs w:val="1"/>
          <w:color w:val="auto"/>
        </w:rPr>
        <w:t>Limitations on Suits by Securityholders</w:t>
      </w:r>
      <w:r>
        <w:rPr>
          <w:rFonts w:ascii="Arial" w:cs="Arial" w:eastAsia="Arial" w:hAnsi="Arial"/>
          <w:sz w:val="16"/>
          <w:szCs w:val="16"/>
          <w:color w:val="auto"/>
        </w:rPr>
        <w:t>. No Holder of any Security of any series shall have any right by virtue or by availing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5.09; it being understood and intended, and being expressly covenanted by the Holder of every Security with every other Holder and the Trustee, that no one or more Holders of Securities of any series shall have any right in any manner whatever by virtue or by availing of any provision of this Indenture to affect, disturb or prejudice the rights of any other such Holder of Securities, or to obtain or seek to obtain priority over or preference to any other such Holder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102" w:name="page103"/>
    <w:bookmarkEnd w:id="102"/>
    <w:p>
      <w:pPr>
        <w:ind w:right="1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5.07. </w:t>
      </w:r>
      <w:r>
        <w:rPr>
          <w:rFonts w:ascii="Arial" w:cs="Arial" w:eastAsia="Arial" w:hAnsi="Arial"/>
          <w:sz w:val="18"/>
          <w:szCs w:val="18"/>
          <w:i w:val="1"/>
          <w:iCs w:val="1"/>
          <w:color w:val="auto"/>
        </w:rPr>
        <w:t>Unconditional Right of Securityholders to Institute Certain Suits</w:t>
      </w:r>
      <w:r>
        <w:rPr>
          <w:rFonts w:ascii="Arial" w:cs="Arial" w:eastAsia="Arial" w:hAnsi="Arial"/>
          <w:sz w:val="18"/>
          <w:szCs w:val="18"/>
          <w:color w:val="auto"/>
        </w:rPr>
        <w:t>. Notwithstanding any other provision in this Indenture and any provision of any Security, the right of any Holder of any Security to receive payment of the principal of and interest on such Security on or after the respective due dates expressed in such Security, or to institute suit for the enforcement of any such payment on or after such respective dates, or for the enforcement of such conversion right, shall not be impaired or affected without the consent of such Holder.</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Powers and Remedies Cumulative; Delay or Omission Not Waiver of Default</w:t>
      </w:r>
      <w:r>
        <w:rPr>
          <w:rFonts w:ascii="Arial" w:cs="Arial" w:eastAsia="Arial" w:hAnsi="Arial"/>
          <w:sz w:val="18"/>
          <w:szCs w:val="18"/>
          <w:color w:val="auto"/>
        </w:rPr>
        <w:t>. Except as provided in Section 5.06,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4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No delay or omission of the Trustee or of any Holder of Securities to exercise any right or power accruing upon any Event of Default occurring and continuing as aforesaid shall impair any such right or power or shall be construed to be a waiver of any such Event of Default or an acquiescence therein; and, subject to Section 5.06, every power and remedy given by this Indenture or by law to the Trustee or to the Holders of Securities may be exercised from time to time, and as often as shall be deemed expedient, by the Trustee or by the Holders of Securities.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i w:val="1"/>
          <w:iCs w:val="1"/>
          <w:color w:val="auto"/>
        </w:rPr>
        <w:t>Control by Holders of Securities</w:t>
      </w:r>
      <w:r>
        <w:rPr>
          <w:rFonts w:ascii="Arial" w:cs="Arial" w:eastAsia="Arial" w:hAnsi="Arial"/>
          <w:sz w:val="16"/>
          <w:szCs w:val="16"/>
          <w:color w:val="auto"/>
        </w:rPr>
        <w:t xml:space="preserve">.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w:t>
      </w:r>
      <w:r>
        <w:rPr>
          <w:rFonts w:ascii="Arial" w:cs="Arial" w:eastAsia="Arial" w:hAnsi="Arial"/>
          <w:sz w:val="16"/>
          <w:szCs w:val="16"/>
          <w:i w:val="1"/>
          <w:iCs w:val="1"/>
          <w:color w:val="auto"/>
        </w:rPr>
        <w:t>provided</w:t>
      </w:r>
      <w:r>
        <w:rPr>
          <w:rFonts w:ascii="Arial" w:cs="Arial" w:eastAsia="Arial" w:hAnsi="Arial"/>
          <w:sz w:val="16"/>
          <w:szCs w:val="16"/>
          <w:color w:val="auto"/>
        </w:rPr>
        <w:t>, that such direction shall not be otherwise than in accordance with law and the provisions of this Indenture and provided, further, that (subject to the provisions of Section 6.01)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 it being understood that (subject to Section 6.01) the Trustee shall have no duty to ascertain whether or not such actions or forbearances are unduly prejudicial to such Holders.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103" w:name="page104"/>
    <w:bookmarkEnd w:id="10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Nothing in this Indenture shall impair the right of the Trustee in its discretion to take any action deemed proper by the Trustee and which is not inconsistent with such direction or directions by Securityholders.</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i w:val="1"/>
          <w:iCs w:val="1"/>
          <w:color w:val="auto"/>
        </w:rPr>
        <w:t>Waiver of Past Defaults</w:t>
      </w:r>
      <w:r>
        <w:rPr>
          <w:rFonts w:ascii="Arial" w:cs="Arial" w:eastAsia="Arial" w:hAnsi="Arial"/>
          <w:sz w:val="16"/>
          <w:szCs w:val="16"/>
          <w:color w:val="auto"/>
        </w:rPr>
        <w:t>. Prior to the declaration of the acceleration of the maturity of the Securities of any series as provided in Section 5.01, the Holders of a majority in aggregate principal amount of the Securities of such series at the time Outstanding may on behalf of the Holders of all the Securities of such series waive any past default or Event of Default described in clause Section 5.01(c) or Section 5.01(f) of Section 5.01 (or, in the case of an event specified in clause Section 5.01(c) or Section 5.01(f) of Section 5.01 which relates to less than all series of Securities then Outstanding, the Holders of a majority in aggregate principal amount of the Securities then Outstanding affected thereby (each series voting as a separate class) may waive any such default or Event of Default, or, in the case of an event specified in clause Section 5.01(c) or Section 5.01(f) (if the Event of Default under clause Section 5.01(c) or Section 5.01(f) relates to all series of Securities then Outstanding), Section 5.01(d) or Section 5.01(e) of Section 5.01 the Holders of Securities of a majority in principal amount of all the Securities then Outstanding (voting as one class) may waive any such default or Event of Default), and its consequences except a default in respect of a covenant or provision hereof which cannot be modified or amended without the consent of the Holder of each Security affected. In the case of any such waiver, the Issuer,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i w:val="1"/>
          <w:iCs w:val="1"/>
          <w:color w:val="auto"/>
        </w:rPr>
        <w:t>Trustee to Give Notice of Default, but May Withhold in Certain Circumstances</w:t>
      </w:r>
      <w:r>
        <w:rPr>
          <w:rFonts w:ascii="Arial" w:cs="Arial" w:eastAsia="Arial" w:hAnsi="Arial"/>
          <w:sz w:val="16"/>
          <w:szCs w:val="16"/>
          <w:color w:val="auto"/>
        </w:rPr>
        <w:t>. The Trustee shall, within 90 days after the occurrence of a default with respect to the Securities of any series, give notice of all defaults with respect to that series known to the Trustee to all Holders of Securities of such series in the manner and to the extent provided in Section 4.03, unless in each case such defaults shall have been cured before the mailing or publication of such notice (the term “</w:t>
      </w:r>
      <w:r>
        <w:rPr>
          <w:rFonts w:ascii="Arial" w:cs="Arial" w:eastAsia="Arial" w:hAnsi="Arial"/>
          <w:sz w:val="16"/>
          <w:szCs w:val="16"/>
          <w:b w:val="1"/>
          <w:bCs w:val="1"/>
          <w:color w:val="auto"/>
        </w:rPr>
        <w:t>defaults</w:t>
      </w:r>
      <w:r>
        <w:rPr>
          <w:rFonts w:ascii="Arial" w:cs="Arial" w:eastAsia="Arial" w:hAnsi="Arial"/>
          <w:sz w:val="16"/>
          <w:szCs w:val="16"/>
          <w:color w:val="auto"/>
        </w:rPr>
        <w:t>” for the purpose of this Section being hereby defined to mean any event or condition which is, or with notice or lapse of time 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80" w:right="279" w:bottom="1440" w:gutter="0" w:footer="0" w:header="0"/>
        </w:sectPr>
      </w:pPr>
    </w:p>
    <w:bookmarkStart w:id="104" w:name="page105"/>
    <w:bookmarkEnd w:id="104"/>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both would become, an Event of Default); provided, that, except in the case of default in the payment of the principal of or interest on any of the Securities of such series, or in the payment of any sinking fund installment on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143"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i w:val="1"/>
          <w:iCs w:val="1"/>
          <w:color w:val="auto"/>
        </w:rPr>
        <w:t>Right of Court to Require Filing of Undertaking to Pay Costs</w:t>
      </w:r>
      <w:r>
        <w:rPr>
          <w:rFonts w:ascii="Arial" w:cs="Arial" w:eastAsia="Arial" w:hAnsi="Arial"/>
          <w:sz w:val="16"/>
          <w:szCs w:val="16"/>
          <w:color w:val="auto"/>
        </w:rPr>
        <w:t>. 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in the case of any suit relating to or arising under clause Section 5.01(c) or</w:t>
      </w:r>
    </w:p>
    <w:p>
      <w:pPr>
        <w:spacing w:after="0" w:line="252" w:lineRule="auto"/>
        <w:rPr>
          <w:sz w:val="20"/>
          <w:szCs w:val="20"/>
          <w:color w:val="auto"/>
        </w:rPr>
      </w:pPr>
      <w:r>
        <w:rPr>
          <w:rFonts w:ascii="Arial" w:cs="Arial" w:eastAsia="Arial" w:hAnsi="Arial"/>
          <w:sz w:val="18"/>
          <w:szCs w:val="18"/>
          <w:color w:val="auto"/>
        </w:rPr>
        <w:t>Section 5.01(f) of Section 5.01 (if the suit relates to Securities of more than one but less than all series), 10% in aggregate principal amount of Securities then Outstanding and affected thereby, or in the case of any suit relating to or arising under Section 5.01(c) or Section 5.01(f) (if the suit under Section 5.01(c) or Section 5.01(f) relates to all the Securities then Outstanding), Section 5.01(d) or Section 5.01(e) of Section 5.01, 10% in aggregate principal amount of all Securities then Outstanding, or to any suit instituted by any Securityholder for the enforcement of the payment of the principal of or interest on any Security on or after the due date expressed in such Security or any date fixed for redemption or for the enforcement of a right to convert any Security in accordance with the terms thereof.</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ONCERNING THE</w:t>
      </w:r>
      <w:r>
        <w:rPr>
          <w:rFonts w:ascii="Arial" w:cs="Arial" w:eastAsia="Arial" w:hAnsi="Arial"/>
          <w:sz w:val="18"/>
          <w:szCs w:val="18"/>
          <w:color w:val="auto"/>
        </w:rPr>
        <w:t xml:space="preserve"> T</w:t>
      </w:r>
      <w:r>
        <w:rPr>
          <w:rFonts w:ascii="Arial" w:cs="Arial" w:eastAsia="Arial" w:hAnsi="Arial"/>
          <w:sz w:val="14"/>
          <w:szCs w:val="14"/>
          <w:color w:val="auto"/>
        </w:rPr>
        <w:t>RUSTEE</w:t>
      </w:r>
    </w:p>
    <w:p>
      <w:pPr>
        <w:spacing w:after="0" w:line="165"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 xml:space="preserve">Section 6.01. </w:t>
      </w:r>
      <w:r>
        <w:rPr>
          <w:rFonts w:ascii="Arial" w:cs="Arial" w:eastAsia="Arial" w:hAnsi="Arial"/>
          <w:sz w:val="15"/>
          <w:szCs w:val="15"/>
          <w:i w:val="1"/>
          <w:iCs w:val="1"/>
          <w:color w:val="auto"/>
        </w:rPr>
        <w:t>Duties and Responsibilities of the Trustee; During Default; Prior to Default</w:t>
      </w:r>
      <w:r>
        <w:rPr>
          <w:rFonts w:ascii="Arial" w:cs="Arial" w:eastAsia="Arial" w:hAnsi="Arial"/>
          <w:sz w:val="15"/>
          <w:szCs w:val="15"/>
          <w:color w:val="auto"/>
        </w:rPr>
        <w:t>.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80" w:right="279" w:bottom="1440" w:gutter="0" w:footer="0" w:header="0"/>
        </w:sectPr>
      </w:pPr>
    </w:p>
    <w:bookmarkStart w:id="105" w:name="page106"/>
    <w:bookmarkEnd w:id="105"/>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Indenture. In case an Event of Default with respect to the Securities of a series has occurred (which has not been cured or waived),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140"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32" w:lineRule="exact"/>
        <w:rPr>
          <w:sz w:val="20"/>
          <w:szCs w:val="20"/>
          <w:color w:val="auto"/>
        </w:rPr>
      </w:pPr>
    </w:p>
    <w:p>
      <w:pPr>
        <w:ind w:right="220" w:firstLine="464"/>
        <w:spacing w:after="0" w:line="268"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any series and after the curing or waiving of all such Events of Default with respect to such series which may have occurred:</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08"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duties and obligations of the Trustee with respect to the Securities of any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59" w:lineRule="exact"/>
        <w:rPr>
          <w:rFonts w:ascii="Arial" w:cs="Arial" w:eastAsia="Arial" w:hAnsi="Arial"/>
          <w:sz w:val="18"/>
          <w:szCs w:val="18"/>
          <w:color w:val="auto"/>
        </w:rPr>
      </w:pPr>
    </w:p>
    <w:p>
      <w:pPr>
        <w:jc w:val="both"/>
        <w:ind w:left="460" w:firstLine="443"/>
        <w:spacing w:after="0" w:line="298" w:lineRule="auto"/>
        <w:tabs>
          <w:tab w:leader="none" w:pos="1157" w:val="left"/>
        </w:tabs>
        <w:numPr>
          <w:ilvl w:val="1"/>
          <w:numId w:val="73"/>
        </w:numPr>
        <w:rPr>
          <w:rFonts w:ascii="Arial" w:cs="Arial" w:eastAsia="Arial" w:hAnsi="Arial"/>
          <w:sz w:val="16"/>
          <w:szCs w:val="16"/>
          <w:color w:val="auto"/>
        </w:rPr>
      </w:pPr>
      <w:r>
        <w:rPr>
          <w:rFonts w:ascii="Arial" w:cs="Arial" w:eastAsia="Arial" w:hAnsi="Arial"/>
          <w:sz w:val="16"/>
          <w:szCs w:val="16"/>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12" w:lineRule="exact"/>
        <w:rPr>
          <w:rFonts w:ascii="Arial" w:cs="Arial" w:eastAsia="Arial" w:hAnsi="Arial"/>
          <w:sz w:val="16"/>
          <w:szCs w:val="16"/>
          <w:color w:val="auto"/>
        </w:rPr>
      </w:pPr>
    </w:p>
    <w:p>
      <w:pPr>
        <w:ind w:right="240" w:firstLine="464"/>
        <w:spacing w:after="0" w:line="268" w:lineRule="auto"/>
        <w:tabs>
          <w:tab w:leader="none" w:pos="7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 and</w:t>
      </w:r>
    </w:p>
    <w:p>
      <w:pPr>
        <w:spacing w:after="0" w:line="131" w:lineRule="exact"/>
        <w:rPr>
          <w:rFonts w:ascii="Arial" w:cs="Arial" w:eastAsia="Arial" w:hAnsi="Arial"/>
          <w:sz w:val="18"/>
          <w:szCs w:val="18"/>
          <w:color w:val="auto"/>
        </w:rPr>
      </w:pPr>
    </w:p>
    <w:p>
      <w:pPr>
        <w:ind w:right="120" w:firstLine="464"/>
        <w:spacing w:after="0" w:line="259"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pursuant to Section 5.09 relating to the time, method and place of conducting any proceeding for any remedy available to the Trustee, or exercising any trust or power conferred upon the Trustee, under this Indenture.</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106" w:name="page107"/>
    <w:bookmarkEnd w:id="106"/>
    <w:p>
      <w:pPr>
        <w:ind w:lef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provisions of this Section 6.01 are in furtherance of and subject to Sections 315 and 316 of the Trust Indenture Act of 1939.</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Section 6.02</w:t>
      </w:r>
      <w:r>
        <w:rPr>
          <w:rFonts w:ascii="Arial" w:cs="Arial" w:eastAsia="Arial" w:hAnsi="Arial"/>
          <w:sz w:val="18"/>
          <w:szCs w:val="18"/>
          <w:i w:val="1"/>
          <w:iCs w:val="1"/>
          <w:color w:val="auto"/>
        </w:rPr>
        <w:t>. Certain Rights of the Trustee.</w:t>
      </w:r>
      <w:r>
        <w:rPr>
          <w:rFonts w:ascii="Arial" w:cs="Arial" w:eastAsia="Arial" w:hAnsi="Arial"/>
          <w:sz w:val="18"/>
          <w:szCs w:val="18"/>
          <w:color w:val="auto"/>
        </w:rPr>
        <w:t xml:space="preserve"> In furtherance of and subject to the Trust Indenture Act of 1939 and subject to Section 6.01:</w:t>
      </w:r>
    </w:p>
    <w:p>
      <w:pPr>
        <w:spacing w:after="0" w:line="171" w:lineRule="exact"/>
        <w:rPr>
          <w:sz w:val="20"/>
          <w:szCs w:val="20"/>
          <w:color w:val="auto"/>
        </w:rPr>
      </w:pPr>
    </w:p>
    <w:p>
      <w:pPr>
        <w:ind w:left="-80" w:firstLine="464"/>
        <w:spacing w:after="0" w:line="259" w:lineRule="auto"/>
        <w:tabs>
          <w:tab w:leader="none" w:pos="6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Officers’ Certificate or any other certificate, statement, instrument, opinion, report, notice, request, consent, order, bond, debenture, note, security or other paper or document believed by it to be genuine and to have been signed or presented by the proper party or parties;</w:t>
      </w:r>
    </w:p>
    <w:p>
      <w:pPr>
        <w:spacing w:after="0" w:line="140" w:lineRule="exact"/>
        <w:rPr>
          <w:rFonts w:ascii="Arial" w:cs="Arial" w:eastAsia="Arial" w:hAnsi="Arial"/>
          <w:sz w:val="18"/>
          <w:szCs w:val="18"/>
          <w:color w:val="auto"/>
        </w:rPr>
      </w:pPr>
    </w:p>
    <w:p>
      <w:pPr>
        <w:ind w:left="-80" w:firstLine="464"/>
        <w:spacing w:after="0" w:line="259" w:lineRule="auto"/>
        <w:tabs>
          <w:tab w:leader="none" w:pos="62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140" w:lineRule="exact"/>
        <w:rPr>
          <w:rFonts w:ascii="Arial" w:cs="Arial" w:eastAsia="Arial" w:hAnsi="Arial"/>
          <w:sz w:val="18"/>
          <w:szCs w:val="18"/>
          <w:color w:val="auto"/>
        </w:rPr>
      </w:pPr>
    </w:p>
    <w:p>
      <w:pPr>
        <w:ind w:left="-80" w:right="220" w:firstLine="464"/>
        <w:spacing w:after="0" w:line="332" w:lineRule="auto"/>
        <w:tabs>
          <w:tab w:leader="none" w:pos="615"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Trustee may consult with counsel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85" w:lineRule="exact"/>
        <w:rPr>
          <w:rFonts w:ascii="Arial" w:cs="Arial" w:eastAsia="Arial" w:hAnsi="Arial"/>
          <w:sz w:val="16"/>
          <w:szCs w:val="16"/>
          <w:color w:val="auto"/>
        </w:rPr>
      </w:pPr>
    </w:p>
    <w:p>
      <w:pPr>
        <w:ind w:left="-80" w:right="120" w:firstLine="464"/>
        <w:spacing w:after="0" w:line="259" w:lineRule="auto"/>
        <w:tabs>
          <w:tab w:leader="none" w:pos="62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which might be incurred therein or thereby;</w:t>
      </w:r>
    </w:p>
    <w:p>
      <w:pPr>
        <w:spacing w:after="0" w:line="140" w:lineRule="exact"/>
        <w:rPr>
          <w:rFonts w:ascii="Arial" w:cs="Arial" w:eastAsia="Arial" w:hAnsi="Arial"/>
          <w:sz w:val="18"/>
          <w:szCs w:val="18"/>
          <w:color w:val="auto"/>
        </w:rPr>
      </w:pPr>
    </w:p>
    <w:p>
      <w:pPr>
        <w:ind w:left="-80" w:right="220" w:firstLine="464"/>
        <w:spacing w:after="0" w:line="268" w:lineRule="auto"/>
        <w:tabs>
          <w:tab w:leader="none" w:pos="6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by it in good faith and believed by it to be authorized or within the discretion, rights or powers conferred upon it by this Indenture;</w:t>
      </w:r>
    </w:p>
    <w:p>
      <w:pPr>
        <w:spacing w:after="0" w:line="131" w:lineRule="exact"/>
        <w:rPr>
          <w:rFonts w:ascii="Arial" w:cs="Arial" w:eastAsia="Arial" w:hAnsi="Arial"/>
          <w:sz w:val="18"/>
          <w:szCs w:val="18"/>
          <w:color w:val="auto"/>
        </w:rPr>
      </w:pPr>
    </w:p>
    <w:p>
      <w:pPr>
        <w:ind w:left="-80" w:firstLine="464"/>
        <w:spacing w:after="0" w:line="256" w:lineRule="auto"/>
        <w:tabs>
          <w:tab w:leader="none" w:pos="596"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security, or other paper or document unless requested in writing so to do by the Holders of not less than a majority in aggregate principal amount of the Securities of all series affected then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60"/>
          </w:cols>
          <w:pgMar w:left="320" w:top="280" w:right="319" w:bottom="1440" w:gutter="0" w:footer="0" w:header="0"/>
        </w:sectPr>
      </w:pPr>
    </w:p>
    <w:bookmarkStart w:id="107" w:name="page108"/>
    <w:bookmarkEnd w:id="107"/>
    <w:p>
      <w:pPr>
        <w:jc w:val="both"/>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Outstanding; </w:t>
      </w:r>
      <w:r>
        <w:rPr>
          <w:rFonts w:ascii="Arial" w:cs="Arial" w:eastAsia="Arial" w:hAnsi="Arial"/>
          <w:sz w:val="16"/>
          <w:szCs w:val="16"/>
          <w:i w:val="1"/>
          <w:iCs w:val="1"/>
          <w:color w:val="auto"/>
        </w:rPr>
        <w:t>provided</w:t>
      </w:r>
      <w:r>
        <w:rPr>
          <w:rFonts w:ascii="Arial" w:cs="Arial" w:eastAsia="Arial" w:hAnsi="Arial"/>
          <w:sz w:val="16"/>
          <w:szCs w:val="16"/>
          <w:color w:val="auto"/>
        </w:rPr>
        <w:t>,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Issuer or, if paid by the Trustee or any predecessor trustee, shall be repaid by the Issuer upon demand; and</w:t>
      </w:r>
    </w:p>
    <w:p>
      <w:pPr>
        <w:spacing w:after="0" w:line="113" w:lineRule="exact"/>
        <w:rPr>
          <w:sz w:val="20"/>
          <w:szCs w:val="20"/>
          <w:color w:val="auto"/>
        </w:rPr>
      </w:pPr>
    </w:p>
    <w:p>
      <w:pPr>
        <w:ind w:firstLine="464"/>
        <w:spacing w:after="0" w:line="259"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4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Section 6.03</w:t>
      </w:r>
      <w:r>
        <w:rPr>
          <w:rFonts w:ascii="Arial" w:cs="Arial" w:eastAsia="Arial" w:hAnsi="Arial"/>
          <w:sz w:val="16"/>
          <w:szCs w:val="16"/>
          <w:i w:val="1"/>
          <w:iCs w:val="1"/>
          <w:color w:val="auto"/>
        </w:rPr>
        <w:t>. Trustee Not Responsible for Recitals, Disposition of Securities or Application of Proceeds Thereof.</w:t>
      </w:r>
      <w:r>
        <w:rPr>
          <w:rFonts w:ascii="Arial" w:cs="Arial" w:eastAsia="Arial" w:hAnsi="Arial"/>
          <w:sz w:val="16"/>
          <w:szCs w:val="16"/>
          <w:color w:val="auto"/>
        </w:rPr>
        <w:t xml:space="preserve">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spacing w:after="0" w:line="11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Section 6.04</w:t>
      </w:r>
      <w:r>
        <w:rPr>
          <w:rFonts w:ascii="Arial" w:cs="Arial" w:eastAsia="Arial" w:hAnsi="Arial"/>
          <w:sz w:val="16"/>
          <w:szCs w:val="16"/>
          <w:i w:val="1"/>
          <w:iCs w:val="1"/>
          <w:color w:val="auto"/>
        </w:rPr>
        <w:t>. Trustee and Agents May Hold Securities; Collections, Etc.</w:t>
      </w:r>
      <w:r>
        <w:rPr>
          <w:rFonts w:ascii="Arial" w:cs="Arial" w:eastAsia="Arial" w:hAnsi="Arial"/>
          <w:sz w:val="16"/>
          <w:szCs w:val="16"/>
          <w:color w:val="auto"/>
        </w:rPr>
        <w:t xml:space="preserve">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Section 6.05</w:t>
      </w:r>
      <w:r>
        <w:rPr>
          <w:rFonts w:ascii="Arial" w:cs="Arial" w:eastAsia="Arial" w:hAnsi="Arial"/>
          <w:sz w:val="18"/>
          <w:szCs w:val="18"/>
          <w:i w:val="1"/>
          <w:iCs w:val="1"/>
          <w:color w:val="auto"/>
        </w:rPr>
        <w:t>. Moneys Held by Trustee.</w:t>
      </w:r>
      <w:r>
        <w:rPr>
          <w:rFonts w:ascii="Arial" w:cs="Arial" w:eastAsia="Arial" w:hAnsi="Arial"/>
          <w:sz w:val="18"/>
          <w:szCs w:val="18"/>
          <w:color w:val="auto"/>
        </w:rPr>
        <w:t xml:space="preserve"> Subject to the provisions of Section 10.04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43"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Section 6.06</w:t>
      </w:r>
      <w:r>
        <w:rPr>
          <w:rFonts w:ascii="Arial" w:cs="Arial" w:eastAsia="Arial" w:hAnsi="Arial"/>
          <w:sz w:val="15"/>
          <w:szCs w:val="15"/>
          <w:i w:val="1"/>
          <w:iCs w:val="1"/>
          <w:color w:val="auto"/>
        </w:rPr>
        <w:t>. Compensation and Indemnification of Trustee and Its Prior Claim.</w:t>
      </w:r>
      <w:r>
        <w:rPr>
          <w:rFonts w:ascii="Arial" w:cs="Arial" w:eastAsia="Arial" w:hAnsi="Arial"/>
          <w:sz w:val="15"/>
          <w:szCs w:val="15"/>
          <w:color w:val="auto"/>
        </w:rPr>
        <w:t xml:space="preserve"> The Issuer covenants and agrees to pay to the Trustee from time to time, and the Trustee shall be entitled to, reasonable compensation (which shall not be limited by any provision of law in regard to the compensation of a trustee of an express trust) and the Issuer covenants and agrees to pay or reimburse the Trustee and each predecessor trustee upon its request for all reasonable expenses,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108" w:name="page109"/>
    <w:bookmarkEnd w:id="10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The Issuer also covenants to indemnify the Trustee and each predecessor trustee for, and to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 in the premises.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spacing w:after="0" w:line="12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Section 6.07</w:t>
      </w:r>
      <w:r>
        <w:rPr>
          <w:rFonts w:ascii="Arial" w:cs="Arial" w:eastAsia="Arial" w:hAnsi="Arial"/>
          <w:sz w:val="18"/>
          <w:szCs w:val="18"/>
          <w:i w:val="1"/>
          <w:iCs w:val="1"/>
          <w:color w:val="auto"/>
        </w:rPr>
        <w:t>. Right of Trustee to Rely on Officers’ Certificate, Etc.</w:t>
      </w:r>
      <w:r>
        <w:rPr>
          <w:rFonts w:ascii="Arial" w:cs="Arial" w:eastAsia="Arial" w:hAnsi="Arial"/>
          <w:sz w:val="18"/>
          <w:szCs w:val="18"/>
          <w:color w:val="auto"/>
        </w:rPr>
        <w:t xml:space="preserve"> 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44"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Section 6.08</w:t>
      </w:r>
      <w:r>
        <w:rPr>
          <w:rFonts w:ascii="Arial" w:cs="Arial" w:eastAsia="Arial" w:hAnsi="Arial"/>
          <w:sz w:val="18"/>
          <w:szCs w:val="18"/>
          <w:i w:val="1"/>
          <w:iCs w:val="1"/>
          <w:color w:val="auto"/>
        </w:rPr>
        <w:t>. Indentures Creating Potential Conflicting Interests for the Trustee.</w:t>
      </w:r>
      <w:r>
        <w:rPr>
          <w:rFonts w:ascii="Arial" w:cs="Arial" w:eastAsia="Arial" w:hAnsi="Arial"/>
          <w:sz w:val="18"/>
          <w:szCs w:val="18"/>
          <w:color w:val="auto"/>
        </w:rPr>
        <w:t xml:space="preserve"> No indentures are hereby specifically described for the purposes of Section 310(b)(1) of the Trust Indenture Act of 1939.</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6.09</w:t>
      </w:r>
      <w:r>
        <w:rPr>
          <w:rFonts w:ascii="Arial" w:cs="Arial" w:eastAsia="Arial" w:hAnsi="Arial"/>
          <w:sz w:val="16"/>
          <w:szCs w:val="16"/>
          <w:i w:val="1"/>
          <w:iCs w:val="1"/>
          <w:color w:val="auto"/>
        </w:rPr>
        <w:t>. Persons Eligible for Appointment as Trustee.</w:t>
      </w:r>
      <w:r>
        <w:rPr>
          <w:rFonts w:ascii="Arial" w:cs="Arial" w:eastAsia="Arial" w:hAnsi="Arial"/>
          <w:sz w:val="16"/>
          <w:szCs w:val="16"/>
          <w:color w:val="auto"/>
        </w:rPr>
        <w:t xml:space="preserve"> The Trustee for each series of Securities hereunder shall at all times be a corporation having a combined capital and surplus of at least $50,000,000 and shall be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109" w:name="page110"/>
    <w:bookmarkEnd w:id="109"/>
    <w:p>
      <w:pPr>
        <w:ind w:right="20"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6.10</w:t>
      </w:r>
      <w:r>
        <w:rPr>
          <w:rFonts w:ascii="Arial" w:cs="Arial" w:eastAsia="Arial" w:hAnsi="Arial"/>
          <w:sz w:val="16"/>
          <w:szCs w:val="16"/>
          <w:i w:val="1"/>
          <w:iCs w:val="1"/>
          <w:color w:val="auto"/>
        </w:rPr>
        <w:t>. Resignation and Removal; Appointment of Successor Trustee.</w:t>
      </w:r>
      <w:r>
        <w:rPr>
          <w:rFonts w:ascii="Arial" w:cs="Arial" w:eastAsia="Arial" w:hAnsi="Arial"/>
          <w:sz w:val="16"/>
          <w:szCs w:val="16"/>
          <w:color w:val="auto"/>
        </w:rPr>
        <w:t xml:space="preserve"> (a) The Trustee, or any trustee or trustees hereafter appointed, may at any time resign with respect to one or more or all series of Securities by giving written notice of resignation to the Issuer and by mailing notice of such resignation to the Holders of then Outstanding Securities of each series affected at their addresses as they shall appear on the Security register.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mailing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subject to the provisions of Section 5.12,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23" w:lineRule="exact"/>
        <w:rPr>
          <w:sz w:val="20"/>
          <w:szCs w:val="20"/>
          <w:color w:val="auto"/>
        </w:rPr>
      </w:pPr>
    </w:p>
    <w:p>
      <w:pPr>
        <w:ind w:left="720" w:hanging="256"/>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90" w:lineRule="exact"/>
        <w:rPr>
          <w:rFonts w:ascii="Arial" w:cs="Arial" w:eastAsia="Arial" w:hAnsi="Arial"/>
          <w:sz w:val="18"/>
          <w:szCs w:val="18"/>
          <w:color w:val="auto"/>
        </w:rPr>
      </w:pPr>
    </w:p>
    <w:p>
      <w:pPr>
        <w:jc w:val="both"/>
        <w:ind w:left="460" w:right="180" w:firstLine="443"/>
        <w:spacing w:after="0" w:line="259" w:lineRule="auto"/>
        <w:tabs>
          <w:tab w:leader="none" w:pos="1108"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59" w:lineRule="exact"/>
        <w:rPr>
          <w:rFonts w:ascii="Arial" w:cs="Arial" w:eastAsia="Arial" w:hAnsi="Arial"/>
          <w:sz w:val="18"/>
          <w:szCs w:val="18"/>
          <w:color w:val="auto"/>
        </w:rPr>
      </w:pPr>
    </w:p>
    <w:p>
      <w:pPr>
        <w:ind w:left="460" w:right="440" w:firstLine="443"/>
        <w:spacing w:after="0" w:line="268" w:lineRule="auto"/>
        <w:tabs>
          <w:tab w:leader="none" w:pos="1157"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50" w:lineRule="exact"/>
        <w:rPr>
          <w:rFonts w:ascii="Arial" w:cs="Arial" w:eastAsia="Arial" w:hAnsi="Arial"/>
          <w:sz w:val="18"/>
          <w:szCs w:val="18"/>
          <w:color w:val="auto"/>
        </w:rPr>
      </w:pPr>
    </w:p>
    <w:p>
      <w:pPr>
        <w:jc w:val="both"/>
        <w:ind w:left="460" w:firstLine="443"/>
        <w:spacing w:after="0" w:line="259" w:lineRule="auto"/>
        <w:tabs>
          <w:tab w:leader="none" w:pos="1205"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Trustee shall become incapable of acting with respect to any series of Securities, or shall be adjudged a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110" w:name="page111"/>
    <w:bookmarkEnd w:id="110"/>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then, in any such case, the Issuer may remove the Trustee with respect to the applicable series of Securities and appoint a successor trustee for such series by written instrument, in duplicate, executed by order of the Board of Directors of the Issuer, one copy of which instrument shall be delivered to the Trustee so removed and one copy to the successor trustee, or, subject to Section 315(e) of the Trust Indenture Act of 1939, any Securityholder who has been a bona fide Holder of a Security or Securities of such series for at least six months may on behalf of himself or herself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120" w:lineRule="exact"/>
        <w:rPr>
          <w:sz w:val="20"/>
          <w:szCs w:val="20"/>
          <w:color w:val="auto"/>
        </w:rPr>
      </w:pPr>
    </w:p>
    <w:p>
      <w:pPr>
        <w:ind w:right="40" w:firstLine="464"/>
        <w:spacing w:after="0" w:line="306" w:lineRule="auto"/>
        <w:tabs>
          <w:tab w:leader="none" w:pos="695"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Holders of a majority in aggregate principal amount of the Securities of each series at the time Outstanding may at any time remove the Trustee with respect to Securities of such series and appoint a successor trustee with respect to the Securities of such series by delivering to the Trustee so removed, to the successor trustee so appointed and to the Issuer the evidence provided for in Section 7.01 of the action in that regard taken by the Securityholders.</w:t>
      </w:r>
    </w:p>
    <w:p>
      <w:pPr>
        <w:spacing w:after="0" w:line="106" w:lineRule="exact"/>
        <w:rPr>
          <w:rFonts w:ascii="Arial" w:cs="Arial" w:eastAsia="Arial" w:hAnsi="Arial"/>
          <w:sz w:val="16"/>
          <w:szCs w:val="16"/>
          <w:color w:val="auto"/>
        </w:rPr>
      </w:pPr>
    </w:p>
    <w:p>
      <w:pPr>
        <w:ind w:right="160" w:firstLine="464"/>
        <w:spacing w:after="0" w:line="332" w:lineRule="auto"/>
        <w:tabs>
          <w:tab w:leader="none" w:pos="705"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resignation or removal of the Trustee with respect to any series and any appointment of a successor trustee with respect to such series pursuant to any of the provisions of this Section 6.10 shall become effective upon acceptance of appointment by the successor trustee as provided in Section 6.11.</w:t>
      </w:r>
    </w:p>
    <w:p>
      <w:pPr>
        <w:spacing w:after="0" w:line="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Section 6.11</w:t>
      </w:r>
      <w:r>
        <w:rPr>
          <w:rFonts w:ascii="Arial" w:cs="Arial" w:eastAsia="Arial" w:hAnsi="Arial"/>
          <w:sz w:val="16"/>
          <w:szCs w:val="16"/>
          <w:i w:val="1"/>
          <w:iCs w:val="1"/>
          <w:color w:val="auto"/>
        </w:rPr>
        <w:t>. Acceptance of Appointment by Successor Trustee.</w:t>
      </w:r>
      <w:r>
        <w:rPr>
          <w:rFonts w:ascii="Arial" w:cs="Arial" w:eastAsia="Arial" w:hAnsi="Arial"/>
          <w:sz w:val="16"/>
          <w:szCs w:val="16"/>
          <w:color w:val="auto"/>
        </w:rPr>
        <w:t xml:space="preserve"> Any successor trustee appointed as provided in Section 6.10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10.04,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6.06.</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111" w:name="page112"/>
    <w:bookmarkEnd w:id="111"/>
    <w:p>
      <w:pPr>
        <w:ind w:right="2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 successor trustee with respect to any series of Securities shall accept appointment as provided in this Section 6.11 unless at the time of such acceptance such successor trustee shall be qualified under the provisions of Section 310(b) of the Trust Indenture Act of 1939 and eligible under the provisions of Section 310(a) of the Trust Indenture Act of 1939.</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acceptance of appointment by any successor trustee as provided in this Section 6.11, the Issuer shall mail notice thereof to the Holders of Securities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of each series affected, by mailing such notice to such Holders at their addresses as they shall appear on the Security register. If the acceptance of appointment 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substantially contemporaneous with the resignation, then the notice called for by the preceding sentence may be combined with the notice called for by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6.10. If the Issuer fails to mail such notice within ten days after acceptance of appointment by the successor trustee, the successor trustee shall cause such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notice to be given at the expense of the Issuer.</w:t>
      </w:r>
    </w:p>
    <w:p>
      <w:pPr>
        <w:spacing w:after="0" w:line="165"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Section 6.12</w:t>
      </w:r>
      <w:r>
        <w:rPr>
          <w:rFonts w:ascii="Arial" w:cs="Arial" w:eastAsia="Arial" w:hAnsi="Arial"/>
          <w:sz w:val="15"/>
          <w:szCs w:val="15"/>
          <w:i w:val="1"/>
          <w:iCs w:val="1"/>
          <w:color w:val="auto"/>
        </w:rPr>
        <w:t>. Merger, Conversion, Consolidation or Succession to Business of Trustee.</w:t>
      </w:r>
      <w:r>
        <w:rPr>
          <w:rFonts w:ascii="Arial" w:cs="Arial" w:eastAsia="Arial" w:hAnsi="Arial"/>
          <w:sz w:val="15"/>
          <w:szCs w:val="15"/>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w:t>
      </w:r>
      <w:r>
        <w:rPr>
          <w:rFonts w:ascii="Arial" w:cs="Arial" w:eastAsia="Arial" w:hAnsi="Arial"/>
          <w:sz w:val="15"/>
          <w:szCs w:val="15"/>
          <w:i w:val="1"/>
          <w:iCs w:val="1"/>
          <w:color w:val="auto"/>
        </w:rPr>
        <w:t>provided</w:t>
      </w:r>
      <w:r>
        <w:rPr>
          <w:rFonts w:ascii="Arial" w:cs="Arial" w:eastAsia="Arial" w:hAnsi="Arial"/>
          <w:sz w:val="15"/>
          <w:szCs w:val="15"/>
          <w:color w:val="auto"/>
        </w:rPr>
        <w:t>, that such corporation shall be qualified under the provisions of Section 310(b) of the Trust Indenture Act of 1939 and eligible under the provisions of Section 310(a) of the Trust Indenture Act of 1939, without the execution or filing of any paper or any further act on the part of any of the parties hereto, anything herein to the contrary notwithstanding.</w:t>
      </w:r>
    </w:p>
    <w:p>
      <w:pPr>
        <w:spacing w:after="0" w:line="10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112" w:name="page113"/>
    <w:bookmarkEnd w:id="112"/>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w:t>
      </w:r>
      <w:r>
        <w:rPr>
          <w:rFonts w:ascii="Arial" w:cs="Arial" w:eastAsia="Arial" w:hAnsi="Arial"/>
          <w:sz w:val="16"/>
          <w:szCs w:val="16"/>
          <w:i w:val="1"/>
          <w:iCs w:val="1"/>
          <w:color w:val="auto"/>
        </w:rPr>
        <w:t>provided</w:t>
      </w:r>
      <w:r>
        <w:rPr>
          <w:rFonts w:ascii="Arial" w:cs="Arial" w:eastAsia="Arial" w:hAnsi="Arial"/>
          <w:sz w:val="16"/>
          <w:szCs w:val="16"/>
          <w:color w:val="auto"/>
        </w:rPr>
        <w:t>,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7</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ONCERNING THE</w:t>
      </w:r>
      <w:r>
        <w:rPr>
          <w:rFonts w:ascii="Arial" w:cs="Arial" w:eastAsia="Arial" w:hAnsi="Arial"/>
          <w:sz w:val="18"/>
          <w:szCs w:val="18"/>
          <w:color w:val="auto"/>
        </w:rPr>
        <w:t xml:space="preserve"> S</w:t>
      </w:r>
      <w:r>
        <w:rPr>
          <w:rFonts w:ascii="Arial" w:cs="Arial" w:eastAsia="Arial" w:hAnsi="Arial"/>
          <w:sz w:val="14"/>
          <w:szCs w:val="14"/>
          <w:color w:val="auto"/>
        </w:rPr>
        <w:t>ECURITYHOLDERS</w:t>
      </w:r>
    </w:p>
    <w:p>
      <w:pPr>
        <w:spacing w:after="0" w:line="165" w:lineRule="exact"/>
        <w:rPr>
          <w:sz w:val="20"/>
          <w:szCs w:val="20"/>
          <w:color w:val="auto"/>
        </w:rPr>
      </w:pPr>
    </w:p>
    <w:p>
      <w:pPr>
        <w:jc w:val="both"/>
        <w:ind w:right="20" w:firstLine="456"/>
        <w:spacing w:after="0" w:line="291" w:lineRule="auto"/>
        <w:rPr>
          <w:sz w:val="20"/>
          <w:szCs w:val="20"/>
          <w:color w:val="auto"/>
        </w:rPr>
      </w:pPr>
      <w:r>
        <w:rPr>
          <w:rFonts w:ascii="Arial" w:cs="Arial" w:eastAsia="Arial" w:hAnsi="Arial"/>
          <w:sz w:val="16"/>
          <w:szCs w:val="16"/>
          <w:color w:val="auto"/>
        </w:rPr>
        <w:t>Section 7.01</w:t>
      </w:r>
      <w:r>
        <w:rPr>
          <w:rFonts w:ascii="Arial" w:cs="Arial" w:eastAsia="Arial" w:hAnsi="Arial"/>
          <w:sz w:val="16"/>
          <w:szCs w:val="16"/>
          <w:i w:val="1"/>
          <w:iCs w:val="1"/>
          <w:color w:val="auto"/>
        </w:rPr>
        <w:t>. Evidence of Action Taken by Securityholders.</w:t>
      </w:r>
      <w:r>
        <w:rPr>
          <w:rFonts w:ascii="Arial" w:cs="Arial" w:eastAsia="Arial" w:hAnsi="Arial"/>
          <w:sz w:val="16"/>
          <w:szCs w:val="16"/>
          <w:color w:val="auto"/>
        </w:rPr>
        <w:t xml:space="preserve">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6.01 and 6.02) conclusive in favor of the Trustee and the Issuer, if made in the manner provided in this Article.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7.02</w:t>
      </w:r>
      <w:r>
        <w:rPr>
          <w:rFonts w:ascii="Arial" w:cs="Arial" w:eastAsia="Arial" w:hAnsi="Arial"/>
          <w:sz w:val="16"/>
          <w:szCs w:val="16"/>
          <w:i w:val="1"/>
          <w:iCs w:val="1"/>
          <w:color w:val="auto"/>
        </w:rPr>
        <w:t>. Proof of Execution of Instruments and of Holding of Securities.</w:t>
      </w:r>
      <w:r>
        <w:rPr>
          <w:rFonts w:ascii="Arial" w:cs="Arial" w:eastAsia="Arial" w:hAnsi="Arial"/>
          <w:sz w:val="16"/>
          <w:szCs w:val="16"/>
          <w:color w:val="auto"/>
        </w:rPr>
        <w:t xml:space="preserve"> Subject to Sections 6.01 and 6.02, the execution of any instrument by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Securityholder or his or her agent or proxy may be proved in the following manner:</w:t>
      </w:r>
    </w:p>
    <w:p>
      <w:pPr>
        <w:spacing w:after="0" w:line="165" w:lineRule="exact"/>
        <w:rPr>
          <w:sz w:val="20"/>
          <w:szCs w:val="20"/>
          <w:color w:val="auto"/>
        </w:rPr>
      </w:pPr>
    </w:p>
    <w:p>
      <w:pPr>
        <w:jc w:val="both"/>
        <w:ind w:firstLine="464"/>
        <w:spacing w:after="0" w:line="323" w:lineRule="auto"/>
        <w:tabs>
          <w:tab w:leader="none" w:pos="695"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fact and date of the execution by any Holder of any instrument may be proved by the certificate of any notary public or other officer of any jurisdiction authorized to take acknowledgments of deeds or administer oaths that the person executing such instruments acknowledged to him or her the execution thereof, or by an affidavit of a witness to such execution sworn to before any such notary or other such officer. Where such execution is by or on behalf of any legal entity other than an individual, such certificate or affidavit shall also constitute sufficient proof of the authority of the person executing the same.</w:t>
      </w:r>
    </w:p>
    <w:p>
      <w:pPr>
        <w:spacing w:after="0" w:line="97" w:lineRule="exact"/>
        <w:rPr>
          <w:rFonts w:ascii="Arial" w:cs="Arial" w:eastAsia="Arial" w:hAnsi="Arial"/>
          <w:sz w:val="15"/>
          <w:szCs w:val="15"/>
          <w:color w:val="auto"/>
        </w:rPr>
      </w:pPr>
    </w:p>
    <w:p>
      <w:pPr>
        <w:ind w:left="720" w:hanging="256"/>
        <w:spacing w:after="0"/>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ownership of such Securities shall be proved by the Security register or by a certificate of the Security registrar.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280" w:right="299" w:bottom="1440" w:gutter="0" w:footer="0" w:header="0"/>
        </w:sectPr>
      </w:pPr>
    </w:p>
    <w:bookmarkStart w:id="113" w:name="page114"/>
    <w:bookmarkEnd w:id="113"/>
    <w:p>
      <w:pPr>
        <w:ind w:right="40" w:firstLine="464"/>
        <w:spacing w:after="0" w:line="287" w:lineRule="auto"/>
        <w:tabs>
          <w:tab w:leader="none" w:pos="695" w:val="left"/>
        </w:tabs>
        <w:numPr>
          <w:ilvl w:val="0"/>
          <w:numId w:val="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If the Issuer shall solicit from the Holders of Securities any request, demand, authorization, direction, notice, consent, waiver or other action, the Issuer may, at its option, by Board Resolution, fix in advance a record date for the determination of Holders of Securities entitled to give such request, demand, authorization, direction, notice, consent, waiver or other action, but the Issuer shall have no obligation to do so. Notice of such record date shall be given to the Trustee as soon as practicable after the time that the record date has been fixed. If such a record date is fixed, such request, demand, authorization, direction, notice, consent, waiver or other action may be given before or after such record date, but only the Holders of Securities of record at the close of business on such record date shall be deemed to be Holders of Securities for the purposes of determining whether Holders of Securities of the requisite proportion of Outstanding Securities have authorized or agreed or consented to such request, demand, authorization, direction, notice, consent, waiver or other action, and for that purpose the Outstanding Securities shall be computed as of such record date; </w:t>
      </w:r>
      <w:r>
        <w:rPr>
          <w:rFonts w:ascii="Arial" w:cs="Arial" w:eastAsia="Arial" w:hAnsi="Arial"/>
          <w:sz w:val="16"/>
          <w:szCs w:val="16"/>
          <w:i w:val="1"/>
          <w:iCs w:val="1"/>
          <w:color w:val="auto"/>
        </w:rPr>
        <w:t>provided</w:t>
      </w:r>
      <w:r>
        <w:rPr>
          <w:rFonts w:ascii="Arial" w:cs="Arial" w:eastAsia="Arial" w:hAnsi="Arial"/>
          <w:sz w:val="16"/>
          <w:szCs w:val="16"/>
          <w:color w:val="auto"/>
        </w:rPr>
        <w:t>, that no such authorization, agreement or consent by the Holders of Securities on such record date shall be deemed effective unless it shall become effective pursuant to the provisions of this Indenture not later than six months after the record date.</w:t>
      </w:r>
    </w:p>
    <w:p>
      <w:pPr>
        <w:spacing w:after="0" w:line="12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Section 7.03</w:t>
      </w:r>
      <w:r>
        <w:rPr>
          <w:rFonts w:ascii="Arial" w:cs="Arial" w:eastAsia="Arial" w:hAnsi="Arial"/>
          <w:sz w:val="16"/>
          <w:szCs w:val="16"/>
          <w:i w:val="1"/>
          <w:iCs w:val="1"/>
          <w:color w:val="auto"/>
        </w:rPr>
        <w:t>. Holders to Be Treated as Owners.</w:t>
      </w:r>
      <w:r>
        <w:rPr>
          <w:rFonts w:ascii="Arial" w:cs="Arial" w:eastAsia="Arial" w:hAnsi="Arial"/>
          <w:sz w:val="16"/>
          <w:szCs w:val="16"/>
          <w:color w:val="auto"/>
        </w:rPr>
        <w:t xml:space="preserve"> The Issuer, the Trustee and any agent of the Issuer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 her order, shall be valid, and, to the extent of the sum or sums so paid, effectual to satisfy and discharge the liability for moneys payable.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7.04</w:t>
      </w:r>
      <w:r>
        <w:rPr>
          <w:rFonts w:ascii="Arial" w:cs="Arial" w:eastAsia="Arial" w:hAnsi="Arial"/>
          <w:sz w:val="16"/>
          <w:szCs w:val="16"/>
          <w:i w:val="1"/>
          <w:iCs w:val="1"/>
          <w:color w:val="auto"/>
        </w:rPr>
        <w:t>. Securities Owned by Issuer Deemed Not Outstanding.</w:t>
      </w:r>
      <w:r>
        <w:rPr>
          <w:rFonts w:ascii="Arial" w:cs="Arial" w:eastAsia="Arial" w:hAnsi="Arial"/>
          <w:sz w:val="16"/>
          <w:szCs w:val="16"/>
          <w:color w:val="auto"/>
        </w:rPr>
        <w:t xml:space="preserve"> In determining whether the Holders of the requisite aggregate principal amount of Outstanding Securities of any or all series have concurred in any direction, consent or waiver under this Indenture, Securities which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280" w:right="299" w:bottom="1440" w:gutter="0" w:footer="0" w:header="0"/>
        </w:sectPr>
      </w:pPr>
    </w:p>
    <w:bookmarkStart w:id="114" w:name="page115"/>
    <w:bookmarkEnd w:id="114"/>
    <w:p>
      <w:pPr>
        <w:ind w:right="1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Sections 6.01 and 6.02, the Trustee shall be entitled to accept such Officers’ Certificate as conclusive evidence of the facts therein set forth and of the fact that all Securities not listed therein are Outstanding for the purpose of any such determination.</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Section 7.05</w:t>
      </w:r>
      <w:r>
        <w:rPr>
          <w:rFonts w:ascii="Arial" w:cs="Arial" w:eastAsia="Arial" w:hAnsi="Arial"/>
          <w:sz w:val="16"/>
          <w:szCs w:val="16"/>
          <w:i w:val="1"/>
          <w:iCs w:val="1"/>
          <w:color w:val="auto"/>
        </w:rPr>
        <w:t>. Right of Revocation of Action Taken.</w:t>
      </w:r>
      <w:r>
        <w:rPr>
          <w:rFonts w:ascii="Arial" w:cs="Arial" w:eastAsia="Arial" w:hAnsi="Arial"/>
          <w:sz w:val="16"/>
          <w:szCs w:val="16"/>
          <w:color w:val="auto"/>
        </w:rPr>
        <w:t xml:space="preserve"> At any time prior to (but not after) the evidencing to the Trustee, as provided in Section 7.01,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UPPLEMENTAL</w:t>
      </w:r>
      <w:r>
        <w:rPr>
          <w:rFonts w:ascii="Arial" w:cs="Arial" w:eastAsia="Arial" w:hAnsi="Arial"/>
          <w:sz w:val="18"/>
          <w:szCs w:val="18"/>
          <w:color w:val="auto"/>
        </w:rPr>
        <w:t xml:space="preserve"> I</w:t>
      </w:r>
      <w:r>
        <w:rPr>
          <w:rFonts w:ascii="Arial" w:cs="Arial" w:eastAsia="Arial" w:hAnsi="Arial"/>
          <w:sz w:val="14"/>
          <w:szCs w:val="14"/>
          <w:color w:val="auto"/>
        </w:rPr>
        <w:t>NDENTURES</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Section 8.01</w:t>
      </w:r>
      <w:r>
        <w:rPr>
          <w:rFonts w:ascii="Arial" w:cs="Arial" w:eastAsia="Arial" w:hAnsi="Arial"/>
          <w:sz w:val="18"/>
          <w:szCs w:val="18"/>
          <w:i w:val="1"/>
          <w:iCs w:val="1"/>
          <w:color w:val="auto"/>
        </w:rPr>
        <w:t>. Supplemental Indentures Without Consent of Securityholders.</w:t>
      </w:r>
      <w:r>
        <w:rPr>
          <w:rFonts w:ascii="Arial" w:cs="Arial" w:eastAsia="Arial" w:hAnsi="Arial"/>
          <w:sz w:val="18"/>
          <w:szCs w:val="18"/>
          <w:color w:val="auto"/>
        </w:rPr>
        <w:t xml:space="preserve"> The Issuer, when authorized by a resolution of its Board of Directors, and the Trustee may from time to time and at any time enter into an indenture or indentures supplemental hereto in form satisfactory to the Trustee for one or more of the following purposes:</w:t>
      </w:r>
    </w:p>
    <w:p>
      <w:pPr>
        <w:spacing w:after="0" w:line="140" w:lineRule="exact"/>
        <w:rPr>
          <w:sz w:val="20"/>
          <w:szCs w:val="20"/>
          <w:color w:val="auto"/>
        </w:rPr>
      </w:pPr>
    </w:p>
    <w:p>
      <w:pPr>
        <w:ind w:left="5620" w:right="1240" w:hanging="5156"/>
        <w:spacing w:after="0" w:line="440" w:lineRule="auto"/>
        <w:tabs>
          <w:tab w:leader="none" w:pos="69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convey, transfer, assign, mortgage or pledge to the Trustee as security for the Securities of one or more series any property or assets; 45</w:t>
      </w:r>
    </w:p>
    <w:p>
      <w:pPr>
        <w:sectPr>
          <w:pgSz w:w="11900" w:h="16838" w:orient="portrait"/>
          <w:cols w:equalWidth="0" w:num="1">
            <w:col w:w="11400"/>
          </w:cols>
          <w:pgMar w:left="240" w:top="280" w:right="259" w:bottom="1440" w:gutter="0" w:footer="0" w:header="0"/>
        </w:sectPr>
      </w:pPr>
    </w:p>
    <w:bookmarkStart w:id="115" w:name="page116"/>
    <w:bookmarkEnd w:id="115"/>
    <w:p>
      <w:pPr>
        <w:ind w:left="-20" w:right="520" w:firstLine="464"/>
        <w:spacing w:after="0" w:line="268" w:lineRule="auto"/>
        <w:tabs>
          <w:tab w:leader="none" w:pos="685"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evidence the succession of another corporation to the Issuer, or successive successions, and the assumption by the successor corporation of the covenants, agreements and obligations of the Issuer pursuant to Article 9;</w:t>
      </w:r>
    </w:p>
    <w:p>
      <w:pPr>
        <w:spacing w:after="0" w:line="131" w:lineRule="exact"/>
        <w:rPr>
          <w:rFonts w:ascii="Arial" w:cs="Arial" w:eastAsia="Arial" w:hAnsi="Arial"/>
          <w:sz w:val="18"/>
          <w:szCs w:val="18"/>
          <w:color w:val="auto"/>
        </w:rPr>
      </w:pPr>
    </w:p>
    <w:p>
      <w:pPr>
        <w:ind w:left="-20" w:firstLine="464"/>
        <w:spacing w:after="0" w:line="290" w:lineRule="auto"/>
        <w:tabs>
          <w:tab w:leader="none" w:pos="675"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to add to the covenants of the Issuer such further covenants, restrictions, conditions or provisions as its Board of Directors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rFonts w:ascii="Arial" w:cs="Arial" w:eastAsia="Arial" w:hAnsi="Arial"/>
          <w:sz w:val="16"/>
          <w:szCs w:val="16"/>
          <w:i w:val="1"/>
          <w:iCs w:val="1"/>
          <w:color w:val="auto"/>
        </w:rPr>
        <w:t>provided</w:t>
      </w:r>
      <w:r>
        <w:rPr>
          <w:rFonts w:ascii="Arial" w:cs="Arial" w:eastAsia="Arial" w:hAnsi="Arial"/>
          <w:sz w:val="16"/>
          <w:szCs w:val="16"/>
          <w:color w:val="auto"/>
        </w:rPr>
        <w:t>,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118" w:lineRule="exact"/>
        <w:rPr>
          <w:rFonts w:ascii="Arial" w:cs="Arial" w:eastAsia="Arial" w:hAnsi="Arial"/>
          <w:sz w:val="16"/>
          <w:szCs w:val="16"/>
          <w:color w:val="auto"/>
        </w:rPr>
      </w:pPr>
    </w:p>
    <w:p>
      <w:pPr>
        <w:ind w:left="-20" w:right="560" w:firstLine="464"/>
        <w:spacing w:after="0" w:line="306" w:lineRule="auto"/>
        <w:tabs>
          <w:tab w:leader="none" w:pos="685" w:val="left"/>
        </w:tabs>
        <w:numPr>
          <w:ilvl w:val="0"/>
          <w:numId w:val="81"/>
        </w:numPr>
        <w:rPr>
          <w:rFonts w:ascii="Arial" w:cs="Arial" w:eastAsia="Arial" w:hAnsi="Arial"/>
          <w:sz w:val="16"/>
          <w:szCs w:val="16"/>
          <w:color w:val="auto"/>
        </w:rPr>
      </w:pPr>
      <w:r>
        <w:rPr>
          <w:rFonts w:ascii="Arial" w:cs="Arial" w:eastAsia="Arial" w:hAnsi="Arial"/>
          <w:sz w:val="16"/>
          <w:szCs w:val="16"/>
          <w:color w:val="auto"/>
        </w:rPr>
        <w:t>to cure any ambiguity or to correct or supplement any provision contained herein or in any supplemental indenture which may be defective or inconsistent with any other provision contained herein or in any supplemental indenture, or to conform this Indenture or any supplemental indenture to the description of the Securities set forth in any prospectus or prospectus supplement related to such series of Securities;</w:t>
      </w:r>
    </w:p>
    <w:p>
      <w:pPr>
        <w:spacing w:after="0" w:line="106" w:lineRule="exact"/>
        <w:rPr>
          <w:rFonts w:ascii="Arial" w:cs="Arial" w:eastAsia="Arial" w:hAnsi="Arial"/>
          <w:sz w:val="16"/>
          <w:szCs w:val="16"/>
          <w:color w:val="auto"/>
        </w:rPr>
      </w:pPr>
    </w:p>
    <w:p>
      <w:pPr>
        <w:ind w:left="680" w:hanging="236"/>
        <w:spacing w:after="0"/>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2.03;</w:t>
      </w:r>
    </w:p>
    <w:p>
      <w:pPr>
        <w:spacing w:after="0" w:line="171" w:lineRule="exact"/>
        <w:rPr>
          <w:rFonts w:ascii="Arial" w:cs="Arial" w:eastAsia="Arial" w:hAnsi="Arial"/>
          <w:sz w:val="18"/>
          <w:szCs w:val="18"/>
          <w:color w:val="auto"/>
        </w:rPr>
      </w:pPr>
    </w:p>
    <w:p>
      <w:pPr>
        <w:jc w:val="both"/>
        <w:ind w:left="-20" w:right="220" w:firstLine="464"/>
        <w:spacing w:after="0" w:line="259" w:lineRule="auto"/>
        <w:tabs>
          <w:tab w:leader="none" w:pos="65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w:t>
      </w:r>
    </w:p>
    <w:p>
      <w:pPr>
        <w:spacing w:after="0" w:line="140" w:lineRule="exact"/>
        <w:rPr>
          <w:rFonts w:ascii="Arial" w:cs="Arial" w:eastAsia="Arial" w:hAnsi="Arial"/>
          <w:sz w:val="18"/>
          <w:szCs w:val="18"/>
          <w:color w:val="auto"/>
        </w:rPr>
      </w:pPr>
    </w:p>
    <w:p>
      <w:pPr>
        <w:ind w:left="-20" w:right="60" w:firstLine="464"/>
        <w:spacing w:after="0" w:line="268" w:lineRule="auto"/>
        <w:tabs>
          <w:tab w:leader="none" w:pos="685"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to make any other change that is necessary or desirable; </w:t>
      </w:r>
      <w:r>
        <w:rPr>
          <w:rFonts w:ascii="Arial" w:cs="Arial" w:eastAsia="Arial" w:hAnsi="Arial"/>
          <w:sz w:val="18"/>
          <w:szCs w:val="18"/>
          <w:i w:val="1"/>
          <w:iCs w:val="1"/>
          <w:color w:val="auto"/>
        </w:rPr>
        <w:t>provided</w:t>
      </w:r>
      <w:r>
        <w:rPr>
          <w:rFonts w:ascii="Arial" w:cs="Arial" w:eastAsia="Arial" w:hAnsi="Arial"/>
          <w:sz w:val="18"/>
          <w:szCs w:val="18"/>
          <w:color w:val="auto"/>
        </w:rPr>
        <w:t>, that no such action shall adversely affect the interests of the Holders of the Securities in any material respect; and</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make any change to the Securities of any series so long as no Securities of such series are Outstanding.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60" w:top="280" w:right="239" w:bottom="1440" w:gutter="0" w:footer="0" w:header="0"/>
        </w:sectPr>
      </w:pPr>
    </w:p>
    <w:bookmarkStart w:id="116" w:name="page117"/>
    <w:bookmarkEnd w:id="116"/>
    <w:p>
      <w:pPr>
        <w:ind w:right="1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Trustee is hereby authorized to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Any supplemental indenture authorized by the provisions of this Section may be executed without the consent of the Holders of any of the Securities at the time Outstanding, notwithstanding any of the provisions of Section 8.02.</w:t>
      </w:r>
    </w:p>
    <w:p>
      <w:pPr>
        <w:spacing w:after="0" w:line="132"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Section 8.02</w:t>
      </w:r>
      <w:r>
        <w:rPr>
          <w:rFonts w:ascii="Arial" w:cs="Arial" w:eastAsia="Arial" w:hAnsi="Arial"/>
          <w:sz w:val="15"/>
          <w:szCs w:val="15"/>
          <w:i w:val="1"/>
          <w:iCs w:val="1"/>
          <w:color w:val="auto"/>
        </w:rPr>
        <w:t>. Supplemental Indentures With Consent of Securityholders.</w:t>
      </w:r>
      <w:r>
        <w:rPr>
          <w:rFonts w:ascii="Arial" w:cs="Arial" w:eastAsia="Arial" w:hAnsi="Arial"/>
          <w:sz w:val="15"/>
          <w:szCs w:val="15"/>
          <w:color w:val="auto"/>
        </w:rPr>
        <w:t xml:space="preserve"> With the consent (evidenced as provided in Article 7) of the Holders of not less than a majority in aggregate principal amount of the Securities at the time Outstanding of all series affected by such supplemental indenture (voting as one class), the Issuer, when authorized by a resolution of its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such supplemental indenture shall, without the consent of the Holder of each Security so affected, (a) extend the final maturity of any Security, or reduce the principal amount thereof, or reduce the rate or extend the time of payment of interest thereon, or reduce any amount payable on redemption thereof, or make the principal thereof (including any amount in respect of original issue discount) or interest thereon payable in any currency other than that provided in the Securities or in accordance with the terms thereof, or reduce the amount of the principal of an Original Issue Discount Security that would be due and payable upon an acceleration of the maturity thereof pursuant to Section 5.01 or the amount thereof provable in bankruptcy pursuant to Section 5.02, or alter the provisions of Section 11.11 or 11.12, or impair or affect the right of any Securityholder to institute suit for the payment or conversion thereof or, in the case of convertible or exchangeable Securities, materially and adversely affect the right to convert or exchange the Securities in accordance with their terms or, if the Securities provide therefor, any right of repayment at the option of the Securityholder, or modify any of the provisions of this paragraph except to increase any required percentage or to provide that certain other provisions cannot be modified or waived without the consent of the Holder of each Security so affected; </w:t>
      </w:r>
      <w:r>
        <w:rPr>
          <w:rFonts w:ascii="Arial" w:cs="Arial" w:eastAsia="Arial" w:hAnsi="Arial"/>
          <w:sz w:val="15"/>
          <w:szCs w:val="15"/>
          <w:i w:val="1"/>
          <w:iCs w:val="1"/>
          <w:color w:val="auto"/>
        </w:rPr>
        <w:t>provided</w:t>
      </w:r>
      <w:r>
        <w:rPr>
          <w:rFonts w:ascii="Arial" w:cs="Arial" w:eastAsia="Arial" w:hAnsi="Arial"/>
          <w:sz w:val="15"/>
          <w:szCs w:val="15"/>
          <w:color w:val="auto"/>
        </w:rPr>
        <w:t>, that no consent of any Holder of any Security shall be necessary under this Section 8.02 to permit the Trustee and the Issuer to execute supplemental indentures pursuant to Section 8.01(e) of this Indenture, or (b) reduce the aforesaid percentage of Securities of any series, the consent of the Holders of which is required for any such supplemental indenture.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280" w:right="299" w:bottom="1440" w:gutter="0" w:footer="0" w:header="0"/>
        </w:sectPr>
      </w:pPr>
    </w:p>
    <w:bookmarkStart w:id="117" w:name="page118"/>
    <w:bookmarkEnd w:id="117"/>
    <w:p>
      <w:pPr>
        <w:ind w:right="1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Upon the request of the Issuer, accompanied by a copy of a resolution of the Board of Directors certified by the secretary or an assistant secretary of the Issuer authorizing the execution of any such supplemental indenture, and upon the filing with the Trustee of evidence of the consent of Securityholders as aforesaid and other documents, if any, required by Section 7.01,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Promptly after the execution by the Issuer and the Trustee of any supplemental indenture pursuant to the provisions of this Section, the Trustee shall give a notice thereof to the Holders of then Outstanding Securities of each series affected thereby, by mailing a notice thereof by first-class mail to such Holders at their addresses as they shall appear on the Security register, and in each case such notice shall set forth in general terms the substance of such supplemental indenture. Any failure of the Issuer to mail such notice, or any defect therein, shall not, however, in any way impair or affect the validity of any such supplemental indenture.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8.03</w:t>
      </w:r>
      <w:r>
        <w:rPr>
          <w:rFonts w:ascii="Arial" w:cs="Arial" w:eastAsia="Arial" w:hAnsi="Arial"/>
          <w:sz w:val="16"/>
          <w:szCs w:val="16"/>
          <w:i w:val="1"/>
          <w:iCs w:val="1"/>
          <w:color w:val="auto"/>
        </w:rPr>
        <w:t>. Effect of Supplemental Indenture.</w:t>
      </w:r>
      <w:r>
        <w:rPr>
          <w:rFonts w:ascii="Arial" w:cs="Arial" w:eastAsia="Arial" w:hAnsi="Arial"/>
          <w:sz w:val="16"/>
          <w:szCs w:val="16"/>
          <w:color w:val="auto"/>
        </w:rPr>
        <w:t xml:space="preserv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Section 8.04</w:t>
      </w:r>
      <w:r>
        <w:rPr>
          <w:rFonts w:ascii="Arial" w:cs="Arial" w:eastAsia="Arial" w:hAnsi="Arial"/>
          <w:sz w:val="18"/>
          <w:szCs w:val="18"/>
          <w:i w:val="1"/>
          <w:iCs w:val="1"/>
          <w:color w:val="auto"/>
        </w:rPr>
        <w:t>. Documents to Be Given to Trustee.</w:t>
      </w:r>
      <w:r>
        <w:rPr>
          <w:rFonts w:ascii="Arial" w:cs="Arial" w:eastAsia="Arial" w:hAnsi="Arial"/>
          <w:sz w:val="18"/>
          <w:szCs w:val="18"/>
          <w:color w:val="auto"/>
        </w:rPr>
        <w:t xml:space="preserve"> The Trustee, subject to the provisions of Sections 6.01 and 6.02, may receive an Officers’ Certificate and an Opinion of Counsel as conclusive evidence that any supplemental indenture executed pursuant to this Article 8 complies with the applicable provisions of this Indenture.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80" w:right="279" w:bottom="1440" w:gutter="0" w:footer="0" w:header="0"/>
        </w:sectPr>
      </w:pPr>
    </w:p>
    <w:bookmarkStart w:id="118" w:name="page119"/>
    <w:bookmarkEnd w:id="118"/>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8.05</w:t>
      </w:r>
      <w:r>
        <w:rPr>
          <w:rFonts w:ascii="Arial" w:cs="Arial" w:eastAsia="Arial" w:hAnsi="Arial"/>
          <w:sz w:val="16"/>
          <w:szCs w:val="16"/>
          <w:i w:val="1"/>
          <w:iCs w:val="1"/>
          <w:color w:val="auto"/>
        </w:rPr>
        <w:t>. Notation on Securities in Respect of Supplemental Indentures.</w:t>
      </w:r>
      <w:r>
        <w:rPr>
          <w:rFonts w:ascii="Arial" w:cs="Arial" w:eastAsia="Arial" w:hAnsi="Arial"/>
          <w:sz w:val="16"/>
          <w:szCs w:val="16"/>
          <w:color w:val="auto"/>
        </w:rPr>
        <w:t xml:space="preserve">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ONSOLIDATION</w:t>
      </w:r>
      <w:r>
        <w:rPr>
          <w:rFonts w:ascii="Arial" w:cs="Arial" w:eastAsia="Arial" w:hAnsi="Arial"/>
          <w:sz w:val="18"/>
          <w:szCs w:val="18"/>
          <w:color w:val="auto"/>
        </w:rPr>
        <w:t>, M</w:t>
      </w:r>
      <w:r>
        <w:rPr>
          <w:rFonts w:ascii="Arial" w:cs="Arial" w:eastAsia="Arial" w:hAnsi="Arial"/>
          <w:sz w:val="14"/>
          <w:szCs w:val="14"/>
          <w:color w:val="auto"/>
        </w:rPr>
        <w:t>ERGER</w:t>
      </w:r>
      <w:r>
        <w:rPr>
          <w:rFonts w:ascii="Arial" w:cs="Arial" w:eastAsia="Arial" w:hAnsi="Arial"/>
          <w:sz w:val="18"/>
          <w:szCs w:val="18"/>
          <w:color w:val="auto"/>
        </w:rPr>
        <w:t>, S</w:t>
      </w:r>
      <w:r>
        <w:rPr>
          <w:rFonts w:ascii="Arial" w:cs="Arial" w:eastAsia="Arial" w:hAnsi="Arial"/>
          <w:sz w:val="14"/>
          <w:szCs w:val="14"/>
          <w:color w:val="auto"/>
        </w:rPr>
        <w:t>ALE OR</w:t>
      </w:r>
      <w:r>
        <w:rPr>
          <w:rFonts w:ascii="Arial" w:cs="Arial" w:eastAsia="Arial" w:hAnsi="Arial"/>
          <w:sz w:val="18"/>
          <w:szCs w:val="18"/>
          <w:color w:val="auto"/>
        </w:rPr>
        <w:t xml:space="preserve"> C</w:t>
      </w:r>
      <w:r>
        <w:rPr>
          <w:rFonts w:ascii="Arial" w:cs="Arial" w:eastAsia="Arial" w:hAnsi="Arial"/>
          <w:sz w:val="14"/>
          <w:szCs w:val="14"/>
          <w:color w:val="auto"/>
        </w:rPr>
        <w:t>ONVEYANCE</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9.01</w:t>
      </w:r>
      <w:r>
        <w:rPr>
          <w:rFonts w:ascii="Arial" w:cs="Arial" w:eastAsia="Arial" w:hAnsi="Arial"/>
          <w:sz w:val="16"/>
          <w:szCs w:val="16"/>
          <w:i w:val="1"/>
          <w:iCs w:val="1"/>
          <w:color w:val="auto"/>
        </w:rPr>
        <w:t>. Issuer May Consolidate, Etc., on Certain Terms.</w:t>
      </w:r>
      <w:r>
        <w:rPr>
          <w:rFonts w:ascii="Arial" w:cs="Arial" w:eastAsia="Arial" w:hAnsi="Arial"/>
          <w:sz w:val="16"/>
          <w:szCs w:val="16"/>
          <w:color w:val="auto"/>
        </w:rPr>
        <w:t xml:space="preserve"> The Issuer covenants that it will not merge or consolidate with any other corporation or sell or convey (including by way of lease) all or substantially all of its assets to any Person, unless (a) either the Issuer shall be the continuing corporation, or the successor corporation or the Person which acquires by sale or conveyance substantially all the assets of the Issuer (if other than the Issuer) shall expressly assume the due and punctual payment of the principal of and interest on all the Securities, according to their tenor, and the due and punctual performance and observance of all of the covenants and conditions of this Indenture to be performed or observed by the Issuer, including, without limitation, the conversion rights, if any, provided for in accordance with the terms of the Securities, by supplemental indenture satisfactory to the Trustee, executed and delivered to the Trustee by such corporation or entity, and shall be a corporation or entity organized under the laws of the United States of America or any State thereof or a corporation or entity not organized under such laws which shall agree, in form satisfactory to the Trustee, (i) to subject itself to the jurisdiction of the United States district court for the Southern District of New York, and (ii) to indemnify and hold harmless the holders of all Securities against (A) any tax, assessment or governmental charge imposed on such holders by a jurisdiction other than the United States or any political subdivision or taxing authority thereof or therein with respect to, and withheld on the making of, any payment of principal of or interest on such Securities and which would not have been so imposed and withheld had such consolidation, merger, sale or conveyance not been made and (B) any tax, assessment or governmental charge imposed on or relating to, and any costs or expenses involved in, such consolidation, merger, sale 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119" w:name="page120"/>
    <w:bookmarkEnd w:id="119"/>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conveyance, Section 9.02 the Issuer or such successor corporation or entity, as the case may be, shall not, immediately after such merger or consolidation, or such sale or conveyance, be in default in the performance of any such covenant or condition, and Section 9.03 the Issuer delivers to the trustee an officers’ certificate and opinion of counsel, in each case stating that such consolidation, merger, or transfer and such supplemental indenture complies with this Section 9.01 and that all conditions precedent provided for in the Indenture and the Securities relating to such transaction have been complied with.</w:t>
      </w:r>
    </w:p>
    <w:p>
      <w:pPr>
        <w:spacing w:after="0" w:line="11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restrictions in this Section 9.01 shall not, however, apply to (i) the merger or consolidation of the Issuer with one of its affiliates, if the Board of Directors determines in good faith that the purpose of such transaction is principally to change the Issuer’s State of incorporation or convert the Issuer’s form of organization to another form, or (ii) the merger of the Issuer with or into a single direct or indirect wholly owned Subsidiary pursuant to Section 251(g) (or any successor provision) of the General Corporation Law of the State of Delaware.</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Section 9.0</w:t>
      </w:r>
      <w:r>
        <w:rPr>
          <w:rFonts w:ascii="Arial" w:cs="Arial" w:eastAsia="Arial" w:hAnsi="Arial"/>
          <w:sz w:val="16"/>
          <w:szCs w:val="16"/>
          <w:i w:val="1"/>
          <w:iCs w:val="1"/>
          <w:color w:val="auto"/>
        </w:rPr>
        <w:t>2. Successor Issuer Substituted.</w:t>
      </w:r>
      <w:r>
        <w:rPr>
          <w:rFonts w:ascii="Arial" w:cs="Arial" w:eastAsia="Arial" w:hAnsi="Arial"/>
          <w:sz w:val="16"/>
          <w:szCs w:val="16"/>
          <w:color w:val="auto"/>
        </w:rPr>
        <w:t xml:space="preserve"> In case of any such consolidation, merger, sale or conveyance, and following such an assumption by the successor corporation, such successor corporation shall succeed to and be substituted for the Issuer with the same effect as if it had been named herein. Such successor corporation may cause to be signed, and may issue either in its own name or in the name of the Issuer prior to such succession any or all of the Securities issuable hereunder which theretofore shall not have been signed by the Issuer and delivered to the Trustee; and, upon the order of such successor corporation instead of the Issuer and subject to all the terms, conditions and limitations in this Indenture prescribed, the Trustee shall authenticate and shall deliver any Securities which previously shall have been signed and delivered by the officers of the Issuer to the Trustee for authentication, and any Securities which such successor corporation 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case of any such consolidation, merger, sale, lease or conveyance, such changes in phraseology and form (but not in substance) may be made in the Securities thereafter to be issued as may be appropriate.</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event of any such sale or conveyance (other than a conveyance by way of lease), the Issuer or any successor corporation which shall theretofore have become such in the manner described in this Article shall be discharged from all obligations and covenants under this Indenture and the Securities and may be liquidated and dissolved.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120" w:name="page121"/>
    <w:bookmarkEnd w:id="120"/>
    <w:p>
      <w:pPr>
        <w:jc w:val="both"/>
        <w:ind w:right="3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9.03. </w:t>
      </w:r>
      <w:r>
        <w:rPr>
          <w:rFonts w:ascii="Arial" w:cs="Arial" w:eastAsia="Arial" w:hAnsi="Arial"/>
          <w:sz w:val="16"/>
          <w:szCs w:val="16"/>
          <w:i w:val="1"/>
          <w:iCs w:val="1"/>
          <w:color w:val="auto"/>
        </w:rPr>
        <w:t>Opinion of Counsel and Officers’ Certificate to Trustee</w:t>
      </w:r>
      <w:r>
        <w:rPr>
          <w:rFonts w:ascii="Arial" w:cs="Arial" w:eastAsia="Arial" w:hAnsi="Arial"/>
          <w:sz w:val="16"/>
          <w:szCs w:val="16"/>
          <w:color w:val="auto"/>
        </w:rPr>
        <w:t>. The Trustee, subject to the provisions of Sections 6.01 and 6.02, may receive an Opinion of Counsel and an Officers’ Certificate, prepared in accordance with Section 11.05, as conclusive evidence that any such consolidation, merger, sale, lease or conveyance, and any such assumption, and any such liquidation or dissolution, complies with the applicable provisions of this Indenture.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10</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ATISFACTION AND</w:t>
      </w:r>
      <w:r>
        <w:rPr>
          <w:rFonts w:ascii="Arial" w:cs="Arial" w:eastAsia="Arial" w:hAnsi="Arial"/>
          <w:sz w:val="18"/>
          <w:szCs w:val="18"/>
          <w:color w:val="auto"/>
        </w:rPr>
        <w:t xml:space="preserve"> D</w:t>
      </w:r>
      <w:r>
        <w:rPr>
          <w:rFonts w:ascii="Arial" w:cs="Arial" w:eastAsia="Arial" w:hAnsi="Arial"/>
          <w:sz w:val="14"/>
          <w:szCs w:val="14"/>
          <w:color w:val="auto"/>
        </w:rPr>
        <w:t>ISCHARGE OF</w:t>
      </w:r>
      <w:r>
        <w:rPr>
          <w:rFonts w:ascii="Arial" w:cs="Arial" w:eastAsia="Arial" w:hAnsi="Arial"/>
          <w:sz w:val="18"/>
          <w:szCs w:val="18"/>
          <w:color w:val="auto"/>
        </w:rPr>
        <w:t xml:space="preserve"> I</w:t>
      </w:r>
      <w:r>
        <w:rPr>
          <w:rFonts w:ascii="Arial" w:cs="Arial" w:eastAsia="Arial" w:hAnsi="Arial"/>
          <w:sz w:val="14"/>
          <w:szCs w:val="14"/>
          <w:color w:val="auto"/>
        </w:rPr>
        <w:t>NDENTURE</w:t>
      </w:r>
      <w:r>
        <w:rPr>
          <w:rFonts w:ascii="Arial" w:cs="Arial" w:eastAsia="Arial" w:hAnsi="Arial"/>
          <w:sz w:val="18"/>
          <w:szCs w:val="18"/>
          <w:color w:val="auto"/>
        </w:rPr>
        <w:t>; U</w:t>
      </w:r>
      <w:r>
        <w:rPr>
          <w:rFonts w:ascii="Arial" w:cs="Arial" w:eastAsia="Arial" w:hAnsi="Arial"/>
          <w:sz w:val="14"/>
          <w:szCs w:val="14"/>
          <w:color w:val="auto"/>
        </w:rPr>
        <w:t>NCLAIMED</w:t>
      </w:r>
      <w:r>
        <w:rPr>
          <w:rFonts w:ascii="Arial" w:cs="Arial" w:eastAsia="Arial" w:hAnsi="Arial"/>
          <w:sz w:val="18"/>
          <w:szCs w:val="18"/>
          <w:color w:val="auto"/>
        </w:rPr>
        <w:t xml:space="preserve"> M</w:t>
      </w:r>
      <w:r>
        <w:rPr>
          <w:rFonts w:ascii="Arial" w:cs="Arial" w:eastAsia="Arial" w:hAnsi="Arial"/>
          <w:sz w:val="14"/>
          <w:szCs w:val="14"/>
          <w:color w:val="auto"/>
        </w:rPr>
        <w:t>ONEYS</w:t>
      </w:r>
    </w:p>
    <w:p>
      <w:pPr>
        <w:spacing w:after="0" w:line="165"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 xml:space="preserve">Section 10.01. </w:t>
      </w:r>
      <w:r>
        <w:rPr>
          <w:rFonts w:ascii="Arial" w:cs="Arial" w:eastAsia="Arial" w:hAnsi="Arial"/>
          <w:sz w:val="15"/>
          <w:szCs w:val="15"/>
          <w:i w:val="1"/>
          <w:iCs w:val="1"/>
          <w:color w:val="auto"/>
        </w:rPr>
        <w:t>Satisfaction and Discharge of Indenture</w:t>
      </w:r>
      <w:r>
        <w:rPr>
          <w:rFonts w:ascii="Arial" w:cs="Arial" w:eastAsia="Arial" w:hAnsi="Arial"/>
          <w:sz w:val="15"/>
          <w:szCs w:val="15"/>
          <w:color w:val="auto"/>
        </w:rPr>
        <w:t>. (a) If at any time (i) the Issuer shall have paid or caused to be paid the principal of and interest on all the Securities of any series Outstanding hereunder (other than Securities of such series which have been destroyed, lost or stolen and which have been replaced or paid as provided in Section 2.09) as and when the same shall have become due and payable, or (ii) the Issuer shall have delivered to the Trustee for cancellation all Securities of any series theretofore authenticated (other than any Securities of such series which shall have been destroyed, lost or stolen and which shall have been replaced or paid as provided in Section 2.09) or (iii) in the case of any series of Securities the exact amount (including the currency of payment) of principal of and interest due on which on the dates referred to in clause (B) below can be determined at the time of making the deposit referred to in such clause, (A) all the Securities of such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(B) the Issuer shall have irrevocably deposited or caused to be deposited with the Trustee as trust funds the entire amount in cash (other than moneys repaid by the Trustee or any paying agent to the Issuer in accordance with Section 10.04) or, in the case of any series of Securities the payments on which may only be made in Dollars, direct obligations of the United States of America, backed by its full faith and credit (“</w:t>
      </w:r>
      <w:r>
        <w:rPr>
          <w:rFonts w:ascii="Arial" w:cs="Arial" w:eastAsia="Arial" w:hAnsi="Arial"/>
          <w:sz w:val="15"/>
          <w:szCs w:val="15"/>
          <w:b w:val="1"/>
          <w:bCs w:val="1"/>
          <w:color w:val="auto"/>
        </w:rPr>
        <w:t>U.S. Government Obligations</w:t>
      </w:r>
      <w:r>
        <w:rPr>
          <w:rFonts w:ascii="Arial" w:cs="Arial" w:eastAsia="Arial" w:hAnsi="Arial"/>
          <w:sz w:val="15"/>
          <w:szCs w:val="15"/>
          <w:color w:val="auto"/>
        </w:rPr>
        <w:t>”), maturing as to principal and interest in such amounts and at such times as will insure the availability of cash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w:t>
      </w:r>
    </w:p>
    <w:p>
      <w:pPr>
        <w:spacing w:after="0" w:line="3"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Section 2.09) not theretofore delivered to the Trustee for cancellation, including principal and interest due or to become due to such date of maturity, as the case may be, and if, in any such case, the Issuer shall also pay or cause to be paid all other sums payable hereunder by the Issuer, including amounts due the Trustee pursuant to Section 6.06, with respect to Securities of such series, then this Indenture shall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121" w:name="page122"/>
    <w:bookmarkEnd w:id="12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cease to be of further effect with respect to Securities of such series (except as to (1) rights of registration of transfer, conversion and exchange of Securities of such series and the Issuer’s right of optional redemption, (2) substitution of mutilated, defaced, destroyed, lost or stolen Securities, (3) rights of Holders of Securities to receive payments of principal thereof and interest thereon upon the original stated due dates therefor (but not upon acceleration) and remaining rights of the Holders to receive mandatory sinking fund payments, if any, (4) the rights (including the Trustee’s rights under Section 10.05) and immunities of the Trustee hereunder and the Trustee’s obligations under Sections 10.02 and 10.04, (5) the rights of the Holders of Securities of such series as beneficiaries hereof with respect to the property so deposited with the Trustee payable to all or any of them and (6) the obligations of the Issuer under Section 3.02), and the Trustee, on demand of the Issuer accompanied by an Officers’ Certificate and an Opinion of Counsel which complies with Section 11.05 and at the cost and expense of the Issuer, shall execute proper instruments acknowledging such satisfaction of and discharging this Indenture with respect to such series; </w:t>
      </w:r>
      <w:r>
        <w:rPr>
          <w:rFonts w:ascii="Arial" w:cs="Arial" w:eastAsia="Arial" w:hAnsi="Arial"/>
          <w:sz w:val="16"/>
          <w:szCs w:val="16"/>
          <w:i w:val="1"/>
          <w:iCs w:val="1"/>
          <w:color w:val="auto"/>
        </w:rPr>
        <w:t>provided</w:t>
      </w:r>
      <w:r>
        <w:rPr>
          <w:rFonts w:ascii="Arial" w:cs="Arial" w:eastAsia="Arial" w:hAnsi="Arial"/>
          <w:sz w:val="16"/>
          <w:szCs w:val="16"/>
          <w:color w:val="auto"/>
        </w:rPr>
        <w:t>, that the rights of Holders of the Securities to receive amounts in respect of principal of and interest on the Securities held by them shall not be delayed longer than required by then-applicable mandatory rules or policies of any securities exchange upon which the Securities are listed.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124" w:lineRule="exact"/>
        <w:rPr>
          <w:sz w:val="20"/>
          <w:szCs w:val="20"/>
          <w:color w:val="auto"/>
        </w:rPr>
      </w:pPr>
    </w:p>
    <w:p>
      <w:pPr>
        <w:ind w:right="20" w:firstLine="464"/>
        <w:spacing w:after="0" w:line="283" w:lineRule="auto"/>
        <w:tabs>
          <w:tab w:leader="none" w:pos="705"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following provisions shall apply to the Securities of each series unless specifically otherwise provided in a Board Resolution, Officers’ Certificate or indenture supplemental hereto provided pursuant to Section 2.03. In addition to discharge of the Indenture pursuant to the next preceding paragraph, in the case of any series of Securities the exact amounts (including the currency of payment) of principal of and interest subsequently due on which can be determined at the time of making the deposit referred to in clause (vi)(A)(1) below, the Issuer shall be deemed to have paid and discharged the entire Debt on all the Securities of such a series on the 121st day after the date of the deposit referred to in subparagraph (vi)(A)(1) below, and the provisions of this Indenture with respect to the Securities of such series shall no longer be in effect (except as to (i) rights of registration of transfer, conversion and exchange of Securities of such series,</w:t>
      </w:r>
    </w:p>
    <w:p>
      <w:pPr>
        <w:spacing w:after="0" w:line="1" w:lineRule="exact"/>
        <w:rPr>
          <w:rFonts w:ascii="Arial" w:cs="Arial" w:eastAsia="Arial" w:hAnsi="Arial"/>
          <w:sz w:val="16"/>
          <w:szCs w:val="16"/>
          <w:color w:val="auto"/>
        </w:rPr>
      </w:pPr>
    </w:p>
    <w:p>
      <w:pPr>
        <w:ind w:right="20" w:firstLine="8"/>
        <w:spacing w:after="0" w:line="295" w:lineRule="auto"/>
        <w:tabs>
          <w:tab w:leader="none" w:pos="258" w:val="left"/>
        </w:tabs>
        <w:numPr>
          <w:ilvl w:val="0"/>
          <w:numId w:val="83"/>
        </w:numPr>
        <w:rPr>
          <w:rFonts w:ascii="Arial" w:cs="Arial" w:eastAsia="Arial" w:hAnsi="Arial"/>
          <w:sz w:val="16"/>
          <w:szCs w:val="16"/>
          <w:color w:val="auto"/>
        </w:rPr>
      </w:pPr>
      <w:r>
        <w:rPr>
          <w:rFonts w:ascii="Arial" w:cs="Arial" w:eastAsia="Arial" w:hAnsi="Arial"/>
          <w:sz w:val="16"/>
          <w:szCs w:val="16"/>
          <w:color w:val="auto"/>
        </w:rPr>
        <w:t>substitution of apparently mutilated, defaced, destroyed, lost or stolen Securities, (iii) rights of Holders of Securities to receive payments of principal thereof and interest thereon, upon the original stated due dates therefor (but not upon acceleration) and remaining rights of the Holders to receive sinking fund payments, if any, (iv) the rights (including the Trustee’s rights under Section 10.05) and immunities of the Trustee hereunder and the Trustee’s obligations with respect to the Securities of such series under Sections 10.02 and 10.04, (v) the rights of the Holders of Securities of such series as beneficiaries hereof with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122" w:name="page123"/>
    <w:bookmarkEnd w:id="122"/>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 to the property so deposited with the Trustee payable to all or any of them and (vi) the obligations of the Issuer under Section 3.02) and the Trustee, at the expense of the Issuer, shall at the Issuer’s request, execute proper instruments acknowledging the same, if</w:t>
      </w:r>
    </w:p>
    <w:p>
      <w:pPr>
        <w:spacing w:after="0" w:line="51" w:lineRule="exact"/>
        <w:rPr>
          <w:sz w:val="20"/>
          <w:szCs w:val="20"/>
          <w:color w:val="auto"/>
        </w:rPr>
      </w:pPr>
    </w:p>
    <w:p>
      <w:pPr>
        <w:ind w:left="460" w:right="20" w:firstLine="443"/>
        <w:spacing w:after="0" w:line="290" w:lineRule="auto"/>
        <w:tabs>
          <w:tab w:leader="none" w:pos="1186" w:val="left"/>
        </w:tabs>
        <w:numPr>
          <w:ilvl w:val="0"/>
          <w:numId w:val="84"/>
        </w:numPr>
        <w:rPr>
          <w:rFonts w:ascii="Arial" w:cs="Arial" w:eastAsia="Arial" w:hAnsi="Arial"/>
          <w:sz w:val="16"/>
          <w:szCs w:val="16"/>
          <w:color w:val="auto"/>
        </w:rPr>
      </w:pPr>
      <w:r>
        <w:rPr>
          <w:rFonts w:ascii="Arial" w:cs="Arial" w:eastAsia="Arial" w:hAnsi="Arial"/>
          <w:sz w:val="16"/>
          <w:szCs w:val="16"/>
          <w:color w:val="auto"/>
        </w:rPr>
        <w:t>with reference to this provision the Issuer has irrevocably deposited or caused to be irrevocably deposited with the Trustee as trust funds in trust, specifically pledged as security for, and dedicated solely to, the benefit of the Holders of the Securities of such series (1) cash in an amount, or (2) in the case of any series of Securities the payments on which may only be made in Dollars, U.S. Government Obligations, maturing as to principal and interest at such times and in such amounts as will insure the availability of cash or (3) a combination thereof, sufficient, in the opinion of a nationally recognized firm of independent public accountants expressed in a written certification thereof delivered to the Trustee, to pay (x) the principal and interest on all Securities of such series on the date that such principal or interest is due and payable and (y) any mandatory sinking fund payments on the day on which such payments are due and payable in accordance with the terms of the Indenture and the Securities of such series;</w:t>
      </w:r>
    </w:p>
    <w:p>
      <w:pPr>
        <w:spacing w:after="0" w:line="37" w:lineRule="exact"/>
        <w:rPr>
          <w:rFonts w:ascii="Arial" w:cs="Arial" w:eastAsia="Arial" w:hAnsi="Arial"/>
          <w:sz w:val="16"/>
          <w:szCs w:val="16"/>
          <w:color w:val="auto"/>
        </w:rPr>
      </w:pPr>
    </w:p>
    <w:p>
      <w:pPr>
        <w:ind w:left="460" w:right="40" w:firstLine="443"/>
        <w:spacing w:after="0" w:line="268" w:lineRule="auto"/>
        <w:tabs>
          <w:tab w:leader="none" w:pos="1176"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any agreement or instrument to which the Issuer is a party or by which it is bound;</w:t>
      </w:r>
    </w:p>
    <w:p>
      <w:pPr>
        <w:spacing w:after="0" w:line="50" w:lineRule="exact"/>
        <w:rPr>
          <w:rFonts w:ascii="Arial" w:cs="Arial" w:eastAsia="Arial" w:hAnsi="Arial"/>
          <w:sz w:val="18"/>
          <w:szCs w:val="18"/>
          <w:color w:val="auto"/>
        </w:rPr>
      </w:pPr>
    </w:p>
    <w:p>
      <w:pPr>
        <w:ind w:left="460" w:firstLine="443"/>
        <w:spacing w:after="0" w:line="255" w:lineRule="auto"/>
        <w:tabs>
          <w:tab w:leader="none" w:pos="117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Issuer has delivered to the Trustee an Officers’ Certificate and an opinion of independent legal counsel satisfactory to the Trustee to the effect that the Issuer has received from, or there has been published by, the Internal Revenue Service a ruling to the effect that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61" w:lineRule="exact"/>
        <w:rPr>
          <w:rFonts w:ascii="Arial" w:cs="Arial" w:eastAsia="Arial" w:hAnsi="Arial"/>
          <w:sz w:val="18"/>
          <w:szCs w:val="18"/>
          <w:color w:val="auto"/>
        </w:rPr>
      </w:pPr>
    </w:p>
    <w:p>
      <w:pPr>
        <w:ind w:left="460" w:right="60" w:firstLine="443"/>
        <w:spacing w:after="0" w:line="259" w:lineRule="auto"/>
        <w:tabs>
          <w:tab w:leader="none" w:pos="118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Issuer has delivered to the Trustee an Officers’ Certificate and an Opinion of Counsel, each stating that all conditions precedent provided for relating to the defeasance contemplated by this provision have been complied with, and the Opinion of Counsel shall also state that such deposit does not violate applicable law.</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80" w:right="279" w:bottom="1440" w:gutter="0" w:footer="0" w:header="0"/>
        </w:sectPr>
      </w:pPr>
    </w:p>
    <w:bookmarkStart w:id="123" w:name="page124"/>
    <w:bookmarkEnd w:id="123"/>
    <w:p>
      <w:pPr>
        <w:ind w:right="1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10.02</w:t>
      </w:r>
      <w:r>
        <w:rPr>
          <w:rFonts w:ascii="Arial" w:cs="Arial" w:eastAsia="Arial" w:hAnsi="Arial"/>
          <w:sz w:val="18"/>
          <w:szCs w:val="18"/>
          <w:i w:val="1"/>
          <w:iCs w:val="1"/>
          <w:color w:val="auto"/>
        </w:rPr>
        <w:t>. Application by Trustee of Funds Deposited for Payment of Securities.</w:t>
      </w:r>
      <w:r>
        <w:rPr>
          <w:rFonts w:ascii="Arial" w:cs="Arial" w:eastAsia="Arial" w:hAnsi="Arial"/>
          <w:sz w:val="18"/>
          <w:szCs w:val="18"/>
          <w:color w:val="auto"/>
        </w:rPr>
        <w:t xml:space="preserve"> Subject to Section 10.04, all moneys deposited with the Trustee (or other trustee) pursuant to Section 10.01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Section 10.03</w:t>
      </w:r>
      <w:r>
        <w:rPr>
          <w:rFonts w:ascii="Arial" w:cs="Arial" w:eastAsia="Arial" w:hAnsi="Arial"/>
          <w:sz w:val="16"/>
          <w:szCs w:val="16"/>
          <w:i w:val="1"/>
          <w:iCs w:val="1"/>
          <w:color w:val="auto"/>
        </w:rPr>
        <w:t>. Repayment of Moneys Held by Paying Agent.</w:t>
      </w:r>
      <w:r>
        <w:rPr>
          <w:rFonts w:ascii="Arial" w:cs="Arial" w:eastAsia="Arial" w:hAnsi="Arial"/>
          <w:sz w:val="16"/>
          <w:szCs w:val="16"/>
          <w:color w:val="auto"/>
        </w:rPr>
        <w:t xml:space="preserve"> 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107"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Section 10.04</w:t>
      </w:r>
      <w:r>
        <w:rPr>
          <w:rFonts w:ascii="Arial" w:cs="Arial" w:eastAsia="Arial" w:hAnsi="Arial"/>
          <w:sz w:val="15"/>
          <w:szCs w:val="15"/>
          <w:i w:val="1"/>
          <w:iCs w:val="1"/>
          <w:color w:val="auto"/>
        </w:rPr>
        <w:t>. Return of Moneys Held by Trustee and Paying Agent Unclaimed for Two Years.</w:t>
      </w:r>
      <w:r>
        <w:rPr>
          <w:rFonts w:ascii="Arial" w:cs="Arial" w:eastAsia="Arial" w:hAnsi="Arial"/>
          <w:sz w:val="15"/>
          <w:szCs w:val="15"/>
          <w:color w:val="auto"/>
        </w:rPr>
        <w:t xml:space="preserve"> 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Issuer and unless otherwise required by mandatory provisions of applicable escheat or abandoned or unclaimed property law, be repaid to the Issuer by the Trustee for such series or such paying agent, and the Holder of the Securities of such series shall, unless otherwise required by mandatory provisions of applicable escheat or abandoned or unclaimed property laws, thereafter look only to the Issuer for any payment which such Holder may be entitled to collect, and all liability of the Trustee or any paying agent with respect to such moneys shall thereupon cease;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Trustee or such paying agent, before being required to make any such repayment with respect to moneys deposited with it for any payment in respect of Securities of any series, shall at the expense of the Issuer mail by first-class mail to Holders of such Securities at their addresses as they shall appear on the Security register notice that such moneys remain and that, after a date specified therein, which shall not be less than 30 days from the date of such mailing or publication, any unclaimed balance of such money then remaining will be repaid to the Issuer.</w:t>
      </w:r>
    </w:p>
    <w:p>
      <w:pPr>
        <w:spacing w:after="0" w:line="109"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Section 10.05</w:t>
      </w:r>
      <w:r>
        <w:rPr>
          <w:rFonts w:ascii="Arial" w:cs="Arial" w:eastAsia="Arial" w:hAnsi="Arial"/>
          <w:sz w:val="16"/>
          <w:szCs w:val="16"/>
          <w:i w:val="1"/>
          <w:iCs w:val="1"/>
          <w:color w:val="auto"/>
        </w:rPr>
        <w:t>. Indemnity for U.S. Government Obligations.</w:t>
      </w:r>
      <w:r>
        <w:rPr>
          <w:rFonts w:ascii="Arial" w:cs="Arial" w:eastAsia="Arial" w:hAnsi="Arial"/>
          <w:sz w:val="16"/>
          <w:szCs w:val="16"/>
          <w:color w:val="auto"/>
        </w:rPr>
        <w:t xml:space="preserve"> The Issuer shall pay and indemnify the Trustee against any tax, fee or other charge imposed on or assessed against the U.S. Government Obligations deposited pursuant to Section 10.01 or the principal or interest received in respect of such obligations.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124" w:name="page125"/>
    <w:bookmarkEnd w:id="124"/>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11</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r>
        <w:rPr>
          <w:rFonts w:ascii="Arial" w:cs="Arial" w:eastAsia="Arial" w:hAnsi="Arial"/>
          <w:sz w:val="18"/>
          <w:szCs w:val="18"/>
          <w:color w:val="auto"/>
        </w:rPr>
        <w:t xml:space="preserve"> P</w:t>
      </w:r>
      <w:r>
        <w:rPr>
          <w:rFonts w:ascii="Arial" w:cs="Arial" w:eastAsia="Arial" w:hAnsi="Arial"/>
          <w:sz w:val="14"/>
          <w:szCs w:val="14"/>
          <w:color w:val="auto"/>
        </w:rPr>
        <w:t>ROVISIONS</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11.01</w:t>
      </w:r>
      <w:r>
        <w:rPr>
          <w:rFonts w:ascii="Arial" w:cs="Arial" w:eastAsia="Arial" w:hAnsi="Arial"/>
          <w:sz w:val="18"/>
          <w:szCs w:val="18"/>
          <w:i w:val="1"/>
          <w:iCs w:val="1"/>
          <w:color w:val="auto"/>
        </w:rPr>
        <w:t>. Incorporators, Stockholders, Officers and Directors of Issuer Exempt from Individual Liability.</w:t>
      </w:r>
      <w:r>
        <w:rPr>
          <w:rFonts w:ascii="Arial" w:cs="Arial" w:eastAsia="Arial" w:hAnsi="Arial"/>
          <w:sz w:val="18"/>
          <w:szCs w:val="18"/>
          <w:color w:val="auto"/>
        </w:rPr>
        <w:t xml:space="preserve"> No recourse under or upon any obligation, covenant or agreement contained in this Indenture, or in any Security, or because of any indebtedness evidenced thereby, shall be had against any incorporator, as such, or against any past, present or future stockholder, officer or director, as such, of the Issuer or of any successor, either directly or through the Issuer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Section 11.02</w:t>
      </w:r>
      <w:r>
        <w:rPr>
          <w:rFonts w:ascii="Arial" w:cs="Arial" w:eastAsia="Arial" w:hAnsi="Arial"/>
          <w:sz w:val="16"/>
          <w:szCs w:val="16"/>
          <w:i w:val="1"/>
          <w:iCs w:val="1"/>
          <w:color w:val="auto"/>
        </w:rPr>
        <w:t>. Provisions of Indenture for the Sole Benefit of Parties and Holders of Securities.</w:t>
      </w:r>
      <w:r>
        <w:rPr>
          <w:rFonts w:ascii="Arial" w:cs="Arial" w:eastAsia="Arial" w:hAnsi="Arial"/>
          <w:sz w:val="16"/>
          <w:szCs w:val="16"/>
          <w:color w:val="auto"/>
        </w:rPr>
        <w:t xml:space="preserve">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Section 11.03</w:t>
      </w:r>
      <w:r>
        <w:rPr>
          <w:rFonts w:ascii="Arial" w:cs="Arial" w:eastAsia="Arial" w:hAnsi="Arial"/>
          <w:sz w:val="18"/>
          <w:szCs w:val="18"/>
          <w:i w:val="1"/>
          <w:iCs w:val="1"/>
          <w:color w:val="auto"/>
        </w:rPr>
        <w:t>. Successors and Assigns of Issuer Bound by Indenture.</w:t>
      </w:r>
      <w:r>
        <w:rPr>
          <w:rFonts w:ascii="Arial" w:cs="Arial" w:eastAsia="Arial" w:hAnsi="Arial"/>
          <w:sz w:val="18"/>
          <w:szCs w:val="18"/>
          <w:color w:val="auto"/>
        </w:rPr>
        <w:t xml:space="preserve"> All the covenants, stipulations, promises and agreements contained in this Indenture by or on behalf of the Issuer shall bind its successors and assigns, whether so expressed or not.</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Section 11.04</w:t>
      </w:r>
      <w:r>
        <w:rPr>
          <w:rFonts w:ascii="Arial" w:cs="Arial" w:eastAsia="Arial" w:hAnsi="Arial"/>
          <w:sz w:val="16"/>
          <w:szCs w:val="16"/>
          <w:i w:val="1"/>
          <w:iCs w:val="1"/>
          <w:color w:val="auto"/>
        </w:rPr>
        <w:t>. Notices and Demands on Issuer, Trustee and Holders of Securities.</w:t>
      </w:r>
      <w:r>
        <w:rPr>
          <w:rFonts w:ascii="Arial" w:cs="Arial" w:eastAsia="Arial" w:hAnsi="Arial"/>
          <w:sz w:val="16"/>
          <w:szCs w:val="16"/>
          <w:color w:val="auto"/>
        </w:rPr>
        <w:t xml:space="preserve"> Any notice or demand which by any provision of this Indenture is required or permitted to be given or served by the Trustee or by the Holders of Securities to or on the Issuer may be given or served by being deposited postage prepaid, first-class mail (except as otherwise specifically provided herein) addressed (until another address of the Issuer is filed by the Issuer with the Trustee) to Texas Instruments Incorporated, Post Office Box 655474, Dallas, Texas 75265-5474, Attn: Secretary. Any notice, direction, request or demand by the Issuer or any Holder of Securities to or upon the Trustee shall be deemed to have been sufficiently given or made, for all purposes, if given or made at U.S. Bank National Association, EP-MN-WS3C, 60 Livingston Avenue, St. Paul, Minnesota, 55107-1419, Attn: Corporate Trust Services.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280" w:right="299" w:bottom="1440" w:gutter="0" w:footer="0" w:header="0"/>
        </w:sectPr>
      </w:pPr>
    </w:p>
    <w:bookmarkStart w:id="125" w:name="page126"/>
    <w:bookmarkEnd w:id="125"/>
    <w:p>
      <w:pPr>
        <w:ind w:right="1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 this Indenture provides for notice to Holders of Securities, such notice shall be sufficiently given (unless otherwise herein expressly provided) if in writing and mailed, first-class postage prepaid, to each Holder entitled thereto, at his or her last address as it appears in the Security register. In any case where notice to such Holders is given by mail, neither the failure to mail such notice, nor any defect in any notice so mailed, to any particular Holder shall affect the sufficiency of such notice with respect to other Holders.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case, by reason of the suspension of or irregularities in regular mail service, it shall be impracticable to mail notice to the Issuer when such notice is required to be given pursuant to any provision of this Indenture, then any manner of giving such notice as shall be satisfactory to the Trustee shall be deemed to be a sufficient giving of such notice.</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case, by reason of the suspension of or irregularities in regular mail service, it shall be impracticable to mail notice of any event to Holders of Securities when said notice is required to be given pursuant to any provision of this Indenture or of the Securities, then any manner of giving such notice as shall be satisfactory to the Trustee shall be deemed to be a sufficient giving of such notice. Neither the failure to give notice, nor any defect in any notice so given, to any particular Holder of a Security shall affect the sufficiency of such notice with respect to other Holders of Securities given as provided above.</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11.05</w:t>
      </w:r>
      <w:r>
        <w:rPr>
          <w:rFonts w:ascii="Arial" w:cs="Arial" w:eastAsia="Arial" w:hAnsi="Arial"/>
          <w:sz w:val="18"/>
          <w:szCs w:val="18"/>
          <w:i w:val="1"/>
          <w:iCs w:val="1"/>
          <w:color w:val="auto"/>
        </w:rPr>
        <w:t>. Officers’ Certificates and Opinions of Counsel; Statements to Be Contained Therein.</w:t>
      </w:r>
      <w:r>
        <w:rPr>
          <w:rFonts w:ascii="Arial" w:cs="Arial" w:eastAsia="Arial" w:hAnsi="Arial"/>
          <w:sz w:val="18"/>
          <w:szCs w:val="18"/>
          <w:color w:val="auto"/>
        </w:rPr>
        <w:t xml:space="preserve">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80" w:right="259" w:bottom="1440" w:gutter="0" w:footer="0" w:header="0"/>
        </w:sectPr>
      </w:pPr>
    </w:p>
    <w:bookmarkStart w:id="126" w:name="page127"/>
    <w:bookmarkEnd w:id="126"/>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 that, in the opinion of such person, he or she has made such examination or investigation as is necessary to enable him or her to express an informed opinion as to whether or not such covenant or condition has been complied with and (d) a statement as to whether or not, in the opinion of such person, such condition or covenant has been complied with.</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or her certificate, statement or opinion may be based as aforesaid are erroneous, or in the exercise of reasonable care should know that the same are erroneous.</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Any certificate or opinion of any independent firm of public accountants filed with and directed to the Trustee shall contain a statement that such firm is independent.</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Section 11.06</w:t>
      </w:r>
      <w:r>
        <w:rPr>
          <w:rFonts w:ascii="Arial" w:cs="Arial" w:eastAsia="Arial" w:hAnsi="Arial"/>
          <w:sz w:val="18"/>
          <w:szCs w:val="18"/>
          <w:i w:val="1"/>
          <w:iCs w:val="1"/>
          <w:color w:val="auto"/>
        </w:rPr>
        <w:t>. Payments Due on Saturdays, Sundays and Holidays.</w:t>
      </w:r>
      <w:r>
        <w:rPr>
          <w:rFonts w:ascii="Arial" w:cs="Arial" w:eastAsia="Arial" w:hAnsi="Arial"/>
          <w:sz w:val="18"/>
          <w:szCs w:val="18"/>
          <w:color w:val="auto"/>
        </w:rPr>
        <w:t xml:space="preserve"> If the date of maturity of interest on or principal of the Securities of any series or the date fixed for redemption or repayment of any such Security, or the last day on which a Holder has the right to convert any Security, shall not be a Business Day, then payment of interest or principal, or any conversion, need not be made on such date, but may be made on the next succeeding Business Day with the same force and effect as if made on the date of maturity or the date fixed for redemption or on such last day for conversion, and no interest shall accrue for the period after such date.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127" w:name="page128"/>
    <w:bookmarkEnd w:id="127"/>
    <w:p>
      <w:pPr>
        <w:ind w:right="2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11.07</w:t>
      </w:r>
      <w:r>
        <w:rPr>
          <w:rFonts w:ascii="Arial" w:cs="Arial" w:eastAsia="Arial" w:hAnsi="Arial"/>
          <w:sz w:val="18"/>
          <w:szCs w:val="18"/>
          <w:i w:val="1"/>
          <w:iCs w:val="1"/>
          <w:color w:val="auto"/>
        </w:rPr>
        <w:t>. Conflict of Any Provision of Indenture With Trust Indenture Act of 1939.</w:t>
      </w:r>
      <w:r>
        <w:rPr>
          <w:rFonts w:ascii="Arial" w:cs="Arial" w:eastAsia="Arial" w:hAnsi="Arial"/>
          <w:sz w:val="18"/>
          <w:szCs w:val="18"/>
          <w:color w:val="auto"/>
        </w:rPr>
        <w:t xml:space="preserve"> If and to the extent that any provision of this Indenture limits, qualifies or conflicts with another provision included in this Indenture by operation of Sections 310 to 317, inclusive, of the Trust Indenture Act of 1939, such incorporated provision shall control.</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Section 11.08</w:t>
      </w:r>
      <w:r>
        <w:rPr>
          <w:rFonts w:ascii="Arial" w:cs="Arial" w:eastAsia="Arial" w:hAnsi="Arial"/>
          <w:sz w:val="16"/>
          <w:szCs w:val="16"/>
          <w:i w:val="1"/>
          <w:iCs w:val="1"/>
          <w:color w:val="auto"/>
        </w:rPr>
        <w:t>. New York Law to Govern.</w:t>
      </w:r>
      <w:r>
        <w:rPr>
          <w:rFonts w:ascii="Arial" w:cs="Arial" w:eastAsia="Arial" w:hAnsi="Arial"/>
          <w:sz w:val="16"/>
          <w:szCs w:val="16"/>
          <w:color w:val="auto"/>
        </w:rPr>
        <w:t xml:space="preserve"> This Indenture and each Security shall be deemed to be a contract under the laws of the State of New York, and for all purposes shall be construed in accordance with the laws of such State, except as may otherwise be required by mandatory provisions of law.</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11.09</w:t>
      </w:r>
      <w:r>
        <w:rPr>
          <w:rFonts w:ascii="Arial" w:cs="Arial" w:eastAsia="Arial" w:hAnsi="Arial"/>
          <w:sz w:val="18"/>
          <w:szCs w:val="18"/>
          <w:i w:val="1"/>
          <w:iCs w:val="1"/>
          <w:color w:val="auto"/>
        </w:rPr>
        <w:t>. Counterparts.</w:t>
      </w:r>
      <w:r>
        <w:rPr>
          <w:rFonts w:ascii="Arial" w:cs="Arial" w:eastAsia="Arial" w:hAnsi="Arial"/>
          <w:sz w:val="18"/>
          <w:szCs w:val="18"/>
          <w:color w:val="auto"/>
        </w:rPr>
        <w:t xml:space="preserve"> This Indenture may be executed in any number of counterparts, each of which shall be an original; but such counterparts shall together constitute but one and the same instrument.</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Section 11.10</w:t>
      </w:r>
      <w:r>
        <w:rPr>
          <w:rFonts w:ascii="Arial" w:cs="Arial" w:eastAsia="Arial" w:hAnsi="Arial"/>
          <w:sz w:val="18"/>
          <w:szCs w:val="18"/>
          <w:i w:val="1"/>
          <w:iCs w:val="1"/>
          <w:color w:val="auto"/>
        </w:rPr>
        <w:t>. Effect of Headings.</w:t>
      </w:r>
      <w:r>
        <w:rPr>
          <w:rFonts w:ascii="Arial" w:cs="Arial" w:eastAsia="Arial" w:hAnsi="Arial"/>
          <w:sz w:val="18"/>
          <w:szCs w:val="18"/>
          <w:color w:val="auto"/>
        </w:rPr>
        <w:t xml:space="preserve"> The Article and Section headings herein and the Table of Contents are for convenience only and shall not affect the construction hereof.</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Section 11.11</w:t>
      </w:r>
      <w:r>
        <w:rPr>
          <w:rFonts w:ascii="Arial" w:cs="Arial" w:eastAsia="Arial" w:hAnsi="Arial"/>
          <w:sz w:val="16"/>
          <w:szCs w:val="16"/>
          <w:i w:val="1"/>
          <w:iCs w:val="1"/>
          <w:color w:val="auto"/>
        </w:rPr>
        <w:t>. Securities in a Foreign Currency.</w:t>
      </w:r>
      <w:r>
        <w:rPr>
          <w:rFonts w:ascii="Arial" w:cs="Arial" w:eastAsia="Arial" w:hAnsi="Arial"/>
          <w:sz w:val="16"/>
          <w:szCs w:val="16"/>
          <w:color w:val="auto"/>
        </w:rPr>
        <w:t xml:space="preserve"> Unless otherwise specified in an Officers’ Certificate delivered pursuant to Section 2.03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currency other than Dollars, then the principal amount of Securities of such series which shall be deemed to be Outstanding for the purpose of taking such action shall be that amount of Dollars that could be obtained for such amount at the Market Exchange Rate. For purposes of this Section 11.11, “</w:t>
      </w:r>
      <w:r>
        <w:rPr>
          <w:rFonts w:ascii="Arial" w:cs="Arial" w:eastAsia="Arial" w:hAnsi="Arial"/>
          <w:sz w:val="16"/>
          <w:szCs w:val="16"/>
          <w:b w:val="1"/>
          <w:bCs w:val="1"/>
          <w:color w:val="auto"/>
        </w:rPr>
        <w:t>Market Exchange Rate</w:t>
      </w:r>
      <w:r>
        <w:rPr>
          <w:rFonts w:ascii="Arial" w:cs="Arial" w:eastAsia="Arial" w:hAnsi="Arial"/>
          <w:sz w:val="16"/>
          <w:szCs w:val="16"/>
          <w:color w:val="auto"/>
        </w:rPr>
        <w:t>” shall mean the noon Dollar buying rate for that currency for cable transfers quoted in The City of New York as certified for customs purposes by the Federal Reserve Bank of New York. If such Market Exchange Rate is not available for any reason with respect to such currency, the Trustee shall use, in its sole discretion and without liability on its part, such quotation of the Federal Reserve Bank of New York as of the most recent available date, or quotations from one or more major banks in The City of New York or in the country of issue of the currency in question, or such other quotations as the Trustee shall deem appropriate. The provisions of this paragraph shall apply in determining the equivalent principal amount in respect of Securities of a series denominated in a currency other than Dollars in connection with any action taken by Holders of Securities pursuant to the terms of this Indenture.</w:t>
      </w:r>
    </w:p>
    <w:p>
      <w:pPr>
        <w:spacing w:after="0" w:line="12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decisions and determinations of the Trustee regarding the Market Exchange Rate or any alternative determination provided for in the preceding paragraph shall be in its sole discretion and shall, in the absence of manifest error, be conclusive for all purposes and irrevocably binding upon the Issuer and all Holders.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280" w:right="279" w:bottom="1440" w:gutter="0" w:footer="0" w:header="0"/>
        </w:sectPr>
      </w:pPr>
    </w:p>
    <w:bookmarkStart w:id="128" w:name="page129"/>
    <w:bookmarkEnd w:id="128"/>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11.12</w:t>
      </w:r>
      <w:r>
        <w:rPr>
          <w:rFonts w:ascii="Arial" w:cs="Arial" w:eastAsia="Arial" w:hAnsi="Arial"/>
          <w:sz w:val="16"/>
          <w:szCs w:val="16"/>
          <w:i w:val="1"/>
          <w:iCs w:val="1"/>
          <w:color w:val="auto"/>
        </w:rPr>
        <w:t>. Judgment Currency.</w:t>
      </w:r>
      <w:r>
        <w:rPr>
          <w:rFonts w:ascii="Arial" w:cs="Arial" w:eastAsia="Arial" w:hAnsi="Arial"/>
          <w:sz w:val="16"/>
          <w:szCs w:val="16"/>
          <w:color w:val="auto"/>
        </w:rPr>
        <w:t xml:space="preserve"> The Issuer agrees, to the fullest extent that it may effectively do so under applicable law, that (a) if for the purpose of obtaining judgment in any court it is necessary to convert the sum due in respect of the principal of or interest on the Securities of any series (the “</w:t>
      </w:r>
      <w:r>
        <w:rPr>
          <w:rFonts w:ascii="Arial" w:cs="Arial" w:eastAsia="Arial" w:hAnsi="Arial"/>
          <w:sz w:val="16"/>
          <w:szCs w:val="16"/>
          <w:b w:val="1"/>
          <w:bCs w:val="1"/>
          <w:color w:val="auto"/>
        </w:rPr>
        <w:t>Required</w:t>
      </w:r>
      <w:r>
        <w:rPr>
          <w:rFonts w:ascii="Arial" w:cs="Arial" w:eastAsia="Arial" w:hAnsi="Arial"/>
          <w:sz w:val="16"/>
          <w:szCs w:val="16"/>
          <w:color w:val="auto"/>
        </w:rPr>
        <w:t xml:space="preserve"> </w:t>
      </w:r>
      <w:r>
        <w:rPr>
          <w:rFonts w:ascii="Arial" w:cs="Arial" w:eastAsia="Arial" w:hAnsi="Arial"/>
          <w:sz w:val="16"/>
          <w:szCs w:val="16"/>
          <w:b w:val="1"/>
          <w:bCs w:val="1"/>
          <w:color w:val="auto"/>
        </w:rPr>
        <w:t>Currency</w:t>
      </w:r>
      <w:r>
        <w:rPr>
          <w:rFonts w:ascii="Arial" w:cs="Arial" w:eastAsia="Arial" w:hAnsi="Arial"/>
          <w:sz w:val="16"/>
          <w:szCs w:val="16"/>
          <w:color w:val="auto"/>
        </w:rPr>
        <w:t>”) into a currency in which a judgment will be rendered (the “</w:t>
      </w:r>
      <w:r>
        <w:rPr>
          <w:rFonts w:ascii="Arial" w:cs="Arial" w:eastAsia="Arial" w:hAnsi="Arial"/>
          <w:sz w:val="16"/>
          <w:szCs w:val="16"/>
          <w:b w:val="1"/>
          <w:bCs w:val="1"/>
          <w:color w:val="auto"/>
        </w:rPr>
        <w:t>Judgment Currency</w:t>
      </w:r>
      <w:r>
        <w:rPr>
          <w:rFonts w:ascii="Arial" w:cs="Arial" w:eastAsia="Arial" w:hAnsi="Arial"/>
          <w:sz w:val="16"/>
          <w:szCs w:val="16"/>
          <w:color w:val="auto"/>
        </w:rPr>
        <w:t>”), the rate of exchange used shall be the rate at which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normal banking procedures the Trustee could purchase in The City of New York the Required Currency with the Judgment Currency on the New York Banking Day preceding that on which final unappealable judgment is given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6"/>
          <w:szCs w:val="16"/>
          <w:b w:val="1"/>
          <w:bCs w:val="1"/>
          <w:color w:val="auto"/>
        </w:rPr>
        <w:t>New York Banking Day</w:t>
      </w:r>
      <w:r>
        <w:rPr>
          <w:rFonts w:ascii="Arial" w:cs="Arial" w:eastAsia="Arial" w:hAnsi="Arial"/>
          <w:sz w:val="16"/>
          <w:szCs w:val="16"/>
          <w:color w:val="auto"/>
        </w:rPr>
        <w:t>” means any day except a Saturday, Sunday or legal holiday in The City of New York or a day on which banking institutions in The City of New York are authorized or required by law or executive order to close.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EDEMPTION OF</w:t>
      </w:r>
      <w:r>
        <w:rPr>
          <w:rFonts w:ascii="Arial" w:cs="Arial" w:eastAsia="Arial" w:hAnsi="Arial"/>
          <w:sz w:val="18"/>
          <w:szCs w:val="18"/>
          <w:color w:val="auto"/>
        </w:rPr>
        <w:t xml:space="preserve"> S</w:t>
      </w:r>
      <w:r>
        <w:rPr>
          <w:rFonts w:ascii="Arial" w:cs="Arial" w:eastAsia="Arial" w:hAnsi="Arial"/>
          <w:sz w:val="14"/>
          <w:szCs w:val="14"/>
          <w:color w:val="auto"/>
        </w:rPr>
        <w:t>ECURITIES AND</w:t>
      </w:r>
      <w:r>
        <w:rPr>
          <w:rFonts w:ascii="Arial" w:cs="Arial" w:eastAsia="Arial" w:hAnsi="Arial"/>
          <w:sz w:val="18"/>
          <w:szCs w:val="18"/>
          <w:color w:val="auto"/>
        </w:rPr>
        <w:t xml:space="preserve"> S</w:t>
      </w:r>
      <w:r>
        <w:rPr>
          <w:rFonts w:ascii="Arial" w:cs="Arial" w:eastAsia="Arial" w:hAnsi="Arial"/>
          <w:sz w:val="14"/>
          <w:szCs w:val="14"/>
          <w:color w:val="auto"/>
        </w:rPr>
        <w:t>INKING</w:t>
      </w:r>
      <w:r>
        <w:rPr>
          <w:rFonts w:ascii="Arial" w:cs="Arial" w:eastAsia="Arial" w:hAnsi="Arial"/>
          <w:sz w:val="18"/>
          <w:szCs w:val="18"/>
          <w:color w:val="auto"/>
        </w:rPr>
        <w:t xml:space="preserve"> F</w:t>
      </w:r>
      <w:r>
        <w:rPr>
          <w:rFonts w:ascii="Arial" w:cs="Arial" w:eastAsia="Arial" w:hAnsi="Arial"/>
          <w:sz w:val="14"/>
          <w:szCs w:val="14"/>
          <w:color w:val="auto"/>
        </w:rPr>
        <w:t>UNDS</w:t>
      </w:r>
    </w:p>
    <w:p>
      <w:pPr>
        <w:spacing w:after="0" w:line="16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Section 12.01</w:t>
      </w:r>
      <w:r>
        <w:rPr>
          <w:rFonts w:ascii="Arial" w:cs="Arial" w:eastAsia="Arial" w:hAnsi="Arial"/>
          <w:sz w:val="18"/>
          <w:szCs w:val="18"/>
          <w:i w:val="1"/>
          <w:iCs w:val="1"/>
          <w:color w:val="auto"/>
        </w:rPr>
        <w:t>. Applicability of Article.</w:t>
      </w:r>
      <w:r>
        <w:rPr>
          <w:rFonts w:ascii="Arial" w:cs="Arial" w:eastAsia="Arial" w:hAnsi="Arial"/>
          <w:sz w:val="18"/>
          <w:szCs w:val="18"/>
          <w:color w:val="auto"/>
        </w:rPr>
        <w:t xml:space="preserv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4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Section 12.02</w:t>
      </w:r>
      <w:r>
        <w:rPr>
          <w:rFonts w:ascii="Arial" w:cs="Arial" w:eastAsia="Arial" w:hAnsi="Arial"/>
          <w:sz w:val="18"/>
          <w:szCs w:val="18"/>
          <w:i w:val="1"/>
          <w:iCs w:val="1"/>
          <w:color w:val="auto"/>
        </w:rPr>
        <w:t>. Notice of Redemption; Partial Redemptions.</w:t>
      </w:r>
      <w:r>
        <w:rPr>
          <w:rFonts w:ascii="Arial" w:cs="Arial" w:eastAsia="Arial" w:hAnsi="Arial"/>
          <w:sz w:val="18"/>
          <w:szCs w:val="18"/>
          <w:color w:val="auto"/>
        </w:rPr>
        <w:t xml:space="preserve"> Notice of redemption to the Holders of Securities of any series to be redeemed as a whole or in part at the option of the Issuer shall be given by mailing notice of such redemption by first class mail, postage prepaid, at least 30 days and not more than 60 days prior to the date fixed for redemption to such Holders of Securities of such series at their last addresses as they shall appear upon the Security register. Any notice which is given in the manner herein provided shall be conclusively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129" w:name="page130"/>
    <w:bookmarkEnd w:id="129"/>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presumed to have been duly given, whether or not the Holder receives the notice. Failure to give notice or any defect in the notice to the Holder of any Security of a series designated for redemption as a whole or in part shall not affect the validity of the proceedings for the redemption of any other Security of such series.</w:t>
      </w:r>
    </w:p>
    <w:p>
      <w:pPr>
        <w:spacing w:after="0" w:line="8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and shall also specify, if applicable, the conversion price then in effect and the date on which the right to convert such Securities or the portions thereof to be redeemed will expire.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notice of redemption of Securities of any series to be redeemed at the option of the Issuer shall be given by the Issuer or, at the Issuer’s request, by the Trustee in the name and at the expense of the Issuer.</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3.04) an amount of money sufficient to redeem on the redemption date all the Securities of such series so called for redemption (other than those theretofore surrendered for conversion into Common Stock) at the appropriate redemption price, together with accrued interest to the date fixed for redemption. If any Security called for redemption is converted pursuant hereto, any money deposited with the Trustee or any paying agent or so segregated and held in trust for the redemption of such Security shall be paid to the Issuer upon the Issuer’s request, or, if then held by the Issuer, shall be discharged from such trust. The Issuer will deliver to the Trustee at least 70 days prior to the date fixed for redemption (unless a shorter time period shall be acceptable to the Trustee) an Officers’ Certificate (which need not comply with Section 11.05) stating the aggregate principal amount of Securities to be redeemed. In case of a redemption at the election of the Issuer prior to the expiration of any restriction on such redemption, the Issuer shall deliver to the Trustee, prior to the giving of any notice of redemption to Holders pursuant to this Section, an Officers’ Certificate stating that such restriction has been complied with.</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130" w:name="page131"/>
    <w:bookmarkEnd w:id="130"/>
    <w:p>
      <w:pPr>
        <w:ind w:right="20"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 If any Security selected for partial redemption is surrendered for conversion after such selection, the converted portion of such Security shall be deemed (so far as may be) to be the portion selected for redemption. Upon any redemption of less than all the Securities, the Issuer and the Trustee may treat as Outstanding Securities surrendered for conversion during the period of 15 days next preceding the mailing of a notice of redemption, and need not treat as Outstanding any Security authenticated and delivered during such period in exchange for the unconverted portion of any Security converted in part during such period.</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12.03</w:t>
      </w:r>
      <w:r>
        <w:rPr>
          <w:rFonts w:ascii="Arial" w:cs="Arial" w:eastAsia="Arial" w:hAnsi="Arial"/>
          <w:sz w:val="16"/>
          <w:szCs w:val="16"/>
          <w:i w:val="1"/>
          <w:iCs w:val="1"/>
          <w:color w:val="auto"/>
        </w:rPr>
        <w:t>. Payment of Securities Called for Redemption.</w:t>
      </w:r>
      <w:r>
        <w:rPr>
          <w:rFonts w:ascii="Arial" w:cs="Arial" w:eastAsia="Arial" w:hAnsi="Arial"/>
          <w:sz w:val="16"/>
          <w:szCs w:val="16"/>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except as provided in Sections 6.05 and 10.04, such Securities shall cease from and after the date fixed for redemption to be convertible into Common Stock, if applicable, and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w:t>
      </w:r>
      <w:r>
        <w:rPr>
          <w:rFonts w:ascii="Arial" w:cs="Arial" w:eastAsia="Arial" w:hAnsi="Arial"/>
          <w:sz w:val="16"/>
          <w:szCs w:val="16"/>
          <w:i w:val="1"/>
          <w:iCs w:val="1"/>
          <w:color w:val="auto"/>
        </w:rPr>
        <w:t>provided</w:t>
      </w:r>
      <w:r>
        <w:rPr>
          <w:rFonts w:ascii="Arial" w:cs="Arial" w:eastAsia="Arial" w:hAnsi="Arial"/>
          <w:sz w:val="16"/>
          <w:szCs w:val="16"/>
          <w:color w:val="auto"/>
        </w:rPr>
        <w:t>, that payment of interest becoming due on or prior to the date fixed for redemption shall be payable to the Holders of such Securities registered as such on the relevant record date subject to the terms and provisions of Sections 2.03 and 2.07 hereof.</w:t>
      </w:r>
    </w:p>
    <w:p>
      <w:pPr>
        <w:spacing w:after="0" w:line="12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 and, if applicable, such Security shall remain convertible into Common Stock until the principal of such Security shall have been paid or duly provided for.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80" w:right="259" w:bottom="1440" w:gutter="0" w:footer="0" w:header="0"/>
        </w:sectPr>
      </w:pPr>
    </w:p>
    <w:bookmarkStart w:id="131" w:name="page132"/>
    <w:bookmarkEnd w:id="131"/>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Section 12.04</w:t>
      </w:r>
      <w:r>
        <w:rPr>
          <w:rFonts w:ascii="Arial" w:cs="Arial" w:eastAsia="Arial" w:hAnsi="Arial"/>
          <w:sz w:val="16"/>
          <w:szCs w:val="16"/>
          <w:i w:val="1"/>
          <w:iCs w:val="1"/>
          <w:color w:val="auto"/>
        </w:rPr>
        <w:t>. Exclusion of Certain Securities from Eligibility for Selection for Redemption.</w:t>
      </w:r>
      <w:r>
        <w:rPr>
          <w:rFonts w:ascii="Arial" w:cs="Arial" w:eastAsia="Arial" w:hAnsi="Arial"/>
          <w:sz w:val="16"/>
          <w:szCs w:val="16"/>
          <w:color w:val="auto"/>
        </w:rPr>
        <w:t xml:space="preserve"> Securities shall be excluded from eligibility for selection for redemption if they are identified by registration and certificate number in an Officers’ Certificate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113"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Section 12.05</w:t>
      </w:r>
      <w:r>
        <w:rPr>
          <w:rFonts w:ascii="Arial" w:cs="Arial" w:eastAsia="Arial" w:hAnsi="Arial"/>
          <w:sz w:val="18"/>
          <w:szCs w:val="18"/>
          <w:i w:val="1"/>
          <w:iCs w:val="1"/>
          <w:color w:val="auto"/>
        </w:rPr>
        <w:t>. Mandatory and Optional Sinking Funds.</w:t>
      </w:r>
      <w:r>
        <w:rPr>
          <w:rFonts w:ascii="Arial" w:cs="Arial" w:eastAsia="Arial" w:hAnsi="Arial"/>
          <w:sz w:val="18"/>
          <w:szCs w:val="18"/>
          <w:color w:val="auto"/>
        </w:rPr>
        <w:t xml:space="preserve"> The minimum amount of any sinking fund payment provided for by the terms of the Securities of any series is herein referred to as a “</w:t>
      </w:r>
      <w:r>
        <w:rPr>
          <w:rFonts w:ascii="Arial" w:cs="Arial" w:eastAsia="Arial" w:hAnsi="Arial"/>
          <w:sz w:val="18"/>
          <w:szCs w:val="18"/>
          <w:b w:val="1"/>
          <w:bCs w:val="1"/>
          <w:color w:val="auto"/>
        </w:rPr>
        <w:t>mandatory sinking fund payment</w:t>
      </w:r>
      <w:r>
        <w:rPr>
          <w:rFonts w:ascii="Arial" w:cs="Arial" w:eastAsia="Arial" w:hAnsi="Arial"/>
          <w:sz w:val="18"/>
          <w:szCs w:val="18"/>
          <w:color w:val="auto"/>
        </w:rPr>
        <w:t>”, and any payment in excess of such minimum amount provided for by the terms of the Securities of any series is herein referred to as an “</w:t>
      </w:r>
      <w:r>
        <w:rPr>
          <w:rFonts w:ascii="Arial" w:cs="Arial" w:eastAsia="Arial" w:hAnsi="Arial"/>
          <w:sz w:val="18"/>
          <w:szCs w:val="18"/>
          <w:b w:val="1"/>
          <w:bCs w:val="1"/>
          <w:color w:val="auto"/>
        </w:rPr>
        <w:t>optional sinking fund payment</w:t>
      </w:r>
      <w:r>
        <w:rPr>
          <w:rFonts w:ascii="Arial" w:cs="Arial" w:eastAsia="Arial" w:hAnsi="Arial"/>
          <w:sz w:val="18"/>
          <w:szCs w:val="18"/>
          <w:color w:val="auto"/>
        </w:rPr>
        <w:t>”. The date on which a sinking fund payment is to be made is herein referred to as the “</w:t>
      </w:r>
      <w:r>
        <w:rPr>
          <w:rFonts w:ascii="Arial" w:cs="Arial" w:eastAsia="Arial" w:hAnsi="Arial"/>
          <w:sz w:val="18"/>
          <w:szCs w:val="18"/>
          <w:b w:val="1"/>
          <w:bCs w:val="1"/>
          <w:color w:val="auto"/>
        </w:rPr>
        <w:t>sinking fund payment date</w:t>
      </w:r>
      <w:r>
        <w:rPr>
          <w:rFonts w:ascii="Arial" w:cs="Arial" w:eastAsia="Arial" w:hAnsi="Arial"/>
          <w:sz w:val="18"/>
          <w:szCs w:val="18"/>
          <w:color w:val="auto"/>
        </w:rPr>
        <w: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lieu of making all or any part of any mandatory sinking fund payment with respect to any series of Securities in cash, the Issuer may at its option</w:t>
      </w:r>
    </w:p>
    <w:p>
      <w:pPr>
        <w:spacing w:after="0" w:line="38" w:lineRule="exact"/>
        <w:rPr>
          <w:sz w:val="20"/>
          <w:szCs w:val="20"/>
          <w:color w:val="auto"/>
        </w:rPr>
      </w:pPr>
    </w:p>
    <w:p>
      <w:pPr>
        <w:ind w:firstLine="8"/>
        <w:spacing w:after="0" w:line="288" w:lineRule="auto"/>
        <w:tabs>
          <w:tab w:leader="none" w:pos="239" w:val="left"/>
        </w:tabs>
        <w:numPr>
          <w:ilvl w:val="0"/>
          <w:numId w:val="85"/>
        </w:numPr>
        <w:rPr>
          <w:rFonts w:ascii="Arial" w:cs="Arial" w:eastAsia="Arial" w:hAnsi="Arial"/>
          <w:sz w:val="16"/>
          <w:szCs w:val="16"/>
          <w:color w:val="auto"/>
        </w:rPr>
      </w:pPr>
      <w:r>
        <w:rPr>
          <w:rFonts w:ascii="Arial" w:cs="Arial" w:eastAsia="Arial" w:hAnsi="Arial"/>
          <w:sz w:val="16"/>
          <w:szCs w:val="16"/>
          <w:color w:val="auto"/>
        </w:rPr>
        <w:t>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and, if applicable, receive credit for Securities (not previously so credited) converted into Common Stock and so delivered to the Trustee for cancellation,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80" w:right="259" w:bottom="1440" w:gutter="0" w:footer="0" w:header="0"/>
        </w:sectPr>
      </w:pPr>
    </w:p>
    <w:bookmarkStart w:id="132" w:name="page133"/>
    <w:bookmarkEnd w:id="132"/>
    <w:p>
      <w:pPr>
        <w:ind w:right="20" w:firstLine="456"/>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or before the 60th day next preceding each sinking fund payment date for any series, the Issuer will deliver to the Trustee an Officers’ Certificate (which need not contain the statements required by Section 11.05) (a) specifying the portion of the mandatory sinking fund payment to be satisfied by payment of cash and the portion to be satisfied by credit of Securities of such series and the basis for such credit, (b) stating that none of the Securities of such series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Officers’ Certificate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60th day, to deliver such Officers’ Certificate and Securities specified in this paragraph, if any, shall not constitute a default but shall constitute, on and as of such date, the irrevocable election of the Issuer (i) that the mandatory sinking fund payment for such series due on the next succeeding sinking fund payment date shall be paid entirely in cash without the option to deliver or credit Securities of such series in respect thereof and (ii) that the Issuer will make no optional sinking fund payment with respect to such series as provided in this Section.</w:t>
      </w:r>
    </w:p>
    <w:p>
      <w:pPr>
        <w:spacing w:after="0" w:line="10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the sinking fund payment or payments (mandatory or optional or both) to be made in cash on the next succeeding sinking fund payment date plus any unused balance of any preceding sinking fund payments made in cash shall exceed $50,000 (or the equivalent thereof in any Foreign Currency or a lesser sum in Dollars or in any Foreign Currency if the Issuer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the equivalent thereof in any Foreign Currency) or less and the Issuer makes no such request then it shall be carried over until a sum in excess of $50,000 (or the equivalent thereof in any Foreign Currency) is available. The Trustee shall select, in the manner provided in Section 12.02, for redemption on such sinking fund payment date a sufficient principal amount of Securities of such series to absorb said cash, as nearly as may be, and shall (if requested in writing by the Issuer) inform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80" w:right="259" w:bottom="1440" w:gutter="0" w:footer="0" w:header="0"/>
        </w:sectPr>
      </w:pPr>
    </w:p>
    <w:bookmarkStart w:id="133" w:name="page134"/>
    <w:bookmarkEnd w:id="13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Issuer of the serial numbers of the Securities of such series (or portions thereof) so selected. Securities shall be excluded from eligibility for redemption under this Section if they are identified by registration and certificate number in an Officers’ Certificate delivered to the Trustee at least 60 days prior to the sinking fund payment date as being owned of record and beneficially by, and not pledged or hypothecated by either (a) the Issuer or (b) an entity specifically identified in such Officers’ Certificate as directly or indirectly controlling or controlled by or under direct or indirect common control with the Issuer. The Trustee, in the name and at the expense of the Issuer (or the Issuer, if it shall so request the Trustee in writing), shall cause notice of redemption of the Securities of such series to be given in substantially the manner provided in Section 12.02 (and with the effect provided in Section 12.03)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 The Issuer’s obligation to make a mandatory or optional sinking fund payment shall automatically be reduced by an amount equal to the sinking fund redemption price allocable to any Securities or portions thereof called for redemption pursuant to the preceding paragraph on any sinking fund payment date and converted into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if the Trustee is not the conversion agent for the Securities, the Issuer or such conversion agent shall give the Trustee written notice prior to the date fixed for redemption of the principal amount of Securities or portions thereof so converted.</w:t>
      </w:r>
    </w:p>
    <w:p>
      <w:pPr>
        <w:spacing w:after="0" w:line="12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or before each sinking fund payment date, the Issuer shall pay to the Trustee in cash or shall otherwise provide for the payment of all interest accrued to the date fixed for redemption on Securities to be redeemed on the next following sinking fund payment date.</w:t>
      </w:r>
    </w:p>
    <w:p>
      <w:pPr>
        <w:spacing w:after="0" w:line="132"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The Trustee shall not redeem or cause to be redeemed any Securities of a series with sinking fund moneys or give any notice of redemption of Securities for such series by operation of the sinking fund during the continuance of a default in payment of interest on such Securities or of any Event of Default except that, where the mailing of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5 and held for the payment of all such Securities. In case such Event of Default shall have been waived as provided in Section 5.10, or the default cured on or before the 60th day preceding the sinking fund payment date in any year, such moneys shall thereafter be applied on the next succeeding sinking fund payment date in accordance with this Section to the redemption of such Securities.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80" w:right="2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Indenture to be duly executed as of _________ __, 2007.</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27940</wp:posOffset>
            </wp:positionV>
            <wp:extent cx="26930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27940</wp:posOffset>
            </wp:positionV>
            <wp:extent cx="26930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U.S. BANK NATIONAL ASSOCIATION, Trustee</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27940</wp:posOffset>
            </wp:positionV>
            <wp:extent cx="26930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30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9980"/>
          </w:cols>
          <w:pgMar w:left="700" w:top="280" w:right="12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Exhibits 5.1 and 23.2</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2,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75266-0199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have acted as counsel for Texas Instruments Incorporated, a Delaware company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Registration Statement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by the Company with the Securities and Exchange Commission pursuant to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for the registration of the sale from time to time of (a) the Company’s debt securities (the “</w:t>
      </w:r>
      <w:r>
        <w:rPr>
          <w:rFonts w:ascii="Arial" w:cs="Arial" w:eastAsia="Arial" w:hAnsi="Arial"/>
          <w:sz w:val="16"/>
          <w:szCs w:val="16"/>
          <w:b w:val="1"/>
          <w:bCs w:val="1"/>
          <w:color w:val="auto"/>
        </w:rPr>
        <w:t>Debt Securities</w:t>
      </w:r>
      <w:r>
        <w:rPr>
          <w:rFonts w:ascii="Arial" w:cs="Arial" w:eastAsia="Arial" w:hAnsi="Arial"/>
          <w:sz w:val="16"/>
          <w:szCs w:val="16"/>
          <w:color w:val="auto"/>
        </w:rPr>
        <w:t>”), which may be issued pursuant to an indenture between the Company and U.S. Bank National Association, as trustee (the “</w:t>
      </w:r>
      <w:r>
        <w:rPr>
          <w:rFonts w:ascii="Arial" w:cs="Arial" w:eastAsia="Arial" w:hAnsi="Arial"/>
          <w:sz w:val="16"/>
          <w:szCs w:val="16"/>
          <w:b w:val="1"/>
          <w:bCs w:val="1"/>
          <w:color w:val="auto"/>
        </w:rPr>
        <w:t>Debt Trustee</w:t>
      </w:r>
      <w:r>
        <w:rPr>
          <w:rFonts w:ascii="Arial" w:cs="Arial" w:eastAsia="Arial" w:hAnsi="Arial"/>
          <w:sz w:val="16"/>
          <w:szCs w:val="16"/>
          <w:color w:val="auto"/>
        </w:rPr>
        <w:t>”) (the “</w:t>
      </w:r>
      <w:r>
        <w:rPr>
          <w:rFonts w:ascii="Arial" w:cs="Arial" w:eastAsia="Arial" w:hAnsi="Arial"/>
          <w:sz w:val="16"/>
          <w:szCs w:val="16"/>
          <w:b w:val="1"/>
          <w:bCs w:val="1"/>
          <w:color w:val="auto"/>
        </w:rPr>
        <w:t>Indenture</w:t>
      </w:r>
      <w:r>
        <w:rPr>
          <w:rFonts w:ascii="Arial" w:cs="Arial" w:eastAsia="Arial" w:hAnsi="Arial"/>
          <w:sz w:val="16"/>
          <w:szCs w:val="16"/>
          <w:color w:val="auto"/>
        </w:rPr>
        <w:t>”); (b) shares of preferred stock, par value $25.00 per share (the “</w:t>
      </w:r>
      <w:r>
        <w:rPr>
          <w:rFonts w:ascii="Arial" w:cs="Arial" w:eastAsia="Arial" w:hAnsi="Arial"/>
          <w:sz w:val="16"/>
          <w:szCs w:val="16"/>
          <w:b w:val="1"/>
          <w:bCs w:val="1"/>
          <w:color w:val="auto"/>
        </w:rPr>
        <w:t>Preferred Stock</w:t>
      </w:r>
      <w:r>
        <w:rPr>
          <w:rFonts w:ascii="Arial" w:cs="Arial" w:eastAsia="Arial" w:hAnsi="Arial"/>
          <w:sz w:val="16"/>
          <w:szCs w:val="16"/>
          <w:color w:val="auto"/>
        </w:rPr>
        <w:t>”), of the Company; (c) shares of common stock, par value $1.00 per share (the “</w:t>
      </w:r>
      <w:r>
        <w:rPr>
          <w:rFonts w:ascii="Arial" w:cs="Arial" w:eastAsia="Arial" w:hAnsi="Arial"/>
          <w:sz w:val="16"/>
          <w:szCs w:val="16"/>
          <w:b w:val="1"/>
          <w:bCs w:val="1"/>
          <w:color w:val="auto"/>
        </w:rPr>
        <w:t>Common</w:t>
      </w:r>
      <w:r>
        <w:rPr>
          <w:rFonts w:ascii="Arial" w:cs="Arial" w:eastAsia="Arial" w:hAnsi="Arial"/>
          <w:sz w:val="16"/>
          <w:szCs w:val="16"/>
          <w:color w:val="auto"/>
        </w:rPr>
        <w:t xml:space="preserve"> </w:t>
      </w:r>
      <w:r>
        <w:rPr>
          <w:rFonts w:ascii="Arial" w:cs="Arial" w:eastAsia="Arial" w:hAnsi="Arial"/>
          <w:sz w:val="16"/>
          <w:szCs w:val="16"/>
          <w:b w:val="1"/>
          <w:bCs w:val="1"/>
          <w:color w:val="auto"/>
        </w:rPr>
        <w:t>Stock</w:t>
      </w:r>
      <w:r>
        <w:rPr>
          <w:rFonts w:ascii="Arial" w:cs="Arial" w:eastAsia="Arial" w:hAnsi="Arial"/>
          <w:sz w:val="16"/>
          <w:szCs w:val="16"/>
          <w:color w:val="auto"/>
        </w:rPr>
        <w:t>”), of the Company; (d) Warrants of the Company to purchase Debt Securities or Common Stock (the “</w:t>
      </w:r>
      <w:r>
        <w:rPr>
          <w:rFonts w:ascii="Arial" w:cs="Arial" w:eastAsia="Arial" w:hAnsi="Arial"/>
          <w:sz w:val="16"/>
          <w:szCs w:val="16"/>
          <w:b w:val="1"/>
          <w:bCs w:val="1"/>
          <w:color w:val="auto"/>
        </w:rPr>
        <w:t>Warrants</w:t>
      </w:r>
      <w:r>
        <w:rPr>
          <w:rFonts w:ascii="Arial" w:cs="Arial" w:eastAsia="Arial" w:hAnsi="Arial"/>
          <w:sz w:val="16"/>
          <w:szCs w:val="16"/>
          <w:color w:val="auto"/>
        </w:rPr>
        <w:t>”), which may be issued pursuant to a</w:t>
      </w:r>
      <w:r>
        <w:rPr>
          <w:rFonts w:ascii="Arial" w:cs="Arial" w:eastAsia="Arial" w:hAnsi="Arial"/>
          <w:sz w:val="16"/>
          <w:szCs w:val="16"/>
          <w:b w:val="1"/>
          <w:bCs w:val="1"/>
          <w:color w:val="auto"/>
        </w:rPr>
        <w:t xml:space="preserve"> </w:t>
      </w:r>
      <w:r>
        <w:rPr>
          <w:rFonts w:ascii="Arial" w:cs="Arial" w:eastAsia="Arial" w:hAnsi="Arial"/>
          <w:sz w:val="16"/>
          <w:szCs w:val="16"/>
          <w:color w:val="auto"/>
        </w:rPr>
        <w:t>warrant agreement between the Company and a warrant agent to be named therein (the “</w:t>
      </w:r>
      <w:r>
        <w:rPr>
          <w:rFonts w:ascii="Arial" w:cs="Arial" w:eastAsia="Arial" w:hAnsi="Arial"/>
          <w:sz w:val="16"/>
          <w:szCs w:val="16"/>
          <w:b w:val="1"/>
          <w:bCs w:val="1"/>
          <w:color w:val="auto"/>
        </w:rPr>
        <w:t>Warrant Agreement</w:t>
      </w:r>
      <w:r>
        <w:rPr>
          <w:rFonts w:ascii="Arial" w:cs="Arial" w:eastAsia="Arial" w:hAnsi="Arial"/>
          <w:sz w:val="16"/>
          <w:szCs w:val="16"/>
          <w:color w:val="auto"/>
        </w:rPr>
        <w:t>”); and (e) Debt Securities, Preferred Stock, Common Stock and Warrants or any combination thereof that may be offered in the form of units (the “</w:t>
      </w:r>
      <w:r>
        <w:rPr>
          <w:rFonts w:ascii="Arial" w:cs="Arial" w:eastAsia="Arial" w:hAnsi="Arial"/>
          <w:sz w:val="16"/>
          <w:szCs w:val="16"/>
          <w:b w:val="1"/>
          <w:bCs w:val="1"/>
          <w:color w:val="auto"/>
        </w:rPr>
        <w:t>Units</w:t>
      </w:r>
      <w:r>
        <w:rPr>
          <w:rFonts w:ascii="Arial" w:cs="Arial" w:eastAsia="Arial" w:hAnsi="Arial"/>
          <w:sz w:val="16"/>
          <w:szCs w:val="16"/>
          <w:color w:val="auto"/>
        </w:rPr>
        <w:t>”) to be issued under one or more unit agreements to be entered into among the Company, a bank or trust company, as unit agent (the “</w:t>
      </w:r>
      <w:r>
        <w:rPr>
          <w:rFonts w:ascii="Arial" w:cs="Arial" w:eastAsia="Arial" w:hAnsi="Arial"/>
          <w:sz w:val="16"/>
          <w:szCs w:val="16"/>
          <w:b w:val="1"/>
          <w:bCs w:val="1"/>
          <w:color w:val="auto"/>
        </w:rPr>
        <w:t>Unit Agent</w:t>
      </w:r>
      <w:r>
        <w:rPr>
          <w:rFonts w:ascii="Arial" w:cs="Arial" w:eastAsia="Arial" w:hAnsi="Arial"/>
          <w:sz w:val="16"/>
          <w:szCs w:val="16"/>
          <w:color w:val="auto"/>
        </w:rPr>
        <w:t>”), and the holders from time to time of the Units (each such unit agreement, a “</w:t>
      </w:r>
      <w:r>
        <w:rPr>
          <w:rFonts w:ascii="Arial" w:cs="Arial" w:eastAsia="Arial" w:hAnsi="Arial"/>
          <w:sz w:val="16"/>
          <w:szCs w:val="16"/>
          <w:b w:val="1"/>
          <w:bCs w:val="1"/>
          <w:color w:val="auto"/>
        </w:rPr>
        <w:t>Unit Agreement</w:t>
      </w:r>
      <w:r>
        <w:rPr>
          <w:rFonts w:ascii="Arial" w:cs="Arial" w:eastAsia="Arial" w:hAnsi="Arial"/>
          <w:sz w:val="16"/>
          <w:szCs w:val="16"/>
          <w:color w:val="auto"/>
        </w:rPr>
        <w:t>”).</w:t>
      </w:r>
    </w:p>
    <w:p>
      <w:pPr>
        <w:spacing w:after="0" w:line="121"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We, as your counsel, have examined originals or copies, certified or otherwise identified to our satisfaction, of such documents, corporate records, certificates of public officials and other instruments as we have deemed necessary for the purposes of rendering this opinion.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foregoing, we advise you that, in our opinion:</w:t>
      </w:r>
    </w:p>
    <w:p>
      <w:pPr>
        <w:spacing w:after="0" w:line="90" w:lineRule="exact"/>
        <w:rPr>
          <w:sz w:val="20"/>
          <w:szCs w:val="20"/>
          <w:color w:val="auto"/>
        </w:rPr>
      </w:pPr>
    </w:p>
    <w:p>
      <w:pPr>
        <w:ind w:left="460" w:right="80" w:firstLine="443"/>
        <w:spacing w:after="0" w:line="291" w:lineRule="auto"/>
        <w:tabs>
          <w:tab w:leader="none" w:pos="1074" w:val="left"/>
        </w:tabs>
        <w:numPr>
          <w:ilvl w:val="0"/>
          <w:numId w:val="86"/>
        </w:numPr>
        <w:rPr>
          <w:rFonts w:ascii="Arial" w:cs="Arial" w:eastAsia="Arial" w:hAnsi="Arial"/>
          <w:sz w:val="16"/>
          <w:szCs w:val="16"/>
          <w:color w:val="auto"/>
        </w:rPr>
      </w:pPr>
      <w:r>
        <w:rPr>
          <w:rFonts w:ascii="Arial" w:cs="Arial" w:eastAsia="Arial" w:hAnsi="Arial"/>
          <w:sz w:val="16"/>
          <w:szCs w:val="16"/>
          <w:color w:val="auto"/>
        </w:rPr>
        <w:t>When the Indenture and any supplemental indenture to be entered into in connection with the issuance of any Debt Securities have been duly authorized, executed and delivered by the Trustee and the Company, the specific terms of a particular series of Debt Securities have been duly authorized and established in accordance with the Indenture, and such Debt Securities have been duly authorized, executed, authenticated, issued and delivered in accordance with the Indenture and the applicable underwriting or other agreement, such Debt Securities will constitute valid and binding obligations of the Company, enforceable in accordance with their terms, subject to applicable bankruptcy, insolvency and similar laws affecting creditors’ rights generally and equitable principles of general applicability.</w:t>
      </w:r>
    </w:p>
    <w:p>
      <w:pPr>
        <w:spacing w:after="0" w:line="39" w:lineRule="exact"/>
        <w:rPr>
          <w:rFonts w:ascii="Arial" w:cs="Arial" w:eastAsia="Arial" w:hAnsi="Arial"/>
          <w:sz w:val="16"/>
          <w:szCs w:val="16"/>
          <w:color w:val="auto"/>
        </w:rPr>
      </w:pPr>
    </w:p>
    <w:p>
      <w:pPr>
        <w:ind w:left="460" w:firstLine="443"/>
        <w:spacing w:after="0" w:line="294" w:lineRule="auto"/>
        <w:tabs>
          <w:tab w:leader="none" w:pos="1074" w:val="left"/>
        </w:tabs>
        <w:numPr>
          <w:ilvl w:val="0"/>
          <w:numId w:val="86"/>
        </w:numPr>
        <w:rPr>
          <w:rFonts w:ascii="Arial" w:cs="Arial" w:eastAsia="Arial" w:hAnsi="Arial"/>
          <w:sz w:val="16"/>
          <w:szCs w:val="16"/>
          <w:color w:val="auto"/>
        </w:rPr>
      </w:pPr>
      <w:r>
        <w:rPr>
          <w:rFonts w:ascii="Arial" w:cs="Arial" w:eastAsia="Arial" w:hAnsi="Arial"/>
          <w:sz w:val="16"/>
          <w:szCs w:val="16"/>
          <w:color w:val="auto"/>
        </w:rPr>
        <w:t>Upon designation of the relative rights, preferences and limitations of any series of Preferred Stock by the Board of Directors of the Company and the proper filing with the Secretary of State of the State of Delaware of a Certificate of Designation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in accordance with the applicable underwriting or other agreement, such shares of Preferred Stock will be validly issued, fully paid and non-assessable.</w:t>
      </w:r>
    </w:p>
    <w:p>
      <w:pPr>
        <w:spacing w:after="0" w:line="34" w:lineRule="exact"/>
        <w:rPr>
          <w:rFonts w:ascii="Arial" w:cs="Arial" w:eastAsia="Arial" w:hAnsi="Arial"/>
          <w:sz w:val="16"/>
          <w:szCs w:val="16"/>
          <w:color w:val="auto"/>
        </w:rPr>
      </w:pPr>
    </w:p>
    <w:p>
      <w:pPr>
        <w:ind w:left="460" w:right="60" w:firstLine="443"/>
        <w:spacing w:after="0" w:line="318" w:lineRule="auto"/>
        <w:tabs>
          <w:tab w:leader="none" w:pos="1074" w:val="left"/>
        </w:tabs>
        <w:numPr>
          <w:ilvl w:val="0"/>
          <w:numId w:val="86"/>
        </w:numPr>
        <w:rPr>
          <w:rFonts w:ascii="Arial" w:cs="Arial" w:eastAsia="Arial" w:hAnsi="Arial"/>
          <w:sz w:val="15"/>
          <w:szCs w:val="15"/>
          <w:color w:val="auto"/>
        </w:rPr>
      </w:pPr>
      <w:r>
        <w:rPr>
          <w:rFonts w:ascii="Arial" w:cs="Arial" w:eastAsia="Arial" w:hAnsi="Arial"/>
          <w:sz w:val="15"/>
          <w:szCs w:val="15"/>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such Warrants will constitute valid and binding obligations of the Company, enforceable in accordance with their terms, subject to applicable bankruptcy, insolvency and similar laws affecting creditors’ rights generally and equitable principles of general applicability.</w:t>
      </w:r>
    </w:p>
    <w:p>
      <w:pPr>
        <w:sectPr>
          <w:pgSz w:w="11900" w:h="16838" w:orient="portrait"/>
          <w:cols w:equalWidth="0" w:num="1">
            <w:col w:w="11420"/>
          </w:cols>
          <w:pgMar w:left="240" w:top="125" w:right="239" w:bottom="1440" w:gutter="0" w:footer="0" w:header="0"/>
        </w:sectPr>
      </w:pPr>
    </w:p>
    <w:bookmarkStart w:id="136" w:name="page137"/>
    <w:bookmarkEnd w:id="136"/>
    <w:p>
      <w:pPr>
        <w:ind w:left="460" w:right="380" w:firstLine="443"/>
        <w:spacing w:after="0" w:line="306" w:lineRule="auto"/>
        <w:tabs>
          <w:tab w:leader="none" w:pos="1074" w:val="left"/>
        </w:tabs>
        <w:numPr>
          <w:ilvl w:val="0"/>
          <w:numId w:val="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When the necessary corporate action on the part of the Company has been taken to authorize the issuance and sale of such shares of Common Stock proposed to be sold by the Company, and when such shares of Common Stock are issued and delivered in accordance with the applicable underwriting or other agreement, such shares of Common Stock will be validly issued, fully paid and non-assessable.</w:t>
      </w:r>
    </w:p>
    <w:p>
      <w:pPr>
        <w:spacing w:after="0" w:line="10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connection with the opinions expressed above, we have assumed that, at or prior to the time of the delivery of any such security, (i) the Indenture shall have been duly authorized, executed and delivered by the Company and the Trustee, (ii) the Board of Directors shall have duly established the terms of such security and duly authorized the issuance and sale of such security and such authorization shall not have been modified or rescinded; (iii) the Registration Statement shall have become effective and such effectiveness shall not have been terminated or rescinded; and (iv) there shall not have occurred any change in law affecting the validity or enforceability of such security. We have also assumed that none of the terms of any security to be established subsequent to the date hereof, nor the issuance and delivery of such security, nor the compliance by the Company with the terms of such security will violate any applicable law or will result in a violation of any provision of any instrument or agreement then binding upon the Company, or any restriction imposed by any court or governmental body having jurisdiction over the Company.</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are members of the Bars of the State of New York and California and the foregoing opinion is limited to the laws of the State of New York and the General Corporation Law of the State of Delaware.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referred to above and further consent to the reference to our name under the caption “Validity of Securities” in the prospectus, which is a part of the Registration Statement. In giving this consent, we do not admit that we are in the category of persons whose consent is required under Section 7 of the Securities Act.</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This opinion is rendered solely to you in connection with the above matter. This opinion may not be relied upon by you for any other purpose or relied upon by or furnished to any other person without our prior written consent.</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DAVIS POLK &amp; WARDWELL</w:t>
      </w:r>
    </w:p>
    <w:p>
      <w:pPr>
        <w:sectPr>
          <w:pgSz w:w="11900" w:h="16838" w:orient="portrait"/>
          <w:cols w:equalWidth="0" w:num="1">
            <w:col w:w="11400"/>
          </w:cols>
          <w:pgMar w:left="240" w:top="280" w:right="25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Ratio of Earnings to Fixed Charges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2006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2005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2003</w:t>
            </w:r>
          </w:p>
        </w:tc>
        <w:tc>
          <w:tcPr>
            <w:tcW w:w="28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4"/>
                <w:szCs w:val="14"/>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2,638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2,173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1,691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1,065</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8"/>
              </w:rPr>
              <w:t>($475)</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Provision (benefit) for 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(58)</w:t>
            </w:r>
          </w:p>
        </w:tc>
      </w:tr>
      <w:tr>
        <w:trPr>
          <w:trHeight w:val="216"/>
        </w:trPr>
        <w:tc>
          <w:tcPr>
            <w:tcW w:w="8000" w:type="dxa"/>
            <w:vAlign w:val="bottom"/>
            <w:gridSpan w:val="2"/>
          </w:tcPr>
          <w:p>
            <w:pPr>
              <w:ind w:left="440"/>
              <w:spacing w:after="0"/>
              <w:rPr>
                <w:sz w:val="20"/>
                <w:szCs w:val="20"/>
                <w:color w:val="auto"/>
              </w:rPr>
            </w:pPr>
            <w:r>
              <w:rPr>
                <w:rFonts w:ascii="Arial" w:cs="Arial" w:eastAsia="Arial" w:hAnsi="Arial"/>
                <w:sz w:val="18"/>
                <w:szCs w:val="18"/>
                <w:color w:val="auto"/>
              </w:rPr>
              <w:t>Amortization of capitalized interest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Fixed charges from below</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r>
      <w:tr>
        <w:trPr>
          <w:trHeight w:val="222"/>
        </w:trPr>
        <w:tc>
          <w:tcPr>
            <w:tcW w:w="8000" w:type="dxa"/>
            <w:vAlign w:val="bottom"/>
            <w:gridSpan w:val="2"/>
          </w:tcPr>
          <w:p>
            <w:pPr>
              <w:ind w:left="880"/>
              <w:spacing w:after="0"/>
              <w:rPr>
                <w:sz w:val="20"/>
                <w:szCs w:val="20"/>
                <w:color w:val="auto"/>
              </w:rPr>
            </w:pPr>
            <w:r>
              <w:rPr>
                <w:rFonts w:ascii="Arial" w:cs="Arial" w:eastAsia="Arial" w:hAnsi="Arial"/>
                <w:sz w:val="18"/>
                <w:szCs w:val="18"/>
                <w:color w:val="auto"/>
              </w:rPr>
              <w:t>Total earnings (loss)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3,664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2,799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2,222</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1,123</w:t>
            </w:r>
          </w:p>
        </w:tc>
        <w:tc>
          <w:tcPr>
            <w:tcW w:w="4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438)</w:t>
            </w:r>
          </w:p>
        </w:tc>
      </w:tr>
      <w:tr>
        <w:trPr>
          <w:trHeight w:val="20"/>
        </w:trPr>
        <w:tc>
          <w:tcPr>
            <w:tcW w:w="9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440"/>
              <w:spacing w:after="0"/>
              <w:rPr>
                <w:sz w:val="20"/>
                <w:szCs w:val="20"/>
                <w:color w:val="auto"/>
              </w:rPr>
            </w:pPr>
            <w:r>
              <w:rPr>
                <w:rFonts w:ascii="Arial" w:cs="Arial" w:eastAsia="Arial" w:hAnsi="Arial"/>
                <w:sz w:val="18"/>
                <w:szCs w:val="18"/>
                <w:color w:val="auto"/>
              </w:rPr>
              <w:t>Total interest on loans (expensed)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attributable to rental and lease expense</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22"/>
        </w:trPr>
        <w:tc>
          <w:tcPr>
            <w:tcW w:w="8000" w:type="dxa"/>
            <w:vAlign w:val="bottom"/>
            <w:gridSpan w:val="2"/>
          </w:tcPr>
          <w:p>
            <w:pPr>
              <w:ind w:left="440"/>
              <w:spacing w:after="0"/>
              <w:rPr>
                <w:sz w:val="20"/>
                <w:szCs w:val="20"/>
                <w:color w:val="auto"/>
              </w:rPr>
            </w:pPr>
            <w:r>
              <w:rPr>
                <w:rFonts w:ascii="Arial" w:cs="Arial" w:eastAsia="Arial" w:hAnsi="Arial"/>
                <w:sz w:val="18"/>
                <w:szCs w:val="18"/>
                <w:color w:val="auto"/>
              </w:rPr>
              <w:t>Fixed charges deducted from earnings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9"/>
                <w:szCs w:val="19"/>
                <w:color w:val="auto"/>
              </w:rPr>
            </w:pPr>
          </w:p>
        </w:tc>
      </w:tr>
      <w:tr>
        <w:trPr>
          <w:trHeight w:val="217"/>
        </w:trPr>
        <w:tc>
          <w:tcPr>
            <w:tcW w:w="8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Capitalized interest</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r>
      <w:tr>
        <w:trPr>
          <w:trHeight w:val="222"/>
        </w:trPr>
        <w:tc>
          <w:tcPr>
            <w:tcW w:w="8000" w:type="dxa"/>
            <w:vAlign w:val="bottom"/>
            <w:gridSpan w:val="2"/>
          </w:tcPr>
          <w:p>
            <w:pPr>
              <w:ind w:left="880"/>
              <w:spacing w:after="0"/>
              <w:rPr>
                <w:sz w:val="20"/>
                <w:szCs w:val="20"/>
                <w:color w:val="auto"/>
              </w:rPr>
            </w:pPr>
            <w:r>
              <w:rPr>
                <w:rFonts w:ascii="Arial" w:cs="Arial" w:eastAsia="Arial" w:hAnsi="Arial"/>
                <w:sz w:val="18"/>
                <w:szCs w:val="18"/>
                <w:color w:val="auto"/>
              </w:rPr>
              <w:t>Total fixed charges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7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The ratio is not meaningful. For the year ended December 31, 2002, we had a $521 million deficiency of earnings to fixed charges.</w:t>
      </w:r>
    </w:p>
    <w:p>
      <w:pPr>
        <w:sectPr>
          <w:pgSz w:w="11900" w:h="16838" w:orient="portrait"/>
          <w:cols w:equalWidth="0" w:num="1">
            <w:col w:w="11420"/>
          </w:cols>
          <w:pgMar w:left="240" w:top="125"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consent to the reference to our firm under the caption “Experts” in this Registration Statement (Form S-3) and related Prospectus of Texas Instruments Incorporated for the registration of common stock, preferred stock, debt securities, warrants, and units and to the incorporation by reference therein of our reports dated February 23, 2007, with respect to the consolidated financial statements of Texas Instruments Incorporated, Texas Instruments Incorporated management’s assessment of the effectiveness of internal control over financial reporting, and the effectiveness of internal control over financial reporting of Texas Instruments Incorporated, incorporated by reference in its Annual Report (Form 10-K) for the year ended December 31, 2006, filed with the Securities and Exchange Commission.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February 23, 2007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ectPr>
          <w:pgSz w:w="11900" w:h="16838" w:orient="portrait"/>
          <w:cols w:equalWidth="0" w:num="1">
            <w:col w:w="11420"/>
          </w:cols>
          <w:pgMar w:left="240" w:top="125" w:right="239" w:bottom="1440" w:gutter="0" w:footer="0" w:header="0"/>
        </w:sectPr>
      </w:pPr>
    </w:p>
    <w:bookmarkStart w:id="139" w:name="page140"/>
    <w:bookmarkEnd w:id="139"/>
    <w:p>
      <w:pPr>
        <w:ind w:left="105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jc w:val="center"/>
        <w:spacing w:after="0"/>
        <w:rPr>
          <w:sz w:val="20"/>
          <w:szCs w:val="20"/>
          <w:color w:val="auto"/>
        </w:rPr>
      </w:pPr>
      <w:r>
        <w:rPr>
          <w:rFonts w:ascii="Arial" w:cs="Arial" w:eastAsia="Arial" w:hAnsi="Arial"/>
          <w:sz w:val="18"/>
          <w:szCs w:val="18"/>
          <w:color w:val="auto"/>
        </w:rPr>
        <w:t>Check if an Application to Determine Eligibility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127000</wp:posOffset>
            </wp:positionV>
            <wp:extent cx="12433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U.S. BANK NATIONAL ASSOCIATION</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(Exact name of Trustee as specified in its charter)</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jc w:val="right"/>
              <w:ind w:right="1318"/>
              <w:spacing w:after="0"/>
              <w:rPr>
                <w:sz w:val="20"/>
                <w:szCs w:val="20"/>
                <w:color w:val="auto"/>
              </w:rPr>
            </w:pPr>
            <w:r>
              <w:rPr>
                <w:rFonts w:ascii="Arial" w:cs="Arial" w:eastAsia="Arial" w:hAnsi="Arial"/>
                <w:sz w:val="18"/>
                <w:szCs w:val="18"/>
                <w:b w:val="1"/>
                <w:bCs w:val="1"/>
                <w:color w:val="auto"/>
              </w:rPr>
              <w:t>31-0841368</w:t>
            </w:r>
          </w:p>
        </w:tc>
        <w:tc>
          <w:tcPr>
            <w:tcW w:w="3880" w:type="dxa"/>
            <w:vAlign w:val="bottom"/>
          </w:tcPr>
          <w:p>
            <w:pPr>
              <w:spacing w:after="0"/>
              <w:rPr>
                <w:sz w:val="18"/>
                <w:szCs w:val="18"/>
                <w:color w:val="auto"/>
              </w:rPr>
            </w:pPr>
          </w:p>
        </w:tc>
      </w:tr>
      <w:tr>
        <w:trPr>
          <w:trHeight w:val="228"/>
        </w:trPr>
        <w:tc>
          <w:tcPr>
            <w:tcW w:w="7540" w:type="dxa"/>
            <w:vAlign w:val="bottom"/>
          </w:tcPr>
          <w:p>
            <w:pPr>
              <w:jc w:val="center"/>
              <w:ind w:left="3798"/>
              <w:spacing w:after="0"/>
              <w:rPr>
                <w:sz w:val="20"/>
                <w:szCs w:val="20"/>
                <w:color w:val="auto"/>
              </w:rPr>
            </w:pPr>
            <w:r>
              <w:rPr>
                <w:rFonts w:ascii="Arial" w:cs="Arial" w:eastAsia="Arial" w:hAnsi="Arial"/>
                <w:sz w:val="18"/>
                <w:szCs w:val="18"/>
                <w:b w:val="1"/>
                <w:bCs w:val="1"/>
                <w:color w:val="auto"/>
                <w:w w:val="91"/>
              </w:rPr>
              <w:t>I.R.S. Employer Identification No.</w:t>
            </w:r>
          </w:p>
        </w:tc>
        <w:tc>
          <w:tcPr>
            <w:tcW w:w="3880" w:type="dxa"/>
            <w:vAlign w:val="bottom"/>
          </w:tcPr>
          <w:p>
            <w:pPr>
              <w:spacing w:after="0"/>
              <w:rPr>
                <w:sz w:val="19"/>
                <w:szCs w:val="19"/>
                <w:color w:val="auto"/>
              </w:rPr>
            </w:pPr>
          </w:p>
        </w:tc>
      </w:tr>
      <w:tr>
        <w:trPr>
          <w:trHeight w:val="408"/>
        </w:trPr>
        <w:tc>
          <w:tcPr>
            <w:tcW w:w="7540" w:type="dxa"/>
            <w:vAlign w:val="bottom"/>
          </w:tcPr>
          <w:p>
            <w:pPr>
              <w:jc w:val="center"/>
              <w:ind w:right="1738"/>
              <w:spacing w:after="0"/>
              <w:rPr>
                <w:sz w:val="20"/>
                <w:szCs w:val="20"/>
                <w:color w:val="auto"/>
              </w:rPr>
            </w:pPr>
            <w:r>
              <w:rPr>
                <w:rFonts w:ascii="Arial" w:cs="Arial" w:eastAsia="Arial" w:hAnsi="Arial"/>
                <w:sz w:val="18"/>
                <w:szCs w:val="18"/>
                <w:b w:val="1"/>
                <w:bCs w:val="1"/>
                <w:color w:val="auto"/>
                <w:w w:val="89"/>
              </w:rPr>
              <w:t>800 Nicollet Mall Minneapolis, Minnesota</w:t>
            </w:r>
          </w:p>
        </w:tc>
        <w:tc>
          <w:tcPr>
            <w:tcW w:w="3880" w:type="dxa"/>
            <w:vAlign w:val="bottom"/>
          </w:tcPr>
          <w:p>
            <w:pPr>
              <w:jc w:val="center"/>
              <w:ind w:right="1522"/>
              <w:spacing w:after="0"/>
              <w:rPr>
                <w:sz w:val="20"/>
                <w:szCs w:val="20"/>
                <w:color w:val="auto"/>
              </w:rPr>
            </w:pPr>
            <w:r>
              <w:rPr>
                <w:rFonts w:ascii="Arial" w:cs="Arial" w:eastAsia="Arial" w:hAnsi="Arial"/>
                <w:sz w:val="18"/>
                <w:szCs w:val="18"/>
                <w:b w:val="1"/>
                <w:bCs w:val="1"/>
                <w:color w:val="auto"/>
                <w:w w:val="87"/>
              </w:rPr>
              <w:t>55402</w:t>
            </w:r>
          </w:p>
        </w:tc>
      </w:tr>
      <w:tr>
        <w:trPr>
          <w:trHeight w:val="174"/>
        </w:trPr>
        <w:tc>
          <w:tcPr>
            <w:tcW w:w="7540" w:type="dxa"/>
            <w:vAlign w:val="bottom"/>
          </w:tcPr>
          <w:p>
            <w:pPr>
              <w:jc w:val="center"/>
              <w:ind w:right="1738"/>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880" w:type="dxa"/>
            <w:vAlign w:val="bottom"/>
          </w:tcPr>
          <w:p>
            <w:pPr>
              <w:jc w:val="center"/>
              <w:ind w:right="1502"/>
              <w:spacing w:after="0"/>
              <w:rPr>
                <w:sz w:val="20"/>
                <w:szCs w:val="20"/>
                <w:color w:val="auto"/>
              </w:rPr>
            </w:pPr>
            <w:r>
              <w:rPr>
                <w:rFonts w:ascii="Arial" w:cs="Arial" w:eastAsia="Arial" w:hAnsi="Arial"/>
                <w:sz w:val="14"/>
                <w:szCs w:val="14"/>
                <w:b w:val="1"/>
                <w:bCs w:val="1"/>
                <w:color w:val="auto"/>
                <w:w w:val="89"/>
              </w:rPr>
              <w:t>(Zip Code)</w:t>
            </w:r>
          </w:p>
        </w:tc>
      </w:tr>
      <w:tr>
        <w:trPr>
          <w:trHeight w:val="351"/>
        </w:trPr>
        <w:tc>
          <w:tcPr>
            <w:tcW w:w="7540" w:type="dxa"/>
            <w:vAlign w:val="bottom"/>
          </w:tcPr>
          <w:p>
            <w:pPr>
              <w:jc w:val="center"/>
              <w:ind w:left="3798"/>
              <w:spacing w:after="0"/>
              <w:rPr>
                <w:sz w:val="20"/>
                <w:szCs w:val="20"/>
                <w:color w:val="auto"/>
              </w:rPr>
            </w:pPr>
            <w:r>
              <w:rPr>
                <w:rFonts w:ascii="Arial" w:cs="Arial" w:eastAsia="Arial" w:hAnsi="Arial"/>
                <w:sz w:val="18"/>
                <w:szCs w:val="18"/>
                <w:b w:val="1"/>
                <w:bCs w:val="1"/>
                <w:color w:val="auto"/>
                <w:w w:val="88"/>
              </w:rPr>
              <w:t>Raymond S. Haverstock</w:t>
            </w:r>
          </w:p>
        </w:tc>
        <w:tc>
          <w:tcPr>
            <w:tcW w:w="3880" w:type="dxa"/>
            <w:vAlign w:val="bottom"/>
          </w:tcPr>
          <w:p>
            <w:pPr>
              <w:spacing w:after="0"/>
              <w:rPr>
                <w:sz w:val="24"/>
                <w:szCs w:val="24"/>
                <w:color w:val="auto"/>
              </w:rPr>
            </w:pPr>
          </w:p>
        </w:tc>
      </w:tr>
      <w:tr>
        <w:trPr>
          <w:trHeight w:val="216"/>
        </w:trPr>
        <w:tc>
          <w:tcPr>
            <w:tcW w:w="7540" w:type="dxa"/>
            <w:vAlign w:val="bottom"/>
          </w:tcPr>
          <w:p>
            <w:pPr>
              <w:jc w:val="center"/>
              <w:ind w:left="3798"/>
              <w:spacing w:after="0"/>
              <w:rPr>
                <w:sz w:val="20"/>
                <w:szCs w:val="20"/>
                <w:color w:val="auto"/>
              </w:rPr>
            </w:pPr>
            <w:r>
              <w:rPr>
                <w:rFonts w:ascii="Arial" w:cs="Arial" w:eastAsia="Arial" w:hAnsi="Arial"/>
                <w:sz w:val="18"/>
                <w:szCs w:val="18"/>
                <w:b w:val="1"/>
                <w:bCs w:val="1"/>
                <w:color w:val="auto"/>
                <w:w w:val="87"/>
              </w:rPr>
              <w:t>U.S. Bank National Association</w:t>
            </w:r>
          </w:p>
        </w:tc>
        <w:tc>
          <w:tcPr>
            <w:tcW w:w="3880" w:type="dxa"/>
            <w:vAlign w:val="bottom"/>
          </w:tcPr>
          <w:p>
            <w:pPr>
              <w:spacing w:after="0"/>
              <w:rPr>
                <w:sz w:val="18"/>
                <w:szCs w:val="18"/>
                <w:color w:val="auto"/>
              </w:rPr>
            </w:pPr>
          </w:p>
        </w:tc>
      </w:tr>
      <w:tr>
        <w:trPr>
          <w:trHeight w:val="216"/>
        </w:trPr>
        <w:tc>
          <w:tcPr>
            <w:tcW w:w="7540" w:type="dxa"/>
            <w:vAlign w:val="bottom"/>
          </w:tcPr>
          <w:p>
            <w:pPr>
              <w:jc w:val="center"/>
              <w:ind w:left="3798"/>
              <w:spacing w:after="0"/>
              <w:rPr>
                <w:sz w:val="20"/>
                <w:szCs w:val="20"/>
                <w:color w:val="auto"/>
              </w:rPr>
            </w:pPr>
            <w:r>
              <w:rPr>
                <w:rFonts w:ascii="Arial" w:cs="Arial" w:eastAsia="Arial" w:hAnsi="Arial"/>
                <w:sz w:val="18"/>
                <w:szCs w:val="18"/>
                <w:b w:val="1"/>
                <w:bCs w:val="1"/>
                <w:color w:val="auto"/>
                <w:w w:val="87"/>
              </w:rPr>
              <w:t>60 Livingston Avenue</w:t>
            </w:r>
          </w:p>
        </w:tc>
        <w:tc>
          <w:tcPr>
            <w:tcW w:w="3880" w:type="dxa"/>
            <w:vAlign w:val="bottom"/>
          </w:tcPr>
          <w:p>
            <w:pPr>
              <w:spacing w:after="0"/>
              <w:rPr>
                <w:sz w:val="18"/>
                <w:szCs w:val="18"/>
                <w:color w:val="auto"/>
              </w:rPr>
            </w:pPr>
          </w:p>
        </w:tc>
      </w:tr>
      <w:tr>
        <w:trPr>
          <w:trHeight w:val="216"/>
        </w:trPr>
        <w:tc>
          <w:tcPr>
            <w:tcW w:w="7540" w:type="dxa"/>
            <w:vAlign w:val="bottom"/>
          </w:tcPr>
          <w:p>
            <w:pPr>
              <w:jc w:val="center"/>
              <w:ind w:left="3798"/>
              <w:spacing w:after="0"/>
              <w:rPr>
                <w:sz w:val="20"/>
                <w:szCs w:val="20"/>
                <w:color w:val="auto"/>
              </w:rPr>
            </w:pPr>
            <w:r>
              <w:rPr>
                <w:rFonts w:ascii="Arial" w:cs="Arial" w:eastAsia="Arial" w:hAnsi="Arial"/>
                <w:sz w:val="18"/>
                <w:szCs w:val="18"/>
                <w:b w:val="1"/>
                <w:bCs w:val="1"/>
                <w:color w:val="auto"/>
                <w:w w:val="91"/>
              </w:rPr>
              <w:t>St. Paul, MN 55107</w:t>
            </w:r>
          </w:p>
        </w:tc>
        <w:tc>
          <w:tcPr>
            <w:tcW w:w="3880" w:type="dxa"/>
            <w:vAlign w:val="bottom"/>
          </w:tcPr>
          <w:p>
            <w:pPr>
              <w:spacing w:after="0"/>
              <w:rPr>
                <w:sz w:val="18"/>
                <w:szCs w:val="18"/>
                <w:color w:val="auto"/>
              </w:rPr>
            </w:pPr>
          </w:p>
        </w:tc>
      </w:tr>
      <w:tr>
        <w:trPr>
          <w:trHeight w:val="218"/>
        </w:trPr>
        <w:tc>
          <w:tcPr>
            <w:tcW w:w="7540" w:type="dxa"/>
            <w:vAlign w:val="bottom"/>
          </w:tcPr>
          <w:p>
            <w:pPr>
              <w:jc w:val="right"/>
              <w:ind w:right="1198"/>
              <w:spacing w:after="0"/>
              <w:rPr>
                <w:sz w:val="20"/>
                <w:szCs w:val="20"/>
                <w:color w:val="auto"/>
              </w:rPr>
            </w:pPr>
            <w:r>
              <w:rPr>
                <w:rFonts w:ascii="Arial" w:cs="Arial" w:eastAsia="Arial" w:hAnsi="Arial"/>
                <w:sz w:val="18"/>
                <w:szCs w:val="18"/>
                <w:b w:val="1"/>
                <w:bCs w:val="1"/>
                <w:color w:val="auto"/>
              </w:rPr>
              <w:t>(651) 495-3909</w:t>
            </w:r>
          </w:p>
        </w:tc>
        <w:tc>
          <w:tcPr>
            <w:tcW w:w="3880" w:type="dxa"/>
            <w:vAlign w:val="bottom"/>
          </w:tcPr>
          <w:p>
            <w:pPr>
              <w:spacing w:after="0"/>
              <w:rPr>
                <w:sz w:val="18"/>
                <w:szCs w:val="18"/>
                <w:color w:val="auto"/>
              </w:rPr>
            </w:pPr>
          </w:p>
        </w:tc>
      </w:tr>
      <w:tr>
        <w:trPr>
          <w:trHeight w:val="174"/>
        </w:trPr>
        <w:tc>
          <w:tcPr>
            <w:tcW w:w="7540" w:type="dxa"/>
            <w:vAlign w:val="bottom"/>
          </w:tcPr>
          <w:p>
            <w:pPr>
              <w:jc w:val="center"/>
              <w:ind w:left="3818"/>
              <w:spacing w:after="0"/>
              <w:rPr>
                <w:sz w:val="20"/>
                <w:szCs w:val="20"/>
                <w:color w:val="auto"/>
              </w:rPr>
            </w:pPr>
            <w:r>
              <w:rPr>
                <w:rFonts w:ascii="Arial" w:cs="Arial" w:eastAsia="Arial" w:hAnsi="Arial"/>
                <w:sz w:val="14"/>
                <w:szCs w:val="14"/>
                <w:b w:val="1"/>
                <w:bCs w:val="1"/>
                <w:color w:val="auto"/>
                <w:w w:val="85"/>
              </w:rPr>
              <w:t>(Name, address and telephone number of agent for service)</w:t>
            </w:r>
          </w:p>
        </w:tc>
        <w:tc>
          <w:tcPr>
            <w:tcW w:w="3880" w:type="dxa"/>
            <w:vAlign w:val="bottom"/>
          </w:tcPr>
          <w:p>
            <w:pPr>
              <w:spacing w:after="0"/>
              <w:rPr>
                <w:sz w:val="15"/>
                <w:szCs w:val="15"/>
                <w:color w:val="auto"/>
              </w:rPr>
            </w:pPr>
          </w:p>
        </w:tc>
      </w:tr>
      <w:tr>
        <w:trPr>
          <w:trHeight w:val="352"/>
        </w:trPr>
        <w:tc>
          <w:tcPr>
            <w:tcW w:w="7540" w:type="dxa"/>
            <w:vAlign w:val="bottom"/>
          </w:tcPr>
          <w:p>
            <w:pPr>
              <w:jc w:val="center"/>
              <w:ind w:left="3798"/>
              <w:spacing w:after="0"/>
              <w:rPr>
                <w:sz w:val="20"/>
                <w:szCs w:val="20"/>
                <w:color w:val="auto"/>
              </w:rPr>
            </w:pPr>
            <w:r>
              <w:rPr>
                <w:rFonts w:ascii="Arial" w:cs="Arial" w:eastAsia="Arial" w:hAnsi="Arial"/>
                <w:sz w:val="18"/>
                <w:szCs w:val="18"/>
                <w:b w:val="1"/>
                <w:bCs w:val="1"/>
                <w:color w:val="auto"/>
                <w:w w:val="88"/>
              </w:rPr>
              <w:t>Texas Instruments Incorporated</w:t>
            </w:r>
          </w:p>
        </w:tc>
        <w:tc>
          <w:tcPr>
            <w:tcW w:w="3880" w:type="dxa"/>
            <w:vAlign w:val="bottom"/>
          </w:tcPr>
          <w:p>
            <w:pPr>
              <w:spacing w:after="0"/>
              <w:rPr>
                <w:sz w:val="24"/>
                <w:szCs w:val="24"/>
                <w:color w:val="auto"/>
              </w:rPr>
            </w:pPr>
          </w:p>
        </w:tc>
      </w:tr>
      <w:tr>
        <w:trPr>
          <w:trHeight w:val="174"/>
        </w:trPr>
        <w:tc>
          <w:tcPr>
            <w:tcW w:w="7540" w:type="dxa"/>
            <w:vAlign w:val="bottom"/>
          </w:tcPr>
          <w:p>
            <w:pPr>
              <w:jc w:val="center"/>
              <w:ind w:left="3798"/>
              <w:spacing w:after="0"/>
              <w:rPr>
                <w:sz w:val="20"/>
                <w:szCs w:val="20"/>
                <w:color w:val="auto"/>
              </w:rPr>
            </w:pPr>
            <w:r>
              <w:rPr>
                <w:rFonts w:ascii="Arial" w:cs="Arial" w:eastAsia="Arial" w:hAnsi="Arial"/>
                <w:sz w:val="14"/>
                <w:szCs w:val="14"/>
                <w:b w:val="1"/>
                <w:bCs w:val="1"/>
                <w:color w:val="auto"/>
                <w:w w:val="85"/>
              </w:rPr>
              <w:t>(Issuer with respect to the Securities)</w:t>
            </w:r>
          </w:p>
        </w:tc>
        <w:tc>
          <w:tcPr>
            <w:tcW w:w="3880" w:type="dxa"/>
            <w:vAlign w:val="bottom"/>
          </w:tcPr>
          <w:p>
            <w:pPr>
              <w:spacing w:after="0"/>
              <w:rPr>
                <w:sz w:val="15"/>
                <w:szCs w:val="15"/>
                <w:color w:val="auto"/>
              </w:rPr>
            </w:pPr>
          </w:p>
        </w:tc>
      </w:tr>
      <w:tr>
        <w:trPr>
          <w:trHeight w:val="393"/>
        </w:trPr>
        <w:tc>
          <w:tcPr>
            <w:tcW w:w="7540" w:type="dxa"/>
            <w:vAlign w:val="bottom"/>
          </w:tcPr>
          <w:p>
            <w:pPr>
              <w:jc w:val="center"/>
              <w:ind w:right="1718"/>
              <w:spacing w:after="0"/>
              <w:rPr>
                <w:sz w:val="20"/>
                <w:szCs w:val="20"/>
                <w:color w:val="auto"/>
              </w:rPr>
            </w:pPr>
            <w:r>
              <w:rPr>
                <w:rFonts w:ascii="Arial" w:cs="Arial" w:eastAsia="Arial" w:hAnsi="Arial"/>
                <w:sz w:val="18"/>
                <w:szCs w:val="18"/>
                <w:b w:val="1"/>
                <w:bCs w:val="1"/>
                <w:color w:val="auto"/>
                <w:w w:val="88"/>
              </w:rPr>
              <w:t>Delaware</w:t>
            </w:r>
          </w:p>
        </w:tc>
        <w:tc>
          <w:tcPr>
            <w:tcW w:w="3880" w:type="dxa"/>
            <w:vAlign w:val="bottom"/>
          </w:tcPr>
          <w:p>
            <w:pPr>
              <w:jc w:val="center"/>
              <w:ind w:right="1522"/>
              <w:spacing w:after="0"/>
              <w:rPr>
                <w:sz w:val="20"/>
                <w:szCs w:val="20"/>
                <w:color w:val="auto"/>
              </w:rPr>
            </w:pPr>
            <w:r>
              <w:rPr>
                <w:rFonts w:ascii="Arial" w:cs="Arial" w:eastAsia="Arial" w:hAnsi="Arial"/>
                <w:sz w:val="18"/>
                <w:szCs w:val="18"/>
                <w:b w:val="1"/>
                <w:bCs w:val="1"/>
                <w:color w:val="auto"/>
                <w:w w:val="87"/>
              </w:rPr>
              <w:t>72-0289970</w:t>
            </w:r>
          </w:p>
        </w:tc>
      </w:tr>
      <w:tr>
        <w:trPr>
          <w:trHeight w:val="174"/>
        </w:trPr>
        <w:tc>
          <w:tcPr>
            <w:tcW w:w="7540" w:type="dxa"/>
            <w:vAlign w:val="bottom"/>
          </w:tcPr>
          <w:p>
            <w:pPr>
              <w:jc w:val="center"/>
              <w:ind w:right="1738"/>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3880" w:type="dxa"/>
            <w:vAlign w:val="bottom"/>
          </w:tcPr>
          <w:p>
            <w:pPr>
              <w:jc w:val="center"/>
              <w:ind w:right="150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37"/>
        </w:trPr>
        <w:tc>
          <w:tcPr>
            <w:tcW w:w="7540" w:type="dxa"/>
            <w:vAlign w:val="bottom"/>
          </w:tcPr>
          <w:p>
            <w:pPr>
              <w:jc w:val="center"/>
              <w:ind w:right="1718"/>
              <w:spacing w:after="0"/>
              <w:rPr>
                <w:sz w:val="20"/>
                <w:szCs w:val="20"/>
                <w:color w:val="auto"/>
              </w:rPr>
            </w:pPr>
            <w:r>
              <w:rPr>
                <w:rFonts w:ascii="Arial" w:cs="Arial" w:eastAsia="Arial" w:hAnsi="Arial"/>
                <w:sz w:val="18"/>
                <w:szCs w:val="18"/>
                <w:b w:val="1"/>
                <w:bCs w:val="1"/>
                <w:color w:val="auto"/>
                <w:w w:val="91"/>
              </w:rPr>
              <w:t>12500 TI Boulevard</w:t>
            </w:r>
          </w:p>
        </w:tc>
        <w:tc>
          <w:tcPr>
            <w:tcW w:w="3880" w:type="dxa"/>
            <w:vAlign w:val="bottom"/>
          </w:tcPr>
          <w:p>
            <w:pPr>
              <w:spacing w:after="0"/>
              <w:rPr>
                <w:sz w:val="24"/>
                <w:szCs w:val="24"/>
                <w:color w:val="auto"/>
              </w:rPr>
            </w:pPr>
          </w:p>
        </w:tc>
      </w:tr>
      <w:tr>
        <w:trPr>
          <w:trHeight w:val="216"/>
        </w:trPr>
        <w:tc>
          <w:tcPr>
            <w:tcW w:w="7540" w:type="dxa"/>
            <w:vAlign w:val="bottom"/>
          </w:tcPr>
          <w:p>
            <w:pPr>
              <w:jc w:val="center"/>
              <w:ind w:right="1718"/>
              <w:spacing w:after="0"/>
              <w:rPr>
                <w:sz w:val="20"/>
                <w:szCs w:val="20"/>
                <w:color w:val="auto"/>
              </w:rPr>
            </w:pPr>
            <w:r>
              <w:rPr>
                <w:rFonts w:ascii="Arial" w:cs="Arial" w:eastAsia="Arial" w:hAnsi="Arial"/>
                <w:sz w:val="18"/>
                <w:szCs w:val="18"/>
                <w:b w:val="1"/>
                <w:bCs w:val="1"/>
                <w:color w:val="auto"/>
                <w:w w:val="87"/>
              </w:rPr>
              <w:t>P.O. Box 660199</w:t>
            </w:r>
          </w:p>
        </w:tc>
        <w:tc>
          <w:tcPr>
            <w:tcW w:w="3880" w:type="dxa"/>
            <w:vAlign w:val="bottom"/>
          </w:tcPr>
          <w:p>
            <w:pPr>
              <w:spacing w:after="0"/>
              <w:rPr>
                <w:sz w:val="18"/>
                <w:szCs w:val="18"/>
                <w:color w:val="auto"/>
              </w:rPr>
            </w:pPr>
          </w:p>
        </w:tc>
      </w:tr>
      <w:tr>
        <w:trPr>
          <w:trHeight w:val="231"/>
        </w:trPr>
        <w:tc>
          <w:tcPr>
            <w:tcW w:w="7540" w:type="dxa"/>
            <w:vAlign w:val="bottom"/>
          </w:tcPr>
          <w:p>
            <w:pPr>
              <w:jc w:val="center"/>
              <w:ind w:right="1718"/>
              <w:spacing w:after="0"/>
              <w:rPr>
                <w:sz w:val="20"/>
                <w:szCs w:val="20"/>
                <w:color w:val="auto"/>
              </w:rPr>
            </w:pPr>
            <w:r>
              <w:rPr>
                <w:rFonts w:ascii="Arial" w:cs="Arial" w:eastAsia="Arial" w:hAnsi="Arial"/>
                <w:sz w:val="18"/>
                <w:szCs w:val="18"/>
                <w:b w:val="1"/>
                <w:bCs w:val="1"/>
                <w:color w:val="auto"/>
                <w:w w:val="85"/>
              </w:rPr>
              <w:t>Dallas, Texas</w:t>
            </w:r>
          </w:p>
        </w:tc>
        <w:tc>
          <w:tcPr>
            <w:tcW w:w="3880" w:type="dxa"/>
            <w:vAlign w:val="bottom"/>
          </w:tcPr>
          <w:p>
            <w:pPr>
              <w:jc w:val="center"/>
              <w:ind w:right="1522"/>
              <w:spacing w:after="0"/>
              <w:rPr>
                <w:sz w:val="20"/>
                <w:szCs w:val="20"/>
                <w:color w:val="auto"/>
              </w:rPr>
            </w:pPr>
            <w:r>
              <w:rPr>
                <w:rFonts w:ascii="Arial" w:cs="Arial" w:eastAsia="Arial" w:hAnsi="Arial"/>
                <w:sz w:val="18"/>
                <w:szCs w:val="18"/>
                <w:b w:val="1"/>
                <w:bCs w:val="1"/>
                <w:color w:val="auto"/>
                <w:w w:val="87"/>
              </w:rPr>
              <w:t>75266-0199</w:t>
            </w:r>
          </w:p>
        </w:tc>
      </w:tr>
      <w:tr>
        <w:trPr>
          <w:trHeight w:val="174"/>
        </w:trPr>
        <w:tc>
          <w:tcPr>
            <w:tcW w:w="7540" w:type="dxa"/>
            <w:vAlign w:val="bottom"/>
          </w:tcPr>
          <w:p>
            <w:pPr>
              <w:jc w:val="center"/>
              <w:ind w:right="1738"/>
              <w:spacing w:after="0"/>
              <w:rPr>
                <w:sz w:val="20"/>
                <w:szCs w:val="20"/>
                <w:color w:val="auto"/>
              </w:rPr>
            </w:pPr>
            <w:r>
              <w:rPr>
                <w:rFonts w:ascii="Arial" w:cs="Arial" w:eastAsia="Arial" w:hAnsi="Arial"/>
                <w:sz w:val="14"/>
                <w:szCs w:val="14"/>
                <w:b w:val="1"/>
                <w:bCs w:val="1"/>
                <w:color w:val="auto"/>
                <w:w w:val="87"/>
              </w:rPr>
              <w:t>(Address of Principal Offices)</w:t>
            </w:r>
          </w:p>
        </w:tc>
        <w:tc>
          <w:tcPr>
            <w:tcW w:w="3880" w:type="dxa"/>
            <w:vAlign w:val="bottom"/>
          </w:tcPr>
          <w:p>
            <w:pPr>
              <w:jc w:val="center"/>
              <w:ind w:right="150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7540" w:type="dxa"/>
            <w:vAlign w:val="bottom"/>
          </w:tcPr>
          <w:p>
            <w:pPr>
              <w:jc w:val="center"/>
              <w:ind w:left="3798"/>
              <w:spacing w:after="0"/>
              <w:rPr>
                <w:sz w:val="20"/>
                <w:szCs w:val="20"/>
                <w:color w:val="auto"/>
              </w:rPr>
            </w:pPr>
            <w:r>
              <w:rPr>
                <w:rFonts w:ascii="Arial" w:cs="Arial" w:eastAsia="Arial" w:hAnsi="Arial"/>
                <w:sz w:val="18"/>
                <w:szCs w:val="18"/>
                <w:b w:val="1"/>
                <w:bCs w:val="1"/>
                <w:color w:val="auto"/>
                <w:w w:val="86"/>
              </w:rPr>
              <w:t>Debt Securities</w:t>
            </w:r>
          </w:p>
        </w:tc>
        <w:tc>
          <w:tcPr>
            <w:tcW w:w="3880" w:type="dxa"/>
            <w:vAlign w:val="bottom"/>
          </w:tcPr>
          <w:p>
            <w:pPr>
              <w:spacing w:after="0"/>
              <w:rPr>
                <w:sz w:val="24"/>
                <w:szCs w:val="24"/>
                <w:color w:val="auto"/>
              </w:rPr>
            </w:pPr>
          </w:p>
        </w:tc>
      </w:tr>
      <w:tr>
        <w:trPr>
          <w:trHeight w:val="174"/>
        </w:trPr>
        <w:tc>
          <w:tcPr>
            <w:tcW w:w="7540" w:type="dxa"/>
            <w:vAlign w:val="bottom"/>
          </w:tcPr>
          <w:p>
            <w:pPr>
              <w:jc w:val="center"/>
              <w:ind w:left="3818"/>
              <w:spacing w:after="0"/>
              <w:rPr>
                <w:sz w:val="20"/>
                <w:szCs w:val="20"/>
                <w:color w:val="auto"/>
              </w:rPr>
            </w:pPr>
            <w:r>
              <w:rPr>
                <w:rFonts w:ascii="Arial" w:cs="Arial" w:eastAsia="Arial" w:hAnsi="Arial"/>
                <w:sz w:val="14"/>
                <w:szCs w:val="14"/>
                <w:b w:val="1"/>
                <w:bCs w:val="1"/>
                <w:color w:val="auto"/>
                <w:w w:val="87"/>
              </w:rPr>
              <w:t>(Title of the Indenture Securities)</w:t>
            </w:r>
          </w:p>
        </w:tc>
        <w:tc>
          <w:tcPr>
            <w:tcW w:w="3880" w:type="dxa"/>
            <w:vAlign w:val="bottom"/>
          </w:tcPr>
          <w:p>
            <w:pPr>
              <w:spacing w:after="0"/>
              <w:rPr>
                <w:sz w:val="15"/>
                <w:szCs w:val="15"/>
                <w:color w:val="auto"/>
              </w:rPr>
            </w:pPr>
          </w:p>
        </w:tc>
      </w:tr>
      <w:tr>
        <w:trPr>
          <w:trHeight w:val="483"/>
        </w:trPr>
        <w:tc>
          <w:tcPr>
            <w:tcW w:w="75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40" w:name="page141"/>
    <w:bookmarkEnd w:id="140"/>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T-1</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GENERAL INFORMATION. </w:t>
      </w:r>
      <w:r>
        <w:rPr>
          <w:rFonts w:ascii="Arial" w:cs="Arial" w:eastAsia="Arial" w:hAnsi="Arial"/>
          <w:sz w:val="16"/>
          <w:szCs w:val="16"/>
          <w:color w:val="auto"/>
        </w:rPr>
        <w:t>Furnish the following information as to the Trustee.</w:t>
      </w:r>
    </w:p>
    <w:p>
      <w:pPr>
        <w:spacing w:after="0" w:line="96"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40" w:right="6300" w:hanging="886"/>
        <w:spacing w:after="0" w:line="362" w:lineRule="auto"/>
        <w:tabs>
          <w:tab w:leader="none" w:pos="899"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 xml:space="preserve">AFFILIATIONS WITH OBLIGOR. </w:t>
      </w:r>
      <w:r>
        <w:rPr>
          <w:rFonts w:ascii="Arial" w:cs="Arial" w:eastAsia="Arial" w:hAnsi="Arial"/>
          <w:sz w:val="16"/>
          <w:szCs w:val="16"/>
          <w:i w:val="1"/>
          <w:iCs w:val="1"/>
          <w:color w:val="auto"/>
        </w:rPr>
        <w:t>If the obligor is an affiliate of the Trustee, describe each such affiliation.</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ind w:left="1040" w:hanging="1025"/>
        <w:spacing w:after="0" w:line="268" w:lineRule="auto"/>
        <w:tabs>
          <w:tab w:leader="none" w:pos="102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2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 xml:space="preserve">LIST OF EXHIBITS: </w:t>
      </w:r>
      <w:r>
        <w:rPr>
          <w:rFonts w:ascii="Arial" w:cs="Arial" w:eastAsia="Arial" w:hAnsi="Arial"/>
          <w:sz w:val="16"/>
          <w:szCs w:val="16"/>
          <w:i w:val="1"/>
          <w:iCs w:val="1"/>
          <w:color w:val="auto"/>
        </w:rPr>
        <w:t>List below all exhibits filed as a part of this statement of eligibility and qualification.</w:t>
      </w:r>
    </w:p>
    <w:p>
      <w:pPr>
        <w:spacing w:after="0" w:line="96" w:lineRule="exact"/>
        <w:rPr>
          <w:sz w:val="20"/>
          <w:szCs w:val="20"/>
          <w:color w:val="auto"/>
        </w:rPr>
      </w:pPr>
    </w:p>
    <w:p>
      <w:pPr>
        <w:ind w:left="900" w:hanging="446"/>
        <w:spacing w:after="0"/>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Report of Condition of the Trustee as of September 30, 2006 published pursuant to law or the requirements of its supervising or examining authority, attached as Exhibit 7.</w:t>
      </w:r>
    </w:p>
    <w:p>
      <w:pPr>
        <w:spacing w:after="0" w:line="199" w:lineRule="exact"/>
        <w:rPr>
          <w:rFonts w:ascii="Arial" w:cs="Arial" w:eastAsia="Arial" w:hAnsi="Arial"/>
          <w:sz w:val="18"/>
          <w:szCs w:val="18"/>
          <w:color w:val="auto"/>
        </w:rPr>
      </w:pPr>
    </w:p>
    <w:p>
      <w:pPr>
        <w:ind w:left="220" w:right="380" w:hanging="216"/>
        <w:spacing w:after="0" w:line="268" w:lineRule="auto"/>
        <w:rPr>
          <w:rFonts w:ascii="Arial" w:cs="Arial" w:eastAsia="Arial" w:hAnsi="Arial"/>
          <w:sz w:val="18"/>
          <w:szCs w:val="18"/>
          <w:color w:val="auto"/>
        </w:rPr>
      </w:pPr>
      <w:r>
        <w:rPr>
          <w:rFonts w:ascii="Arial" w:cs="Arial" w:eastAsia="Arial" w:hAnsi="Arial"/>
          <w:sz w:val="18"/>
          <w:szCs w:val="18"/>
          <w:color w:val="auto"/>
        </w:rPr>
        <w:t>* Incorporated by reference to Exhibit 25.1 to Amendment No. 2 to registration statement on S-4, Registration Number 333-128217 filed on November 15,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6000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41" w:name="page142"/>
    <w:bookmarkEnd w:id="141"/>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27th of February, 2007.</w:t>
      </w:r>
    </w:p>
    <w:p>
      <w:pPr>
        <w:spacing w:after="0" w:line="36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Raymond S. Haverstock</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/s/ Jay Paulson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Jay Paulson</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274" w:right="439" w:bottom="1440" w:gutter="0" w:footer="0" w:header="0"/>
        </w:sectPr>
      </w:pPr>
    </w:p>
    <w:bookmarkStart w:id="142" w:name="page143"/>
    <w:bookmarkEnd w:id="142"/>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6</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27th, 2007</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Raymond S. Haverstock</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/s/ Jay Paulson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Jay Paulson</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Exhibit 7</w:t>
            </w:r>
          </w:p>
        </w:tc>
        <w:tc>
          <w:tcPr>
            <w:tcW w:w="444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3980" w:type="dxa"/>
            <w:vAlign w:val="bottom"/>
          </w:tcPr>
          <w:p>
            <w:pPr>
              <w:spacing w:after="0"/>
              <w:rPr>
                <w:sz w:val="19"/>
                <w:szCs w:val="19"/>
                <w:color w:val="auto"/>
              </w:rPr>
            </w:pPr>
          </w:p>
        </w:tc>
        <w:tc>
          <w:tcPr>
            <w:tcW w:w="6520" w:type="dxa"/>
            <w:vAlign w:val="bottom"/>
            <w:gridSpan w:val="4"/>
          </w:tcPr>
          <w:p>
            <w:pPr>
              <w:jc w:val="center"/>
              <w:ind w:right="3060"/>
              <w:spacing w:after="0"/>
              <w:rPr>
                <w:sz w:val="20"/>
                <w:szCs w:val="20"/>
                <w:color w:val="auto"/>
              </w:rPr>
            </w:pPr>
            <w:r>
              <w:rPr>
                <w:rFonts w:ascii="Arial" w:cs="Arial" w:eastAsia="Arial" w:hAnsi="Arial"/>
                <w:sz w:val="18"/>
                <w:szCs w:val="18"/>
                <w:b w:val="1"/>
                <w:bCs w:val="1"/>
                <w:color w:val="auto"/>
                <w:w w:val="87"/>
              </w:rPr>
              <w:t>U.S. Bank National Association</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3980" w:type="dxa"/>
            <w:vAlign w:val="bottom"/>
          </w:tcPr>
          <w:p>
            <w:pPr>
              <w:spacing w:after="0"/>
              <w:rPr>
                <w:sz w:val="18"/>
                <w:szCs w:val="18"/>
                <w:color w:val="auto"/>
              </w:rPr>
            </w:pPr>
          </w:p>
        </w:tc>
        <w:tc>
          <w:tcPr>
            <w:tcW w:w="6520" w:type="dxa"/>
            <w:vAlign w:val="bottom"/>
            <w:gridSpan w:val="4"/>
          </w:tcPr>
          <w:p>
            <w:pPr>
              <w:jc w:val="center"/>
              <w:ind w:right="3060"/>
              <w:spacing w:after="0"/>
              <w:rPr>
                <w:sz w:val="20"/>
                <w:szCs w:val="20"/>
                <w:color w:val="auto"/>
              </w:rPr>
            </w:pPr>
            <w:r>
              <w:rPr>
                <w:rFonts w:ascii="Arial" w:cs="Arial" w:eastAsia="Arial" w:hAnsi="Arial"/>
                <w:sz w:val="18"/>
                <w:szCs w:val="18"/>
                <w:b w:val="1"/>
                <w:bCs w:val="1"/>
                <w:color w:val="auto"/>
                <w:w w:val="88"/>
              </w:rPr>
              <w:t>Statement of Financial Condition</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3980" w:type="dxa"/>
            <w:vAlign w:val="bottom"/>
          </w:tcPr>
          <w:p>
            <w:pPr>
              <w:spacing w:after="0"/>
              <w:rPr>
                <w:sz w:val="19"/>
                <w:szCs w:val="19"/>
                <w:color w:val="auto"/>
              </w:rPr>
            </w:pPr>
          </w:p>
        </w:tc>
        <w:tc>
          <w:tcPr>
            <w:tcW w:w="6520" w:type="dxa"/>
            <w:vAlign w:val="bottom"/>
            <w:gridSpan w:val="4"/>
          </w:tcPr>
          <w:p>
            <w:pPr>
              <w:jc w:val="center"/>
              <w:ind w:right="3060"/>
              <w:spacing w:after="0"/>
              <w:rPr>
                <w:sz w:val="20"/>
                <w:szCs w:val="20"/>
                <w:color w:val="auto"/>
              </w:rPr>
            </w:pPr>
            <w:r>
              <w:rPr>
                <w:rFonts w:ascii="Arial" w:cs="Arial" w:eastAsia="Arial" w:hAnsi="Arial"/>
                <w:sz w:val="18"/>
                <w:szCs w:val="18"/>
                <w:b w:val="1"/>
                <w:bCs w:val="1"/>
                <w:color w:val="auto"/>
                <w:w w:val="87"/>
              </w:rPr>
              <w:t>As of 9/30/2006</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8"/>
        </w:trPr>
        <w:tc>
          <w:tcPr>
            <w:tcW w:w="3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120" w:type="dxa"/>
            <w:vAlign w:val="bottom"/>
            <w:gridSpan w:val="3"/>
          </w:tcPr>
          <w:p>
            <w:pPr>
              <w:jc w:val="center"/>
              <w:ind w:right="4460"/>
              <w:spacing w:after="0"/>
              <w:rPr>
                <w:sz w:val="20"/>
                <w:szCs w:val="20"/>
                <w:color w:val="auto"/>
              </w:rPr>
            </w:pPr>
            <w:r>
              <w:rPr>
                <w:rFonts w:ascii="Arial" w:cs="Arial" w:eastAsia="Arial" w:hAnsi="Arial"/>
                <w:sz w:val="18"/>
                <w:szCs w:val="18"/>
                <w:b w:val="1"/>
                <w:bCs w:val="1"/>
                <w:color w:val="auto"/>
                <w:w w:val="86"/>
              </w:rPr>
              <w:t>($000’s)</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3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9/30/2006</w:t>
            </w:r>
          </w:p>
        </w:tc>
        <w:tc>
          <w:tcPr>
            <w:tcW w:w="20" w:type="dxa"/>
            <w:vAlign w:val="bottom"/>
          </w:tcPr>
          <w:p>
            <w:pPr>
              <w:spacing w:after="0"/>
              <w:rPr>
                <w:sz w:val="24"/>
                <w:szCs w:val="24"/>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Cash and Due From Depository Institutions</w:t>
            </w:r>
          </w:p>
        </w:tc>
        <w:tc>
          <w:tcPr>
            <w:tcW w:w="65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6,436,856</w:t>
            </w:r>
          </w:p>
        </w:tc>
        <w:tc>
          <w:tcPr>
            <w:tcW w:w="20" w:type="dxa"/>
            <w:vAlign w:val="bottom"/>
          </w:tcPr>
          <w:p>
            <w:pPr>
              <w:spacing w:after="0"/>
              <w:rPr>
                <w:sz w:val="18"/>
                <w:szCs w:val="18"/>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Securities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39,245,651</w:t>
            </w:r>
          </w:p>
        </w:tc>
        <w:tc>
          <w:tcPr>
            <w:tcW w:w="20" w:type="dxa"/>
            <w:vAlign w:val="bottom"/>
          </w:tcPr>
          <w:p>
            <w:pPr>
              <w:spacing w:after="0"/>
              <w:rPr>
                <w:sz w:val="18"/>
                <w:szCs w:val="18"/>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Federal Funds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3,475,844</w:t>
            </w:r>
          </w:p>
        </w:tc>
        <w:tc>
          <w:tcPr>
            <w:tcW w:w="20" w:type="dxa"/>
            <w:vAlign w:val="bottom"/>
          </w:tcPr>
          <w:p>
            <w:pPr>
              <w:spacing w:after="0"/>
              <w:rPr>
                <w:sz w:val="18"/>
                <w:szCs w:val="18"/>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&amp; Lease Financing Receivables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141,382,736</w:t>
            </w:r>
          </w:p>
        </w:tc>
        <w:tc>
          <w:tcPr>
            <w:tcW w:w="20" w:type="dxa"/>
            <w:vAlign w:val="bottom"/>
          </w:tcPr>
          <w:p>
            <w:pPr>
              <w:spacing w:after="0"/>
              <w:rPr>
                <w:sz w:val="18"/>
                <w:szCs w:val="18"/>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Fixed Assets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2,629,727</w:t>
            </w:r>
          </w:p>
        </w:tc>
        <w:tc>
          <w:tcPr>
            <w:tcW w:w="20" w:type="dxa"/>
            <w:vAlign w:val="bottom"/>
          </w:tcPr>
          <w:p>
            <w:pPr>
              <w:spacing w:after="0"/>
              <w:rPr>
                <w:sz w:val="18"/>
                <w:szCs w:val="18"/>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11,923,005</w:t>
            </w:r>
          </w:p>
        </w:tc>
        <w:tc>
          <w:tcPr>
            <w:tcW w:w="20" w:type="dxa"/>
            <w:vAlign w:val="bottom"/>
          </w:tcPr>
          <w:p>
            <w:pPr>
              <w:spacing w:after="0"/>
              <w:rPr>
                <w:sz w:val="18"/>
                <w:szCs w:val="18"/>
                <w:color w:val="auto"/>
              </w:rPr>
            </w:pPr>
          </w:p>
        </w:tc>
      </w:tr>
      <w:tr>
        <w:trPr>
          <w:trHeight w:val="223"/>
        </w:trPr>
        <w:tc>
          <w:tcPr>
            <w:tcW w:w="398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10,799,396</w:t>
            </w:r>
          </w:p>
        </w:tc>
        <w:tc>
          <w:tcPr>
            <w:tcW w:w="20" w:type="dxa"/>
            <w:vAlign w:val="bottom"/>
          </w:tcPr>
          <w:p>
            <w:pPr>
              <w:spacing w:after="0"/>
              <w:rPr>
                <w:sz w:val="19"/>
                <w:szCs w:val="19"/>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6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215,893,215</w:t>
            </w:r>
          </w:p>
        </w:tc>
        <w:tc>
          <w:tcPr>
            <w:tcW w:w="20" w:type="dxa"/>
            <w:vAlign w:val="bottom"/>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Deposits</w:t>
            </w:r>
          </w:p>
        </w:tc>
        <w:tc>
          <w:tcPr>
            <w:tcW w:w="6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133,945,028</w:t>
            </w:r>
          </w:p>
        </w:tc>
        <w:tc>
          <w:tcPr>
            <w:tcW w:w="20" w:type="dxa"/>
            <w:vAlign w:val="bottom"/>
          </w:tcPr>
          <w:p>
            <w:pPr>
              <w:spacing w:after="0"/>
              <w:rPr>
                <w:sz w:val="18"/>
                <w:szCs w:val="18"/>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Fed Funds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12,987,134</w:t>
            </w:r>
          </w:p>
        </w:tc>
        <w:tc>
          <w:tcPr>
            <w:tcW w:w="20" w:type="dxa"/>
            <w:vAlign w:val="bottom"/>
          </w:tcPr>
          <w:p>
            <w:pPr>
              <w:spacing w:after="0"/>
              <w:rPr>
                <w:sz w:val="18"/>
                <w:szCs w:val="18"/>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Treasury Demand Notes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Trading Liabilities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166,479</w:t>
            </w:r>
          </w:p>
        </w:tc>
        <w:tc>
          <w:tcPr>
            <w:tcW w:w="20" w:type="dxa"/>
            <w:vAlign w:val="bottom"/>
          </w:tcPr>
          <w:p>
            <w:pPr>
              <w:spacing w:after="0"/>
              <w:rPr>
                <w:sz w:val="18"/>
                <w:szCs w:val="18"/>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Borrowed Money</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31,884,451</w:t>
            </w:r>
          </w:p>
        </w:tc>
        <w:tc>
          <w:tcPr>
            <w:tcW w:w="20" w:type="dxa"/>
            <w:vAlign w:val="bottom"/>
          </w:tcPr>
          <w:p>
            <w:pPr>
              <w:spacing w:after="0"/>
              <w:rPr>
                <w:sz w:val="18"/>
                <w:szCs w:val="18"/>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Acceptances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Subordinated Notes and Debentures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6,909,696</w:t>
            </w:r>
          </w:p>
        </w:tc>
        <w:tc>
          <w:tcPr>
            <w:tcW w:w="20" w:type="dxa"/>
            <w:vAlign w:val="bottom"/>
          </w:tcPr>
          <w:p>
            <w:pPr>
              <w:spacing w:after="0"/>
              <w:rPr>
                <w:sz w:val="18"/>
                <w:szCs w:val="18"/>
                <w:color w:val="auto"/>
              </w:rPr>
            </w:pPr>
          </w:p>
        </w:tc>
      </w:tr>
      <w:tr>
        <w:trPr>
          <w:trHeight w:val="223"/>
        </w:trPr>
        <w:tc>
          <w:tcPr>
            <w:tcW w:w="398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7,674,530</w:t>
            </w:r>
          </w:p>
        </w:tc>
        <w:tc>
          <w:tcPr>
            <w:tcW w:w="20" w:type="dxa"/>
            <w:vAlign w:val="bottom"/>
          </w:tcPr>
          <w:p>
            <w:pPr>
              <w:spacing w:after="0"/>
              <w:rPr>
                <w:sz w:val="19"/>
                <w:szCs w:val="19"/>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w:t>
            </w:r>
          </w:p>
        </w:tc>
        <w:tc>
          <w:tcPr>
            <w:tcW w:w="6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193,567,318</w:t>
            </w:r>
          </w:p>
        </w:tc>
        <w:tc>
          <w:tcPr>
            <w:tcW w:w="20" w:type="dxa"/>
            <w:vAlign w:val="bottom"/>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 in Subsidiaries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1,044,165</w:t>
            </w:r>
          </w:p>
        </w:tc>
        <w:tc>
          <w:tcPr>
            <w:tcW w:w="20" w:type="dxa"/>
            <w:vAlign w:val="bottom"/>
          </w:tcPr>
          <w:p>
            <w:pPr>
              <w:spacing w:after="0"/>
              <w:rPr>
                <w:sz w:val="18"/>
                <w:szCs w:val="18"/>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Common and Preferred Stock</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18,200</w:t>
            </w:r>
          </w:p>
        </w:tc>
        <w:tc>
          <w:tcPr>
            <w:tcW w:w="20" w:type="dxa"/>
            <w:vAlign w:val="bottom"/>
          </w:tcPr>
          <w:p>
            <w:pPr>
              <w:spacing w:after="0"/>
              <w:rPr>
                <w:sz w:val="18"/>
                <w:szCs w:val="18"/>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Surplus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11,977,237</w:t>
            </w:r>
          </w:p>
        </w:tc>
        <w:tc>
          <w:tcPr>
            <w:tcW w:w="20" w:type="dxa"/>
            <w:vAlign w:val="bottom"/>
          </w:tcPr>
          <w:p>
            <w:pPr>
              <w:spacing w:after="0"/>
              <w:rPr>
                <w:sz w:val="18"/>
                <w:szCs w:val="18"/>
                <w:color w:val="auto"/>
              </w:rPr>
            </w:pPr>
          </w:p>
        </w:tc>
      </w:tr>
      <w:tr>
        <w:trPr>
          <w:trHeight w:val="223"/>
        </w:trPr>
        <w:tc>
          <w:tcPr>
            <w:tcW w:w="3980" w:type="dxa"/>
            <w:vAlign w:val="bottom"/>
          </w:tcPr>
          <w:p>
            <w:pPr>
              <w:ind w:left="440"/>
              <w:spacing w:after="0"/>
              <w:rPr>
                <w:sz w:val="20"/>
                <w:szCs w:val="20"/>
                <w:color w:val="auto"/>
              </w:rPr>
            </w:pPr>
            <w:r>
              <w:rPr>
                <w:rFonts w:ascii="Arial" w:cs="Arial" w:eastAsia="Arial" w:hAnsi="Arial"/>
                <w:sz w:val="18"/>
                <w:szCs w:val="18"/>
                <w:color w:val="auto"/>
              </w:rPr>
              <w:t>Undivided Profits</w:t>
            </w: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9,286,295</w:t>
            </w:r>
          </w:p>
        </w:tc>
        <w:tc>
          <w:tcPr>
            <w:tcW w:w="20" w:type="dxa"/>
            <w:vAlign w:val="bottom"/>
          </w:tcPr>
          <w:p>
            <w:pPr>
              <w:spacing w:after="0"/>
              <w:rPr>
                <w:sz w:val="19"/>
                <w:szCs w:val="19"/>
                <w:color w:val="auto"/>
              </w:rPr>
            </w:pPr>
          </w:p>
        </w:tc>
      </w:tr>
      <w:tr>
        <w:trPr>
          <w:trHeight w:val="216"/>
        </w:trPr>
        <w:tc>
          <w:tcPr>
            <w:tcW w:w="39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Equity Capital</w:t>
            </w:r>
          </w:p>
        </w:tc>
        <w:tc>
          <w:tcPr>
            <w:tcW w:w="6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22,325,897</w:t>
            </w:r>
          </w:p>
        </w:tc>
        <w:tc>
          <w:tcPr>
            <w:tcW w:w="20" w:type="dxa"/>
            <w:vAlign w:val="bottom"/>
          </w:tcPr>
          <w:p>
            <w:pPr>
              <w:spacing w:after="0"/>
              <w:rPr>
                <w:sz w:val="18"/>
                <w:szCs w:val="18"/>
                <w:color w:val="auto"/>
              </w:rPr>
            </w:pPr>
          </w:p>
        </w:tc>
      </w:tr>
      <w:tr>
        <w:trPr>
          <w:trHeight w:val="228"/>
        </w:trPr>
        <w:tc>
          <w:tcPr>
            <w:tcW w:w="398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5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215,893,215</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6000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best of the undersigned’s determination, as of the date hereof, the above financial information is true and correct.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27th,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sectPr>
      <w:pgSz w:w="11900" w:h="16838" w:orient="portrait"/>
      <w:cols w:equalWidth="0" w:num="1">
        <w:col w:w="11420"/>
      </w:cols>
      <w:pgMar w:left="240" w:top="2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decimal"/>
      <w:start w:val="1"/>
    </w:lvl>
  </w:abstractNum>
  <w:abstractNum w:abstractNumId="1">
    <w:nsid w:val="4B588F54"/>
    <w:multiLevelType w:val="hybridMultilevel"/>
    <w:lvl w:ilvl="0">
      <w:lvlJc w:val="left"/>
      <w:lvlText w:val="(%1)"/>
      <w:numFmt w:val="decimal"/>
      <w:start w:val="2"/>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1)"/>
      <w:numFmt w:val="lowerLetter"/>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lvl w:ilvl="1">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lvl w:ilvl="1">
      <w:lvlJc w:val="left"/>
      <w:lvlText w:val="\emdash "/>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1)"/>
      <w:numFmt w:val="lowerRoman"/>
      <w:start w:val="1"/>
    </w:lvl>
  </w:abstractNum>
  <w:abstractNum w:abstractNumId="25">
    <w:nsid w:val="235BA86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6">
    <w:nsid w:val="47398C89"/>
    <w:multiLevelType w:val="hybridMultilevel"/>
    <w:lvl w:ilvl="0">
      <w:lvlJc w:val="left"/>
      <w:lvlText w:val="(%1)"/>
      <w:numFmt w:val="decimal"/>
      <w:start w:val="2"/>
    </w:lvl>
    <w:lvl w:ilvl="1">
      <w:lvlJc w:val="left"/>
      <w:lvlText w:val="(%2)"/>
      <w:numFmt w:val="upperLetter"/>
      <w:start w:val="1"/>
    </w:lvl>
  </w:abstractNum>
  <w:abstractNum w:abstractNumId="27">
    <w:nsid w:val="354FE9F9"/>
    <w:multiLevelType w:val="hybridMultilevel"/>
    <w:lvl w:ilvl="0">
      <w:lvlJc w:val="left"/>
      <w:lvlText w:val="(%1)"/>
      <w:numFmt w:val="decimal"/>
      <w:start w:val="5"/>
    </w:lvl>
  </w:abstractNum>
  <w:abstractNum w:abstractNumId="28">
    <w:nsid w:val="15B5AF5C"/>
    <w:multiLevelType w:val="hybridMultilevel"/>
    <w:lvl w:ilvl="0">
      <w:lvlJc w:val="left"/>
      <w:lvlText w:val="%1"/>
      <w:numFmt w:val="lowerLetter"/>
      <w:start w:val="1"/>
    </w:lvl>
    <w:lvl w:ilvl="1">
      <w:lvlJc w:val="left"/>
      <w:lvlText w:val="(%2)"/>
      <w:numFmt w:val="lowerRoman"/>
      <w:start w:val="1"/>
    </w:lvl>
  </w:abstractNum>
  <w:abstractNum w:abstractNumId="29">
    <w:nsid w:val="741226BB"/>
    <w:multiLevelType w:val="hybridMultilevel"/>
    <w:lvl w:ilvl="0">
      <w:lvlJc w:val="left"/>
      <w:lvlText w:val="(%1)"/>
      <w:numFmt w:val="lowerLetter"/>
      <w:start w:val="2"/>
    </w:lvl>
    <w:lvl w:ilvl="1">
      <w:lvlJc w:val="left"/>
      <w:lvlText w:val="%2"/>
      <w:numFmt w:val="lowerRoman"/>
      <w:start w:val="1"/>
    </w:lvl>
  </w:abstractNum>
  <w:abstractNum w:abstractNumId="30">
    <w:nsid w:val="D34B6A8"/>
    <w:multiLevelType w:val="hybridMultilevel"/>
    <w:lvl w:ilvl="0">
      <w:lvlJc w:val="left"/>
      <w:lvlText w:val="(%1)"/>
      <w:numFmt w:val="lowerLetter"/>
      <w:start w:val="4"/>
    </w:lvl>
  </w:abstractNum>
  <w:abstractNum w:abstractNumId="31">
    <w:nsid w:val="10233C99"/>
    <w:multiLevelType w:val="hybridMultilevel"/>
    <w:lvl w:ilvl="0">
      <w:lvlJc w:val="left"/>
      <w:lvlText w:val="(%1)"/>
      <w:numFmt w:val="lowerLetter"/>
      <w:start w:val="1"/>
    </w:lvl>
  </w:abstractNum>
  <w:abstractNum w:abstractNumId="32">
    <w:nsid w:val="3F6AB60F"/>
    <w:multiLevelType w:val="hybridMultilevel"/>
    <w:lvl w:ilvl="0">
      <w:lvlJc w:val="left"/>
      <w:lvlText w:val="(%1)"/>
      <w:numFmt w:val="lowerLetter"/>
      <w:start w:val="2"/>
    </w:lvl>
    <w:lvl w:ilvl="1">
      <w:lvlJc w:val="left"/>
      <w:lvlText w:val="(%2)"/>
      <w:numFmt w:val="lowerRoman"/>
      <w:start w:val="1"/>
    </w:lvl>
  </w:abstractNum>
  <w:abstractNum w:abstractNumId="33">
    <w:nsid w:val="61574095"/>
    <w:multiLevelType w:val="hybridMultilevel"/>
    <w:lvl w:ilvl="0">
      <w:lvlJc w:val="left"/>
      <w:lvlText w:val="(%1)"/>
      <w:numFmt w:val="lowerRoman"/>
      <w:start w:val="6"/>
    </w:lvl>
  </w:abstractNum>
  <w:abstractNum w:abstractNumId="34">
    <w:nsid w:val="7E0C57B1"/>
    <w:multiLevelType w:val="hybridMultilevel"/>
    <w:lvl w:ilvl="0">
      <w:lvlJc w:val="left"/>
      <w:lvlText w:val="(%1)"/>
      <w:numFmt w:val="lowerLetter"/>
      <w:start w:val="3"/>
    </w:lvl>
    <w:lvl w:ilvl="1">
      <w:lvlJc w:val="left"/>
      <w:lvlText w:val="(%2)"/>
      <w:numFmt w:val="lowerRoman"/>
      <w:start w:val="1"/>
    </w:lvl>
  </w:abstractNum>
  <w:abstractNum w:abstractNumId="35">
    <w:nsid w:val="77AE35EB"/>
    <w:multiLevelType w:val="hybridMultilevel"/>
    <w:lvl w:ilvl="0">
      <w:lvlJc w:val="left"/>
      <w:lvlText w:val="(%1)"/>
      <w:numFmt w:val="lowerRoman"/>
      <w:start w:val="3"/>
    </w:lvl>
  </w:abstractNum>
  <w:abstractNum w:abstractNumId="36">
    <w:nsid w:val="579BE4F1"/>
    <w:multiLevelType w:val="hybridMultilevel"/>
    <w:lvl w:ilvl="0">
      <w:lvlJc w:val="left"/>
      <w:lvlText w:val="(%1)"/>
      <w:numFmt w:val="lowerRoman"/>
      <w:start w:val="9"/>
    </w:lvl>
  </w:abstractNum>
  <w:abstractNum w:abstractNumId="37">
    <w:nsid w:val="310C50B3"/>
    <w:multiLevelType w:val="hybridMultilevel"/>
    <w:lvl w:ilvl="0">
      <w:lvlJc w:val="left"/>
      <w:lvlText w:val="(%1)"/>
      <w:numFmt w:val="lowerLetter"/>
      <w:start w:val="5"/>
    </w:lvl>
  </w:abstractNum>
  <w:abstractNum w:abstractNumId="38">
    <w:nsid w:val="5FF87E05"/>
    <w:multiLevelType w:val="hybridMultilevel"/>
    <w:lvl w:ilvl="0">
      <w:lvlJc w:val="left"/>
      <w:lvlText w:val="(%1)"/>
      <w:numFmt w:val="lowerLetter"/>
      <w:start w:val="1"/>
    </w:lvl>
  </w:abstractNum>
  <w:abstractNum w:abstractNumId="39">
    <w:nsid w:val="2F305DEF"/>
    <w:multiLevelType w:val="hybridMultilevel"/>
    <w:lvl w:ilvl="0">
      <w:lvlJc w:val="left"/>
      <w:lvlText w:val="(%1)"/>
      <w:numFmt w:val="lowerLetter"/>
      <w:start w:val="6"/>
    </w:lvl>
  </w:abstractNum>
  <w:abstractNum w:abstractNumId="40">
    <w:nsid w:val="25A70BF7"/>
    <w:multiLevelType w:val="hybridMultilevel"/>
    <w:lvl w:ilvl="0">
      <w:lvlJc w:val="left"/>
      <w:lvlText w:val="%1"/>
      <w:numFmt w:val="lowerLetter"/>
      <w:start w:val="1"/>
    </w:lvl>
    <w:lvl w:ilvl="1">
      <w:lvlJc w:val="left"/>
      <w:lvlText w:val="(%2)"/>
      <w:numFmt w:val="lowerLetter"/>
      <w:start w:val="9"/>
    </w:lvl>
  </w:abstractNum>
  <w:abstractNum w:abstractNumId="41">
    <w:nsid w:val="1DBABF00"/>
    <w:multiLevelType w:val="hybridMultilevel"/>
    <w:lvl w:ilvl="0">
      <w:lvlJc w:val="left"/>
      <w:lvlText w:val="(%1)"/>
      <w:numFmt w:val="lowerLetter"/>
      <w:start w:val="9"/>
    </w:lvl>
    <w:lvl w:ilvl="1">
      <w:lvlJc w:val="left"/>
      <w:lvlText w:val="(%2)"/>
      <w:numFmt w:val="lowerLetter"/>
      <w:start w:val="10"/>
    </w:lvl>
  </w:abstractNum>
  <w:abstractNum w:abstractNumId="42">
    <w:nsid w:val="4AD084E9"/>
    <w:multiLevelType w:val="hybridMultilevel"/>
    <w:lvl w:ilvl="0">
      <w:lvlJc w:val="left"/>
      <w:lvlText w:val="(%1)"/>
      <w:numFmt w:val="lowerLetter"/>
      <w:start w:val="1"/>
    </w:lvl>
  </w:abstractNum>
  <w:abstractNum w:abstractNumId="43">
    <w:nsid w:val="1F48EAA1"/>
    <w:multiLevelType w:val="hybridMultilevel"/>
    <w:lvl w:ilvl="0">
      <w:lvlJc w:val="left"/>
      <w:lvlText w:val="(%1)"/>
      <w:numFmt w:val="lowerLetter"/>
      <w:start w:val="61"/>
    </w:lvl>
    <w:lvl w:ilvl="1">
      <w:lvlJc w:val="left"/>
      <w:lvlText w:val="(%2)"/>
      <w:numFmt w:val="lowerLetter"/>
      <w:start w:val="3"/>
    </w:lvl>
  </w:abstractNum>
  <w:abstractNum w:abstractNumId="44">
    <w:nsid w:val="1381823A"/>
    <w:multiLevelType w:val="hybridMultilevel"/>
    <w:lvl w:ilvl="0">
      <w:lvlJc w:val="left"/>
      <w:lvlText w:val="(%1)"/>
      <w:numFmt w:val="lowerLetter"/>
      <w:start w:val="4"/>
    </w:lvl>
  </w:abstractNum>
  <w:abstractNum w:abstractNumId="45">
    <w:nsid w:val="5DB70AE5"/>
    <w:multiLevelType w:val="hybridMultilevel"/>
    <w:lvl w:ilvl="0">
      <w:lvlJc w:val="left"/>
      <w:lvlText w:val="%1"/>
      <w:numFmt w:val="lowerLetter"/>
      <w:start w:val="1"/>
    </w:lvl>
    <w:lvl w:ilvl="1">
      <w:lvlJc w:val="left"/>
      <w:lvlText w:val="(%2)"/>
      <w:numFmt w:val="lowerLetter"/>
      <w:start w:val="9"/>
    </w:lvl>
  </w:abstractNum>
  <w:abstractNum w:abstractNumId="46">
    <w:nsid w:val="100F8FCA"/>
    <w:multiLevelType w:val="hybridMultilevel"/>
    <w:lvl w:ilvl="0">
      <w:lvlJc w:val="left"/>
      <w:lvlText w:val="(%1)"/>
      <w:numFmt w:val="lowerLetter"/>
      <w:start w:val="61"/>
    </w:lvl>
    <w:lvl w:ilvl="1">
      <w:lvlJc w:val="left"/>
      <w:lvlText w:val="(%2)"/>
      <w:numFmt w:val="lowerLetter"/>
      <w:start w:val="11"/>
    </w:lvl>
  </w:abstractNum>
  <w:abstractNum w:abstractNumId="47">
    <w:nsid w:val="6590700B"/>
    <w:multiLevelType w:val="hybridMultilevel"/>
    <w:lvl w:ilvl="0">
      <w:lvlJc w:val="left"/>
      <w:lvlText w:val="(%1)"/>
      <w:numFmt w:val="lowerLetter"/>
      <w:start w:val="14"/>
    </w:lvl>
  </w:abstractNum>
  <w:abstractNum w:abstractNumId="48">
    <w:nsid w:val="15014ACB"/>
    <w:multiLevelType w:val="hybridMultilevel"/>
    <w:lvl w:ilvl="0">
      <w:lvlJc w:val="left"/>
      <w:lvlText w:val="(%1)"/>
      <w:numFmt w:val="lowerLetter"/>
      <w:start w:val="1"/>
    </w:lvl>
  </w:abstractNum>
  <w:abstractNum w:abstractNumId="49">
    <w:nsid w:val="5F5E7FD0"/>
    <w:multiLevelType w:val="hybridMultilevel"/>
    <w:lvl w:ilvl="0">
      <w:lvlJc w:val="left"/>
      <w:lvlText w:val="(%1)"/>
      <w:numFmt w:val="lowerLetter"/>
      <w:start w:val="1"/>
    </w:lvl>
  </w:abstractNum>
  <w:abstractNum w:abstractNumId="50">
    <w:nsid w:val="98A3148"/>
    <w:multiLevelType w:val="hybridMultilevel"/>
    <w:lvl w:ilvl="0">
      <w:lvlJc w:val="left"/>
      <w:lvlText w:val="(%1)"/>
      <w:numFmt w:val="lowerLetter"/>
      <w:start w:val="3"/>
    </w:lvl>
  </w:abstractNum>
  <w:abstractNum w:abstractNumId="51">
    <w:nsid w:val="799D0247"/>
    <w:multiLevelType w:val="hybridMultilevel"/>
    <w:lvl w:ilvl="0">
      <w:lvlJc w:val="left"/>
      <w:lvlText w:val="(%1)"/>
      <w:numFmt w:val="lowerLetter"/>
      <w:start w:val="1"/>
    </w:lvl>
  </w:abstractNum>
  <w:abstractNum w:abstractNumId="52">
    <w:nsid w:val="6B94764"/>
    <w:multiLevelType w:val="hybridMultilevel"/>
    <w:lvl w:ilvl="0">
      <w:lvlJc w:val="left"/>
      <w:lvlText w:val="(%1)"/>
      <w:numFmt w:val="lowerLetter"/>
      <w:start w:val="6"/>
    </w:lvl>
  </w:abstractNum>
  <w:abstractNum w:abstractNumId="53">
    <w:nsid w:val="42C296BD"/>
    <w:multiLevelType w:val="hybridMultilevel"/>
    <w:lvl w:ilvl="0">
      <w:lvlJc w:val="left"/>
      <w:lvlText w:val="(%1)"/>
      <w:numFmt w:val="lowerLetter"/>
      <w:start w:val="17"/>
    </w:lvl>
  </w:abstractNum>
  <w:abstractNum w:abstractNumId="54">
    <w:nsid w:val="168E121F"/>
    <w:multiLevelType w:val="hybridMultilevel"/>
    <w:lvl w:ilvl="0">
      <w:lvlJc w:val="left"/>
      <w:lvlText w:val="(%1)"/>
      <w:numFmt w:val="lowerLetter"/>
      <w:start w:val="1"/>
    </w:lvl>
    <w:lvl w:ilvl="1">
      <w:lvlJc w:val="left"/>
      <w:lvlText w:val="(%2)"/>
      <w:numFmt w:val="lowerRoman"/>
      <w:start w:val="1"/>
    </w:lvl>
  </w:abstractNum>
  <w:abstractNum w:abstractNumId="55">
    <w:nsid w:val="1EBA5D23"/>
    <w:multiLevelType w:val="hybridMultilevel"/>
    <w:lvl w:ilvl="0">
      <w:lvlJc w:val="left"/>
      <w:lvlText w:val="(%1)"/>
      <w:numFmt w:val="lowerRoman"/>
      <w:start w:val="3"/>
    </w:lvl>
  </w:abstractNum>
  <w:abstractNum w:abstractNumId="56">
    <w:nsid w:val="661E3F1E"/>
    <w:multiLevelType w:val="hybridMultilevel"/>
    <w:lvl w:ilvl="0">
      <w:lvlJc w:val="left"/>
      <w:lvlText w:val="(%1)"/>
      <w:numFmt w:val="lowerRoman"/>
      <w:start w:val="1"/>
    </w:lvl>
  </w:abstractNum>
  <w:abstractNum w:abstractNumId="57">
    <w:nsid w:val="5DC79EA8"/>
    <w:multiLevelType w:val="hybridMultilevel"/>
    <w:lvl w:ilvl="0">
      <w:lvlJc w:val="left"/>
      <w:lvlText w:val="(%1)"/>
      <w:numFmt w:val="lowerRoman"/>
      <w:start w:val="2"/>
    </w:lvl>
  </w:abstractNum>
  <w:abstractNum w:abstractNumId="58">
    <w:nsid w:val="540A471C"/>
    <w:multiLevelType w:val="hybridMultilevel"/>
    <w:lvl w:ilvl="0">
      <w:lvlJc w:val="left"/>
      <w:lvlText w:val="(%1)"/>
      <w:numFmt w:val="lowerRoman"/>
      <w:start w:val="2"/>
    </w:lvl>
  </w:abstractNum>
  <w:abstractNum w:abstractNumId="59">
    <w:nsid w:val="7BD3EE7B"/>
    <w:multiLevelType w:val="hybridMultilevel"/>
    <w:lvl w:ilvl="0">
      <w:lvlJc w:val="left"/>
      <w:lvlText w:val="(%1)"/>
      <w:numFmt w:val="lowerLetter"/>
      <w:start w:val="1"/>
    </w:lvl>
  </w:abstractNum>
  <w:abstractNum w:abstractNumId="60">
    <w:nsid w:val="51D9C564"/>
    <w:multiLevelType w:val="hybridMultilevel"/>
    <w:lvl w:ilvl="0">
      <w:lvlJc w:val="left"/>
      <w:lvlText w:val="(%1)"/>
      <w:numFmt w:val="lowerLetter"/>
      <w:start w:val="3"/>
    </w:lvl>
  </w:abstractNum>
  <w:abstractNum w:abstractNumId="61">
    <w:nsid w:val="613EFDC5"/>
    <w:multiLevelType w:val="hybridMultilevel"/>
    <w:lvl w:ilvl="0">
      <w:lvlJc w:val="left"/>
      <w:lvlText w:val="(%1)"/>
      <w:numFmt w:val="lowerLetter"/>
      <w:start w:val="1"/>
    </w:lvl>
    <w:lvl w:ilvl="1">
      <w:lvlJc w:val="left"/>
      <w:lvlText w:val="(%2)"/>
      <w:numFmt w:val="lowerRoman"/>
      <w:start w:val="1"/>
    </w:lvl>
  </w:abstractNum>
  <w:abstractNum w:abstractNumId="62">
    <w:nsid w:val="BF72B14"/>
    <w:multiLevelType w:val="hybridMultilevel"/>
    <w:lvl w:ilvl="0">
      <w:lvlJc w:val="left"/>
      <w:lvlText w:val="%1"/>
      <w:numFmt w:val="lowerLetter"/>
      <w:start w:val="1"/>
    </w:lvl>
    <w:lvl w:ilvl="1">
      <w:lvlJc w:val="left"/>
      <w:lvlText w:val="(%2)"/>
      <w:numFmt w:val="lowerRoman"/>
      <w:start w:val="4"/>
    </w:lvl>
  </w:abstractNum>
  <w:abstractNum w:abstractNumId="63">
    <w:nsid w:val="11447B73"/>
    <w:multiLevelType w:val="hybridMultilevel"/>
    <w:lvl w:ilvl="0">
      <w:lvlJc w:val="left"/>
      <w:lvlText w:val="(%1)"/>
      <w:numFmt w:val="lowerLetter"/>
      <w:start w:val="2"/>
    </w:lvl>
    <w:lvl w:ilvl="1">
      <w:lvlJc w:val="left"/>
      <w:lvlText w:val="%2"/>
      <w:numFmt w:val="lowerRoman"/>
      <w:start w:val="1"/>
    </w:lvl>
  </w:abstractNum>
  <w:abstractNum w:abstractNumId="64">
    <w:nsid w:val="42963E5A"/>
    <w:multiLevelType w:val="hybridMultilevel"/>
    <w:lvl w:ilvl="0">
      <w:lvlJc w:val="left"/>
      <w:lvlText w:val="(%1)"/>
      <w:numFmt w:val="lowerLetter"/>
      <w:start w:val="1"/>
    </w:lvl>
    <w:lvl w:ilvl="1">
      <w:lvlJc w:val="left"/>
      <w:lvlText w:val="(%2)"/>
      <w:numFmt w:val="lowerRoman"/>
      <w:start w:val="1"/>
    </w:lvl>
  </w:abstractNum>
  <w:abstractNum w:abstractNumId="65">
    <w:nsid w:val="A0382C5"/>
    <w:multiLevelType w:val="hybridMultilevel"/>
    <w:lvl w:ilvl="0">
      <w:lvlJc w:val="left"/>
      <w:lvlText w:val="(%1)"/>
      <w:numFmt w:val="lowerLetter"/>
      <w:start w:val="2"/>
    </w:lvl>
  </w:abstractNum>
  <w:abstractNum w:abstractNumId="66">
    <w:nsid w:val="8F2B15E"/>
    <w:multiLevelType w:val="hybridMultilevel"/>
    <w:lvl w:ilvl="0">
      <w:lvlJc w:val="left"/>
      <w:lvlText w:val="(%1)"/>
      <w:numFmt w:val="lowerLetter"/>
      <w:start w:val="1"/>
    </w:lvl>
  </w:abstractNum>
  <w:abstractNum w:abstractNumId="67">
    <w:nsid w:val="1A32234B"/>
    <w:multiLevelType w:val="hybridMultilevel"/>
    <w:lvl w:ilvl="0">
      <w:lvlJc w:val="left"/>
      <w:lvlText w:val="(%1)"/>
      <w:numFmt w:val="lowerLetter"/>
      <w:start w:val="2"/>
    </w:lvl>
  </w:abstractNum>
  <w:abstractNum w:abstractNumId="68">
    <w:nsid w:val="3B0FD379"/>
    <w:multiLevelType w:val="hybridMultilevel"/>
    <w:lvl w:ilvl="0">
      <w:lvlJc w:val="left"/>
      <w:lvlText w:val="(%1)"/>
      <w:numFmt w:val="lowerLetter"/>
      <w:start w:val="1"/>
    </w:lvl>
  </w:abstractNum>
  <w:abstractNum w:abstractNumId="69">
    <w:nsid w:val="68EB2F63"/>
    <w:multiLevelType w:val="hybridMultilevel"/>
    <w:lvl w:ilvl="0">
      <w:lvlJc w:val="left"/>
      <w:lvlText w:val="(%1)"/>
      <w:numFmt w:val="lowerLetter"/>
      <w:start w:val="2"/>
    </w:lvl>
  </w:abstractNum>
  <w:abstractNum w:abstractNumId="70">
    <w:nsid w:val="4962813B"/>
    <w:multiLevelType w:val="hybridMultilevel"/>
    <w:lvl w:ilvl="0">
      <w:lvlJc w:val="left"/>
      <w:lvlText w:val="(%1)"/>
      <w:numFmt w:val="lowerRoman"/>
      <w:start w:val="1"/>
    </w:lvl>
  </w:abstractNum>
  <w:abstractNum w:abstractNumId="71">
    <w:nsid w:val="60B6DF70"/>
    <w:multiLevelType w:val="hybridMultilevel"/>
    <w:lvl w:ilvl="0">
      <w:lvlJc w:val="left"/>
      <w:lvlText w:val="(%1)"/>
      <w:numFmt w:val="lowerRoman"/>
      <w:start w:val="2"/>
    </w:lvl>
  </w:abstractNum>
  <w:abstractNum w:abstractNumId="72">
    <w:nsid w:val="6A5EE64"/>
    <w:multiLevelType w:val="hybridMultilevel"/>
    <w:lvl w:ilvl="0">
      <w:lvlJc w:val="left"/>
      <w:lvlText w:val="(%1)"/>
      <w:numFmt w:val="lowerLetter"/>
      <w:start w:val="1"/>
    </w:lvl>
    <w:lvl w:ilvl="1">
      <w:lvlJc w:val="left"/>
      <w:lvlText w:val="(%2)"/>
      <w:numFmt w:val="lowerRoman"/>
      <w:start w:val="1"/>
    </w:lvl>
  </w:abstractNum>
  <w:abstractNum w:abstractNumId="73">
    <w:nsid w:val="14330624"/>
    <w:multiLevelType w:val="hybridMultilevel"/>
    <w:lvl w:ilvl="0">
      <w:lvlJc w:val="left"/>
      <w:lvlText w:val="(%1)"/>
      <w:numFmt w:val="lowerLetter"/>
      <w:start w:val="1"/>
    </w:lvl>
  </w:abstractNum>
  <w:abstractNum w:abstractNumId="74">
    <w:nsid w:val="7FFFCA11"/>
    <w:multiLevelType w:val="hybridMultilevel"/>
    <w:lvl w:ilvl="0">
      <w:lvlJc w:val="left"/>
      <w:lvlText w:val="(%1)"/>
      <w:numFmt w:val="lowerLetter"/>
      <w:start w:val="7"/>
    </w:lvl>
  </w:abstractNum>
  <w:abstractNum w:abstractNumId="75">
    <w:nsid w:val="1A27709E"/>
    <w:multiLevelType w:val="hybridMultilevel"/>
    <w:lvl w:ilvl="0">
      <w:lvlJc w:val="left"/>
      <w:lvlText w:val="(%1)"/>
      <w:numFmt w:val="lowerLetter"/>
      <w:start w:val="2"/>
    </w:lvl>
    <w:lvl w:ilvl="1">
      <w:lvlJc w:val="left"/>
      <w:lvlText w:val="(%2)"/>
      <w:numFmt w:val="lowerRoman"/>
      <w:start w:val="1"/>
    </w:lvl>
  </w:abstractNum>
  <w:abstractNum w:abstractNumId="76">
    <w:nsid w:val="71EA1109"/>
    <w:multiLevelType w:val="hybridMultilevel"/>
    <w:lvl w:ilvl="0">
      <w:lvlJc w:val="left"/>
      <w:lvlText w:val="(%1)"/>
      <w:numFmt w:val="lowerLetter"/>
      <w:start w:val="3"/>
    </w:lvl>
  </w:abstractNum>
  <w:abstractNum w:abstractNumId="77">
    <w:nsid w:val="100F59DC"/>
    <w:multiLevelType w:val="hybridMultilevel"/>
    <w:lvl w:ilvl="0">
      <w:lvlJc w:val="left"/>
      <w:lvlText w:val="(%1)"/>
      <w:numFmt w:val="lowerLetter"/>
      <w:start w:val="1"/>
    </w:lvl>
  </w:abstractNum>
  <w:abstractNum w:abstractNumId="78">
    <w:nsid w:val="7FB7E0AA"/>
    <w:multiLevelType w:val="hybridMultilevel"/>
    <w:lvl w:ilvl="0">
      <w:lvlJc w:val="left"/>
      <w:lvlText w:val="(%1)"/>
      <w:numFmt w:val="lowerLetter"/>
      <w:start w:val="3"/>
    </w:lvl>
  </w:abstractNum>
  <w:abstractNum w:abstractNumId="79">
    <w:nsid w:val="6EB5BD4"/>
    <w:multiLevelType w:val="hybridMultilevel"/>
    <w:lvl w:ilvl="0">
      <w:lvlJc w:val="left"/>
      <w:lvlText w:val="(%1)"/>
      <w:numFmt w:val="lowerLetter"/>
      <w:start w:val="1"/>
    </w:lvl>
  </w:abstractNum>
  <w:abstractNum w:abstractNumId="80">
    <w:nsid w:val="6F6DD9AC"/>
    <w:multiLevelType w:val="hybridMultilevel"/>
    <w:lvl w:ilvl="0">
      <w:lvlJc w:val="left"/>
      <w:lvlText w:val="(%1)"/>
      <w:numFmt w:val="lowerLetter"/>
      <w:start w:val="2"/>
    </w:lvl>
  </w:abstractNum>
  <w:abstractNum w:abstractNumId="81">
    <w:nsid w:val="94211F2"/>
    <w:multiLevelType w:val="hybridMultilevel"/>
    <w:lvl w:ilvl="0">
      <w:lvlJc w:val="left"/>
      <w:lvlText w:val="%1"/>
      <w:numFmt w:val="lowerLetter"/>
      <w:start w:val="1"/>
    </w:lvl>
    <w:lvl w:ilvl="1">
      <w:lvlJc w:val="left"/>
      <w:lvlText w:val="(%2)"/>
      <w:numFmt w:val="lowerLetter"/>
      <w:start w:val="2"/>
    </w:lvl>
  </w:abstractNum>
  <w:abstractNum w:abstractNumId="82">
    <w:nsid w:val="885E1B"/>
    <w:multiLevelType w:val="hybridMultilevel"/>
    <w:lvl w:ilvl="0">
      <w:lvlJc w:val="left"/>
      <w:lvlText w:val="(%1)"/>
      <w:numFmt w:val="lowerLetter"/>
      <w:start w:val="35"/>
    </w:lvl>
    <w:lvl w:ilvl="1">
      <w:lvlJc w:val="left"/>
      <w:lvlText w:val="%2"/>
      <w:numFmt w:val="lowerLetter"/>
      <w:start w:val="1"/>
    </w:lvl>
  </w:abstractNum>
  <w:abstractNum w:abstractNumId="83">
    <w:nsid w:val="76272110"/>
    <w:multiLevelType w:val="hybridMultilevel"/>
    <w:lvl w:ilvl="0">
      <w:lvlJc w:val="left"/>
      <w:lvlText w:val="(%1)"/>
      <w:numFmt w:val="upperLetter"/>
      <w:start w:val="1"/>
    </w:lvl>
  </w:abstractNum>
  <w:abstractNum w:abstractNumId="84">
    <w:nsid w:val="4C04A8AF"/>
    <w:multiLevelType w:val="hybridMultilevel"/>
    <w:lvl w:ilvl="0">
      <w:lvlJc w:val="left"/>
      <w:lvlText w:val="(%1)"/>
      <w:numFmt w:val="lowerLetter"/>
      <w:start w:val="1"/>
    </w:lvl>
  </w:abstractNum>
  <w:abstractNum w:abstractNumId="85">
    <w:nsid w:val="1716703B"/>
    <w:multiLevelType w:val="hybridMultilevel"/>
    <w:lvl w:ilvl="0">
      <w:lvlJc w:val="left"/>
      <w:lvlText w:val="%1."/>
      <w:numFmt w:val="decimal"/>
      <w:start w:val="1"/>
    </w:lvl>
  </w:abstractNum>
  <w:abstractNum w:abstractNumId="86">
    <w:nsid w:val="14E17E33"/>
    <w:multiLevelType w:val="hybridMultilevel"/>
    <w:lvl w:ilvl="0">
      <w:lvlJc w:val="left"/>
      <w:lvlText w:val="%1."/>
      <w:numFmt w:val="decimal"/>
      <w:start w:val="4"/>
    </w:lvl>
  </w:abstractNum>
  <w:abstractNum w:abstractNumId="87">
    <w:nsid w:val="3222E7CD"/>
    <w:multiLevelType w:val="hybridMultilevel"/>
    <w:lvl w:ilvl="0">
      <w:lvlJc w:val="left"/>
      <w:lvlText w:val="%1)"/>
      <w:numFmt w:val="lowerLetter"/>
      <w:start w:val="1"/>
    </w:lvl>
  </w:abstractNum>
  <w:abstractNum w:abstractNumId="88">
    <w:nsid w:val="74DE0EE3"/>
    <w:multiLevelType w:val="hybridMultilevel"/>
    <w:lvl w:ilvl="0">
      <w:lvlJc w:val="left"/>
      <w:lvlText w:val="%1)"/>
      <w:numFmt w:val="lowerLetter"/>
      <w:start w:val="2"/>
    </w:lvl>
  </w:abstractNum>
  <w:abstractNum w:abstractNumId="89">
    <w:nsid w:val="68EBC550"/>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2019-12-13T07:49:44Z</dcterms:created>
  <dcterms:modified xsi:type="dcterms:W3CDTF">2019-12-13T07:49:44Z</dcterms:modified>
</cp:coreProperties>
</file>