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18415</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27940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5" w:lineRule="exact"/>
        <w:rPr>
          <w:sz w:val="24"/>
          <w:szCs w:val="24"/>
          <w:color w:val="auto"/>
        </w:rPr>
      </w:pPr>
    </w:p>
    <w:tbl>
      <w:tblPr>
        <w:tblLayout w:type="fixed"/>
        <w:tblInd w:w="940" w:type="dxa"/>
        <w:tblCellMar>
          <w:top w:w="0" w:type="dxa"/>
          <w:left w:w="0" w:type="dxa"/>
          <w:bottom w:w="0" w:type="dxa"/>
          <w:right w:w="0" w:type="dxa"/>
        </w:tblCellMar>
      </w:tblPr>
      <w:tr>
        <w:trPr>
          <w:trHeight w:val="225"/>
        </w:trPr>
        <w:tc>
          <w:tcPr>
            <w:tcW w:w="2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8"/>
              </w:rPr>
              <w:t>DELAWARE</w:t>
            </w: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0"/>
              </w:rPr>
              <w:t>001-03761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75-0289970</w:t>
            </w:r>
          </w:p>
        </w:tc>
      </w:tr>
      <w:tr>
        <w:trPr>
          <w:trHeight w:val="144"/>
        </w:trPr>
        <w:tc>
          <w:tcPr>
            <w:tcW w:w="214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820" w:type="dxa"/>
            <w:vAlign w:val="bottom"/>
          </w:tcPr>
          <w:p>
            <w:pPr>
              <w:jc w:val="center"/>
              <w:ind w:right="640"/>
              <w:spacing w:after="0" w:line="145" w:lineRule="exact"/>
              <w:rPr>
                <w:sz w:val="20"/>
                <w:szCs w:val="20"/>
                <w:color w:val="auto"/>
              </w:rPr>
            </w:pPr>
            <w:r>
              <w:rPr>
                <w:rFonts w:ascii="Arial" w:cs="Arial" w:eastAsia="Arial" w:hAnsi="Arial"/>
                <w:sz w:val="14"/>
                <w:szCs w:val="14"/>
                <w:b w:val="1"/>
                <w:bCs w:val="1"/>
                <w:color w:val="auto"/>
                <w:w w:val="92"/>
              </w:rPr>
              <w:t>(Commission</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of incorporation)</w:t>
            </w: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7"/>
              </w:rPr>
              <w:t>file number)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511"/>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8"/>
                <w:szCs w:val="18"/>
                <w:b w:val="1"/>
                <w:bCs w:val="1"/>
                <w:color w:val="auto"/>
                <w:w w:val="97"/>
              </w:rPr>
              <w:t>12500 TI BOULEVARD</w:t>
            </w:r>
          </w:p>
        </w:tc>
        <w:tc>
          <w:tcPr>
            <w:tcW w:w="1120" w:type="dxa"/>
            <w:vAlign w:val="bottom"/>
          </w:tcPr>
          <w:p>
            <w:pPr>
              <w:spacing w:after="0"/>
              <w:rPr>
                <w:sz w:val="24"/>
                <w:szCs w:val="24"/>
                <w:color w:val="auto"/>
              </w:rPr>
            </w:pPr>
          </w:p>
        </w:tc>
      </w:tr>
      <w:tr>
        <w:trPr>
          <w:trHeight w:val="212"/>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Arial" w:cs="Arial" w:eastAsia="Arial" w:hAnsi="Arial"/>
                <w:sz w:val="18"/>
                <w:szCs w:val="18"/>
                <w:b w:val="1"/>
                <w:bCs w:val="1"/>
                <w:color w:val="auto"/>
                <w:w w:val="96"/>
              </w:rPr>
              <w:t>DALLAS, TEXAS 75243</w:t>
            </w:r>
          </w:p>
        </w:tc>
        <w:tc>
          <w:tcPr>
            <w:tcW w:w="112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20" w:type="dxa"/>
            <w:vAlign w:val="bottom"/>
          </w:tcPr>
          <w:p>
            <w:pPr>
              <w:spacing w:after="0"/>
              <w:rPr>
                <w:sz w:val="16"/>
                <w:szCs w:val="16"/>
                <w:color w:val="auto"/>
              </w:rPr>
            </w:pPr>
          </w:p>
        </w:tc>
      </w:tr>
      <w:tr>
        <w:trPr>
          <w:trHeight w:val="392"/>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120" w:type="dxa"/>
            <w:vAlign w:val="bottom"/>
          </w:tcPr>
          <w:p>
            <w:pPr>
              <w:spacing w:after="0"/>
              <w:rPr>
                <w:sz w:val="24"/>
                <w:szCs w:val="24"/>
                <w:color w:val="auto"/>
              </w:rPr>
            </w:pPr>
          </w:p>
        </w:tc>
      </w:tr>
      <w:tr>
        <w:trPr>
          <w:trHeight w:val="39"/>
        </w:trPr>
        <w:tc>
          <w:tcPr>
            <w:tcW w:w="14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820" w:type="dxa"/>
            <w:vAlign w:val="bottom"/>
            <w:tcBorders>
              <w:bottom w:val="single" w:sz="8" w:color="auto"/>
            </w:tcBorders>
          </w:tcPr>
          <w:p>
            <w:pPr>
              <w:spacing w:after="0"/>
              <w:rPr>
                <w:sz w:val="3"/>
                <w:szCs w:val="3"/>
                <w:color w:val="auto"/>
              </w:rPr>
            </w:pPr>
          </w:p>
        </w:tc>
        <w:tc>
          <w:tcPr>
            <w:tcW w:w="1120" w:type="dxa"/>
            <w:vAlign w:val="bottom"/>
          </w:tcPr>
          <w:p>
            <w:pPr>
              <w:spacing w:after="0"/>
              <w:rPr>
                <w:sz w:val="3"/>
                <w:szCs w:val="3"/>
                <w:color w:val="auto"/>
              </w:rPr>
            </w:pPr>
          </w:p>
        </w:tc>
      </w:tr>
    </w:tbl>
    <w:p>
      <w:pPr>
        <w:spacing w:after="0" w:line="350" w:lineRule="exact"/>
        <w:rPr>
          <w:sz w:val="24"/>
          <w:szCs w:val="24"/>
          <w:color w:val="auto"/>
        </w:rPr>
      </w:pPr>
    </w:p>
    <w:p>
      <w:pPr>
        <w:ind w:right="380"/>
        <w:spacing w:after="0" w:line="25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7"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202"/>
        </w:trPr>
        <w:tc>
          <w:tcPr>
            <w:tcW w:w="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3"/>
              </w:rPr>
              <w:t>Trading</w:t>
            </w:r>
          </w:p>
        </w:tc>
        <w:tc>
          <w:tcPr>
            <w:tcW w:w="4780" w:type="dxa"/>
            <w:vAlign w:val="bottom"/>
          </w:tcPr>
          <w:p>
            <w:pPr>
              <w:spacing w:after="0"/>
              <w:rPr>
                <w:sz w:val="17"/>
                <w:szCs w:val="17"/>
                <w:color w:val="auto"/>
              </w:rPr>
            </w:pPr>
          </w:p>
        </w:tc>
      </w:tr>
      <w:tr>
        <w:trPr>
          <w:trHeight w:val="243"/>
        </w:trPr>
        <w:tc>
          <w:tcPr>
            <w:tcW w:w="40" w:type="dxa"/>
            <w:vAlign w:val="bottom"/>
          </w:tcPr>
          <w:p>
            <w:pPr>
              <w:spacing w:after="0"/>
              <w:rPr>
                <w:sz w:val="21"/>
                <w:szCs w:val="21"/>
                <w:color w:val="auto"/>
              </w:rPr>
            </w:pPr>
          </w:p>
        </w:tc>
        <w:tc>
          <w:tcPr>
            <w:tcW w:w="4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Symbol(s)</w:t>
            </w: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8"/>
        </w:trPr>
        <w:tc>
          <w:tcPr>
            <w:tcW w:w="4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32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340" w:type="dxa"/>
            <w:vAlign w:val="bottom"/>
          </w:tcPr>
          <w:p>
            <w:pPr>
              <w:spacing w:after="0"/>
              <w:rPr>
                <w:sz w:val="19"/>
                <w:szCs w:val="19"/>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r>
    </w:tbl>
    <w:p>
      <w:pPr>
        <w:spacing w:after="0" w:line="278"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133350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73660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April 25, 2023, regarding its first-quarter results of operations and financial condition is attached hereto as Exhibit 99.</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Designation</w:t>
      </w:r>
    </w:p>
    <w:p>
      <w:pPr>
        <w:ind w:left="340"/>
        <w:spacing w:after="0" w:line="201" w:lineRule="auto"/>
        <w:rPr>
          <w:sz w:val="20"/>
          <w:szCs w:val="20"/>
          <w:color w:val="auto"/>
        </w:rPr>
      </w:pPr>
      <w:r>
        <w:rPr>
          <w:rFonts w:ascii="Arial" w:cs="Arial" w:eastAsia="Arial" w:hAnsi="Arial"/>
          <w:sz w:val="14"/>
          <w:szCs w:val="14"/>
          <w:color w:val="auto"/>
        </w:rPr>
        <w:t>of Exhibit</w:t>
      </w:r>
    </w:p>
    <w:p>
      <w:pPr>
        <w:ind w:left="440"/>
        <w:spacing w:after="0" w:line="221" w:lineRule="auto"/>
        <w:rPr>
          <w:sz w:val="20"/>
          <w:szCs w:val="20"/>
          <w:color w:val="auto"/>
        </w:rPr>
      </w:pPr>
      <w:r>
        <w:rPr>
          <w:rFonts w:ascii="Arial" w:cs="Arial" w:eastAsia="Arial" w:hAnsi="Arial"/>
          <w:sz w:val="14"/>
          <w:szCs w:val="14"/>
          <w:color w:val="auto"/>
        </w:rPr>
        <w:t>in this</w:t>
      </w:r>
    </w:p>
    <w:p>
      <w:pPr>
        <w:ind w:left="420"/>
        <w:spacing w:after="0"/>
        <w:tabs>
          <w:tab w:leader="none" w:pos="1580" w:val="left"/>
        </w:tabs>
        <w:rPr>
          <w:sz w:val="20"/>
          <w:szCs w:val="20"/>
          <w:color w:val="auto"/>
        </w:rPr>
      </w:pPr>
      <w:r>
        <w:rPr>
          <w:rFonts w:ascii="Arial" w:cs="Arial" w:eastAsia="Arial" w:hAnsi="Arial"/>
          <w:sz w:val="14"/>
          <w:szCs w:val="14"/>
          <w:color w:val="auto"/>
        </w:rPr>
        <w:t>Report</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22225</wp:posOffset>
            </wp:positionV>
            <wp:extent cx="6129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84" w:lineRule="exact"/>
        <w:rPr>
          <w:sz w:val="20"/>
          <w:szCs w:val="20"/>
          <w:color w:val="auto"/>
        </w:rPr>
      </w:pPr>
    </w:p>
    <w:p>
      <w:pPr>
        <w:ind w:left="1600" w:hanging="1068"/>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Registrant’s News Release</w:t>
      </w:r>
    </w:p>
    <w:p>
      <w:pPr>
        <w:spacing w:after="0" w:line="2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Dated April 25, 2023 (furnished pursuant to Item 2.02)</w:t>
      </w:r>
    </w:p>
    <w:p>
      <w:pPr>
        <w:spacing w:after="0" w:line="23"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420" w:type="dxa"/>
            <w:vAlign w:val="bottom"/>
            <w:gridSpan w:val="2"/>
          </w:tcPr>
          <w:p>
            <w:pPr>
              <w:ind w:left="2300"/>
              <w:spacing w:after="0"/>
              <w:rPr>
                <w:sz w:val="20"/>
                <w:szCs w:val="20"/>
                <w:color w:val="auto"/>
              </w:rPr>
            </w:pPr>
            <w:r>
              <w:rPr>
                <w:rFonts w:ascii="Arial" w:cs="Arial" w:eastAsia="Arial" w:hAnsi="Arial"/>
                <w:sz w:val="18"/>
                <w:szCs w:val="18"/>
                <w:color w:val="auto"/>
              </w:rPr>
              <w:t>TEXAS INSTRUMENTS INCORPORATED</w:t>
            </w:r>
          </w:p>
        </w:tc>
      </w:tr>
      <w:tr>
        <w:trPr>
          <w:trHeight w:val="459"/>
        </w:trPr>
        <w:tc>
          <w:tcPr>
            <w:tcW w:w="3780" w:type="dxa"/>
            <w:vAlign w:val="bottom"/>
          </w:tcPr>
          <w:p>
            <w:pPr>
              <w:spacing w:after="0"/>
              <w:rPr>
                <w:sz w:val="20"/>
                <w:szCs w:val="20"/>
                <w:color w:val="auto"/>
              </w:rPr>
            </w:pPr>
            <w:r>
              <w:rPr>
                <w:rFonts w:ascii="Arial" w:cs="Arial" w:eastAsia="Arial" w:hAnsi="Arial"/>
                <w:sz w:val="18"/>
                <w:szCs w:val="18"/>
                <w:color w:val="auto"/>
              </w:rPr>
              <w:t>Date: April 25, 2023</w:t>
            </w:r>
          </w:p>
        </w:tc>
        <w:tc>
          <w:tcPr>
            <w:tcW w:w="3140" w:type="dxa"/>
            <w:vAlign w:val="bottom"/>
          </w:tcPr>
          <w:p>
            <w:pPr>
              <w:ind w:left="23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22"/>
        </w:trPr>
        <w:tc>
          <w:tcPr>
            <w:tcW w:w="37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R. Lizardi</w:t>
            </w:r>
          </w:p>
        </w:tc>
      </w:tr>
      <w:tr>
        <w:trPr>
          <w:trHeight w:val="229"/>
        </w:trPr>
        <w:tc>
          <w:tcPr>
            <w:tcW w:w="37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0"/>
        </w:trPr>
        <w:tc>
          <w:tcPr>
            <w:tcW w:w="37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first quarter 2023 financial results and shareholder returns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DALLAS (April 25, 2023) – Texas Instruments Incorporated (TI) (Nasdaq: TXN) today reported first quarter revenue of $4.38 billion, net income of $1.71 billion and earnings per share of $1.85. Earnings per share included a 3-cent benefit for items that were not in the company's original guidance.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Regarding the company's performance and returns to shareholders, Haviv Ilan, TI's president and CEO, made the following comments:</w:t>
      </w:r>
    </w:p>
    <w:p>
      <w:pPr>
        <w:spacing w:after="0" w:line="225" w:lineRule="exact"/>
        <w:rPr>
          <w:sz w:val="20"/>
          <w:szCs w:val="20"/>
          <w:color w:val="auto"/>
        </w:rPr>
      </w:pPr>
    </w:p>
    <w:p>
      <w:pPr>
        <w:ind w:left="620" w:right="420" w:hanging="329"/>
        <w:spacing w:after="0" w:line="261"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decreased 6% sequentially and decreased 11% from the same quarter a year ago. During the quarter we experienced weakness across our end markets with the exception of automotive, as expected.</w:t>
      </w:r>
    </w:p>
    <w:p>
      <w:pPr>
        <w:spacing w:after="0" w:line="197" w:lineRule="exact"/>
        <w:rPr>
          <w:rFonts w:ascii="Arial" w:cs="Arial" w:eastAsia="Arial" w:hAnsi="Arial"/>
          <w:sz w:val="18"/>
          <w:szCs w:val="18"/>
          <w:color w:val="auto"/>
        </w:rPr>
      </w:pPr>
    </w:p>
    <w:p>
      <w:pPr>
        <w:ind w:left="620" w:right="200" w:hanging="329"/>
        <w:spacing w:after="0" w:line="256"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$7.7 billion for the trailing 12 months again underscored the strength of our business model. Free cash flow for the same period was $4.4 billion and 23% of revenue. This reflects the quality of our product portfolio, as well as the efficiency of our manufacturing strategy, including the benefit of 300-mm production.</w:t>
      </w:r>
    </w:p>
    <w:p>
      <w:pPr>
        <w:spacing w:after="0" w:line="201" w:lineRule="exact"/>
        <w:rPr>
          <w:rFonts w:ascii="Arial" w:cs="Arial" w:eastAsia="Arial" w:hAnsi="Arial"/>
          <w:sz w:val="18"/>
          <w:szCs w:val="18"/>
          <w:color w:val="auto"/>
        </w:rPr>
      </w:pPr>
    </w:p>
    <w:p>
      <w:pPr>
        <w:ind w:left="620" w:right="180" w:hanging="329"/>
        <w:spacing w:after="0" w:line="261"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the past 12 months we invested $3.5 billion in R&amp;D and SG&amp;A, invested $3.3 billion in capital expenditures and returned $7.5 billion to owners.</w:t>
      </w:r>
    </w:p>
    <w:p>
      <w:pPr>
        <w:spacing w:after="0" w:line="197" w:lineRule="exact"/>
        <w:rPr>
          <w:rFonts w:ascii="Arial" w:cs="Arial" w:eastAsia="Arial" w:hAnsi="Arial"/>
          <w:sz w:val="18"/>
          <w:szCs w:val="18"/>
          <w:color w:val="auto"/>
        </w:rPr>
      </w:pPr>
    </w:p>
    <w:p>
      <w:pPr>
        <w:ind w:left="620" w:right="360" w:hanging="329"/>
        <w:spacing w:after="0" w:line="261"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second quarter outlook is for revenue in the range of $4.17 billion to $4.53 billion and earnings per share between $1.62 and $1.88. We continue to expect our 2023 effective tax rate to be about 13% to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547"/>
        </w:trPr>
        <w:tc>
          <w:tcPr>
            <w:tcW w:w="4900" w:type="dxa"/>
            <w:vAlign w:val="bottom"/>
            <w:tcBorders>
              <w:bottom w:val="single" w:sz="8" w:color="DBDBDB"/>
            </w:tcBorders>
            <w:gridSpan w:val="4"/>
          </w:tcPr>
          <w:p>
            <w:pPr>
              <w:ind w:left="20"/>
              <w:spacing w:after="0"/>
              <w:rPr>
                <w:sz w:val="20"/>
                <w:szCs w:val="20"/>
                <w:color w:val="auto"/>
              </w:rPr>
            </w:pPr>
            <w:r>
              <w:rPr>
                <w:rFonts w:ascii="Arial" w:cs="Arial" w:eastAsia="Arial" w:hAnsi="Arial"/>
                <w:sz w:val="18"/>
                <w:szCs w:val="18"/>
                <w:i w:val="1"/>
                <w:iCs w:val="1"/>
                <w:color w:val="auto"/>
              </w:rPr>
              <w:t>(In millions, except per-share amounts)</w:t>
            </w:r>
          </w:p>
        </w:tc>
        <w:tc>
          <w:tcPr>
            <w:tcW w:w="200" w:type="dxa"/>
            <w:vAlign w:val="bottom"/>
            <w:tcBorders>
              <w:bottom w:val="single" w:sz="8" w:color="DBDBDB"/>
            </w:tcBorders>
          </w:tcPr>
          <w:p>
            <w:pPr>
              <w:spacing w:after="0"/>
              <w:rPr>
                <w:sz w:val="24"/>
                <w:szCs w:val="24"/>
                <w:color w:val="auto"/>
              </w:rPr>
            </w:pPr>
          </w:p>
        </w:tc>
        <w:tc>
          <w:tcPr>
            <w:tcW w:w="140" w:type="dxa"/>
            <w:vAlign w:val="bottom"/>
            <w:tcBorders>
              <w:bottom w:val="single" w:sz="8" w:color="DBDBDB"/>
            </w:tcBorders>
          </w:tcPr>
          <w:p>
            <w:pPr>
              <w:spacing w:after="0"/>
              <w:rPr>
                <w:sz w:val="24"/>
                <w:szCs w:val="24"/>
                <w:color w:val="auto"/>
              </w:rPr>
            </w:pPr>
          </w:p>
        </w:tc>
        <w:tc>
          <w:tcPr>
            <w:tcW w:w="1040" w:type="dxa"/>
            <w:vAlign w:val="bottom"/>
            <w:tcBorders>
              <w:bottom w:val="single" w:sz="8" w:color="DBDBDB"/>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60" w:type="dxa"/>
            <w:vAlign w:val="bottom"/>
            <w:tcBorders>
              <w:bottom w:val="single" w:sz="8" w:color="DBDBDB"/>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Q1 2023</w:t>
            </w:r>
          </w:p>
        </w:tc>
        <w:tc>
          <w:tcPr>
            <w:tcW w:w="20" w:type="dxa"/>
            <w:vAlign w:val="bottom"/>
            <w:tcBorders>
              <w:bottom w:val="single" w:sz="8" w:color="DBDBDB"/>
            </w:tcBorders>
          </w:tcPr>
          <w:p>
            <w:pPr>
              <w:spacing w:after="0"/>
              <w:rPr>
                <w:sz w:val="24"/>
                <w:szCs w:val="24"/>
                <w:color w:val="auto"/>
              </w:rPr>
            </w:pPr>
          </w:p>
        </w:tc>
        <w:tc>
          <w:tcPr>
            <w:tcW w:w="80" w:type="dxa"/>
            <w:vAlign w:val="bottom"/>
            <w:tcBorders>
              <w:bottom w:val="single" w:sz="8" w:color="DBDBDB"/>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Q1 2022</w:t>
            </w:r>
          </w:p>
        </w:tc>
        <w:tc>
          <w:tcPr>
            <w:tcW w:w="100" w:type="dxa"/>
            <w:vAlign w:val="bottom"/>
            <w:tcBorders>
              <w:bottom w:val="single" w:sz="8" w:color="DBDBDB"/>
            </w:tcBorders>
            <w:gridSpan w:val="2"/>
          </w:tcPr>
          <w:p>
            <w:pPr>
              <w:spacing w:after="0"/>
              <w:rPr>
                <w:sz w:val="24"/>
                <w:szCs w:val="24"/>
                <w:color w:val="auto"/>
              </w:rPr>
            </w:pPr>
          </w:p>
        </w:tc>
        <w:tc>
          <w:tcPr>
            <w:tcW w:w="40" w:type="dxa"/>
            <w:vAlign w:val="bottom"/>
            <w:tcBorders>
              <w:bottom w:val="single" w:sz="8" w:color="auto"/>
            </w:tcBorders>
            <w:gridSpan w:val="2"/>
          </w:tcPr>
          <w:p>
            <w:pPr>
              <w:spacing w:after="0"/>
              <w:rPr>
                <w:sz w:val="24"/>
                <w:szCs w:val="24"/>
                <w:color w:val="auto"/>
              </w:rPr>
            </w:pPr>
          </w:p>
        </w:tc>
        <w:tc>
          <w:tcPr>
            <w:tcW w:w="1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Change</w:t>
            </w:r>
          </w:p>
        </w:tc>
      </w:tr>
      <w:tr>
        <w:trPr>
          <w:trHeight w:val="223"/>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4,379</w:t>
            </w:r>
          </w:p>
        </w:tc>
        <w:tc>
          <w:tcPr>
            <w:tcW w:w="340" w:type="dxa"/>
            <w:vAlign w:val="bottom"/>
            <w:gridSpan w:val="4"/>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4,905</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1,934</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1,708</w:t>
            </w:r>
          </w:p>
        </w:tc>
        <w:tc>
          <w:tcPr>
            <w:tcW w:w="340" w:type="dxa"/>
            <w:vAlign w:val="bottom"/>
            <w:gridSpan w:val="4"/>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2,201</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594"/>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color w:val="auto"/>
              </w:rPr>
              <w:t>Trailing 12 Months</w:t>
            </w:r>
          </w:p>
        </w:tc>
        <w:tc>
          <w:tcPr>
            <w:tcW w:w="1540" w:type="dxa"/>
            <w:vAlign w:val="bottom"/>
            <w:tcBorders>
              <w:bottom w:val="single" w:sz="8" w:color="auto"/>
            </w:tcBorders>
          </w:tcPr>
          <w:p>
            <w:pPr>
              <w:spacing w:after="0"/>
              <w:rPr>
                <w:sz w:val="24"/>
                <w:szCs w:val="24"/>
                <w:color w:val="auto"/>
              </w:rPr>
            </w:pPr>
          </w:p>
        </w:tc>
      </w:tr>
      <w:tr>
        <w:trPr>
          <w:trHeight w:val="223"/>
        </w:trPr>
        <w:tc>
          <w:tcPr>
            <w:tcW w:w="4900" w:type="dxa"/>
            <w:vAlign w:val="bottom"/>
            <w:tcBorders>
              <w:bottom w:val="single" w:sz="8" w:color="DBDBDB"/>
            </w:tcBorders>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8"/>
              </w:rPr>
              <w:t>Q1 2023</w:t>
            </w:r>
          </w:p>
        </w:tc>
        <w:tc>
          <w:tcPr>
            <w:tcW w:w="1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Q1 2023</w:t>
            </w: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Q1 2022</w:t>
            </w:r>
          </w:p>
        </w:tc>
        <w:tc>
          <w:tcPr>
            <w:tcW w:w="100" w:type="dxa"/>
            <w:vAlign w:val="bottom"/>
            <w:tcBorders>
              <w:bottom w:val="single" w:sz="8" w:color="DBDBDB"/>
            </w:tcBorders>
            <w:gridSpan w:val="3"/>
          </w:tcPr>
          <w:p>
            <w:pPr>
              <w:spacing w:after="0"/>
              <w:rPr>
                <w:sz w:val="19"/>
                <w:szCs w:val="19"/>
                <w:color w:val="auto"/>
              </w:rPr>
            </w:pPr>
          </w:p>
        </w:tc>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Change</w:t>
            </w:r>
          </w:p>
        </w:tc>
      </w:tr>
      <w:tr>
        <w:trPr>
          <w:trHeight w:val="223"/>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Cash flow from operations</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7,736</w:t>
            </w:r>
          </w:p>
        </w:tc>
        <w:tc>
          <w:tcPr>
            <w:tcW w:w="80" w:type="dxa"/>
            <w:vAlign w:val="bottom"/>
            <w:shd w:val="clear" w:color="auto" w:fill="DBDBDB"/>
          </w:tcPr>
          <w:p>
            <w:pPr>
              <w:spacing w:after="0"/>
              <w:rPr>
                <w:sz w:val="19"/>
                <w:szCs w:val="19"/>
                <w:color w:val="auto"/>
              </w:rPr>
            </w:pPr>
          </w:p>
        </w:tc>
        <w:tc>
          <w:tcPr>
            <w:tcW w:w="340" w:type="dxa"/>
            <w:vAlign w:val="bottom"/>
            <w:gridSpan w:val="4"/>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9,050</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3,336</w:t>
            </w:r>
          </w:p>
        </w:tc>
        <w:tc>
          <w:tcPr>
            <w:tcW w:w="80" w:type="dxa"/>
            <w:vAlign w:val="bottom"/>
          </w:tcPr>
          <w:p>
            <w:pPr>
              <w:spacing w:after="0"/>
              <w:rPr>
                <w:sz w:val="19"/>
                <w:szCs w:val="19"/>
                <w:color w:val="auto"/>
              </w:rPr>
            </w:pPr>
          </w:p>
        </w:tc>
        <w:tc>
          <w:tcPr>
            <w:tcW w:w="34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2,597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4,400</w:t>
            </w:r>
          </w:p>
        </w:tc>
        <w:tc>
          <w:tcPr>
            <w:tcW w:w="80" w:type="dxa"/>
            <w:vAlign w:val="bottom"/>
            <w:shd w:val="clear" w:color="auto" w:fill="DBDBDB"/>
          </w:tcPr>
          <w:p>
            <w:pPr>
              <w:spacing w:after="0"/>
              <w:rPr>
                <w:sz w:val="19"/>
                <w:szCs w:val="19"/>
                <w:color w:val="auto"/>
              </w:rPr>
            </w:pPr>
          </w:p>
        </w:tc>
        <w:tc>
          <w:tcPr>
            <w:tcW w:w="340" w:type="dxa"/>
            <w:vAlign w:val="bottom"/>
            <w:gridSpan w:val="4"/>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6,453</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Free cash flow % of revenue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34.0 %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580"/>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return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w w:val="99"/>
              </w:rPr>
              <w:t>Trailing 12 Months</w:t>
            </w:r>
          </w:p>
        </w:tc>
        <w:tc>
          <w:tcPr>
            <w:tcW w:w="1540" w:type="dxa"/>
            <w:vAlign w:val="bottom"/>
            <w:tcBorders>
              <w:bottom w:val="single" w:sz="8" w:color="auto"/>
            </w:tcBorders>
          </w:tcPr>
          <w:p>
            <w:pPr>
              <w:spacing w:after="0"/>
              <w:rPr>
                <w:sz w:val="24"/>
                <w:szCs w:val="24"/>
                <w:color w:val="auto"/>
              </w:rPr>
            </w:pPr>
          </w:p>
        </w:tc>
      </w:tr>
      <w:tr>
        <w:trPr>
          <w:trHeight w:val="223"/>
        </w:trPr>
        <w:tc>
          <w:tcPr>
            <w:tcW w:w="4900" w:type="dxa"/>
            <w:vAlign w:val="bottom"/>
            <w:tcBorders>
              <w:bottom w:val="single" w:sz="8" w:color="DBDBDB"/>
            </w:tcBorders>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Q1 2023</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DBDBDB"/>
            </w:tcBorders>
          </w:tcPr>
          <w:p>
            <w:pPr>
              <w:spacing w:after="0"/>
              <w:rPr>
                <w:sz w:val="19"/>
                <w:szCs w:val="19"/>
                <w:color w:val="auto"/>
              </w:rPr>
            </w:pPr>
          </w:p>
        </w:tc>
        <w:tc>
          <w:tcPr>
            <w:tcW w:w="4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Q1 2023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Q1 2022</w:t>
            </w:r>
          </w:p>
        </w:tc>
        <w:tc>
          <w:tcPr>
            <w:tcW w:w="120" w:type="dxa"/>
            <w:vAlign w:val="bottom"/>
            <w:tcBorders>
              <w:bottom w:val="single" w:sz="8" w:color="DBDBDB"/>
            </w:tcBorders>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Change</w:t>
            </w:r>
          </w:p>
        </w:tc>
      </w:tr>
      <w:tr>
        <w:trPr>
          <w:trHeight w:val="223"/>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Dividends paid</w:t>
            </w:r>
          </w:p>
        </w:tc>
        <w:tc>
          <w:tcPr>
            <w:tcW w:w="3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1,125</w:t>
            </w: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4,359</w:t>
            </w:r>
          </w:p>
        </w:tc>
        <w:tc>
          <w:tcPr>
            <w:tcW w:w="340" w:type="dxa"/>
            <w:vAlign w:val="bottom"/>
            <w:gridSpan w:val="4"/>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4,009</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3,129</w:t>
            </w:r>
          </w:p>
        </w:tc>
        <w:tc>
          <w:tcPr>
            <w:tcW w:w="34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208 %</w:t>
            </w:r>
          </w:p>
        </w:tc>
      </w:tr>
      <w:tr>
        <w:trPr>
          <w:trHeight w:val="229"/>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Total cash returned</w:t>
            </w:r>
          </w:p>
        </w:tc>
        <w:tc>
          <w:tcPr>
            <w:tcW w:w="3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1,228</w:t>
            </w: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7,488</w:t>
            </w:r>
          </w:p>
        </w:tc>
        <w:tc>
          <w:tcPr>
            <w:tcW w:w="340" w:type="dxa"/>
            <w:vAlign w:val="bottom"/>
            <w:gridSpan w:val="4"/>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5,025</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0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9"/>
        </w:trPr>
        <w:tc>
          <w:tcPr>
            <w:tcW w:w="826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540" w:type="dxa"/>
            <w:vAlign w:val="bottom"/>
          </w:tcPr>
          <w:p>
            <w:pPr>
              <w:spacing w:after="0"/>
              <w:rPr>
                <w:sz w:val="22"/>
                <w:szCs w:val="22"/>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DBDBDB"/>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4,379</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1,516</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2,863</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474</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Restructuring charges/other</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77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540" w:type="dxa"/>
            <w:vAlign w:val="bottom"/>
            <w:tcBorders>
              <w:top w:val="single" w:sz="8" w:color="auto"/>
            </w:tcBorders>
            <w:shd w:val="clear" w:color="auto" w:fill="DBDBDB"/>
          </w:tcPr>
          <w:p>
            <w:pPr>
              <w:spacing w:after="0"/>
              <w:rPr>
                <w:sz w:val="19"/>
                <w:szCs w:val="19"/>
                <w:color w:val="auto"/>
              </w:rPr>
            </w:pPr>
          </w:p>
        </w:tc>
        <w:tc>
          <w:tcPr>
            <w:tcW w:w="11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1,934</w:t>
            </w:r>
          </w:p>
        </w:tc>
        <w:tc>
          <w:tcPr>
            <w:tcW w:w="100" w:type="dxa"/>
            <w:vAlign w:val="bottom"/>
            <w:tcBorders>
              <w:top w:val="single" w:sz="8" w:color="DBDBDB"/>
            </w:tcBorders>
            <w:shd w:val="clear" w:color="auto" w:fill="DBDBDB"/>
          </w:tcPr>
          <w:p>
            <w:pPr>
              <w:spacing w:after="0"/>
              <w:rPr>
                <w:sz w:val="19"/>
                <w:szCs w:val="19"/>
                <w:color w:val="auto"/>
              </w:rPr>
            </w:pPr>
          </w:p>
        </w:tc>
        <w:tc>
          <w:tcPr>
            <w:tcW w:w="48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 (OI&amp;E)</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1,946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238</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1,708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Average shares outstanding:</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72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907</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Diluted</w:t>
            </w: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b w:val="1"/>
                <w:bCs w:val="1"/>
                <w:color w:val="auto"/>
              </w:rPr>
              <w:t>916</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jc w:val="center"/>
              <w:ind w:left="3330"/>
              <w:spacing w:after="0"/>
              <w:rPr>
                <w:sz w:val="20"/>
                <w:szCs w:val="20"/>
                <w:color w:val="auto"/>
              </w:rPr>
            </w:pPr>
            <w:r>
              <w:rPr>
                <w:rFonts w:ascii="Arial" w:cs="Arial" w:eastAsia="Arial" w:hAnsi="Arial"/>
                <w:sz w:val="18"/>
                <w:szCs w:val="18"/>
                <w:b w:val="1"/>
                <w:bCs w:val="1"/>
                <w:color w:val="auto"/>
                <w:w w:val="99"/>
              </w:rPr>
              <w:t>Supplemental Information</w:t>
            </w: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77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720" w:type="dxa"/>
            <w:vAlign w:val="bottom"/>
            <w:gridSpan w:val="2"/>
          </w:tcPr>
          <w:p>
            <w:pPr>
              <w:jc w:val="center"/>
              <w:ind w:left="3310"/>
              <w:spacing w:after="0"/>
              <w:rPr>
                <w:sz w:val="20"/>
                <w:szCs w:val="20"/>
                <w:color w:val="auto"/>
              </w:rPr>
            </w:pPr>
            <w:r>
              <w:rPr>
                <w:rFonts w:ascii="Arial" w:cs="Arial" w:eastAsia="Arial" w:hAnsi="Arial"/>
                <w:sz w:val="18"/>
                <w:szCs w:val="18"/>
                <w:b w:val="1"/>
                <w:bCs w:val="1"/>
                <w:color w:val="auto"/>
                <w:w w:val="99"/>
              </w:rPr>
              <w:t>(Quarterly, except as noted)</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276</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Discrete tax items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238</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 w:right="740"/>
        <w:spacing w:after="0" w:line="227"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1,708</w:t>
            </w:r>
          </w:p>
        </w:tc>
        <w:tc>
          <w:tcPr>
            <w:tcW w:w="10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2,201</w:t>
            </w:r>
          </w:p>
        </w:tc>
      </w:tr>
      <w:tr>
        <w:trPr>
          <w:trHeight w:val="230"/>
        </w:trPr>
        <w:tc>
          <w:tcPr>
            <w:tcW w:w="7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DBDBDB"/>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60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1,699</w:t>
            </w:r>
          </w:p>
        </w:tc>
        <w:tc>
          <w:tcPr>
            <w:tcW w:w="10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2,192</w:t>
            </w:r>
          </w:p>
        </w:tc>
      </w:tr>
      <w:tr>
        <w:trPr>
          <w:trHeight w:val="20"/>
        </w:trPr>
        <w:tc>
          <w:tcPr>
            <w:tcW w:w="77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80" w:top="88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9"/>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11"/>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540" w:type="dxa"/>
            <w:vAlign w:val="bottom"/>
          </w:tcPr>
          <w:p>
            <w:pPr>
              <w:spacing w:after="0"/>
              <w:rPr>
                <w:sz w:val="24"/>
                <w:szCs w:val="24"/>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80" w:type="dxa"/>
            <w:vAlign w:val="bottom"/>
          </w:tcPr>
          <w:p>
            <w:pPr>
              <w:spacing w:after="0"/>
              <w:rPr>
                <w:sz w:val="24"/>
                <w:szCs w:val="24"/>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DBDBDB"/>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4,477</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3,505</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5,068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6,320</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 net of allowances of ($13) and ($9)</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1,877</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1,795</w:t>
            </w: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Raw materials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Work in process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1,850</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1,151</w:t>
            </w:r>
          </w:p>
        </w:tc>
      </w:tr>
      <w:tr>
        <w:trPr>
          <w:trHeight w:val="229"/>
        </w:trPr>
        <w:tc>
          <w:tcPr>
            <w:tcW w:w="7720" w:type="dxa"/>
            <w:vAlign w:val="bottom"/>
            <w:tcBorders>
              <w:bottom w:val="single" w:sz="8" w:color="DBDBDB"/>
            </w:tcBorders>
            <w:gridSpan w:val="2"/>
          </w:tcPr>
          <w:p>
            <w:pPr>
              <w:ind w:left="460"/>
              <w:spacing w:after="0"/>
              <w:rPr>
                <w:sz w:val="20"/>
                <w:szCs w:val="20"/>
                <w:color w:val="auto"/>
              </w:rPr>
            </w:pPr>
            <w:r>
              <w:rPr>
                <w:rFonts w:ascii="Arial" w:cs="Arial" w:eastAsia="Arial" w:hAnsi="Arial"/>
                <w:sz w:val="18"/>
                <w:szCs w:val="18"/>
                <w:color w:val="auto"/>
              </w:rPr>
              <w:t>Finished goods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1,060</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3,288</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2,060</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313</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15,023</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14,010</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10,791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8,236</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Accumulated depreciation</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(3,126)</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(2,797)</w:t>
            </w:r>
          </w:p>
        </w:tc>
      </w:tr>
      <w:tr>
        <w:trPr>
          <w:trHeight w:val="223"/>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7,665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5,439</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1,355</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718</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29,220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25,276</w:t>
            </w: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952</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641</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372</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405</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686</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2,904</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2,528</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9,626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7,242</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123</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1,251</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1,314</w:t>
            </w: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13,977</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11,259</w:t>
            </w:r>
          </w:p>
        </w:tc>
      </w:tr>
      <w:tr>
        <w:trPr>
          <w:trHeight w:val="21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5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Preferred stock, $25 par value. Shares authorized – 10; none issued</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3,016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2,667</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50,930</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47,053</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Shares: March 31, 2023 – 833; March 31, 2022 – 819</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(40,192)</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(37,291)</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15,243</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14,017</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29,220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25,276</w:t>
            </w:r>
          </w:p>
        </w:tc>
      </w:tr>
      <w:tr>
        <w:trPr>
          <w:trHeight w:val="21"/>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80" w:top="88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9"/>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540" w:type="dxa"/>
            <w:vAlign w:val="bottom"/>
          </w:tcPr>
          <w:p>
            <w:pPr>
              <w:spacing w:after="0"/>
              <w:rPr>
                <w:sz w:val="22"/>
                <w:szCs w:val="22"/>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DBDBDB"/>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1,708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 to net income: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Amortization of capitalized software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Stock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Gains on sales of assets</w:t>
            </w:r>
          </w:p>
        </w:tc>
        <w:tc>
          <w:tcPr>
            <w:tcW w:w="54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Deferred taxes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Increase (decrease) from changes in: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(531)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185</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1,160</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37"/>
        </w:trPr>
        <w:tc>
          <w:tcPr>
            <w:tcW w:w="76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(982)</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Proceeds from asset sales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Purchases of short-term investments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(3,013)</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Proceeds from short-term investments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4,026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36"/>
        </w:trPr>
        <w:tc>
          <w:tcPr>
            <w:tcW w:w="76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1,397</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Dividends paid</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Stock repurchases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239</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36"/>
        </w:trPr>
        <w:tc>
          <w:tcPr>
            <w:tcW w:w="76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1,427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3,050</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4,477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80" w:top="88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85"/>
        </w:trPr>
        <w:tc>
          <w:tcPr>
            <w:tcW w:w="140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Q1 2023</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Q1 2022</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Change</w:t>
            </w:r>
          </w:p>
        </w:tc>
      </w:tr>
      <w:tr>
        <w:trPr>
          <w:trHeight w:val="223"/>
        </w:trPr>
        <w:tc>
          <w:tcPr>
            <w:tcW w:w="660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580" w:type="dxa"/>
            <w:vAlign w:val="bottom"/>
            <w:tcBorders>
              <w:top w:val="single" w:sz="8" w:color="auto"/>
            </w:tcBorders>
            <w:shd w:val="clear" w:color="auto" w:fill="DBDBDB"/>
          </w:tcPr>
          <w:p>
            <w:pPr>
              <w:spacing w:after="0"/>
              <w:rPr>
                <w:sz w:val="19"/>
                <w:szCs w:val="19"/>
                <w:color w:val="auto"/>
              </w:rPr>
            </w:pP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3,816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20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For 12 Months Ended</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9"/>
        </w:trPr>
        <w:tc>
          <w:tcPr>
            <w:tcW w:w="6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7"/>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7,736</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9,050</w:t>
            </w:r>
          </w:p>
        </w:tc>
        <w:tc>
          <w:tcPr>
            <w:tcW w:w="16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(3,336)</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DBDBDB"/>
            </w:tcBorders>
          </w:tcPr>
          <w:p>
            <w:pPr>
              <w:spacing w:after="0"/>
              <w:rPr>
                <w:sz w:val="19"/>
                <w:szCs w:val="19"/>
                <w:color w:val="auto"/>
              </w:rPr>
            </w:pPr>
          </w:p>
        </w:tc>
      </w:tr>
      <w:tr>
        <w:trPr>
          <w:trHeight w:val="248"/>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4,400</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6,453</w:t>
            </w:r>
          </w:p>
        </w:tc>
        <w:tc>
          <w:tcPr>
            <w:tcW w:w="16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r>
      <w:tr>
        <w:trPr>
          <w:trHeight w:val="203"/>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4"/>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19,502</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18,960</w:t>
            </w:r>
          </w:p>
        </w:tc>
        <w:tc>
          <w:tcPr>
            <w:tcW w:w="10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spacing w:after="0"/>
              <w:rPr>
                <w:sz w:val="21"/>
                <w:szCs w:val="21"/>
                <w:color w:val="auto"/>
              </w:rPr>
            </w:pP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r>
      <w:tr>
        <w:trPr>
          <w:trHeight w:val="204"/>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39.7 %</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47.7 %</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r>
      <w:tr>
        <w:trPr>
          <w:trHeight w:val="239"/>
        </w:trPr>
        <w:tc>
          <w:tcPr>
            <w:tcW w:w="632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22.6 %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30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47"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98" w:lineRule="exact"/>
        <w:rPr>
          <w:sz w:val="20"/>
          <w:szCs w:val="20"/>
          <w:color w:val="auto"/>
        </w:rPr>
      </w:pPr>
    </w:p>
    <w:p>
      <w:pPr>
        <w:ind w:left="620" w:right="34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ind w:left="620" w:right="4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44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ind w:left="620" w:right="2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2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ind w:left="620" w:right="6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9" w:lineRule="exact"/>
        <w:rPr>
          <w:rFonts w:ascii="Arial" w:cs="Arial" w:eastAsia="Arial" w:hAnsi="Arial"/>
          <w:sz w:val="18"/>
          <w:szCs w:val="18"/>
          <w:color w:val="auto"/>
        </w:rPr>
      </w:pPr>
    </w:p>
    <w:p>
      <w:pPr>
        <w:ind w:left="620" w:right="120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jc w:val="both"/>
        <w:ind w:left="620" w:right="68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3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18"/>
          <w:szCs w:val="18"/>
          <w:color w:val="auto"/>
        </w:rPr>
      </w:pPr>
    </w:p>
    <w:p>
      <w:pPr>
        <w:ind w:left="620" w:right="6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14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4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w:t>
      </w:r>
      <w:r>
        <w:rPr>
          <w:rFonts w:ascii="Arial" w:cs="Arial" w:eastAsia="Arial" w:hAnsi="Arial"/>
          <w:sz w:val="18"/>
          <w:szCs w:val="18"/>
          <w:u w:val="single" w:color="auto"/>
          <w:color w:val="3A3AFF"/>
        </w:rPr>
        <w:t>TI.com</w:t>
      </w:r>
      <w:r>
        <w:rPr>
          <w:rFonts w:ascii="Arial" w:cs="Arial" w:eastAsia="Arial" w:hAnsi="Arial"/>
          <w:sz w:val="18"/>
          <w:szCs w:val="18"/>
          <w:color w:val="auto"/>
        </w:rPr>
        <w:t>.</w:t>
      </w: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2023-04-25T15:14:10Z</dcterms:created>
  <dcterms:modified xsi:type="dcterms:W3CDTF">2023-04-25T15:14:10Z</dcterms:modified>
</cp:coreProperties>
</file>