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jc w:val="center"/>
        <w:ind w:right="20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0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14D-1</w:t>
      </w:r>
    </w:p>
    <w:p>
      <w:pPr>
        <w:ind w:left="1260"/>
        <w:spacing w:after="0" w:line="238" w:lineRule="auto"/>
        <w:rPr>
          <w:sz w:val="20"/>
          <w:szCs w:val="20"/>
          <w:color w:val="auto"/>
        </w:rPr>
      </w:pPr>
      <w:r>
        <w:rPr>
          <w:rFonts w:ascii="Courier New" w:cs="Courier New" w:eastAsia="Courier New" w:hAnsi="Courier New"/>
          <w:sz w:val="18"/>
          <w:szCs w:val="18"/>
          <w:color w:val="auto"/>
        </w:rPr>
        <w:t>TENDER OFFER STATEMENT PURSUANT TO SECTION 14(d)(1)</w:t>
      </w:r>
    </w:p>
    <w:p>
      <w:pPr>
        <w:ind w:left="190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INTEGRATED SENSOR SOLUTIONS,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SENSOR ACQUISITION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TEXAS INSTRUMENTS INCORPORATED</w:t>
      </w:r>
    </w:p>
    <w:p>
      <w:pPr>
        <w:jc w:val="center"/>
        <w:ind w:right="2219"/>
        <w:spacing w:after="0"/>
        <w:rPr>
          <w:sz w:val="20"/>
          <w:szCs w:val="20"/>
          <w:color w:val="auto"/>
        </w:rPr>
      </w:pPr>
      <w:r>
        <w:rPr>
          <w:rFonts w:ascii="Courier New" w:cs="Courier New" w:eastAsia="Courier New" w:hAnsi="Courier New"/>
          <w:sz w:val="18"/>
          <w:szCs w:val="18"/>
          <w:color w:val="auto"/>
        </w:rPr>
        <w:t>(Bidders)</w:t>
      </w:r>
    </w:p>
    <w:p>
      <w:pPr>
        <w:spacing w:after="0" w:line="200"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COMMON STOCK, $.001 PAR VALUE</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45814M102</w:t>
      </w:r>
    </w:p>
    <w:p>
      <w:pPr>
        <w:jc w:val="center"/>
        <w:ind w:right="199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Richard J. Agnich, Esq.</w:t>
      </w:r>
    </w:p>
    <w:p>
      <w:pPr>
        <w:ind w:left="232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ind w:left="2540"/>
        <w:spacing w:after="0"/>
        <w:rPr>
          <w:sz w:val="20"/>
          <w:szCs w:val="20"/>
          <w:color w:val="auto"/>
        </w:rPr>
      </w:pPr>
      <w:r>
        <w:rPr>
          <w:rFonts w:ascii="Courier New" w:cs="Courier New" w:eastAsia="Courier New" w:hAnsi="Courier New"/>
          <w:sz w:val="18"/>
          <w:szCs w:val="18"/>
          <w:color w:val="auto"/>
        </w:rPr>
        <w:t>8505 Forest Lane, M/S 8658</w:t>
      </w:r>
    </w:p>
    <w:p>
      <w:pPr>
        <w:ind w:left="2840"/>
        <w:spacing w:after="0" w:line="237" w:lineRule="auto"/>
        <w:rPr>
          <w:sz w:val="20"/>
          <w:szCs w:val="20"/>
          <w:color w:val="auto"/>
        </w:rPr>
      </w:pPr>
      <w:r>
        <w:rPr>
          <w:rFonts w:ascii="Courier New" w:cs="Courier New" w:eastAsia="Courier New" w:hAnsi="Courier New"/>
          <w:sz w:val="18"/>
          <w:szCs w:val="18"/>
          <w:color w:val="auto"/>
        </w:rPr>
        <w:t>Dallas, Texas 75243</w:t>
      </w:r>
    </w:p>
    <w:p>
      <w:pPr>
        <w:ind w:left="3160"/>
        <w:spacing w:after="0" w:line="238" w:lineRule="auto"/>
        <w:rPr>
          <w:sz w:val="20"/>
          <w:szCs w:val="20"/>
          <w:color w:val="auto"/>
        </w:rPr>
      </w:pPr>
      <w:r>
        <w:rPr>
          <w:rFonts w:ascii="Courier New" w:cs="Courier New" w:eastAsia="Courier New" w:hAnsi="Courier New"/>
          <w:sz w:val="18"/>
          <w:szCs w:val="18"/>
          <w:color w:val="auto"/>
        </w:rPr>
        <w:t>(972) 480-5050</w:t>
      </w:r>
    </w:p>
    <w:p>
      <w:pPr>
        <w:jc w:val="center"/>
        <w:ind w:right="2219"/>
        <w:spacing w:after="0"/>
        <w:rPr>
          <w:sz w:val="20"/>
          <w:szCs w:val="20"/>
          <w:color w:val="auto"/>
        </w:rPr>
      </w:pPr>
      <w:r>
        <w:rPr>
          <w:rFonts w:ascii="Courier New" w:cs="Courier New" w:eastAsia="Courier New" w:hAnsi="Courier New"/>
          <w:sz w:val="18"/>
          <w:szCs w:val="18"/>
          <w:color w:val="auto"/>
        </w:rPr>
        <w:t>(Name, Address and Telephone Number of Person</w:t>
      </w:r>
    </w:p>
    <w:p>
      <w:pPr>
        <w:spacing w:after="0" w:line="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Authorized to Receive Notices and Communications on Behalf of Bidders)</w:t>
      </w:r>
    </w:p>
    <w:p>
      <w:pPr>
        <w:spacing w:after="0" w:line="21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R. SCOTT COHEN, ESQ.</w:t>
      </w:r>
    </w:p>
    <w:p>
      <w:pPr>
        <w:jc w:val="center"/>
        <w:ind w:right="2099"/>
        <w:spacing w:after="0" w:line="238" w:lineRule="auto"/>
        <w:rPr>
          <w:sz w:val="20"/>
          <w:szCs w:val="20"/>
          <w:color w:val="auto"/>
        </w:rPr>
      </w:pPr>
      <w:r>
        <w:rPr>
          <w:rFonts w:ascii="Courier New" w:cs="Courier New" w:eastAsia="Courier New" w:hAnsi="Courier New"/>
          <w:sz w:val="18"/>
          <w:szCs w:val="18"/>
          <w:color w:val="auto"/>
        </w:rPr>
        <w:t>WEIL, GOTSHAL &amp; MANGES LLP</w:t>
      </w:r>
    </w:p>
    <w:p>
      <w:pPr>
        <w:jc w:val="center"/>
        <w:ind w:right="2099"/>
        <w:spacing w:after="0"/>
        <w:rPr>
          <w:sz w:val="20"/>
          <w:szCs w:val="20"/>
          <w:color w:val="auto"/>
        </w:rPr>
      </w:pPr>
      <w:r>
        <w:rPr>
          <w:rFonts w:ascii="Courier New" w:cs="Courier New" w:eastAsia="Courier New" w:hAnsi="Courier New"/>
          <w:sz w:val="18"/>
          <w:szCs w:val="18"/>
          <w:color w:val="auto"/>
        </w:rPr>
        <w:t>100 CRESCENT COURT, SUITE 1300</w:t>
      </w:r>
    </w:p>
    <w:p>
      <w:pPr>
        <w:jc w:val="center"/>
        <w:ind w:right="2099"/>
        <w:spacing w:after="0" w:line="237" w:lineRule="auto"/>
        <w:rPr>
          <w:sz w:val="20"/>
          <w:szCs w:val="20"/>
          <w:color w:val="auto"/>
        </w:rPr>
      </w:pPr>
      <w:r>
        <w:rPr>
          <w:rFonts w:ascii="Courier New" w:cs="Courier New" w:eastAsia="Courier New" w:hAnsi="Courier New"/>
          <w:sz w:val="18"/>
          <w:szCs w:val="18"/>
          <w:color w:val="auto"/>
        </w:rPr>
        <w:t>DALLAS, TEXAS 75201-6950</w:t>
      </w:r>
    </w:p>
    <w:p>
      <w:pPr>
        <w:jc w:val="center"/>
        <w:ind w:right="2099"/>
        <w:spacing w:after="0" w:line="238" w:lineRule="auto"/>
        <w:rPr>
          <w:sz w:val="20"/>
          <w:szCs w:val="20"/>
          <w:color w:val="auto"/>
        </w:rPr>
      </w:pPr>
      <w:r>
        <w:rPr>
          <w:rFonts w:ascii="Courier New" w:cs="Courier New" w:eastAsia="Courier New" w:hAnsi="Courier New"/>
          <w:sz w:val="18"/>
          <w:szCs w:val="18"/>
          <w:color w:val="auto"/>
        </w:rPr>
        <w:t>214-746-7738</w:t>
      </w:r>
    </w:p>
    <w:p>
      <w:pPr>
        <w:sectPr>
          <w:pgSz w:w="11900" w:h="16838" w:orient="portrait"/>
          <w:cols w:equalWidth="0" w:num="1">
            <w:col w:w="9899"/>
          </w:cols>
          <w:pgMar w:left="56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580"/>
        <w:spacing w:after="0" w:line="238" w:lineRule="auto"/>
        <w:rPr>
          <w:sz w:val="20"/>
          <w:szCs w:val="20"/>
          <w:color w:val="auto"/>
        </w:rPr>
      </w:pPr>
      <w:r>
        <w:rPr>
          <w:rFonts w:ascii="Courier New" w:cs="Courier New" w:eastAsia="Courier New" w:hAnsi="Courier New"/>
          <w:sz w:val="18"/>
          <w:szCs w:val="18"/>
          <w:color w:val="auto"/>
        </w:rPr>
        <w:t>TENDER OFFER</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This Amendment No. 2 amends and supplements the Tender Offer Statement on Schedule 14D-1 (the "Schedule 14D-1") originally filed with the Securities and Exchange Commission on May 7, 1999 by Sensor Acquisition Corporation, a Delaware corporation (the "Purchaser"), and Texas Instruments Incorporated, a Delaware corporation and the sole stockholder of the Purchaser ("Parent"), relating to the offer by the Purchaser to purchase all outstanding shares of common stock, par value $.001 per share (the "Shares"), of Integrated Sensor Solutions, Inc., a Delaware corporation, at $8.05 per Share, net to the seller in cash, on the terms and subject to the conditions set forth in the Offer to Purchase dated May 7, 1999 (the "Offer to Purchase") and in the related Letter of Transmittal, copies of which are attached to the Schedule 14D-1 as Exhibits 99(a)(1) and 99(a)(2), respectively.</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MATERIAL TO BE FILED AS EXHIBITS</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Item 11 of the Schedule 14D-1 is hereby amended and supplemented by adding a new Exhibit as follows:</w:t>
      </w:r>
    </w:p>
    <w:p>
      <w:pPr>
        <w:spacing w:after="0" w:line="208"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99(a)(10) Text of Press Release issued by the Purchaser and Parent dated June 28, 1999.</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After due inquiry and to the best of their knowledge and belief, the undersigned certify that the information set forth in this statement is true, complete and correct.</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Dated: June 28, 1999</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SENSOR ACQUISITION CORPORATION</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William A. Aylesworth</w:t>
      </w:r>
    </w:p>
    <w:p>
      <w:pPr>
        <w:ind w:left="43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William A. Aylesworth</w:t>
      </w:r>
    </w:p>
    <w:p>
      <w:pPr>
        <w:ind w:left="4320"/>
        <w:spacing w:after="0" w:line="238" w:lineRule="auto"/>
        <w:tabs>
          <w:tab w:leader="none" w:pos="5140" w:val="left"/>
        </w:tabs>
        <w:rPr>
          <w:sz w:val="20"/>
          <w:szCs w:val="20"/>
          <w:color w:val="auto"/>
        </w:rPr>
      </w:pPr>
      <w:r>
        <w:rPr>
          <w:rFonts w:ascii="Courier New" w:cs="Courier New" w:eastAsia="Courier New" w:hAnsi="Courier New"/>
          <w:sz w:val="18"/>
          <w:szCs w:val="18"/>
          <w:color w:val="auto"/>
        </w:rPr>
        <w:t>Title:</w:t>
        <w:tab/>
        <w:t>Senior Vice President,</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Treasurer and Chief Financial</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Office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5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EXHIBIT</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INDEX</w:t>
            </w:r>
          </w:p>
        </w:tc>
        <w:tc>
          <w:tcPr>
            <w:tcW w:w="2960" w:type="dxa"/>
            <w:vAlign w:val="bottom"/>
          </w:tcPr>
          <w:p>
            <w:pPr>
              <w:spacing w:after="0"/>
              <w:rPr>
                <w:sz w:val="24"/>
                <w:szCs w:val="24"/>
                <w:color w:val="auto"/>
              </w:rPr>
            </w:pPr>
          </w:p>
        </w:tc>
      </w:tr>
      <w:tr>
        <w:trPr>
          <w:trHeight w:val="810"/>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99(a)(10)</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Text of Press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Release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issued by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the Purchaser and Parent</w:t>
            </w:r>
          </w:p>
        </w:tc>
      </w:tr>
      <w:tr>
        <w:trPr>
          <w:trHeight w:val="203"/>
        </w:trPr>
        <w:tc>
          <w:tcPr>
            <w:tcW w:w="1540" w:type="dxa"/>
            <w:vAlign w:val="bottom"/>
          </w:tcPr>
          <w:p>
            <w:pPr>
              <w:spacing w:after="0"/>
              <w:rPr>
                <w:sz w:val="17"/>
                <w:szCs w:val="17"/>
                <w:color w:val="auto"/>
              </w:rPr>
            </w:pPr>
          </w:p>
        </w:tc>
        <w:tc>
          <w:tcPr>
            <w:tcW w:w="2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dated June 28, 1999.</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99(a)(9)</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Text of Press</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Release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issued by</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the Purchaser and Parent</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dated June 7,</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99(c)(1)</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Agreement and</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Plan of</w:t>
            </w:r>
          </w:p>
        </w:tc>
        <w:tc>
          <w:tcPr>
            <w:tcW w:w="4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Merger dated as of May 3, 1999, by and</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among Parent,</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Purchaser and</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99(c)(2)</w:t>
            </w:r>
          </w:p>
        </w:tc>
        <w:tc>
          <w:tcPr>
            <w:tcW w:w="394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9"/>
              </w:rPr>
              <w:t>Stockholders Agreement dated as</w:t>
            </w:r>
          </w:p>
        </w:tc>
        <w:tc>
          <w:tcPr>
            <w:tcW w:w="2960" w:type="dxa"/>
            <w:vAlign w:val="bottom"/>
          </w:tcPr>
          <w:p>
            <w:pPr>
              <w:spacing w:after="0"/>
              <w:rPr>
                <w:sz w:val="20"/>
                <w:szCs w:val="20"/>
                <w:color w:val="auto"/>
              </w:rPr>
            </w:pPr>
            <w:r>
              <w:rPr>
                <w:rFonts w:ascii="Courier New" w:cs="Courier New" w:eastAsia="Courier New" w:hAnsi="Courier New"/>
                <w:sz w:val="18"/>
                <w:szCs w:val="18"/>
                <w:color w:val="auto"/>
                <w:w w:val="97"/>
              </w:rPr>
              <w:t>of May 3, 1999, by and among</w:t>
            </w:r>
          </w:p>
        </w:tc>
      </w:tr>
      <w:tr>
        <w:trPr>
          <w:trHeight w:val="203"/>
        </w:trPr>
        <w:tc>
          <w:tcPr>
            <w:tcW w:w="1540" w:type="dxa"/>
            <w:vAlign w:val="bottom"/>
          </w:tcPr>
          <w:p>
            <w:pPr>
              <w:spacing w:after="0"/>
              <w:rPr>
                <w:sz w:val="17"/>
                <w:szCs w:val="17"/>
                <w:color w:val="auto"/>
              </w:rPr>
            </w:pPr>
          </w:p>
        </w:tc>
        <w:tc>
          <w:tcPr>
            <w:tcW w:w="2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the Purchaser, Manher</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D. Naik, Donald Paulus, Ramesh Sirsi,</w:t>
            </w:r>
          </w:p>
        </w:tc>
      </w:tr>
      <w:tr>
        <w:trPr>
          <w:trHeight w:val="203"/>
        </w:trPr>
        <w:tc>
          <w:tcPr>
            <w:tcW w:w="1540" w:type="dxa"/>
            <w:vAlign w:val="bottom"/>
          </w:tcPr>
          <w:p>
            <w:pPr>
              <w:spacing w:after="0"/>
              <w:rPr>
                <w:sz w:val="17"/>
                <w:szCs w:val="17"/>
                <w:color w:val="auto"/>
              </w:rPr>
            </w:pPr>
          </w:p>
        </w:tc>
        <w:tc>
          <w:tcPr>
            <w:tcW w:w="39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9"/>
              </w:rPr>
              <w:t>David Satterfield, Nagano Keiki</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 Ltd., Breed</w:t>
            </w:r>
          </w:p>
        </w:tc>
      </w:tr>
      <w:tr>
        <w:trPr>
          <w:trHeight w:val="203"/>
        </w:trPr>
        <w:tc>
          <w:tcPr>
            <w:tcW w:w="1540" w:type="dxa"/>
            <w:vAlign w:val="bottom"/>
          </w:tcPr>
          <w:p>
            <w:pPr>
              <w:spacing w:after="0"/>
              <w:rPr>
                <w:sz w:val="17"/>
                <w:szCs w:val="17"/>
                <w:color w:val="auto"/>
              </w:rPr>
            </w:pPr>
          </w:p>
        </w:tc>
        <w:tc>
          <w:tcPr>
            <w:tcW w:w="2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Technologies,</w:t>
            </w:r>
          </w:p>
        </w:tc>
        <w:tc>
          <w:tcPr>
            <w:tcW w:w="4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Inc., WK Technology Funds, and Vinod K. Sood,</w:t>
            </w:r>
          </w:p>
        </w:tc>
      </w:tr>
      <w:tr>
        <w:trPr>
          <w:trHeight w:val="203"/>
        </w:trPr>
        <w:tc>
          <w:tcPr>
            <w:tcW w:w="1540" w:type="dxa"/>
            <w:vAlign w:val="bottom"/>
          </w:tcPr>
          <w:p>
            <w:pPr>
              <w:spacing w:after="0"/>
              <w:rPr>
                <w:sz w:val="17"/>
                <w:szCs w:val="17"/>
                <w:color w:val="auto"/>
              </w:rPr>
            </w:pPr>
          </w:p>
        </w:tc>
        <w:tc>
          <w:tcPr>
            <w:tcW w:w="690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rPr>
              <w:t>Sood Family Trust dated 5/14/90.*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99(c)(3)</w:t>
            </w:r>
          </w:p>
        </w:tc>
        <w:tc>
          <w:tcPr>
            <w:tcW w:w="3940" w:type="dxa"/>
            <w:vAlign w:val="bottom"/>
            <w:gridSpan w:val="3"/>
          </w:tcPr>
          <w:p>
            <w:pPr>
              <w:ind w:left="580"/>
              <w:spacing w:after="0"/>
              <w:rPr>
                <w:sz w:val="20"/>
                <w:szCs w:val="20"/>
                <w:color w:val="auto"/>
              </w:rPr>
            </w:pPr>
            <w:r>
              <w:rPr>
                <w:rFonts w:ascii="Courier New" w:cs="Courier New" w:eastAsia="Courier New" w:hAnsi="Courier New"/>
                <w:sz w:val="18"/>
                <w:szCs w:val="18"/>
                <w:color w:val="auto"/>
                <w:w w:val="99"/>
              </w:rPr>
              <w:t>Confidentiality Agreement dated</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as of March 2, 1999, by and</w:t>
            </w:r>
          </w:p>
        </w:tc>
      </w:tr>
      <w:tr>
        <w:trPr>
          <w:trHeight w:val="203"/>
        </w:trPr>
        <w:tc>
          <w:tcPr>
            <w:tcW w:w="1540" w:type="dxa"/>
            <w:vAlign w:val="bottom"/>
          </w:tcPr>
          <w:p>
            <w:pPr>
              <w:spacing w:after="0"/>
              <w:rPr>
                <w:sz w:val="17"/>
                <w:szCs w:val="17"/>
                <w:color w:val="auto"/>
              </w:rPr>
            </w:pPr>
          </w:p>
        </w:tc>
        <w:tc>
          <w:tcPr>
            <w:tcW w:w="394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6"/>
              </w:rPr>
              <w:t>between Parent and the Company.*</w:t>
            </w:r>
          </w:p>
        </w:tc>
        <w:tc>
          <w:tcPr>
            <w:tcW w:w="2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an exhibit to the Schedule 14D-1.</w:t>
      </w:r>
    </w:p>
    <w:p>
      <w:pPr>
        <w:spacing w:after="0" w:line="207" w:lineRule="exact"/>
        <w:rPr>
          <w:sz w:val="20"/>
          <w:szCs w:val="20"/>
          <w:color w:val="auto"/>
        </w:rPr>
      </w:pPr>
    </w:p>
    <w:p>
      <w:pPr>
        <w:ind w:left="4120" w:right="2739" w:hanging="4112"/>
        <w:spacing w:after="0" w:line="708" w:lineRule="auto"/>
        <w:tabs>
          <w:tab w:leader="none" w:pos="32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an exhibit to Amendment No. 1 to Schedule 14D-1. 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99(a)(10)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C-99032</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Media Contact:</w:t>
            </w:r>
          </w:p>
        </w:tc>
        <w:tc>
          <w:tcPr>
            <w:tcW w:w="13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Kim Quirk</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972-480-6878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TEXAS INSTRUMENTS EXTENDS CASH TENDER OFFER</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 SHARES OF INTEGRATED SENSOR SOLUTIONS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Dallas (June 28, 1999) - Texas Instruments (NYSE:TXN) today announced that TI and its wholly-owned subsidiary, Sensor Acquisition Corporation, have extended their tender offer for all of the issued and outstanding shares of common stock of Integrated Sensor Solutions, Inc. (NASDAQ:ISNR) at a price of $8.05 per share, net to the seller in cash, until midnight, EDT, on Friday, July 2, 1999. The tender offer was previously scheduled to expire at midnight, EDT, on Friday, June 25, 1999.</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Consummation of the offer is subject to satisfaction or waiver of various conditions specified in the offer to purchase, including receipt of requisite approvals under the German Cartel Act. German antitrust authorities have not yet completed their review of the proposed transaction.</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TI has been advised by the depository for the tender offer that as of 5:00 p.m., EDT on June 25, 1999, 7,616,676 shares of Integrated Sensor Solutions common stock, or approximately 98.8 percent of the issued and outstanding shares, were validly tendered and not withdrawn in the tender offer.</w:t>
      </w:r>
    </w:p>
    <w:p>
      <w:pPr>
        <w:spacing w:after="0" w:line="3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9"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NOTE TO EDITORS: Texas Instruments Incorporated is a global semiconductor company and the world's leading designer and supplier of digital signal processing and analog technologies, the engines driving the digitization of electronics. Headquartered in Dallas, Texas, TI's businesses also include materials and controls, educational and productivity solutions, and digital imaging. TI has manufacturing or sales operations in more than 25 countries.</w:t>
      </w:r>
    </w:p>
    <w:p>
      <w:pPr>
        <w:spacing w:after="0" w:line="186"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Texas Instruments is traded on the New York Stock Exchange under the symbol TXN. More information is located on the World Wide Web at http://www.ti.com.</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2020-02-22T02:30:33Z</dcterms:created>
  <dcterms:modified xsi:type="dcterms:W3CDTF">2020-02-22T02:30:33Z</dcterms:modified>
</cp:coreProperties>
</file>