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167640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640" w:space="720"/>
            <w:col w:w="2960" w:space="720"/>
            <w:col w:w="2320"/>
          </w:cols>
          <w:pgMar w:left="240" w:top="693" w:right="299" w:bottom="1440" w:gutter="0" w:footer="0" w:header="0"/>
          <w:type w:val="continuous"/>
        </w:sect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40" w:space="720"/>
            <w:col w:w="3000"/>
          </w:cols>
          <w:pgMar w:left="240" w:top="693" w:right="299" w:bottom="1440" w:gutter="0" w:footer="0" w:header="0"/>
          <w:type w:val="continuous"/>
        </w:sectPr>
      </w:pPr>
    </w:p>
    <w:p>
      <w:pPr>
        <w:spacing w:after="0" w:line="10"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12500 TI Boulevard,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75243</w:t>
      </w:r>
    </w:p>
    <w:p>
      <w:pPr>
        <w:spacing w:after="0" w:line="61" w:lineRule="exact"/>
        <w:rPr>
          <w:sz w:val="24"/>
          <w:szCs w:val="24"/>
          <w:color w:val="auto"/>
        </w:rPr>
      </w:pPr>
    </w:p>
    <w:p>
      <w:pPr>
        <w:sectPr>
          <w:pgSz w:w="11900" w:h="16838" w:orient="portrait"/>
          <w:cols w:equalWidth="0" w:num="2">
            <w:col w:w="7900" w:space="720"/>
            <w:col w:w="2740"/>
          </w:cols>
          <w:pgMar w:left="240" w:top="693" w:right="29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00" w:space="720"/>
            <w:col w:w="2840"/>
          </w:cols>
          <w:pgMar w:left="240" w:top="693" w:right="299" w:bottom="1440" w:gutter="0" w:footer="0" w:header="0"/>
          <w:type w:val="continuous"/>
        </w:sectPr>
      </w:pP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Beverly Beasley, 972-995-3773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00" w:hanging="37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850900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2016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2016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2017</w:t>
      </w:r>
    </w:p>
    <w:p>
      <w:pPr>
        <w:spacing w:after="0" w:line="23"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Rafael R. Lizardi</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660"/>
          </w:cols>
          <w:pgMar w:left="240" w:top="78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2016</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www.ti.com/conflictminerals.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154"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2016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80"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23" w:lineRule="exact"/>
        <w:rPr>
          <w:rFonts w:ascii="Arial" w:cs="Arial" w:eastAsia="Arial" w:hAnsi="Arial"/>
          <w:sz w:val="18"/>
          <w:szCs w:val="18"/>
          <w:color w:val="auto"/>
        </w:rPr>
      </w:pPr>
    </w:p>
    <w:p>
      <w:pPr>
        <w:ind w:left="760" w:right="120" w:hanging="374"/>
        <w:spacing w:after="0" w:line="250"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1" w:lineRule="exact"/>
        <w:rPr>
          <w:rFonts w:ascii="Arial" w:cs="Arial" w:eastAsia="Arial" w:hAnsi="Arial"/>
          <w:sz w:val="18"/>
          <w:szCs w:val="18"/>
          <w:color w:val="auto"/>
        </w:rPr>
      </w:pPr>
    </w:p>
    <w:p>
      <w:pPr>
        <w:ind w:left="760" w:right="220" w:hanging="374"/>
        <w:spacing w:after="0" w:line="250"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process, which uses a reporting tool developed by the Conflict-Free Sourcing Initiative (“CFSI”) and data gathered through the Conflict-Free Smelter Program (“CFSP”) (as further described below), to achieve control and transparency over our CM supply chain and identify the risk that our products may contain CMs directly or indirectly financing or benefiting armed groups in the Democratic Republic of the Congo or any adjoining country (each a “Covered Country”);</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reliance on the CFSP to validate supply chain due diligence;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    Reliance on Third-Party Data</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determine the origin and chain of custody of CMs, and whether they directly or indirectly finance or benefit armed groups in any Covered Country (the “Conflict Status”), is limited. Our supply chain for CMs is complex. In many cases, we are multiple steps removed from the smelter or the mine, and we depend on information from Suppliers that themselves have incomplete information about the origin of the CMs incorporated in the products they supply to us.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gain insight into the country of origin, chain of custody and Conflict Status of the CMs in our supply chain, we relied primarily on the findings of the CFSP. The CFSP is a voluntary program in which an independent third party evaluates smelters’ and refiners’ procurement and inventory practices and determines whether the smelter or refiner (“Smelter”) has demonstrated that all the materials it processed originated from conflict-free sources. The CFSP is overseen by the CFSI, which was established by members of the Electronic Industry Citizenship Coalition (“EICC”) and the Global e-Sustainability Initiative. TI is a member of the EICC and CFSI.</w:t>
      </w:r>
    </w:p>
    <w:p>
      <w:pPr>
        <w:spacing w:after="0" w:line="188"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23" w:lineRule="exact"/>
        <w:rPr>
          <w:rFonts w:ascii="Arial" w:cs="Arial" w:eastAsia="Arial" w:hAnsi="Arial"/>
          <w:sz w:val="18"/>
          <w:szCs w:val="18"/>
          <w:color w:val="auto"/>
        </w:rPr>
      </w:pPr>
    </w:p>
    <w:p>
      <w:pPr>
        <w:ind w:left="760" w:right="100" w:hanging="374"/>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CFSI that provides a common means for suppliers to provide their customers with information on the source of conflict minerals);</w:t>
      </w:r>
    </w:p>
    <w:p>
      <w:pPr>
        <w:spacing w:after="0" w:line="1" w:lineRule="exact"/>
        <w:rPr>
          <w:rFonts w:ascii="Arial" w:cs="Arial" w:eastAsia="Arial" w:hAnsi="Arial"/>
          <w:sz w:val="18"/>
          <w:szCs w:val="18"/>
          <w:color w:val="auto"/>
        </w:rPr>
      </w:pPr>
    </w:p>
    <w:p>
      <w:pPr>
        <w:ind w:left="760" w:right="180" w:hanging="374"/>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obtain more information and ensure accuracy of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760" w:right="80" w:hanging="374"/>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CFSP concerning the country of origin and Conflict Status of CMs processed or refined by Smelters; and</w:t>
      </w:r>
    </w:p>
    <w:p>
      <w:pPr>
        <w:spacing w:after="0" w:line="1" w:lineRule="exact"/>
        <w:rPr>
          <w:rFonts w:ascii="Arial" w:cs="Arial" w:eastAsia="Arial" w:hAnsi="Arial"/>
          <w:sz w:val="18"/>
          <w:szCs w:val="18"/>
          <w:color w:val="auto"/>
        </w:rPr>
      </w:pPr>
    </w:p>
    <w:p>
      <w:pPr>
        <w:jc w:val="both"/>
        <w:ind w:left="760" w:right="160" w:hanging="374"/>
        <w:spacing w:after="0" w:line="302"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reviewing other source materials for Smelters that are not compliant with the CFSI (these Smelters may supply CMs to us for products other than ICs) if we were unable to determine, on the basis of the information provided by Suppliers and CFSP data, (i) the facility and country of origin of the CMs supplied to us, (ii) the Conflict Status of the CMs and (iii) whether the CMs were from recycled or scrap sources.</w:t>
      </w:r>
    </w:p>
    <w:p>
      <w:pPr>
        <w:spacing w:after="0" w:line="15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IV.</w:t>
        <w:tab/>
        <w:t>Our Findings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determined that all of our integrated circuits (“ICs”) </w:t>
      </w:r>
      <w:r>
        <w:rPr>
          <w:rFonts w:ascii="Arial" w:cs="Arial" w:eastAsia="Arial" w:hAnsi="Arial"/>
          <w:sz w:val="15"/>
          <w:szCs w:val="15"/>
          <w:color w:val="auto"/>
        </w:rPr>
        <w:t>1</w:t>
      </w:r>
      <w:r>
        <w:rPr>
          <w:rFonts w:ascii="Arial" w:cs="Arial" w:eastAsia="Arial" w:hAnsi="Arial"/>
          <w:sz w:val="18"/>
          <w:szCs w:val="18"/>
          <w:color w:val="auto"/>
        </w:rPr>
        <w:t xml:space="preserve"> were conflict free. Our determination is based on the finding that all the Smelters identified to us by our Suppliers as being potentially in the supply chain for these products in 2016 supplied CMs exclusively from conflict-free sources. ICs accounted for approximately 90 percent of TI revenue in 2016.</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2016, we continued to make progress in our due diligence efforts with regard to Smelters that are not compliant with the CFSI (these Smelters may supply CMs to us for products other than ICs). While we primarily relied on information from our first-tier suppliers, in some cases we contacted second-tier suppliers for more complete information. These communications have yielded more complete and specific information than in 2015 about the Smelters in our supply chain. That information, combined with the information available through the CFSP, has given us greater insight into the Conflict Status of CMs identified as potentially in our supply chain for 2016 as compared to the prior year.</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 of Smelters identified to us by our Suppliers as potentially in our supply chain in 2016 increased by approximately 5 percent. Of the Smelters identified for 2016, we have determined that the CMs potentially supplied to us by 80 percent of the Smelters were conflict-free, as compared with 76 percent for 2015. Another 5 percent of the Smelters identified for 2016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do not have complete information about the CMs in our entire supply chain. For 2016, approximately 76 percent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200" w:lineRule="exact"/>
        <w:rPr>
          <w:sz w:val="20"/>
          <w:szCs w:val="20"/>
          <w:color w:val="auto"/>
        </w:rPr>
      </w:pPr>
    </w:p>
    <w:p>
      <w:pPr>
        <w:spacing w:after="0" w:line="331" w:lineRule="exact"/>
        <w:rPr>
          <w:sz w:val="20"/>
          <w:szCs w:val="20"/>
          <w:color w:val="auto"/>
        </w:rPr>
      </w:pPr>
    </w:p>
    <w:p>
      <w:pPr>
        <w:ind w:left="140" w:right="280" w:hanging="132"/>
        <w:spacing w:after="0" w:line="342" w:lineRule="auto"/>
        <w:tabs>
          <w:tab w:leader="none" w:pos="14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t>Smelter Status – Overview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IC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10160</wp:posOffset>
            </wp:positionV>
            <wp:extent cx="7246620" cy="266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Overall Supply Chain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(including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254635</wp:posOffset>
            </wp:positionV>
            <wp:extent cx="6165850" cy="4142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585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22"/>
          <w:szCs w:val="22"/>
          <w:b w:val="1"/>
          <w:bCs w:val="1"/>
          <w:color w:val="auto"/>
        </w:rPr>
        <w:t>Smelter Status – By 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217170</wp:posOffset>
            </wp:positionV>
            <wp:extent cx="6165850" cy="5556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585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17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2016, our products were in the following categories as described in our annual report on Form 10-K for the year ended December 31, 2016: Analog products (including High Volume Analog &amp; Logic, Power Management, High Performance Analog and Silicon Valley Analog products); Embedded Processing products (including Processor, Microcontroller and Connectivity products); and Other products (including DLP products, custom semiconductors known as application-specific integrated circuits and calculators). For further information about our products, please see the description of our products in Item 1 of the Form 10-K, which description is incorporated herein by reference.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2" w:right="359" w:bottom="1440" w:gutter="0" w:footer="0" w:header="0"/>
        </w:sectPr>
      </w:pPr>
    </w:p>
    <w:bookmarkStart w:id="7" w:name="page8"/>
    <w:bookmarkEnd w:id="7"/>
    <w:p>
      <w:pPr>
        <w:spacing w:after="0"/>
        <w:tabs>
          <w:tab w:leader="none" w:pos="5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Risk-Mitigation Efforts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62" w:lineRule="exact"/>
        <w:rPr>
          <w:sz w:val="20"/>
          <w:szCs w:val="20"/>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9" w:lineRule="exact"/>
        <w:rPr>
          <w:rFonts w:ascii="Arial" w:cs="Arial" w:eastAsia="Arial" w:hAnsi="Arial"/>
          <w:sz w:val="18"/>
          <w:szCs w:val="18"/>
          <w:color w:val="auto"/>
        </w:rPr>
      </w:pPr>
    </w:p>
    <w:p>
      <w:pPr>
        <w:ind w:left="760" w:hanging="374"/>
        <w:spacing w:after="0" w:line="250"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encourage Suppliers to direct all Smelters in their supply chains to participate in the CFSP or a similar third-party audit program; and</w:t>
      </w:r>
    </w:p>
    <w:p>
      <w:pPr>
        <w:spacing w:after="0" w:line="9" w:lineRule="exact"/>
        <w:rPr>
          <w:rFonts w:ascii="Arial" w:cs="Arial" w:eastAsia="Arial" w:hAnsi="Arial"/>
          <w:sz w:val="18"/>
          <w:szCs w:val="18"/>
          <w:color w:val="auto"/>
        </w:rPr>
      </w:pPr>
    </w:p>
    <w:p>
      <w:pPr>
        <w:ind w:left="760" w:right="100" w:hanging="374"/>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CFSI status changed, or they have refused to participate in a CFSI audit.</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Horwath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blank]</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2016. As explained in this Conflict Minerals Report, the presence of a Smelter on the lists in this Appendix A does not mean that TI products necessarily contained CMs processed by that Smelter.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Table 1</w:t>
            </w:r>
          </w:p>
        </w:tc>
        <w:tc>
          <w:tcPr>
            <w:tcW w:w="2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Total CFSP compliant Smelters:</w:t>
            </w:r>
          </w:p>
        </w:tc>
        <w:tc>
          <w:tcPr>
            <w:tcW w:w="2260" w:type="dxa"/>
            <w:vAlign w:val="bottom"/>
            <w:tcBorders>
              <w:top w:val="single" w:sz="8" w:color="auto"/>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color w:val="auto"/>
              </w:rPr>
              <w:t>248</w:t>
            </w:r>
          </w:p>
        </w:tc>
        <w:tc>
          <w:tcPr>
            <w:tcW w:w="28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 Smelters</w:t>
            </w:r>
          </w:p>
        </w:tc>
        <w:tc>
          <w:tcPr>
            <w:tcW w:w="2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68</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47</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93</w:t>
            </w:r>
          </w:p>
        </w:tc>
      </w:tr>
      <w:tr>
        <w:trPr>
          <w:trHeight w:val="210"/>
        </w:trPr>
        <w:tc>
          <w:tcPr>
            <w:tcW w:w="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Table 2</w:t>
            </w:r>
          </w:p>
        </w:tc>
        <w:tc>
          <w:tcPr>
            <w:tcW w:w="2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Total undeterminable Smelters:</w:t>
            </w:r>
          </w:p>
        </w:tc>
        <w:tc>
          <w:tcPr>
            <w:tcW w:w="2260" w:type="dxa"/>
            <w:vAlign w:val="bottom"/>
            <w:tcBorders>
              <w:bottom w:val="single" w:sz="8" w:color="auto"/>
              <w:right w:val="single" w:sz="8" w:color="auto"/>
            </w:tcBorders>
          </w:tcPr>
          <w:p>
            <w:pPr>
              <w:jc w:val="right"/>
              <w:ind w:right="1970"/>
              <w:spacing w:after="0"/>
              <w:rPr>
                <w:sz w:val="20"/>
                <w:szCs w:val="20"/>
                <w:color w:val="auto"/>
              </w:rPr>
            </w:pPr>
            <w:r>
              <w:rPr>
                <w:rFonts w:ascii="Arial" w:cs="Arial" w:eastAsia="Arial" w:hAnsi="Arial"/>
                <w:sz w:val="18"/>
                <w:szCs w:val="18"/>
                <w:color w:val="auto"/>
                <w:w w:val="89"/>
              </w:rPr>
              <w:t>61</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15</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 Smelters</w:t>
            </w:r>
          </w:p>
        </w:tc>
        <w:tc>
          <w:tcPr>
            <w:tcW w:w="2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41</w:t>
            </w:r>
          </w:p>
        </w:tc>
      </w:tr>
    </w:tbl>
    <w:p>
      <w:pPr>
        <w:spacing w:after="0" w:line="202"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Listed below are the 248 Smelters identified to us by our Suppliers as potentially in our supply chain for 2016 that the CFSP has reported as compliant with its audit protocols. On that basis, we have determined that the CMs supplied by these Smelters were conflict free. The location information is as reported by the CFSP as of March 3,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*Smelters that potentially supply the CMs for our ICs.</w:t>
      </w:r>
    </w:p>
    <w:p>
      <w:pPr>
        <w:spacing w:after="0" w:line="220" w:lineRule="exact"/>
        <w:rPr>
          <w:sz w:val="20"/>
          <w:szCs w:val="20"/>
          <w:color w:val="auto"/>
        </w:rPr>
      </w:pPr>
    </w:p>
    <w:tbl>
      <w:tblPr>
        <w:tblLayout w:type="fixed"/>
        <w:tblInd w:w="130" w:type="dxa"/>
        <w:tblCellMar>
          <w:top w:w="0" w:type="dxa"/>
          <w:left w:w="0" w:type="dxa"/>
          <w:bottom w:w="0" w:type="dxa"/>
          <w:right w:w="0" w:type="dxa"/>
        </w:tblCellMar>
      </w:tblPr>
      <w:tr>
        <w:trPr>
          <w:trHeight w:val="275"/>
        </w:trPr>
        <w:tc>
          <w:tcPr>
            <w:tcW w:w="680" w:type="dxa"/>
            <w:vAlign w:val="bottom"/>
            <w:tcBorders>
              <w:top w:val="single" w:sz="8" w:color="auto"/>
              <w:left w:val="single" w:sz="8" w:color="auto"/>
              <w:bottom w:val="single" w:sz="8" w:color="C6D9F1"/>
              <w:right w:val="single" w:sz="8" w:color="auto"/>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No.</w:t>
            </w:r>
          </w:p>
        </w:tc>
        <w:tc>
          <w:tcPr>
            <w:tcW w:w="644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Smelter</w:t>
            </w:r>
          </w:p>
        </w:tc>
        <w:tc>
          <w:tcPr>
            <w:tcW w:w="1300" w:type="dxa"/>
            <w:vAlign w:val="bottom"/>
            <w:tcBorders>
              <w:top w:val="single" w:sz="8" w:color="auto"/>
              <w:bottom w:val="single" w:sz="8" w:color="C6D9F1"/>
              <w:right w:val="single" w:sz="8" w:color="auto"/>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Metal</w:t>
            </w:r>
          </w:p>
        </w:tc>
        <w:tc>
          <w:tcPr>
            <w:tcW w:w="2880" w:type="dxa"/>
            <w:vAlign w:val="bottom"/>
            <w:tcBorders>
              <w:top w:val="single" w:sz="8" w:color="auto"/>
              <w:bottom w:val="single" w:sz="8" w:color="C6D9F1"/>
              <w:right w:val="single" w:sz="8" w:color="auto"/>
            </w:tcBorders>
            <w:shd w:val="clear" w:color="auto" w:fill="C6D9F1"/>
          </w:tcPr>
          <w:p>
            <w:pPr>
              <w:ind w:left="60"/>
              <w:spacing w:after="0"/>
              <w:rPr>
                <w:sz w:val="20"/>
                <w:szCs w:val="20"/>
                <w:color w:val="auto"/>
              </w:rPr>
            </w:pPr>
            <w:r>
              <w:rPr>
                <w:rFonts w:ascii="Arial" w:cs="Arial" w:eastAsia="Arial" w:hAnsi="Arial"/>
                <w:sz w:val="18"/>
                <w:szCs w:val="18"/>
                <w:b w:val="1"/>
                <w:bCs w:val="1"/>
                <w:color w:val="auto"/>
              </w:rPr>
              <w:t>Country Location</w:t>
            </w:r>
          </w:p>
        </w:tc>
      </w:tr>
      <w:tr>
        <w:trPr>
          <w:trHeight w:val="224"/>
        </w:trPr>
        <w:tc>
          <w:tcPr>
            <w:tcW w:w="6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A.L.M.T. TUNGSTEN Corp.*</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Asia Tungsten Products Vietnam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Chenzhou Diamond Tungsten Products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Chongyi Zhangyuan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Fujian Jinxin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Ganzhou Jiangwu Ferrotungsten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Ganzhou Seadragon W &amp; Mo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Global Tungsten &amp; Powders Corp.*</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Guangdong Xianglu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30"/>
        </w:trPr>
        <w:tc>
          <w:tcPr>
            <w:tcW w:w="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H.C. Starck Smelting GmbH &amp; Co. KG*</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30"/>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Tungsten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Hunan Chenzhou Mining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Hunan Chuangda Vanadium Tungsten Co., Ltd. Wuji*</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Hunan Chunchang Nonferrous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Hydrometallurg, JSC*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 New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Gan Bei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Xiushui Xianggan Nonferrous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Yaosheng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Kennametal Fallon*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Kennametal Huntsville*</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Malipo Haiyu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27.</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Moliren Ltd</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Niagara Refining LLC*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Nui Phao H.C. Starck Tungsten Chemicals Manufacturing LLC*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PHILIPPINES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South-East Nonferrous Metal Company Limited of Hengyang City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Tejing (Vietnam)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Unecha Refractory metals plant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67"/>
        </w:trPr>
        <w:tc>
          <w:tcPr>
            <w:tcW w:w="680" w:type="dxa"/>
            <w:vAlign w:val="bottom"/>
            <w:tcBorders>
              <w:left w:val="single" w:sz="8" w:color="auto"/>
              <w:bottom w:val="single" w:sz="8" w:color="auto"/>
              <w:right w:val="single" w:sz="8" w:color="auto"/>
            </w:tcBorders>
          </w:tcPr>
          <w:p>
            <w:pPr>
              <w:spacing w:after="0"/>
              <w:rPr>
                <w:sz w:val="5"/>
                <w:szCs w:val="5"/>
                <w:color w:val="auto"/>
              </w:rPr>
            </w:pPr>
          </w:p>
        </w:tc>
        <w:tc>
          <w:tcPr>
            <w:tcW w:w="6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 Youngsun Tungsten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Wolfram Bergbau und Hütten AG*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Woltech Korea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40"/>
        </w:trPr>
        <w:tc>
          <w:tcPr>
            <w:tcW w:w="680" w:type="dxa"/>
            <w:vAlign w:val="bottom"/>
            <w:tcBorders>
              <w:left w:val="single" w:sz="8" w:color="auto"/>
              <w:bottom w:val="single" w:sz="8" w:color="auto"/>
              <w:right w:val="single" w:sz="8" w:color="auto"/>
            </w:tcBorders>
          </w:tcPr>
          <w:p>
            <w:pPr>
              <w:spacing w:after="0"/>
              <w:rPr>
                <w:sz w:val="3"/>
                <w:szCs w:val="3"/>
                <w:color w:val="auto"/>
              </w:rPr>
            </w:pPr>
          </w:p>
        </w:tc>
        <w:tc>
          <w:tcPr>
            <w:tcW w:w="64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Xiamen Tungsten (H.C.)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Xiamen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Xinfeng Huarui Tungsten &amp; Molybdenum New Material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Xinhai Rendan Shaoguan Tungsten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Alpha*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Chenzhou Yunxiang Mining and Metallurgy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 Tin Group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Cooperativa Metalurgica de Rondônia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Ayi Jaya*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Dua Sekawan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Gita Pesona*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Serumpun Sebalai*</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49.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Tiga Sekawan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United Smelting*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CV Venus Inti Perkasa*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67"/>
        </w:trPr>
        <w:tc>
          <w:tcPr>
            <w:tcW w:w="680" w:type="dxa"/>
            <w:vAlign w:val="bottom"/>
            <w:tcBorders>
              <w:left w:val="single" w:sz="8" w:color="auto"/>
              <w:bottom w:val="single" w:sz="8" w:color="auto"/>
              <w:right w:val="single" w:sz="8" w:color="auto"/>
            </w:tcBorders>
          </w:tcPr>
          <w:p>
            <w:pPr>
              <w:spacing w:after="0"/>
              <w:rPr>
                <w:sz w:val="5"/>
                <w:szCs w:val="5"/>
                <w:color w:val="auto"/>
              </w:rPr>
            </w:pPr>
          </w:p>
        </w:tc>
        <w:tc>
          <w:tcPr>
            <w:tcW w:w="6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Dowa*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Elmet S.L.U.*</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SPAIN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EM Vinto*</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BOLIVIA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Fenix Metals*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Fengming Metallurgy Chemical Plant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67"/>
        </w:trPr>
        <w:tc>
          <w:tcPr>
            <w:tcW w:w="680" w:type="dxa"/>
            <w:vAlign w:val="bottom"/>
            <w:tcBorders>
              <w:left w:val="single" w:sz="8" w:color="auto"/>
              <w:bottom w:val="single" w:sz="8" w:color="auto"/>
              <w:right w:val="single" w:sz="8" w:color="auto"/>
            </w:tcBorders>
          </w:tcPr>
          <w:p>
            <w:pPr>
              <w:spacing w:after="0"/>
              <w:rPr>
                <w:sz w:val="5"/>
                <w:szCs w:val="5"/>
                <w:color w:val="auto"/>
              </w:rPr>
            </w:pPr>
          </w:p>
        </w:tc>
        <w:tc>
          <w:tcPr>
            <w:tcW w:w="6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Jinye Mineral Company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Non-Ferrous Metal Processing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59.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Guanyang Guida Nonferrous Metal Smelting Plant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HuiChang Hill Tin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Ketai Advanced Material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67"/>
        </w:trPr>
        <w:tc>
          <w:tcPr>
            <w:tcW w:w="680" w:type="dxa"/>
            <w:vAlign w:val="bottom"/>
            <w:tcBorders>
              <w:left w:val="single" w:sz="8" w:color="auto"/>
              <w:bottom w:val="single" w:sz="8" w:color="auto"/>
              <w:right w:val="single" w:sz="8" w:color="auto"/>
            </w:tcBorders>
          </w:tcPr>
          <w:p>
            <w:pPr>
              <w:spacing w:after="0"/>
              <w:rPr>
                <w:sz w:val="5"/>
                <w:szCs w:val="5"/>
                <w:color w:val="auto"/>
              </w:rPr>
            </w:pPr>
          </w:p>
        </w:tc>
        <w:tc>
          <w:tcPr>
            <w:tcW w:w="6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Magnu's Minerais Metais e Ligas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Malaysia Smelting Corporation (MSC)*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MALAYSIA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Melt Metais e Ligas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Metallic Resources,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Metallo-Chimique N.V.*</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BELGIUM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Mineração Taboca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Minsur*</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PERU</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69.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Mitsubishi Materials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70.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O.M. Manufacturing (Thailand)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60" w:top="349" w:right="25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71.</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 Manufacturing Philippines, Inc.*</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PHILIPPINES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Operaciones Metalurgical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BOLIVIA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Aries Kencana Sejahtera*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Artha Cipta Langgeng*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ATD Makmur Mandiri Jaya*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Babel Inti Perkasa*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Bangka Prima Tin*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Bangka Tin Industry*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Belitung Industri Sejahtera*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Bukit Timah*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Cipta Persada Mulia*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DS Jaya Abadi*</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Eunindo Usaha Mandiri*</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Inti Stania Prima*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Justindo*</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Karimun Mining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Kijang Jaya Mandiri</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Mitra Stania Prima*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O.M. Indonesia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Panca Mega Persada*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Prima Timah Utama*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Refined Bangka Tin*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Sariwiguna Binasentosa*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Stanindo Inti Perkasa*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Sukses Inti Makmur*</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Sumber Jaya Indah*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Timah (Persero) Tbk Kundur*</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Timah (Persero) Tbk Mentok*</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Tinindo Inter Nusa*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Tommy Utama*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Wahana Perkit Jaya*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Resind Indústria e Comércio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Rui Da Hung*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Soft Metais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Thaisarco*</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VQB Mineral and Trading Group JSC*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White Solder Metalurgia e Mineração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Yunnan Tin Company Limited*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Conghua Tantalum and Niobium Smeltry*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 Block Metals, LLC*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112.</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Duoluoshan*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Exotech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F&amp;X Electro-Materials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FIR Metals &amp; Resource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60" w:top="349" w:right="25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116.</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Global Advanced Metals Aizu*</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Global Advanced Metals Boyertown*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Guangdong Zhiyuan New Material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Hermsdorf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Smelting GmbH &amp; Co. KG*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Surface Technology and Ceramic Powders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H.C. Starck Tantalum and Niobium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Hengyang King Xing Lifeng New Materials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Hi-Temp Specialty Metals,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Tuohong New Raw Material</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Jiujiang Nonferrous Metals Smelting Company Limited*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KEMET Blue Metals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MEXICO</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134.</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KEMET Blue Powder</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King-Tan Tantalum Industry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LSM Brasil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Metallurgical Products India Pvt.,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Mineração Taboca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Ningxia Orient Tantalum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NPM Silmet AS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ESTONIA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Plansee SE Liezen*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Plansee SE Reutte*</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Power Resources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MACEDONIA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3"/>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145.</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QuantumClean</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Resind Indústria e Comércio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Solikamsk Magnesium Works OAO*</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Taki Chemical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149.</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Telex Metals*</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Tranzact,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Ulba Metallurgical Plant JSC*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152.</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RFH Tantalum Smeltry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Yichun Jin Yang Rare Metal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3"/>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155.</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Zhuzhou Cemented Carbide Group Co., Ltd.*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Advanced Chemical Company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Aida Chemical Industries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 Etihad Gold LLC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ARAB EMIRATES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Allgemeine Gold-und Silberscheideanstalt A.G.*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Almalyk Mining and Metallurgical Complex (AMMC)*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UZBEKISTAN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60" w:top="349" w:right="25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161.</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AngloGold Ashanti Córrego do Sítio Mineração*</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Argor-Heraeus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Pretec Corp.*</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Refining Canada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Refining USA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Asaka Riken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 Traders and Refiners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SOUTH AFRICA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Aurubis AG*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169.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Bangko Sentral ng Pilipinas (Central Bank of the Philippines)*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PHILIPPINES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Boliden AB*</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SWEDEN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 Hafner GmbH + Co. KG*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CCR Refinery - Glencore Canada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Chimet S.p.A.*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ITALY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Daejin Indus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DODUCO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Dowa*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DSC (Do Sung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Eco-System Recycling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179.</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Elemetal Refining, LLC*</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Emirates Gold DMCC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ARAB EMIRATES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Heimerle + Meule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Heraeus Metals Hong Kong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Heraeus Precious Metals GmbH &amp; Co. KG*</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184.</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Inner Mongolia Qiankun Gold and Silver Refinery Share Co., Ltd.*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Ishifuku Metal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Istanbul Gold Refinery*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TURKEY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 Mint*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Copper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189.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JSC Ekaterinburg Non-Ferrous Metal Processing Plant*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3"/>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190.</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JSC Uralelectromed*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JX Nippon Mining &amp;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Kazzinc*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Kennecott Utah Copper LLC*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194.</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Kojima Chemicals Co., Ltd.*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Zinc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Kyrgyzaltyn JSC*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KYRGYZSTAN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LS-NIKKO Copper Inc.*</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Materion*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199.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Matsuda Sangyo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(Hong Kong)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SINGAPORE</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(Suzhou)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USA Refining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Metalúrgica Met-Mex Peñoles S.A. De C.V.*</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MEXICO</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60" w:top="349" w:right="2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4"/>
        </w:trPr>
        <w:tc>
          <w:tcPr>
            <w:tcW w:w="680" w:type="dxa"/>
            <w:vAlign w:val="bottom"/>
            <w:tcBorders>
              <w:top w:val="single" w:sz="8" w:color="auto"/>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206.</w:t>
            </w:r>
          </w:p>
        </w:tc>
        <w:tc>
          <w:tcPr>
            <w:tcW w:w="64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Mitsubishi Materials Corporation*</w:t>
            </w:r>
          </w:p>
        </w:tc>
        <w:tc>
          <w:tcPr>
            <w:tcW w:w="13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207.</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MMTC-PAMP India Pvt.,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209.</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Nadir Metal Rafineri San. Ve Tic. 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TURKEY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Nihon Material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Ögussa Österreichische Gold- und Silber-Scheideanstalt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Ohura Precious Metal Industry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OJSC "The Gulidov Krasnoyarsk Non-Ferrous Metals Plant" (OJSC Krastsvetmet)*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OJSC Novosibirsk Refinery*</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PAMP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Prioksky Plant of Non-Ferrous Metals*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Aneka Tambang (Persero) Tbk*</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219.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PX Précinox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Rand Refinery (Pty)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SOUTH AFRICA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Republic Metals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Royal Canadian Mint*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53"/>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64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Samduck Precious Metals*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SAXONIA Edelmetalle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Schone Edelmetaal B.V.*</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NETHERLANDS</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SEMPSA Joyería Platería S.A.*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SPAIN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Sichuan Tianze Precious Metals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229.</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Singway Technology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230.</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SOE Shyolkovsky Factory of Secondary Precious Metals*</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231.</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232.</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Sumitomo Metal Mining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T.C.A S.p.A*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ITALY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Tanaka Kikinzoku Kogyo K.K.*</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Refinery of Shandong Gold Mining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Tokuriki Honten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Torecom*</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Umicore Brasil Ltda.*</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239.</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Precious Metals Thailand*</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240.</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BELGIUM</w:t>
            </w:r>
          </w:p>
        </w:tc>
      </w:tr>
      <w:tr>
        <w:trPr>
          <w:trHeight w:val="21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241.</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Precious Metal Refining, Inc.*</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30"/>
        </w:trPr>
        <w:tc>
          <w:tcPr>
            <w:tcW w:w="68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242.</w:t>
            </w:r>
          </w:p>
        </w:tc>
        <w:tc>
          <w:tcPr>
            <w:tcW w:w="6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Valcambi S.A.*</w:t>
            </w:r>
          </w:p>
        </w:tc>
        <w:tc>
          <w:tcPr>
            <w:tcW w:w="1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30"/>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243.</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Western Australian Mint trading as The Perth Mint*</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AUSTRALIA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244.</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WIELAND Edelmetalle GmbH</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245.</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Yamamoto Precious Metal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246.</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Yokohama Metal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247.</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Zhongyuan Gold Smelter of Zhongjin Gold Corporation*</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24"/>
        </w:trPr>
        <w:tc>
          <w:tcPr>
            <w:tcW w:w="680" w:type="dxa"/>
            <w:vAlign w:val="bottom"/>
            <w:tcBorders>
              <w:left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248.</w:t>
            </w:r>
          </w:p>
        </w:tc>
        <w:tc>
          <w:tcPr>
            <w:tcW w:w="6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 Refinery of Zijin Mining Group Co., Ltd.*</w:t>
            </w:r>
          </w:p>
        </w:tc>
        <w:tc>
          <w:tcPr>
            <w:tcW w:w="13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60" w:top="349" w:right="259" w:bottom="1440" w:gutter="0" w:footer="0" w:header="0"/>
        </w:sectPr>
      </w:pPr>
    </w:p>
    <w:bookmarkStart w:id="14" w:name="page15"/>
    <w:bookmarkEnd w:id="14"/>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Listed below are the 61 Smelters identified to us by our Suppliers as potentially in our supply chain for 2016 that have processed CMs of undeterminable origin. “Active” means the Smelter has committed to participate in a third-party audit of its Conflict Status, as reported by the CFSP. The location information and “Active” status are as reported by the CFSP as of March 3, 2017.</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248"/>
        </w:trPr>
        <w:tc>
          <w:tcPr>
            <w:tcW w:w="620" w:type="dxa"/>
            <w:vAlign w:val="bottom"/>
            <w:tcBorders>
              <w:top w:val="single" w:sz="8" w:color="auto"/>
              <w:left w:val="single" w:sz="8" w:color="auto"/>
              <w:right w:val="single" w:sz="8" w:color="auto"/>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No.</w:t>
            </w:r>
          </w:p>
        </w:tc>
        <w:tc>
          <w:tcPr>
            <w:tcW w:w="616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Smelter</w:t>
            </w:r>
          </w:p>
        </w:tc>
        <w:tc>
          <w:tcPr>
            <w:tcW w:w="112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Metal</w:t>
            </w:r>
          </w:p>
        </w:tc>
        <w:tc>
          <w:tcPr>
            <w:tcW w:w="252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Country</w:t>
            </w:r>
          </w:p>
        </w:tc>
        <w:tc>
          <w:tcPr>
            <w:tcW w:w="880" w:type="dxa"/>
            <w:vAlign w:val="bottom"/>
            <w:tcBorders>
              <w:top w:val="single" w:sz="8" w:color="auto"/>
              <w:right w:val="single" w:sz="8" w:color="auto"/>
            </w:tcBorders>
            <w:shd w:val="clear" w:color="auto" w:fill="C6D9F1"/>
          </w:tcPr>
          <w:p>
            <w:pPr>
              <w:spacing w:after="0"/>
              <w:rPr>
                <w:sz w:val="20"/>
                <w:szCs w:val="20"/>
                <w:color w:val="auto"/>
              </w:rPr>
            </w:pPr>
            <w:r>
              <w:rPr>
                <w:rFonts w:ascii="Arial" w:cs="Arial" w:eastAsia="Arial" w:hAnsi="Arial"/>
                <w:sz w:val="18"/>
                <w:szCs w:val="18"/>
                <w:b w:val="1"/>
                <w:bCs w:val="1"/>
                <w:color w:val="auto"/>
              </w:rPr>
              <w:t>Active</w:t>
            </w:r>
          </w:p>
        </w:tc>
      </w:tr>
      <w:tr>
        <w:trPr>
          <w:trHeight w:val="157"/>
        </w:trPr>
        <w:tc>
          <w:tcPr>
            <w:tcW w:w="620" w:type="dxa"/>
            <w:vAlign w:val="bottom"/>
            <w:tcBorders>
              <w:left w:val="single" w:sz="8" w:color="auto"/>
              <w:bottom w:val="single" w:sz="8" w:color="auto"/>
              <w:right w:val="single" w:sz="8" w:color="auto"/>
            </w:tcBorders>
            <w:shd w:val="clear" w:color="auto" w:fill="C6D9F1"/>
          </w:tcPr>
          <w:p>
            <w:pPr>
              <w:spacing w:after="0"/>
              <w:rPr>
                <w:sz w:val="13"/>
                <w:szCs w:val="13"/>
                <w:color w:val="auto"/>
              </w:rPr>
            </w:pPr>
          </w:p>
        </w:tc>
        <w:tc>
          <w:tcPr>
            <w:tcW w:w="6160" w:type="dxa"/>
            <w:vAlign w:val="bottom"/>
            <w:tcBorders>
              <w:bottom w:val="single" w:sz="8" w:color="auto"/>
              <w:right w:val="single" w:sz="8" w:color="auto"/>
            </w:tcBorders>
            <w:shd w:val="clear" w:color="auto" w:fill="C6D9F1"/>
          </w:tcPr>
          <w:p>
            <w:pPr>
              <w:spacing w:after="0"/>
              <w:rPr>
                <w:sz w:val="13"/>
                <w:szCs w:val="13"/>
                <w:color w:val="auto"/>
              </w:rPr>
            </w:pPr>
          </w:p>
        </w:tc>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2520" w:type="dxa"/>
            <w:vAlign w:val="bottom"/>
            <w:tcBorders>
              <w:bottom w:val="single" w:sz="8" w:color="auto"/>
              <w:right w:val="single" w:sz="8" w:color="auto"/>
            </w:tcBorders>
            <w:shd w:val="clear" w:color="auto" w:fill="C6D9F1"/>
          </w:tcPr>
          <w:p>
            <w:pPr>
              <w:spacing w:after="0"/>
              <w:rPr>
                <w:sz w:val="13"/>
                <w:szCs w:val="13"/>
                <w:color w:val="auto"/>
              </w:rPr>
            </w:pPr>
          </w:p>
        </w:tc>
        <w:tc>
          <w:tcPr>
            <w:tcW w:w="880" w:type="dxa"/>
            <w:vAlign w:val="bottom"/>
            <w:tcBorders>
              <w:bottom w:val="single" w:sz="8" w:color="auto"/>
              <w:right w:val="single" w:sz="8" w:color="auto"/>
            </w:tcBorders>
            <w:shd w:val="clear" w:color="auto" w:fill="C6D9F1"/>
          </w:tcPr>
          <w:p>
            <w:pPr>
              <w:spacing w:after="0"/>
              <w:rPr>
                <w:sz w:val="13"/>
                <w:szCs w:val="13"/>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ACL Metais Eireli</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Dayu Weiliang Tungsten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Ganzhou Yatai Tungsten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Dayu Longxintai Tungsten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Jiangxi Minmetals Gao'an Non-ferrous Metals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 Thai Minerals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 Vinh Joint Stock Mineral Processing Company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CNMC (Guangxi) PGMA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Electro-Mechanical Facility of the Cao Bang Minerals &amp; Metallurgy JSC</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Estanho de Rondônia S.A.</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Kai Meng Industry and Trade LLC</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Yunxin Nonferrous Electrolysis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Huichang Jinshunda Tin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Modeltech Sdn Bhd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MALAYSIA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Nankang Nanshan Tin Manufactory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Nghe Tinh Non-Ferrous Metals Joint Stock Company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Phoenix Metal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RWANDA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Tuyen Quang Non-Ferrous Metals Joint Stock Company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Yunnan Chengfeng Non-ferrous Metals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Abington Reldan Metals, LLC</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Atasay Kuyumculuk Sanayi Ve Ticaret A.S.</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TURKEY</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Bangalore Refinery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Caridad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MEXICO</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Cendres + Métaux S.A.</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Chugai Mining</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Daye Non-Ferrous Metals Mining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Gansu Seemine Material Hi-Tech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29.</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GCC Gujrat Gold Centre Pvt.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Geib Refining Corporation</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Great Wall Precious Metals Co., Ltd. of CBPM</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Guangdong Jinding Gold Limited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Guoda Safina High-Tech Environmental Refinery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Hangzhou Fuchunjiang Smelting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HwaSeong CJ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Kaloti Precious Metals</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ARAB EMIRATES</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Kazakhmys Smelting LLC</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44"/>
        </w:trPr>
        <w:tc>
          <w:tcPr>
            <w:tcW w:w="620" w:type="dxa"/>
            <w:vAlign w:val="bottom"/>
            <w:tcBorders>
              <w:top w:val="single" w:sz="8" w:color="auto"/>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39.</w:t>
            </w:r>
          </w:p>
        </w:tc>
        <w:tc>
          <w:tcPr>
            <w:tcW w:w="6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KGHM Polska Mied? Spó?ka Akcyjna</w:t>
            </w:r>
          </w:p>
        </w:tc>
        <w:tc>
          <w:tcPr>
            <w:tcW w:w="11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POLAND</w:t>
            </w:r>
          </w:p>
        </w:tc>
        <w:tc>
          <w:tcPr>
            <w:tcW w:w="8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L'azurde Company For Jewelry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SAUDI ARABIA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Lingbao Gold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Lingbao Jinyuan Tonghui Refinery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Luoyang Zijin Yinhui Gold Refinery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Modeltech Sdn Bhd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MALAYSIA</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Morris and Watson</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NEW ZEALAND</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Navoi Mining and Metallurgical Combinat</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UZBEKISTAN</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Penglai Penggang Gold Industry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Remondis Argentia B.V.</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NETHERLANDS</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SAAMP</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FRANCE</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Sabin Metal Corp.</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SAFINA A.S.</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CZECH REPUBLIC</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Sai Refinery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Samwon Metals Corp.</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54.</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Shandong Tiancheng Biological Gold Industrial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 Accurate Group, Inc.</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 AMERICA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56.</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Sudan Gold Refinery</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SUDAN</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57.</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Tongling Nonferrous Metals Group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58.</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Tony Goetz NV</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BELGIUM</w:t>
            </w:r>
          </w:p>
        </w:tc>
        <w:tc>
          <w:tcPr>
            <w:tcW w:w="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TOO Tau-Ken-Altyn</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Universal Precious Metals Refining Zambia</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ZAMBIA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4"/>
        </w:trPr>
        <w:tc>
          <w:tcPr>
            <w:tcW w:w="62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6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Yunnan Copper Industry Co., Ltd.</w:t>
            </w:r>
          </w:p>
        </w:tc>
        <w:tc>
          <w:tcPr>
            <w:tcW w:w="1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c>
          <w:tcPr>
            <w:tcW w:w="880" w:type="dxa"/>
            <w:vAlign w:val="bottom"/>
            <w:tcBorders>
              <w:right w:val="single" w:sz="8" w:color="auto"/>
            </w:tcBorders>
          </w:tcPr>
          <w:p>
            <w:pPr>
              <w:spacing w:after="0"/>
              <w:rPr>
                <w:sz w:val="19"/>
                <w:szCs w:val="19"/>
                <w:color w:val="auto"/>
              </w:rPr>
            </w:pPr>
          </w:p>
        </w:tc>
      </w:tr>
      <w:tr>
        <w:trPr>
          <w:trHeight w:val="26"/>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60" w:top="34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Appendix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Private Sector Auditor Report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INDEPENDENT AUDITOR’S REPORT ON CONFLICT MINERALS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117" w:lineRule="exact"/>
        <w:rPr>
          <w:sz w:val="20"/>
          <w:szCs w:val="20"/>
          <w:color w:val="auto"/>
        </w:rPr>
      </w:pPr>
    </w:p>
    <w:p>
      <w:pPr>
        <w:jc w:val="both"/>
        <w:ind w:left="760" w:hanging="374"/>
        <w:spacing w:after="0" w:line="25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2016 through December 31, 2016, is in conformity, in all material respects, with the criteria set forth in the Organisation for Economic Co-Operation and Development Due Diligence Guidance for Responsible Supply Chains of Minerals from Conflict-Affected and High-Risk Areas, Second Edition 2013 (“OECD Due Diligence Guidance”), and</w:t>
      </w:r>
    </w:p>
    <w:p>
      <w:pPr>
        <w:spacing w:after="0" w:line="3" w:lineRule="exact"/>
        <w:rPr>
          <w:rFonts w:ascii="Arial" w:cs="Arial" w:eastAsia="Arial" w:hAnsi="Arial"/>
          <w:sz w:val="18"/>
          <w:szCs w:val="18"/>
          <w:color w:val="auto"/>
        </w:rPr>
      </w:pPr>
    </w:p>
    <w:p>
      <w:pPr>
        <w:jc w:val="both"/>
        <w:ind w:left="760" w:hanging="374"/>
        <w:spacing w:after="0" w:line="255"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2016 through December 31, 2016, is consistent, in all material respects, with the due diligence process that the Company undertook.</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and, accordingly, included examining, on a test basis, evidence about the design of the Company’s due diligence framework and the description of the due diligence measures the Company performed, and performing such other procedures as we considered necessary in the circumstances. We believe that our examination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117" w:lineRule="exact"/>
        <w:rPr>
          <w:sz w:val="20"/>
          <w:szCs w:val="20"/>
          <w:color w:val="auto"/>
        </w:rPr>
      </w:pPr>
    </w:p>
    <w:p>
      <w:pPr>
        <w:ind w:left="760" w:hanging="374"/>
        <w:spacing w:after="0" w:line="25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9" w:lineRule="exact"/>
        <w:rPr>
          <w:rFonts w:ascii="Arial" w:cs="Arial" w:eastAsia="Arial" w:hAnsi="Arial"/>
          <w:sz w:val="18"/>
          <w:szCs w:val="18"/>
          <w:color w:val="auto"/>
        </w:rPr>
      </w:pPr>
    </w:p>
    <w:p>
      <w:pPr>
        <w:ind w:left="760" w:hanging="374"/>
        <w:spacing w:after="0" w:line="25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 third party can determine from the Conflict Minerals Report if the due diligence measures the Company performed are consistent with the OECD Due Diligence Guidance;</w:t>
      </w:r>
    </w:p>
    <w:p>
      <w:pPr>
        <w:ind w:left="760" w:right="20" w:hanging="374"/>
        <w:spacing w:after="0" w:line="25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ind w:left="760" w:hanging="374"/>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17" w:lineRule="exact"/>
        <w:rPr>
          <w:sz w:val="20"/>
          <w:szCs w:val="20"/>
          <w:color w:val="auto"/>
        </w:rPr>
      </w:pPr>
    </w:p>
    <w:p>
      <w:pPr>
        <w:jc w:val="both"/>
        <w:ind w:left="760" w:hanging="374"/>
        <w:spacing w:after="0" w:line="256"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2016 through December 31, 2016, as set forth in the section titled “Design of Due Diligence” of the Conflict Minerals Report is in conformity, in all material respects, with the OECD Due Diligence Guidance, and</w:t>
      </w:r>
    </w:p>
    <w:p>
      <w:pPr>
        <w:jc w:val="both"/>
        <w:ind w:left="760" w:hanging="374"/>
        <w:spacing w:after="0" w:line="255"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2016 through December 31, 2016, is consistent, in all material respects, with the due diligence process that the Company undertook.</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upperLetter"/>
      <w:start w:val="9"/>
    </w:lvl>
  </w:abstractNum>
  <w:abstractNum w:abstractNumId="2">
    <w:nsid w:val="515F007C"/>
    <w:multiLevelType w:val="hybridMultilevel"/>
    <w:lvl w:ilvl="0">
      <w:lvlJc w:val="left"/>
      <w:lvlText w:val="%1"/>
      <w:numFmt w:val="upperLetter"/>
      <w:start w:val="1"/>
    </w:lvl>
    <w:lvl w:ilvl="1">
      <w:lvlJc w:val="left"/>
      <w:lvlText w:val="•"/>
      <w:numFmt w:val="bullet"/>
      <w:start w:val="1"/>
    </w:lvl>
  </w:abstractNum>
  <w:abstractNum w:abstractNumId="3">
    <w:nsid w:val="5BD062C2"/>
    <w:multiLevelType w:val="hybridMultilevel"/>
    <w:lvl w:ilvl="0">
      <w:lvlJc w:val="left"/>
      <w:lvlText w:val="%1."/>
      <w:numFmt w:val="upperLetter"/>
      <w:start w:val="6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upperLetter"/>
      <w:start w:val="2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2019-12-05T07:43:49Z</dcterms:created>
  <dcterms:modified xsi:type="dcterms:W3CDTF">2019-12-05T07:43:49Z</dcterms:modified>
</cp:coreProperties>
</file>