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18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1200" w:hanging="1200"/>
        <w:spacing w:after="0" w:line="282" w:lineRule="auto"/>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color w:val="auto"/>
        </w:rPr>
        <w:t>Departure of Directors or Certain Officers; Election of Directors; Appointment of Certain Officers; Compensatory Arrangements of Certain Officers.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Kyle M. Flessner, Senior Vice President of Texas Instruments Incorporated, has announced his intention to retire effective April 1, 2024.</w:t>
      </w:r>
    </w:p>
    <w:p>
      <w:pPr>
        <w:sectPr>
          <w:pgSz w:w="11900" w:h="16838" w:orient="portrait"/>
          <w:cols w:equalWidth="0" w:num="1">
            <w:col w:w="10680"/>
          </w:cols>
          <w:pgMar w:left="440" w:top="297" w:right="77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January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Cynthia Hoff Trochu</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sectPr>
      <w:pgSz w:w="11900" w:h="16838" w:orient="portrait"/>
      <w:cols w:equalWidth="0" w:num="1">
        <w:col w:w="10320"/>
      </w:cols>
      <w:pgMar w:left="440" w:top="297"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2024-01-12T15:49:18Z</dcterms:created>
  <dcterms:modified xsi:type="dcterms:W3CDTF">2024-01-12T15:49:18Z</dcterms:modified>
</cp:coreProperties>
</file>