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3, 2018</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75-0289970</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214-479-3773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2018 Director Compensation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Cynthia Hoff Trochu</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12500 TI Boulevard</w:t>
      </w:r>
      <w:r>
        <w:rPr>
          <w:sz w:val="20"/>
          <w:szCs w:val="20"/>
          <w:color w:val="auto"/>
        </w:rPr>
        <w:tab/>
      </w:r>
      <w:r>
        <w:rPr>
          <w:rFonts w:ascii="Arial" w:cs="Arial" w:eastAsia="Arial" w:hAnsi="Arial"/>
          <w:sz w:val="16"/>
          <w:szCs w:val="16"/>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75265-0199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214-479-3773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b w:val="1"/>
                <w:bCs w:val="1"/>
                <w:color w:val="auto"/>
                <w:w w:val="98"/>
              </w:rPr>
              <w:t>Large accelerated filer</w:t>
            </w:r>
          </w:p>
        </w:tc>
        <w:tc>
          <w:tcPr>
            <w:tcW w:w="53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420"/>
              <w:spacing w:after="0"/>
              <w:rPr>
                <w:sz w:val="20"/>
                <w:szCs w:val="20"/>
                <w:color w:val="auto"/>
              </w:rPr>
            </w:pPr>
            <w:r>
              <w:rPr>
                <w:rFonts w:ascii="Arial" w:cs="Arial" w:eastAsia="Arial" w:hAnsi="Arial"/>
                <w:sz w:val="18"/>
                <w:szCs w:val="18"/>
                <w:b w:val="1"/>
                <w:bCs w:val="1"/>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53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(Do not check if a smaller reporting company)</w:t>
            </w:r>
          </w:p>
        </w:tc>
        <w:tc>
          <w:tcPr>
            <w:tcW w:w="3780" w:type="dxa"/>
            <w:vAlign w:val="bottom"/>
          </w:tcPr>
          <w:p>
            <w:pPr>
              <w:ind w:left="1420"/>
              <w:spacing w:after="0"/>
              <w:rPr>
                <w:sz w:val="20"/>
                <w:szCs w:val="20"/>
                <w:color w:val="auto"/>
              </w:rPr>
            </w:pPr>
            <w:r>
              <w:rPr>
                <w:rFonts w:ascii="Arial" w:cs="Arial" w:eastAsia="Arial" w:hAnsi="Arial"/>
                <w:sz w:val="18"/>
                <w:szCs w:val="18"/>
                <w:b w:val="1"/>
                <w:bCs w:val="1"/>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780" w:type="dxa"/>
            <w:vAlign w:val="bottom"/>
          </w:tcPr>
          <w:p>
            <w:pPr>
              <w:ind w:left="1420"/>
              <w:spacing w:after="0"/>
              <w:rPr>
                <w:sz w:val="20"/>
                <w:szCs w:val="20"/>
                <w:color w:val="auto"/>
              </w:rPr>
            </w:pPr>
            <w:r>
              <w:rPr>
                <w:rFonts w:ascii="Arial" w:cs="Arial" w:eastAsia="Arial" w:hAnsi="Arial"/>
                <w:sz w:val="18"/>
                <w:szCs w:val="18"/>
                <w:b w:val="1"/>
                <w:bCs w:val="1"/>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Per Share(2)</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Price(2)</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Common Stock ($1 par value)</w:t>
            </w:r>
          </w:p>
        </w:tc>
        <w:tc>
          <w:tcPr>
            <w:tcW w:w="1600" w:type="dxa"/>
            <w:vAlign w:val="bottom"/>
            <w:tcBorders>
              <w:bottom w:val="single" w:sz="8" w:color="auto"/>
              <w:right w:val="single" w:sz="8" w:color="auto"/>
            </w:tcBorders>
          </w:tcPr>
          <w:p>
            <w:pPr>
              <w:jc w:val="right"/>
              <w:ind w:right="324"/>
              <w:spacing w:after="0"/>
              <w:rPr>
                <w:sz w:val="20"/>
                <w:szCs w:val="20"/>
                <w:color w:val="auto"/>
              </w:rPr>
            </w:pPr>
            <w:r>
              <w:rPr>
                <w:rFonts w:ascii="Arial" w:cs="Arial" w:eastAsia="Arial" w:hAnsi="Arial"/>
                <w:sz w:val="18"/>
                <w:szCs w:val="18"/>
                <w:color w:val="auto"/>
              </w:rPr>
              <w:t>2,000,000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89"/>
              </w:rPr>
              <w:t>$102.78</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$205,560,000</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$25,592.22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0" w:hanging="452"/>
        <w:spacing w:after="0" w:line="269"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on Form S-8 (this “Registration Statement”) covers shares of Common Stock, par value $1 per share (“Common Stock”) of Texas Instruments Incorporated (the “Company” or the “Registrant”) (i) issuable pursuant to the Texas Instruments 2018 Director Compensation Plan (the “Plan”), and (ii) pursuant to Rule 416(a) under the Securities Act of 1933, as amended (the “Securities Act”), any additional shares of Common Stock that become issuable under the Plan by reason of any stock dividend, stock split, or other similar transaction.</w:t>
      </w:r>
    </w:p>
    <w:p>
      <w:pPr>
        <w:spacing w:after="0" w:line="1"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The Proposed Maximum Offering Price Per Share is based on average of the high and low prices reported for a share of Common Stock on the NASDAQ Global Select Market on April 30, 2018, a date that is within five business days prior to filing.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Rounded up to the nearest penny.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1</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information specified in Item 1 and Item 2 of Part I of Form S-8 is omitted from this filing in accordance with the provisions of Rule 428 under the Securities Act and the introductory note to Part I of the Form S-8 instructions. The document containing the information specified in Part I will be delivered to the participants in the Plan as required by Rule 428(b)(1).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filed are incorporated herein by reference:</w:t>
      </w:r>
    </w:p>
    <w:p>
      <w:pPr>
        <w:spacing w:after="0" w:line="117" w:lineRule="exact"/>
        <w:rPr>
          <w:sz w:val="20"/>
          <w:szCs w:val="20"/>
          <w:color w:val="auto"/>
        </w:rPr>
      </w:pPr>
    </w:p>
    <w:p>
      <w:pPr>
        <w:ind w:left="840" w:hanging="376"/>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2017;</w:t>
      </w:r>
    </w:p>
    <w:p>
      <w:pPr>
        <w:spacing w:after="0" w:line="117" w:lineRule="exact"/>
        <w:rPr>
          <w:rFonts w:ascii="Arial" w:cs="Arial" w:eastAsia="Arial" w:hAnsi="Arial"/>
          <w:sz w:val="18"/>
          <w:szCs w:val="18"/>
          <w:color w:val="auto"/>
        </w:rPr>
      </w:pPr>
    </w:p>
    <w:p>
      <w:pPr>
        <w:ind w:left="860" w:hanging="39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2018;</w:t>
      </w:r>
    </w:p>
    <w:p>
      <w:pPr>
        <w:spacing w:after="0" w:line="117" w:lineRule="exact"/>
        <w:rPr>
          <w:rFonts w:ascii="Arial" w:cs="Arial" w:eastAsia="Arial" w:hAnsi="Arial"/>
          <w:sz w:val="18"/>
          <w:szCs w:val="18"/>
          <w:color w:val="auto"/>
        </w:rPr>
      </w:pPr>
    </w:p>
    <w:p>
      <w:pPr>
        <w:ind w:left="840" w:hanging="376"/>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January 22, 2018; April 13, 2018; and May 1, 2018; and</w:t>
      </w:r>
    </w:p>
    <w:p>
      <w:pPr>
        <w:spacing w:after="0" w:line="117" w:lineRule="exact"/>
        <w:rPr>
          <w:rFonts w:ascii="Arial" w:cs="Arial" w:eastAsia="Arial" w:hAnsi="Arial"/>
          <w:sz w:val="18"/>
          <w:szCs w:val="18"/>
          <w:color w:val="auto"/>
        </w:rPr>
      </w:pPr>
    </w:p>
    <w:p>
      <w:pPr>
        <w:ind w:right="240" w:firstLine="464"/>
        <w:spacing w:after="0" w:line="277" w:lineRule="auto"/>
        <w:tabs>
          <w:tab w:leader="none" w:pos="8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capital stock which is contained in the Company’s Registration Statement on Form 8-A, dated December 15, 2011 (Commission File No. 001-03761), including any amendments or supplements thereto.</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all documents subsequently filed by the Company pursuant to Sections 13(a), 13(c), 14 and 15(d) of the Securities Exchange Act of 1934, as amended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a part hereof from the date of the filing of such documents.</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General Corporation Law of the State of Delaware (the “DGCL”),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 w:name="page3"/>
    <w:bookmarkEnd w:id="2"/>
    <w:p>
      <w:pPr>
        <w:jc w:val="both"/>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the extent that any such person succeeds on the merits 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17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above-described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Article VI of the Company’s By-laws provides that the Company shall indemnify its officers and directors for such expenses, judgments, fines and amounts paid in settlement to the full extent permitted by the laws of the State of Delaware.</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Article Seventh of the Company’s Restated Certificate of Incorporation contains such a provision.</w:t>
      </w:r>
    </w:p>
    <w:p>
      <w:pPr>
        <w:spacing w:after="0" w:line="17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Under insurance policies of the Company, directors and officers of the Company may be indemnified against certain losses arising from certain claims, including claims under the Securities Act, which may be made against such persons by reason of their being such directors or officers.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9940" w:type="dxa"/>
            <w:vAlign w:val="bottom"/>
            <w:tcBorders>
              <w:bottom w:val="single" w:sz="8" w:color="0000EE"/>
            </w:tcBorders>
            <w:gridSpan w:val="7"/>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Restated Certificate of Incorporation of the Registrant, dated April 18, 1985, as amended (incorporated by reference to Exhibit 3(a) to the</w:t>
              </w:r>
            </w:hyperlink>
          </w:p>
        </w:tc>
      </w:tr>
      <w:tr>
        <w:trPr>
          <w:trHeight w:val="196"/>
        </w:trPr>
        <w:tc>
          <w:tcPr>
            <w:tcW w:w="1080" w:type="dxa"/>
            <w:vAlign w:val="bottom"/>
          </w:tcPr>
          <w:p>
            <w:pPr>
              <w:spacing w:after="0"/>
              <w:rPr>
                <w:sz w:val="17"/>
                <w:szCs w:val="17"/>
                <w:color w:val="auto"/>
              </w:rPr>
            </w:pPr>
          </w:p>
        </w:tc>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Registrant’s Annual Report on Form 10-K for the year ended December 31, 2014).</w:t>
              </w:r>
            </w:hyperlink>
          </w:p>
        </w:tc>
        <w:tc>
          <w:tcPr>
            <w:tcW w:w="3980" w:type="dxa"/>
            <w:vAlign w:val="bottom"/>
            <w:gridSpan w:val="2"/>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9940" w:type="dxa"/>
            <w:vAlign w:val="bottom"/>
            <w:gridSpan w:val="7"/>
          </w:tcPr>
          <w:p>
            <w:pPr>
              <w:spacing w:after="0"/>
              <w:rPr>
                <w:rFonts w:ascii="Arial" w:cs="Arial" w:eastAsia="Arial" w:hAnsi="Arial"/>
                <w:sz w:val="18"/>
                <w:szCs w:val="18"/>
                <w:color w:val="0000EE"/>
                <w:w w:val="95"/>
              </w:rPr>
            </w:pPr>
            <w:hyperlink r:id="rId20">
              <w:r>
                <w:rPr>
                  <w:rFonts w:ascii="Arial" w:cs="Arial" w:eastAsia="Arial" w:hAnsi="Arial"/>
                  <w:sz w:val="18"/>
                  <w:szCs w:val="18"/>
                  <w:color w:val="0000EE"/>
                  <w:w w:val="95"/>
                </w:rPr>
                <w:t>By-Laws of the Registrant (incorporated by reference to Exhibit 3 to the Registrant’s Report on Form 8-K filed December 12, 2016).</w:t>
              </w:r>
            </w:hyperlink>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5.1</w:t>
            </w:r>
          </w:p>
        </w:tc>
        <w:tc>
          <w:tcPr>
            <w:tcW w:w="95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Opinion of Counsel (filed herewith).</w:t>
            </w:r>
          </w:p>
        </w:tc>
        <w:tc>
          <w:tcPr>
            <w:tcW w:w="3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9940" w:type="dxa"/>
            <w:vAlign w:val="bottom"/>
            <w:gridSpan w:val="7"/>
          </w:tcPr>
          <w:p>
            <w:pPr>
              <w:spacing w:after="0"/>
              <w:rPr>
                <w:sz w:val="20"/>
                <w:szCs w:val="20"/>
                <w:color w:val="auto"/>
              </w:rPr>
            </w:pPr>
            <w:r>
              <w:rPr>
                <w:rFonts w:ascii="Arial" w:cs="Arial" w:eastAsia="Arial" w:hAnsi="Arial"/>
                <w:sz w:val="18"/>
                <w:szCs w:val="18"/>
                <w:color w:val="0000EE"/>
              </w:rPr>
              <w:t>Consent of Ernst &amp; Young LLP (filed herewith).</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23.2</w:t>
            </w:r>
          </w:p>
        </w:tc>
        <w:tc>
          <w:tcPr>
            <w:tcW w:w="34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w w:val="98"/>
              </w:rPr>
              <w:t>Consent of Counsel (included in Exhibit 5.1)</w:t>
            </w:r>
          </w:p>
        </w:tc>
        <w:tc>
          <w:tcPr>
            <w:tcW w:w="6460" w:type="dxa"/>
            <w:vAlign w:val="bottom"/>
            <w:gridSpan w:val="4"/>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9940" w:type="dxa"/>
            <w:vAlign w:val="bottom"/>
            <w:gridSpan w:val="7"/>
          </w:tcPr>
          <w:p>
            <w:pPr>
              <w:spacing w:after="0"/>
              <w:rPr>
                <w:sz w:val="20"/>
                <w:szCs w:val="20"/>
                <w:color w:val="auto"/>
              </w:rPr>
            </w:pPr>
            <w:r>
              <w:rPr>
                <w:rFonts w:ascii="Arial" w:cs="Arial" w:eastAsia="Arial" w:hAnsi="Arial"/>
                <w:sz w:val="18"/>
                <w:szCs w:val="18"/>
                <w:color w:val="0000EE"/>
              </w:rPr>
              <w:t>Texas Instruments 2018 Director Compensation Plan (filed herewith)</w:t>
            </w:r>
          </w:p>
        </w:tc>
      </w:tr>
      <w:tr>
        <w:trPr>
          <w:trHeight w:val="385"/>
        </w:trPr>
        <w:tc>
          <w:tcPr>
            <w:tcW w:w="1080" w:type="dxa"/>
            <w:vAlign w:val="bottom"/>
          </w:tcPr>
          <w:p>
            <w:pPr>
              <w:spacing w:after="0"/>
              <w:rPr>
                <w:sz w:val="24"/>
                <w:szCs w:val="24"/>
                <w:color w:val="auto"/>
              </w:rPr>
            </w:pPr>
          </w:p>
        </w:tc>
        <w:tc>
          <w:tcPr>
            <w:tcW w:w="4980" w:type="dxa"/>
            <w:vAlign w:val="bottom"/>
            <w:tcBorders>
              <w:top w:val="single" w:sz="8" w:color="0000EE"/>
            </w:tcBorders>
            <w:gridSpan w:val="4"/>
          </w:tcPr>
          <w:p>
            <w:pPr>
              <w:ind w:left="458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 Undertakings.</w:t>
      </w:r>
    </w:p>
    <w:p>
      <w:pPr>
        <w:spacing w:after="0" w:line="121" w:lineRule="exact"/>
        <w:rPr>
          <w:sz w:val="20"/>
          <w:szCs w:val="20"/>
          <w:color w:val="auto"/>
        </w:rPr>
      </w:pPr>
    </w:p>
    <w:p>
      <w:pPr>
        <w:ind w:left="1860" w:hanging="368"/>
        <w:spacing w:after="0"/>
        <w:tabs>
          <w:tab w:leader="none" w:pos="1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117" w:lineRule="exact"/>
        <w:rPr>
          <w:rFonts w:ascii="Arial" w:cs="Arial" w:eastAsia="Arial" w:hAnsi="Arial"/>
          <w:sz w:val="18"/>
          <w:szCs w:val="18"/>
          <w:color w:val="auto"/>
        </w:rPr>
      </w:pPr>
    </w:p>
    <w:p>
      <w:pPr>
        <w:ind w:left="2340" w:hanging="392"/>
        <w:spacing w:after="0"/>
        <w:tabs>
          <w:tab w:leader="none" w:pos="2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40" w:lineRule="exact"/>
        <w:rPr>
          <w:rFonts w:ascii="Arial" w:cs="Arial" w:eastAsia="Arial" w:hAnsi="Arial"/>
          <w:sz w:val="16"/>
          <w:szCs w:val="16"/>
          <w:color w:val="auto"/>
        </w:rPr>
      </w:pPr>
    </w:p>
    <w:p>
      <w:pPr>
        <w:ind w:left="2760" w:hanging="356"/>
        <w:spacing w:after="0"/>
        <w:tabs>
          <w:tab w:leader="none" w:pos="2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right="20" w:firstLine="2404"/>
        <w:spacing w:after="0" w:line="264" w:lineRule="auto"/>
        <w:tabs>
          <w:tab w:leader="none" w:pos="2793"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73" w:lineRule="exact"/>
        <w:rPr>
          <w:rFonts w:ascii="Arial" w:cs="Arial" w:eastAsia="Arial" w:hAnsi="Arial"/>
          <w:sz w:val="18"/>
          <w:szCs w:val="18"/>
          <w:color w:val="auto"/>
        </w:rPr>
      </w:pPr>
    </w:p>
    <w:p>
      <w:pPr>
        <w:ind w:firstLine="2404"/>
        <w:spacing w:after="0" w:line="277" w:lineRule="auto"/>
        <w:tabs>
          <w:tab w:leader="none" w:pos="2843"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by the Registrant pursuant to Section 13 or 15(d) of the Exchange Act that are incorporated by reference in this Registration Statement.</w:t>
      </w:r>
    </w:p>
    <w:p>
      <w:pPr>
        <w:spacing w:after="0" w:line="73" w:lineRule="exact"/>
        <w:rPr>
          <w:sz w:val="20"/>
          <w:szCs w:val="20"/>
          <w:color w:val="auto"/>
        </w:rPr>
      </w:pPr>
    </w:p>
    <w:p>
      <w:pPr>
        <w:ind w:right="260" w:firstLine="1948"/>
        <w:spacing w:after="0" w:line="264" w:lineRule="auto"/>
        <w:tabs>
          <w:tab w:leader="none" w:pos="2327"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360" w:firstLine="1948"/>
        <w:spacing w:after="0" w:line="277" w:lineRule="auto"/>
        <w:tabs>
          <w:tab w:leader="none" w:pos="232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220" w:firstLine="1492"/>
        <w:spacing w:after="0" w:line="302" w:lineRule="auto"/>
        <w:tabs>
          <w:tab w:leader="none" w:pos="187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Registrant hereby undertakes that, for purposes of determining any liability under the Securities Act, each filing of its annual report pursuant to Section 13(a) or Section 15(d) of the Exchange Act (and ,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46" w:lineRule="exact"/>
        <w:rPr>
          <w:rFonts w:ascii="Arial" w:cs="Arial" w:eastAsia="Arial" w:hAnsi="Arial"/>
          <w:sz w:val="16"/>
          <w:szCs w:val="16"/>
          <w:color w:val="auto"/>
        </w:rPr>
      </w:pPr>
    </w:p>
    <w:p>
      <w:pPr>
        <w:ind w:right="200" w:firstLine="1492"/>
        <w:spacing w:after="0" w:line="254" w:lineRule="auto"/>
        <w:tabs>
          <w:tab w:leader="none" w:pos="186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May 3, 2018.</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Rafael R. Lizardi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Chief Accounting Officer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undersigned directors and officers of Texas Instruments Incorporated hereby appoint each of Richard K. Templeton, Brian T. Crutcher, Rafael R. Lizardi and Cynthia H. Trochu as attorneys-in-fact for the undersigned, with full power of substitution for, and in the name, place and stead of the undersigned, to sign and file with the Securities and Exchange Commission under the Securities Act of 1933, as amended, any and all amendments (including post-effective amendments) and exhibits to this registration statement on Form S-8 (or any other registration statement for the same offering that is to be effective upon filing pursuant to Rule 462(b) under the Securities Act of 1933), as amended) and any and all applications and other documents to be filed with the Securities and Exchange Commission pertaining to the registration of the securities covered hereby, with full power and authority to do and perform any and all acts and things whatsoever requisite and necessary or desirable, hereby ratifying and confirming all that said attorney-in-fact, or his substitute or substitutes, may lawfully do or cause to be done by virtue hereof.</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following capacities on May 3,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6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K. Templeton</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Richard K. Templeton</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2"/>
              </w:rPr>
              <w:t>Senior Vice President, Chief Financial Officer and</w:t>
            </w:r>
          </w:p>
        </w:tc>
      </w:tr>
      <w:tr>
        <w:trPr>
          <w:trHeight w:val="244"/>
        </w:trPr>
        <w:tc>
          <w:tcPr>
            <w:tcW w:w="20" w:type="dxa"/>
            <w:vAlign w:val="bottom"/>
          </w:tcPr>
          <w:p>
            <w:pPr>
              <w:spacing w:after="0"/>
              <w:rPr>
                <w:sz w:val="21"/>
                <w:szCs w:val="21"/>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Rafael R. Lizardi</w:t>
            </w:r>
          </w:p>
        </w:tc>
        <w:tc>
          <w:tcPr>
            <w:tcW w:w="220" w:type="dxa"/>
            <w:vAlign w:val="bottom"/>
          </w:tcPr>
          <w:p>
            <w:pPr>
              <w:spacing w:after="0"/>
              <w:rPr>
                <w:sz w:val="21"/>
                <w:szCs w:val="21"/>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Rafael R. Lizardi</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Ralph W. Babb, Jr.</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Ralph W. Babb, Jr.</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Mark A. Blinn</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Mark A. Blinn</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Todd M. Bluedorn</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Todd M. Bluedorn</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Daniel A. Carp</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Daniel A. Carp</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Janet F. Clark</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Janet F. Clark</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Carrie S. Cox</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T. Crutcher</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Brian T. Crutcher</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Jean M. Hobby</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Jean M. Hobby</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Ronald Kirk</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Ronald Kirk</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Pamela H. Patsley</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Pamela H. Patsley</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E. Sanchez</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Robert E. Sanchez</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060" w:type="dxa"/>
            <w:vAlign w:val="bottom"/>
            <w:gridSpan w:val="2"/>
          </w:tcPr>
          <w:p>
            <w:pPr>
              <w:jc w:val="right"/>
              <w:ind w:right="5571"/>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655474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acted as special counsel to Texas Instruments Incorporated, a Delaware corporation (the “Company”), and are delivering this opinion in connection with the Company’s Registration Statement on Form S-8 (the “Registration Statement”) filed with the Securities and Exchange Commission pursuant to the Securities Act of 1933, as amended, for the registration of shares (the “Shares”) of the Company’s Common Stock, par value $1.00 per share, issuable pursuant to the Texas Instruments 2018 Director Compensation Plan (the “Plan”).</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and other instruments as we have deemed necessary for the purposes of rendering this opinion.</w:t>
      </w:r>
    </w:p>
    <w:p>
      <w:pPr>
        <w:spacing w:after="0" w:line="170"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the basis of the foregoing, we are of the opinion that the Shares have been duly authorized and, when and to the extent issued pursuant to the Plan upon receipt by the Company of the payment therefor, will be validly issued, fully paid and non-assessable.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the federal laws of the United States of America and General Corporation Law of the State of Delaware.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consent to the filing of this opinion as Exhibit 5.1 to the Registration Statement.</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dated May 3, 2018) pertaining to the Texas Instruments 2018 Director Compensation Plan of our reports dated February 22, 2018, with respect to the consolidated financial statements of Texas Instruments Incorporated and the effectiveness of internal control over financial reporting of Texas Instruments Incorporated, included in its Annual Report (Form 10-K) for the year ended December 31, 2017,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2018 DIRECTOR COMPENSATION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1. PURPOSE.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Texas Instruments 2018 Director Compensation Plan (“the Plan”) is intended as a successor plan to the Company’s 2009 Director Compensation 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SECTION 2.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11 of the Plan.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Stock Appreciation Right or other stock-based award under the Plan.</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but need not, be executed or acknowledged by a Director. An Award Agreement may be in electronic form.</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13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or maintained pursuant to Section 11(b)(i) on behalf of each Director who elects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11(b) to have any of his or her Deferred Compensation credited to a cash account.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an event that will be deemed to have occurred:</w:t>
      </w:r>
    </w:p>
    <w:p>
      <w:pPr>
        <w:spacing w:after="0" w:line="130" w:lineRule="exact"/>
        <w:rPr>
          <w:rFonts w:ascii="Arial" w:cs="Arial" w:eastAsia="Arial" w:hAnsi="Arial"/>
          <w:sz w:val="18"/>
          <w:szCs w:val="18"/>
          <w:color w:val="auto"/>
        </w:rPr>
      </w:pPr>
    </w:p>
    <w:p>
      <w:pPr>
        <w:ind w:left="900" w:right="40" w:hanging="446"/>
        <w:spacing w:after="0" w:line="255"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the date any Person, other than (i) the Company or any of its Subsidiaries, (ii) a trustee or other fiduciary holding stock under an employee benefit plan of the Company or any of its Affiliates, (iii) an underwriter temporarily holding stock pursuant to an offering of such stock, or (iv)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94" w:lineRule="exact"/>
        <w:rPr>
          <w:rFonts w:ascii="Arial" w:cs="Arial" w:eastAsia="Arial" w:hAnsi="Arial"/>
          <w:sz w:val="18"/>
          <w:szCs w:val="18"/>
          <w:color w:val="auto"/>
        </w:rPr>
      </w:pPr>
    </w:p>
    <w:p>
      <w:pPr>
        <w:ind w:left="900" w:right="58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 w:name="page10"/>
    <w:bookmarkEnd w:id="9"/>
    <w:p>
      <w:pPr>
        <w:ind w:left="912"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99" w:lineRule="exact"/>
        <w:rPr>
          <w:sz w:val="20"/>
          <w:szCs w:val="20"/>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purposes of (i), (ii) and (iii) of this Section 2(g):</w:t>
      </w:r>
    </w:p>
    <w:p>
      <w:pPr>
        <w:spacing w:after="0" w:line="130" w:lineRule="exact"/>
        <w:rPr>
          <w:rFonts w:ascii="Arial" w:cs="Arial" w:eastAsia="Arial" w:hAnsi="Arial"/>
          <w:sz w:val="18"/>
          <w:szCs w:val="18"/>
          <w:color w:val="auto"/>
        </w:rPr>
      </w:pPr>
    </w:p>
    <w:p>
      <w:pPr>
        <w:ind w:left="1472" w:right="440" w:hanging="567"/>
        <w:spacing w:after="0" w:line="277" w:lineRule="auto"/>
        <w:tabs>
          <w:tab w:leader="none" w:pos="1472" w:val="left"/>
        </w:tabs>
        <w:numPr>
          <w:ilvl w:val="2"/>
          <w:numId w:val="7"/>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75" w:lineRule="exact"/>
        <w:rPr>
          <w:rFonts w:ascii="Arial" w:cs="Arial" w:eastAsia="Arial" w:hAnsi="Arial"/>
          <w:sz w:val="18"/>
          <w:szCs w:val="18"/>
          <w:color w:val="auto"/>
        </w:rPr>
      </w:pPr>
    </w:p>
    <w:p>
      <w:pPr>
        <w:ind w:left="1472" w:right="40" w:hanging="567"/>
        <w:spacing w:after="0" w:line="277" w:lineRule="auto"/>
        <w:tabs>
          <w:tab w:leader="none" w:pos="1472" w:val="left"/>
        </w:tabs>
        <w:numPr>
          <w:ilvl w:val="2"/>
          <w:numId w:val="7"/>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75" w:lineRule="exact"/>
        <w:rPr>
          <w:rFonts w:ascii="Arial" w:cs="Arial" w:eastAsia="Arial" w:hAnsi="Arial"/>
          <w:sz w:val="18"/>
          <w:szCs w:val="18"/>
          <w:color w:val="auto"/>
        </w:rPr>
      </w:pPr>
    </w:p>
    <w:p>
      <w:pPr>
        <w:ind w:left="1472" w:right="20" w:hanging="567"/>
        <w:spacing w:after="0" w:line="277" w:lineRule="auto"/>
        <w:tabs>
          <w:tab w:leader="none" w:pos="1472" w:val="left"/>
        </w:tabs>
        <w:numPr>
          <w:ilvl w:val="2"/>
          <w:numId w:val="7"/>
        </w:numPr>
        <w:rPr>
          <w:rFonts w:ascii="Arial" w:cs="Arial" w:eastAsia="Arial" w:hAnsi="Arial"/>
          <w:sz w:val="18"/>
          <w:szCs w:val="18"/>
          <w:color w:val="auto"/>
        </w:rPr>
      </w:pPr>
      <w:r>
        <w:rPr>
          <w:rFonts w:ascii="Arial" w:cs="Arial" w:eastAsia="Arial" w:hAnsi="Arial"/>
          <w:sz w:val="18"/>
          <w:szCs w:val="18"/>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75"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(i), (ii) or (iii) of this Section 2(g) be treated as a Change in Control unless such event also constitutes a “change in control event” with respect to the Company within the meaning of Treas. Reg. § 1.409A-3(i)(5) or any successor provision.</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13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11(a) to be deferred in accordance with this Plan.</w:t>
      </w:r>
    </w:p>
    <w:p>
      <w:pPr>
        <w:spacing w:after="0" w:line="75" w:lineRule="exact"/>
        <w:rPr>
          <w:rFonts w:ascii="Arial" w:cs="Arial" w:eastAsia="Arial" w:hAnsi="Arial"/>
          <w:sz w:val="18"/>
          <w:szCs w:val="18"/>
          <w:color w:val="auto"/>
        </w:rPr>
      </w:pPr>
    </w:p>
    <w:p>
      <w:pPr>
        <w:ind w:left="452" w:right="120"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11(a)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Plan.</w:t>
      </w:r>
    </w:p>
    <w:p>
      <w:pPr>
        <w:spacing w:after="0" w:line="75" w:lineRule="exact"/>
        <w:rPr>
          <w:rFonts w:ascii="Arial" w:cs="Arial" w:eastAsia="Arial" w:hAnsi="Arial"/>
          <w:sz w:val="18"/>
          <w:szCs w:val="18"/>
          <w:color w:val="auto"/>
        </w:rPr>
      </w:pPr>
    </w:p>
    <w:p>
      <w:pPr>
        <w:ind w:left="452" w:right="660"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Account” </w:t>
      </w:r>
      <w:r>
        <w:rPr>
          <w:rFonts w:ascii="Arial" w:cs="Arial" w:eastAsia="Arial" w:hAnsi="Arial"/>
          <w:sz w:val="18"/>
          <w:szCs w:val="18"/>
          <w:color w:val="auto"/>
        </w:rPr>
        <w:t>means a Cash Account or Stock Unit Account containing amounts earned and deferred under this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the receipt of which a Director has elected to defer.</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this Plan is approved by stockholders of the Company.</w:t>
      </w:r>
    </w:p>
    <w:p>
      <w:pPr>
        <w:spacing w:after="0" w:line="130" w:lineRule="exact"/>
        <w:rPr>
          <w:rFonts w:ascii="Arial" w:cs="Arial" w:eastAsia="Arial" w:hAnsi="Arial"/>
          <w:sz w:val="18"/>
          <w:szCs w:val="18"/>
          <w:color w:val="auto"/>
        </w:rPr>
      </w:pPr>
    </w:p>
    <w:p>
      <w:pPr>
        <w:ind w:left="452" w:right="40" w:hanging="452"/>
        <w:spacing w:after="0" w:line="25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Compensation</w:t>
      </w:r>
      <w:r>
        <w:rPr>
          <w:rFonts w:ascii="Arial" w:cs="Arial" w:eastAsia="Arial" w:hAnsi="Arial"/>
          <w:sz w:val="18"/>
          <w:szCs w:val="18"/>
          <w:color w:val="auto"/>
        </w:rPr>
        <w:t>”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9(d).</w:t>
      </w:r>
    </w:p>
    <w:p>
      <w:pPr>
        <w:spacing w:after="0" w:line="93" w:lineRule="exact"/>
        <w:rPr>
          <w:rFonts w:ascii="Arial" w:cs="Arial" w:eastAsia="Arial" w:hAnsi="Arial"/>
          <w:sz w:val="18"/>
          <w:szCs w:val="18"/>
          <w:color w:val="auto"/>
        </w:rPr>
      </w:pPr>
    </w:p>
    <w:p>
      <w:pPr>
        <w:ind w:left="452" w:right="20" w:hanging="452"/>
        <w:spacing w:after="0" w:line="264"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closing price of the Shares on the date specified (or, if there is no trading on The NASDAQ Stock Market on such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then on the first previous date on which there is such trading) as reported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GSR Committee.</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“GSR Committee” </w:t>
      </w:r>
      <w:r>
        <w:rPr>
          <w:rFonts w:ascii="Arial" w:cs="Arial" w:eastAsia="Arial" w:hAnsi="Arial"/>
          <w:sz w:val="18"/>
          <w:szCs w:val="18"/>
          <w:color w:val="auto"/>
        </w:rPr>
        <w:t>means the Governance and Stockholder Relations Committee of the Board or any successor committee.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10" w:name="page11"/>
    <w:bookmarkEnd w:id="10"/>
    <w:p>
      <w:pPr>
        <w:ind w:left="452" w:right="580"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“Option” </w:t>
      </w:r>
      <w:r>
        <w:rPr>
          <w:rFonts w:ascii="Arial" w:cs="Arial" w:eastAsia="Arial" w:hAnsi="Arial"/>
          <w:sz w:val="18"/>
          <w:szCs w:val="18"/>
          <w:color w:val="auto"/>
        </w:rPr>
        <w:t>means an option granted under this Plan to purchase Shares on the terms and conditions set forth in the Plan and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2018 Director Compensation Plan.</w:t>
      </w:r>
    </w:p>
    <w:p>
      <w:pPr>
        <w:spacing w:after="0" w:line="130" w:lineRule="exact"/>
        <w:rPr>
          <w:rFonts w:ascii="Arial" w:cs="Arial" w:eastAsia="Arial" w:hAnsi="Arial"/>
          <w:sz w:val="18"/>
          <w:szCs w:val="18"/>
          <w:color w:val="auto"/>
        </w:rPr>
      </w:pPr>
    </w:p>
    <w:p>
      <w:pPr>
        <w:ind w:left="452" w:right="240"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this Plan that is denominated in Shares, each of which represents a right to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on the terms and conditions set forth in the Plan and the applicable Award Agreement.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130" w:lineRule="exact"/>
        <w:rPr>
          <w:rFonts w:ascii="Arial" w:cs="Arial" w:eastAsia="Arial" w:hAnsi="Arial"/>
          <w:sz w:val="18"/>
          <w:szCs w:val="18"/>
          <w:color w:val="auto"/>
        </w:rPr>
      </w:pPr>
    </w:p>
    <w:p>
      <w:pPr>
        <w:ind w:left="452" w:right="60" w:hanging="452"/>
        <w:spacing w:after="0" w:line="297"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Separation from Service”</w:t>
      </w:r>
      <w:r>
        <w:rPr>
          <w:rFonts w:ascii="Arial" w:cs="Arial" w:eastAsia="Arial" w:hAnsi="Arial"/>
          <w:sz w:val="16"/>
          <w:szCs w:val="16"/>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(for purposes of this Section 2(x),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63" w:lineRule="exact"/>
        <w:rPr>
          <w:rFonts w:ascii="Arial" w:cs="Arial" w:eastAsia="Arial" w:hAnsi="Arial"/>
          <w:sz w:val="16"/>
          <w:szCs w:val="16"/>
          <w:color w:val="auto"/>
        </w:rPr>
      </w:pPr>
    </w:p>
    <w:p>
      <w:pPr>
        <w:ind w:left="892" w:right="80" w:hanging="446"/>
        <w:spacing w:after="0" w:line="279" w:lineRule="auto"/>
        <w:tabs>
          <w:tab w:leader="none" w:pos="892" w:val="left"/>
        </w:tabs>
        <w:numPr>
          <w:ilvl w:val="1"/>
          <w:numId w:val="9"/>
        </w:numPr>
        <w:rPr>
          <w:rFonts w:ascii="Arial" w:cs="Arial" w:eastAsia="Arial" w:hAnsi="Arial"/>
          <w:sz w:val="17"/>
          <w:szCs w:val="17"/>
          <w:color w:val="auto"/>
        </w:rPr>
      </w:pPr>
      <w:r>
        <w:rPr>
          <w:rFonts w:ascii="Arial" w:cs="Arial" w:eastAsia="Arial" w:hAnsi="Arial"/>
          <w:sz w:val="17"/>
          <w:szCs w:val="17"/>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76" w:lineRule="exact"/>
        <w:rPr>
          <w:rFonts w:ascii="Arial" w:cs="Arial" w:eastAsia="Arial" w:hAnsi="Arial"/>
          <w:sz w:val="17"/>
          <w:szCs w:val="17"/>
          <w:color w:val="auto"/>
        </w:rPr>
      </w:pPr>
    </w:p>
    <w:p>
      <w:pPr>
        <w:ind w:left="892" w:right="60" w:hanging="446"/>
        <w:spacing w:after="0" w:line="259"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92" w:lineRule="exact"/>
        <w:rPr>
          <w:rFonts w:ascii="Arial" w:cs="Arial" w:eastAsia="Arial" w:hAnsi="Arial"/>
          <w:sz w:val="18"/>
          <w:szCs w:val="18"/>
          <w:color w:val="auto"/>
        </w:rPr>
      </w:pPr>
    </w:p>
    <w:p>
      <w:pPr>
        <w:ind w:left="892" w:right="140" w:hanging="446"/>
        <w:spacing w:after="0" w:line="342" w:lineRule="auto"/>
        <w:tabs>
          <w:tab w:leader="none" w:pos="892"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a Director is also providing additional services to the Company as an independent contractor, he or she cannot have a Separation from Service for purposes of Section 409A of the Code until he or she has separated from service both as a Director and as an independent contractor.</w:t>
      </w:r>
    </w:p>
    <w:p>
      <w:pPr>
        <w:spacing w:after="0" w:line="29" w:lineRule="exact"/>
        <w:rPr>
          <w:rFonts w:ascii="Arial" w:cs="Arial" w:eastAsia="Arial" w:hAnsi="Arial"/>
          <w:sz w:val="16"/>
          <w:szCs w:val="16"/>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130" w:lineRule="exact"/>
        <w:rPr>
          <w:rFonts w:ascii="Arial" w:cs="Arial" w:eastAsia="Arial" w:hAnsi="Arial"/>
          <w:sz w:val="18"/>
          <w:szCs w:val="18"/>
          <w:color w:val="auto"/>
        </w:rPr>
      </w:pPr>
    </w:p>
    <w:p>
      <w:pPr>
        <w:ind w:left="452" w:right="80" w:hanging="452"/>
        <w:spacing w:after="0" w:line="264"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 without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(5) thereof) for the applicable period, as determined annually by the Administrator in accordance with Treas. Reg. §1.409A-1(i). In determining whether a Participant is a Specified Employee, the following provisions shall apply:</w:t>
      </w:r>
    </w:p>
    <w:p>
      <w:pPr>
        <w:spacing w:after="0" w:line="86" w:lineRule="exact"/>
        <w:rPr>
          <w:rFonts w:ascii="Arial" w:cs="Arial" w:eastAsia="Arial" w:hAnsi="Arial"/>
          <w:sz w:val="18"/>
          <w:szCs w:val="18"/>
          <w:color w:val="auto"/>
        </w:rPr>
      </w:pPr>
    </w:p>
    <w:p>
      <w:pPr>
        <w:ind w:left="892" w:right="20" w:hanging="446"/>
        <w:spacing w:after="0" w:line="257"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Identification of the individuals who fall within the above-referenced definition of “key employee” shall be based upon the 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93"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2(z) shall be treated as a Specified Employee for purposes of this Plan if such Participant experiences a Separation from Service during the 12-month period that begins on the April 1st following the applicable identification date.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11" w:name="page12"/>
    <w:bookmarkEnd w:id="11"/>
    <w:p>
      <w:pPr>
        <w:ind w:left="460" w:right="60" w:hanging="452"/>
        <w:spacing w:after="0" w:line="286"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Appreciation Right</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“SAR” </w:t>
      </w:r>
      <w:r>
        <w:rPr>
          <w:rFonts w:ascii="Arial" w:cs="Arial" w:eastAsia="Arial" w:hAnsi="Arial"/>
          <w:sz w:val="17"/>
          <w:szCs w:val="17"/>
          <w:color w:val="auto"/>
        </w:rPr>
        <w:t>means a right granted pursuant to Section 10 to receive, upon exercise by the Participant, the excess of (i)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71" w:lineRule="exact"/>
        <w:rPr>
          <w:sz w:val="20"/>
          <w:szCs w:val="20"/>
          <w:color w:val="auto"/>
        </w:rPr>
      </w:pPr>
    </w:p>
    <w:p>
      <w:pPr>
        <w:ind w:left="460" w:right="28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11(b)(ii),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11(b), to have any of his or her Deferred Cash Compensation credited to a stock unit account.</w:t>
      </w:r>
    </w:p>
    <w:p>
      <w:pPr>
        <w:spacing w:after="0" w:line="75" w:lineRule="exact"/>
        <w:rPr>
          <w:rFonts w:ascii="Arial" w:cs="Arial" w:eastAsia="Arial" w:hAnsi="Arial"/>
          <w:sz w:val="18"/>
          <w:szCs w:val="18"/>
          <w:color w:val="auto"/>
        </w:rPr>
      </w:pPr>
    </w:p>
    <w:p>
      <w:pPr>
        <w:ind w:left="460" w:right="40" w:hanging="452"/>
        <w:spacing w:after="0" w:line="25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 Participant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SECTION 3. ELIGIBILITY.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SECTION 4. ADMINISTRATION.</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SECTION 5. SHARES AVAILABLE FOR AWARDS.</w:t>
      </w:r>
    </w:p>
    <w:p>
      <w:pPr>
        <w:spacing w:after="0" w:line="252" w:lineRule="exact"/>
        <w:rPr>
          <w:sz w:val="20"/>
          <w:szCs w:val="20"/>
          <w:color w:val="auto"/>
        </w:rPr>
      </w:pPr>
    </w:p>
    <w:p>
      <w:pPr>
        <w:ind w:left="460" w:right="6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adjustment as provided in this Section 5, the number of Shares available for issuance under the Plan shall be 2,000,000 Shares. Notwithstanding anything to the contrary set forth herein, in any given Year, the total value of Awards granted to any Director shall not exceed $500,000 in grant-date value.</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after the effective date of the Plan, (i) any Shares covered by an Award or Stock Unit Account, or to which such an Award relates, are forfeited, or</w:t>
      </w:r>
    </w:p>
    <w:p>
      <w:pPr>
        <w:spacing w:after="0" w:line="46" w:lineRule="exact"/>
        <w:rPr>
          <w:rFonts w:ascii="Arial" w:cs="Arial" w:eastAsia="Arial" w:hAnsi="Arial"/>
          <w:sz w:val="16"/>
          <w:szCs w:val="16"/>
          <w:color w:val="auto"/>
        </w:rPr>
      </w:pPr>
    </w:p>
    <w:p>
      <w:pPr>
        <w:ind w:left="460" w:hanging="6"/>
        <w:spacing w:after="0" w:line="290" w:lineRule="auto"/>
        <w:tabs>
          <w:tab w:leader="none" w:pos="725"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if an Award or Account expires or is cancelled or is otherwise terminated without the delivery of Shares, then such Shares, to 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increased by: (1) the withholding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69"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of treasury Shares or of both.</w:t>
      </w:r>
    </w:p>
    <w:p>
      <w:pPr>
        <w:spacing w:after="0" w:line="75"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2" w:name="page13"/>
    <w:bookmarkEnd w:id="12"/>
    <w:p>
      <w:pPr>
        <w:ind w:left="46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 (v) the limits specified in Section 5(a); provided, however,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SECTION 6. EQUITY GRANT UPON INITIAL ELECTION.</w:t>
      </w:r>
    </w:p>
    <w:p>
      <w:pPr>
        <w:spacing w:after="0" w:line="131" w:lineRule="exact"/>
        <w:rPr>
          <w:sz w:val="20"/>
          <w:szCs w:val="20"/>
          <w:color w:val="auto"/>
        </w:rPr>
      </w:pPr>
    </w:p>
    <w:p>
      <w:pPr>
        <w:ind w:left="460" w:right="2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Initial Grant</w:t>
      </w:r>
      <w:r>
        <w:rPr>
          <w:rFonts w:ascii="Arial" w:cs="Arial" w:eastAsia="Arial" w:hAnsi="Arial"/>
          <w:sz w:val="18"/>
          <w:szCs w:val="18"/>
          <w:color w:val="auto"/>
        </w:rPr>
        <w:t>. Following the effective date of this Plan, each Director shall, effective as of the date of such individual’s initial election or appointment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be granted 2,000 Restricted Stock Units.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The terms and conditions of each Restricted Stock Unit granted under this Section 6 shall be as described in Section 9.</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SECTION 7. ANNUAL EQUITY GRANTS.</w:t>
      </w:r>
    </w:p>
    <w:p>
      <w:pPr>
        <w:spacing w:after="0" w:line="131" w:lineRule="exact"/>
        <w:rPr>
          <w:sz w:val="20"/>
          <w:szCs w:val="20"/>
          <w:color w:val="auto"/>
        </w:rPr>
      </w:pPr>
    </w:p>
    <w:p>
      <w:pPr>
        <w:ind w:left="460" w:right="80" w:hanging="452"/>
        <w:spacing w:after="0" w:line="31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Annual Grant</w:t>
      </w:r>
      <w:r>
        <w:rPr>
          <w:rFonts w:ascii="Arial" w:cs="Arial" w:eastAsia="Arial" w:hAnsi="Arial"/>
          <w:sz w:val="16"/>
          <w:szCs w:val="16"/>
          <w:color w:val="auto"/>
        </w:rPr>
        <w:t>. Each Director will be granted annually an Option with a grant-date value of approximately $100,000 determined using a Black-Scholes</w:t>
      </w:r>
      <w:r>
        <w:rPr>
          <w:rFonts w:ascii="Arial" w:cs="Arial" w:eastAsia="Arial" w:hAnsi="Arial"/>
          <w:sz w:val="16"/>
          <w:szCs w:val="16"/>
          <w:i w:val="1"/>
          <w:iCs w:val="1"/>
          <w:color w:val="auto"/>
        </w:rPr>
        <w:t xml:space="preserve"> </w:t>
      </w:r>
      <w:r>
        <w:rPr>
          <w:rFonts w:ascii="Arial" w:cs="Arial" w:eastAsia="Arial" w:hAnsi="Arial"/>
          <w:sz w:val="16"/>
          <w:szCs w:val="16"/>
          <w:color w:val="auto"/>
        </w:rPr>
        <w:t>option-pricing model and a Restricted Stock Unit Award with a grant-date value of approximately $100,000, in each case rounded down to the nearest whole share. The Restricted Stock Units granted under this Section 7(a) shall be in addition to any RSUs granted to any Director pursuant to Section 6.</w:t>
      </w:r>
    </w:p>
    <w:p>
      <w:pPr>
        <w:spacing w:after="0" w:line="52" w:lineRule="exact"/>
        <w:rPr>
          <w:rFonts w:ascii="Arial" w:cs="Arial" w:eastAsia="Arial" w:hAnsi="Arial"/>
          <w:sz w:val="16"/>
          <w:szCs w:val="16"/>
          <w:color w:val="auto"/>
        </w:rPr>
      </w:pPr>
    </w:p>
    <w:p>
      <w:pPr>
        <w:ind w:left="460" w:right="60" w:hanging="452"/>
        <w:spacing w:after="0" w:line="25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Effective Date of Annual Grant</w:t>
      </w:r>
      <w:r>
        <w:rPr>
          <w:rFonts w:ascii="Arial" w:cs="Arial" w:eastAsia="Arial" w:hAnsi="Arial"/>
          <w:sz w:val="18"/>
          <w:szCs w:val="18"/>
          <w:color w:val="auto"/>
        </w:rPr>
        <w:t>. In each year the effective date for the annual grant of equity to the Company’s executive officers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the Board (or any successor committee) shall be the date the Options and Restricted Stock Units are granted; provided that in any year in which the Compensation Committee does not grant equity to any of the Company’s executive officers in connection with the annual compensation review process, then the third trading day after the release of the Company’s financial results for the first quarter of such year shall be the date the Options and Restricted Stock Units are granted.</w:t>
      </w:r>
    </w:p>
    <w:p>
      <w:pPr>
        <w:spacing w:after="0" w:line="9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The terms and conditions of each Option and Restricted Stock Unit granted under this Section 6 shall be as described in Sections</w:t>
      </w:r>
      <w:r>
        <w:rPr>
          <w:rFonts w:ascii="Arial" w:cs="Arial" w:eastAsia="Arial" w:hAnsi="Arial"/>
          <w:sz w:val="18"/>
          <w:szCs w:val="18"/>
          <w:i w:val="1"/>
          <w:iCs w:val="1"/>
          <w:color w:val="auto"/>
        </w:rPr>
        <w:t xml:space="preserve"> </w:t>
      </w:r>
      <w:r>
        <w:rPr>
          <w:rFonts w:ascii="Arial" w:cs="Arial" w:eastAsia="Arial" w:hAnsi="Arial"/>
          <w:sz w:val="18"/>
          <w:szCs w:val="18"/>
          <w:color w:val="auto"/>
        </w:rPr>
        <w:t>8 and 9, respectively.</w:t>
      </w:r>
    </w:p>
    <w:p>
      <w:pPr>
        <w:spacing w:after="0" w:line="75" w:lineRule="exact"/>
        <w:rPr>
          <w:rFonts w:ascii="Arial" w:cs="Arial" w:eastAsia="Arial" w:hAnsi="Arial"/>
          <w:sz w:val="18"/>
          <w:szCs w:val="18"/>
          <w:color w:val="auto"/>
        </w:rPr>
      </w:pPr>
    </w:p>
    <w:p>
      <w:pPr>
        <w:jc w:val="both"/>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Reductions in Awards</w:t>
      </w:r>
      <w:r>
        <w:rPr>
          <w:rFonts w:ascii="Arial" w:cs="Arial" w:eastAsia="Arial" w:hAnsi="Arial"/>
          <w:sz w:val="18"/>
          <w:szCs w:val="18"/>
          <w:color w:val="auto"/>
        </w:rPr>
        <w:t>. Prior to the effective date of any annual grant as described in this Section 7, the Board shall have the right to make reductions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Awards to be granted under this Section 7. In determining whether to reduce any Award and the amount of any reduction, the Board shall take into consideration such factors as the Board shall determine.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SECTION 8.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Options granted under this Plan will be nonstatutory stock options not intended to qualify under Section 422 of the Code and shall have the terms and conditions described in this Section 8:</w:t>
      </w:r>
    </w:p>
    <w:p>
      <w:pPr>
        <w:spacing w:after="0" w:line="76" w:lineRule="exact"/>
        <w:rPr>
          <w:sz w:val="20"/>
          <w:szCs w:val="20"/>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 the 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the Shares on the effective date of the grant as determined in Section 7(b).</w:t>
      </w:r>
    </w:p>
    <w:p>
      <w:pPr>
        <w:spacing w:after="0" w:line="75"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any combination thereof, having a Fair Market Value on the exercise date equal to the relevant exercise price, in which payment of the exercise price with respect to an Option may be made or deemed to have been made.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 w:name="page14"/>
    <w:bookmarkEnd w:id="13"/>
    <w:p>
      <w:pPr>
        <w:ind w:left="460" w:right="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Exercisability. </w:t>
      </w:r>
      <w:r>
        <w:rPr>
          <w:rFonts w:ascii="Arial" w:cs="Arial" w:eastAsia="Arial" w:hAnsi="Arial"/>
          <w:sz w:val="18"/>
          <w:szCs w:val="18"/>
          <w:color w:val="auto"/>
        </w:rPr>
        <w:t>Subject to Section 8(d), Options shall become exercisable in four equal annual installments commencing on the first anniversary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member of the Board shall be as follows: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8(c), and shall be exercisable by such Participant’s heirs or legal representatives.</w:t>
      </w:r>
    </w:p>
    <w:p>
      <w:pPr>
        <w:spacing w:after="0" w:line="75" w:lineRule="exact"/>
        <w:rPr>
          <w:rFonts w:ascii="Arial" w:cs="Arial" w:eastAsia="Arial" w:hAnsi="Arial"/>
          <w:sz w:val="18"/>
          <w:szCs w:val="18"/>
          <w:color w:val="auto"/>
        </w:rPr>
      </w:pPr>
    </w:p>
    <w:p>
      <w:pPr>
        <w:ind w:left="900" w:right="260" w:hanging="446"/>
        <w:spacing w:after="0" w:line="34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Permanent disability, termination after 8 years of service, or termination for reason of ineligibility to stand for reelection under the Company’s By-Laws: All outstanding Options held by the Participant shall continue to full term, becoming exercisable in accordance with Section 8(c).</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Change in Control: If a Participant experiences a Separation From Service (other than for cause) within 24 months after a Change in Control, the provisions of Section 8(c) shall not apply and Options held by the Participant shall be immediately exercisable and shall continue to full term.</w:t>
      </w:r>
    </w:p>
    <w:p>
      <w:pPr>
        <w:spacing w:after="0" w:line="29" w:lineRule="exact"/>
        <w:rPr>
          <w:rFonts w:ascii="Arial" w:cs="Arial" w:eastAsia="Arial" w:hAnsi="Arial"/>
          <w:sz w:val="16"/>
          <w:szCs w:val="16"/>
          <w:color w:val="auto"/>
        </w:rPr>
      </w:pPr>
    </w:p>
    <w:p>
      <w:pPr>
        <w:ind w:left="900" w:right="80" w:hanging="446"/>
        <w:spacing w:after="0" w:line="279"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that 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76" w:lineRule="exact"/>
        <w:rPr>
          <w:rFonts w:ascii="Arial" w:cs="Arial" w:eastAsia="Arial" w:hAnsi="Arial"/>
          <w:sz w:val="17"/>
          <w:szCs w:val="17"/>
          <w:color w:val="auto"/>
        </w:rPr>
      </w:pPr>
    </w:p>
    <w:p>
      <w:pPr>
        <w:ind w:left="460" w:right="1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under this Plan shall be evidenced by an Award Agreement with the Company, which shall contain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provisions set forth herein and shall otherwise be consistent with the provisions of the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SECTION 9. RESTRICTED STOCK UNITS.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Restricted Stock Unit granted under this Plan shall be paid or settled by the issuance of one Share and shall have the terms and conditions described in this Section 9:</w:t>
      </w:r>
    </w:p>
    <w:p>
      <w:pPr>
        <w:spacing w:after="0" w:line="76" w:lineRule="exact"/>
        <w:rPr>
          <w:sz w:val="20"/>
          <w:szCs w:val="20"/>
          <w:color w:val="auto"/>
        </w:rPr>
      </w:pPr>
    </w:p>
    <w:p>
      <w:pPr>
        <w:ind w:left="460" w:right="34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Vesting and Settlement</w:t>
      </w:r>
      <w:r>
        <w:rPr>
          <w:rFonts w:ascii="Arial" w:cs="Arial" w:eastAsia="Arial" w:hAnsi="Arial"/>
          <w:sz w:val="18"/>
          <w:szCs w:val="18"/>
          <w:color w:val="auto"/>
        </w:rPr>
        <w:t>. Subject to Section 9(b) and subject to a Director’s election to defer the settlement of Restricted Stock Units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 the shares covered by the Restricted Stock Units shall be paid or settled as soon as practicable after the fourth anniversary of the date of grant.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Termination of Service as a Director</w:t>
      </w:r>
      <w:r>
        <w:rPr>
          <w:rFonts w:ascii="Arial" w:cs="Arial" w:eastAsia="Arial" w:hAnsi="Arial"/>
          <w:sz w:val="18"/>
          <w:szCs w:val="18"/>
          <w:color w:val="auto"/>
        </w:rPr>
        <w:t>. The effect of a Participant’s termination of service as a member of the Board shall be as follows: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Death: All outstanding Restricted Stock Units held by the Participant shall continue to full term subject to the other terms and conditions of this Plan, and shares shall be issued to such Participant’s heirs at such times and in such manner as if the Participant were still a member of the Board.</w:t>
      </w:r>
    </w:p>
    <w:p>
      <w:pPr>
        <w:spacing w:after="0" w:line="29" w:lineRule="exact"/>
        <w:rPr>
          <w:rFonts w:ascii="Arial" w:cs="Arial" w:eastAsia="Arial" w:hAnsi="Arial"/>
          <w:sz w:val="16"/>
          <w:szCs w:val="16"/>
          <w:color w:val="auto"/>
        </w:rPr>
      </w:pPr>
    </w:p>
    <w:p>
      <w:pPr>
        <w:jc w:val="both"/>
        <w:ind w:left="900" w:right="220" w:hanging="446"/>
        <w:spacing w:after="0" w:line="31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Permanent disability, termination after 8 years of service, or termination for reason of ineligibility to stand for reelection under the Company’s By-Laws: All outstanding Restricted Stock Units held by the Participant shall continue to full term subject to the other terms and conditions of this Plan, and shares shall be issued to such Participant at such times and in such manner as if the Participant were still a member of the Board.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4" w:name="page15"/>
    <w:bookmarkEnd w:id="14"/>
    <w:p>
      <w:pPr>
        <w:ind w:left="900" w:right="5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Separation From Service after a Change in Control: If a Participant experiences a Separation From Service (other than for cause) within 24 months after a Change in Control, the provisions of Section 9(a) shall not apply and:</w:t>
      </w:r>
    </w:p>
    <w:p>
      <w:pPr>
        <w:spacing w:after="0" w:line="75" w:lineRule="exact"/>
        <w:rPr>
          <w:rFonts w:ascii="Arial" w:cs="Arial" w:eastAsia="Arial" w:hAnsi="Arial"/>
          <w:sz w:val="18"/>
          <w:szCs w:val="18"/>
          <w:color w:val="auto"/>
        </w:rPr>
      </w:pPr>
    </w:p>
    <w:p>
      <w:pPr>
        <w:ind w:left="1480" w:hanging="567"/>
        <w:spacing w:after="0" w:line="273" w:lineRule="auto"/>
        <w:tabs>
          <w:tab w:leader="none" w:pos="1480" w:val="left"/>
        </w:tabs>
        <w:numPr>
          <w:ilvl w:val="2"/>
          <w:numId w:val="18"/>
        </w:numPr>
        <w:rPr>
          <w:rFonts w:ascii="Arial" w:cs="Arial" w:eastAsia="Arial" w:hAnsi="Arial"/>
          <w:sz w:val="17"/>
          <w:szCs w:val="17"/>
          <w:color w:val="auto"/>
        </w:rPr>
      </w:pPr>
      <w:r>
        <w:rPr>
          <w:rFonts w:ascii="Arial" w:cs="Arial" w:eastAsia="Arial" w:hAnsi="Arial"/>
          <w:sz w:val="17"/>
          <w:szCs w:val="17"/>
          <w:color w:val="auto"/>
        </w:rPr>
        <w:t>To the extent permitted without additional tax or penalty by Section 409A of the Code, all shares underlying such Restricted Stock Units held by the Participant (including any such Restricted Stock Units subject to an election to defer settlement under Section 11) will be issued on, or as soon as practicable (but no later than 60 days) after, the Participant’s Separation From Service; provided, however, that if the participant is a Specified Employee upon such Separation From Service, the shares will be issued on, or as soon as practicable (but no more than 10 days) after, the first day of the seventh month following the Separation From Service and any such Restricted Stock Units outstanding under this Plan shall vest and be paid immediately.</w:t>
      </w:r>
    </w:p>
    <w:p>
      <w:pPr>
        <w:spacing w:after="0" w:line="83" w:lineRule="exact"/>
        <w:rPr>
          <w:rFonts w:ascii="Arial" w:cs="Arial" w:eastAsia="Arial" w:hAnsi="Arial"/>
          <w:sz w:val="17"/>
          <w:szCs w:val="17"/>
          <w:color w:val="auto"/>
        </w:rPr>
      </w:pPr>
    </w:p>
    <w:p>
      <w:pPr>
        <w:ind w:left="1480" w:right="120" w:hanging="567"/>
        <w:spacing w:after="0" w:line="259" w:lineRule="auto"/>
        <w:tabs>
          <w:tab w:leader="none" w:pos="14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the extent that the issuance of shares is not permitted without additional tax or penalty by Section 409A, the Award will continue to full term and the shares will be issued at the issuance date specified in the Award Agreement as if the Participant were still a Director on such date or (for any such Restricted Stock Units subject to an election to defer settlement pursuant to Section 11) in accordance with Section 11(h)(i).</w:t>
      </w:r>
    </w:p>
    <w:p>
      <w:pPr>
        <w:spacing w:after="0" w:line="92" w:lineRule="exact"/>
        <w:rPr>
          <w:rFonts w:ascii="Arial" w:cs="Arial" w:eastAsia="Arial" w:hAnsi="Arial"/>
          <w:sz w:val="18"/>
          <w:szCs w:val="18"/>
          <w:color w:val="auto"/>
        </w:rPr>
      </w:pPr>
    </w:p>
    <w:p>
      <w:pPr>
        <w:ind w:left="900" w:right="3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Restricted Stock Units held by the Participant shall terminate and become void without any shares being issued.</w:t>
      </w:r>
    </w:p>
    <w:p>
      <w:pPr>
        <w:spacing w:after="0" w:line="75" w:lineRule="exact"/>
        <w:rPr>
          <w:rFonts w:ascii="Arial" w:cs="Arial" w:eastAsia="Arial" w:hAnsi="Arial"/>
          <w:sz w:val="18"/>
          <w:szCs w:val="18"/>
          <w:color w:val="auto"/>
        </w:rPr>
      </w:pPr>
    </w:p>
    <w:p>
      <w:pPr>
        <w:ind w:left="460" w:right="520" w:hanging="452"/>
        <w:spacing w:after="0" w:line="34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Restricted Stock Unit Agreement</w:t>
      </w:r>
      <w:r>
        <w:rPr>
          <w:rFonts w:ascii="Arial" w:cs="Arial" w:eastAsia="Arial" w:hAnsi="Arial"/>
          <w:sz w:val="16"/>
          <w:szCs w:val="16"/>
          <w:color w:val="auto"/>
        </w:rPr>
        <w:t>. Each Restricted Stock Unit Award granted under this Plan shall be evidenced by an Award Agreement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which shall contain the terms and conditions set forth herein and shall otherwise be consistent with the provisions of this Plan.</w:t>
      </w:r>
    </w:p>
    <w:p>
      <w:pPr>
        <w:spacing w:after="0" w:line="29"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Right to Dividend Equivalents. </w:t>
      </w:r>
      <w:r>
        <w:rPr>
          <w:rFonts w:ascii="Arial" w:cs="Arial" w:eastAsia="Arial" w:hAnsi="Arial"/>
          <w:sz w:val="18"/>
          <w:szCs w:val="18"/>
          <w:color w:val="auto"/>
        </w:rPr>
        <w:t>Each recipient of Restricted Stock Units under this Plan shall have the right, during the period when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11, pay such accumulated amounts without interest in December of each fiscal year, but no later than March 15 of the calendar year following the calendar year in which the related dividend is declared.</w:t>
      </w:r>
    </w:p>
    <w:p>
      <w:pPr>
        <w:spacing w:after="0" w:line="98" w:lineRule="exact"/>
        <w:rPr>
          <w:rFonts w:ascii="Arial" w:cs="Arial" w:eastAsia="Arial" w:hAnsi="Arial"/>
          <w:sz w:val="18"/>
          <w:szCs w:val="18"/>
          <w:color w:val="auto"/>
        </w:rPr>
      </w:pPr>
    </w:p>
    <w:p>
      <w:pPr>
        <w:ind w:left="460" w:right="16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 issued, in the name</w:t>
      </w:r>
      <w:r>
        <w:rPr>
          <w:rFonts w:ascii="Arial" w:cs="Arial" w:eastAsia="Arial" w:hAnsi="Arial"/>
          <w:sz w:val="18"/>
          <w:szCs w:val="18"/>
          <w:i w:val="1"/>
          <w:iCs w:val="1"/>
          <w:color w:val="auto"/>
        </w:rPr>
        <w:t xml:space="preserve"> </w:t>
      </w:r>
      <w:r>
        <w:rPr>
          <w:rFonts w:ascii="Arial" w:cs="Arial" w:eastAsia="Arial" w:hAnsi="Arial"/>
          <w:sz w:val="18"/>
          <w:szCs w:val="18"/>
          <w:color w:val="auto"/>
        </w:rPr>
        <w:t>or for the benefit of the holder of Restricted Stock Units and delivered to such holder as soon as practicable after such Restricted Stock Units have become payable or settleable in accordance with the terms of the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SECTION 10. STOCK APPRECIATION RIGHTS (SARs).</w:t>
      </w:r>
    </w:p>
    <w:p>
      <w:pPr>
        <w:spacing w:after="0" w:line="1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SARs may be granted to Directors with such terms and conditions as the Administrator shall determine not inconsistent with the provisions of the Plan.</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of each SAR shall be fixed by the Administrator but shall not exceed 10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SECTION 11. DEFERRED COMPENSATION.</w:t>
      </w:r>
    </w:p>
    <w:p>
      <w:pPr>
        <w:spacing w:after="0" w:line="131" w:lineRule="exact"/>
        <w:rPr>
          <w:sz w:val="20"/>
          <w:szCs w:val="20"/>
          <w:color w:val="auto"/>
        </w:rPr>
      </w:pPr>
    </w:p>
    <w:p>
      <w:pPr>
        <w:ind w:left="460" w:righ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 w:name="page16"/>
    <w:bookmarkEnd w:id="15"/>
    <w:p>
      <w:pPr>
        <w:ind w:left="452" w:right="200" w:hanging="452"/>
        <w:spacing w:after="0" w:line="277"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Compensation Investment Alternatives</w:t>
      </w:r>
      <w:r>
        <w:rPr>
          <w:rFonts w:ascii="Arial" w:cs="Arial" w:eastAsia="Arial" w:hAnsi="Arial"/>
          <w:sz w:val="18"/>
          <w:szCs w:val="18"/>
          <w:color w:val="auto"/>
        </w:rPr>
        <w:t>. Each Director may elect that his or her Deferred Cash Compensation for any Year be credited to a Cash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a Stock Unit Account or to any combination thereof.</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72" w:right="100" w:hanging="567"/>
        <w:spacing w:after="0" w:line="277" w:lineRule="auto"/>
        <w:tabs>
          <w:tab w:leader="none" w:pos="1472"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Cash Accounts for each Director who has elected that any portion of his or her Deferred Cash Compensation be credited to a Cash Account.</w:t>
      </w:r>
    </w:p>
    <w:p>
      <w:pPr>
        <w:spacing w:after="0" w:line="75" w:lineRule="exact"/>
        <w:rPr>
          <w:rFonts w:ascii="Arial" w:cs="Arial" w:eastAsia="Arial" w:hAnsi="Arial"/>
          <w:sz w:val="18"/>
          <w:szCs w:val="18"/>
          <w:color w:val="auto"/>
        </w:rPr>
      </w:pPr>
    </w:p>
    <w:p>
      <w:pPr>
        <w:ind w:left="1472" w:right="100" w:hanging="567"/>
        <w:spacing w:after="0" w:line="264" w:lineRule="auto"/>
        <w:tabs>
          <w:tab w:leader="none" w:pos="1472" w:val="left"/>
        </w:tabs>
        <w:numPr>
          <w:ilvl w:val="2"/>
          <w:numId w:val="22"/>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86" w:lineRule="exact"/>
        <w:rPr>
          <w:rFonts w:ascii="Arial" w:cs="Arial" w:eastAsia="Arial" w:hAnsi="Arial"/>
          <w:sz w:val="18"/>
          <w:szCs w:val="18"/>
          <w:color w:val="auto"/>
        </w:rPr>
      </w:pPr>
    </w:p>
    <w:p>
      <w:pPr>
        <w:ind w:left="1472" w:right="120" w:hanging="567"/>
        <w:spacing w:after="0" w:line="297" w:lineRule="auto"/>
        <w:tabs>
          <w:tab w:leader="none" w:pos="1472" w:val="left"/>
        </w:tabs>
        <w:numPr>
          <w:ilvl w:val="2"/>
          <w:numId w:val="22"/>
        </w:numPr>
        <w:rPr>
          <w:rFonts w:ascii="Arial" w:cs="Arial" w:eastAsia="Arial" w:hAnsi="Arial"/>
          <w:sz w:val="16"/>
          <w:szCs w:val="16"/>
          <w:color w:val="auto"/>
        </w:rPr>
      </w:pPr>
      <w:r>
        <w:rPr>
          <w:rFonts w:ascii="Arial" w:cs="Arial" w:eastAsia="Arial" w:hAnsi="Arial"/>
          <w:sz w:val="16"/>
          <w:szCs w:val="16"/>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GSR Committee for each Year.</w:t>
      </w:r>
    </w:p>
    <w:p>
      <w:pPr>
        <w:spacing w:after="0" w:line="63" w:lineRule="exact"/>
        <w:rPr>
          <w:rFonts w:ascii="Arial" w:cs="Arial" w:eastAsia="Arial" w:hAnsi="Arial"/>
          <w:sz w:val="16"/>
          <w:szCs w:val="16"/>
          <w:color w:val="auto"/>
        </w:rPr>
      </w:pPr>
    </w:p>
    <w:p>
      <w:pPr>
        <w:ind w:left="892" w:hanging="446"/>
        <w:spacing w:after="0"/>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72" w:hanging="567"/>
        <w:spacing w:after="0" w:line="277" w:lineRule="auto"/>
        <w:tabs>
          <w:tab w:leader="none" w:pos="1472"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Stock Unit Accounts for each Director who has elected that any portion of his or her Deferred Cash Compensation be credited to a Stock Unit Account.</w:t>
      </w:r>
    </w:p>
    <w:p>
      <w:pPr>
        <w:spacing w:after="0" w:line="75" w:lineRule="exact"/>
        <w:rPr>
          <w:rFonts w:ascii="Arial" w:cs="Arial" w:eastAsia="Arial" w:hAnsi="Arial"/>
          <w:sz w:val="18"/>
          <w:szCs w:val="18"/>
          <w:color w:val="auto"/>
        </w:rPr>
      </w:pPr>
    </w:p>
    <w:p>
      <w:pPr>
        <w:ind w:left="1472" w:right="20" w:hanging="567"/>
        <w:spacing w:after="0" w:line="259" w:lineRule="auto"/>
        <w:tabs>
          <w:tab w:leader="none" w:pos="1472" w:val="left"/>
        </w:tabs>
        <w:numPr>
          <w:ilvl w:val="2"/>
          <w:numId w:val="22"/>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92" w:lineRule="exact"/>
        <w:rPr>
          <w:rFonts w:ascii="Arial" w:cs="Arial" w:eastAsia="Arial" w:hAnsi="Arial"/>
          <w:sz w:val="18"/>
          <w:szCs w:val="18"/>
          <w:color w:val="auto"/>
        </w:rPr>
      </w:pPr>
    </w:p>
    <w:p>
      <w:pPr>
        <w:ind w:left="1472" w:right="80" w:hanging="567"/>
        <w:spacing w:after="0" w:line="279" w:lineRule="auto"/>
        <w:tabs>
          <w:tab w:leader="none" w:pos="1472" w:val="left"/>
        </w:tabs>
        <w:numPr>
          <w:ilvl w:val="2"/>
          <w:numId w:val="22"/>
        </w:numPr>
        <w:rPr>
          <w:rFonts w:ascii="Arial" w:cs="Arial" w:eastAsia="Arial" w:hAnsi="Arial"/>
          <w:sz w:val="17"/>
          <w:szCs w:val="17"/>
          <w:color w:val="auto"/>
        </w:rPr>
      </w:pPr>
      <w:r>
        <w:rPr>
          <w:rFonts w:ascii="Arial" w:cs="Arial" w:eastAsia="Arial" w:hAnsi="Arial"/>
          <w:sz w:val="17"/>
          <w:szCs w:val="17"/>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76" w:lineRule="exact"/>
        <w:rPr>
          <w:rFonts w:ascii="Arial" w:cs="Arial" w:eastAsia="Arial" w:hAnsi="Arial"/>
          <w:sz w:val="17"/>
          <w:szCs w:val="17"/>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Award.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Each Director may elect to defer all or a portion of any dividend equivalents paid on Restricted Stock Units.</w:t>
      </w:r>
    </w:p>
    <w:p>
      <w:pPr>
        <w:spacing w:after="0" w:line="130" w:lineRule="exact"/>
        <w:rPr>
          <w:rFonts w:ascii="Arial" w:cs="Arial" w:eastAsia="Arial" w:hAnsi="Arial"/>
          <w:sz w:val="18"/>
          <w:szCs w:val="18"/>
          <w:color w:val="auto"/>
        </w:rPr>
      </w:pPr>
    </w:p>
    <w:p>
      <w:pPr>
        <w:ind w:left="452" w:right="120" w:hanging="452"/>
        <w:spacing w:after="0" w:line="277"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Time of Election. </w:t>
      </w:r>
      <w:r>
        <w:rPr>
          <w:rFonts w:ascii="Arial" w:cs="Arial" w:eastAsia="Arial" w:hAnsi="Arial"/>
          <w:sz w:val="18"/>
          <w:szCs w:val="18"/>
          <w:color w:val="auto"/>
        </w:rPr>
        <w:t>An election to defer all or any portion of Eligible Compensation for any Year shall be made in writing in the form (“Election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Secretary.</w:t>
      </w:r>
    </w:p>
    <w:p>
      <w:pPr>
        <w:spacing w:after="0" w:line="197"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11(f). The time of election and the time of distribution shall comply in all respects with the applicable requirements of Section 409A of the Code.</w:t>
      </w:r>
    </w:p>
    <w:p>
      <w:pPr>
        <w:spacing w:after="0" w:line="1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74" w:right="279" w:bottom="1440" w:gutter="0" w:footer="0" w:header="0"/>
        </w:sectPr>
      </w:pPr>
    </w:p>
    <w:bookmarkStart w:id="16" w:name="page17"/>
    <w:bookmarkEnd w:id="16"/>
    <w:p>
      <w:pPr>
        <w:ind w:left="452" w:right="240" w:hanging="452"/>
        <w:spacing w:after="0" w:line="277"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Irrevocability of Election. </w:t>
      </w:r>
      <w:r>
        <w:rPr>
          <w:rFonts w:ascii="Arial" w:cs="Arial" w:eastAsia="Arial" w:hAnsi="Arial"/>
          <w:sz w:val="18"/>
          <w:szCs w:val="18"/>
          <w:color w:val="auto"/>
        </w:rPr>
        <w:t>A Director’s election to defer all or any portion of his or her Eligible Compensation for any Year shall be irrevocable 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by the Secretary of a completed Election Form from the Director.</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Distributions of amounts credited to each Participant’s Cash Account shall be made in cash.</w:t>
      </w:r>
    </w:p>
    <w:p>
      <w:pPr>
        <w:spacing w:after="0" w:line="130" w:lineRule="exact"/>
        <w:rPr>
          <w:rFonts w:ascii="Arial" w:cs="Arial" w:eastAsia="Arial" w:hAnsi="Arial"/>
          <w:sz w:val="18"/>
          <w:szCs w:val="18"/>
          <w:color w:val="auto"/>
        </w:rPr>
      </w:pPr>
    </w:p>
    <w:p>
      <w:pPr>
        <w:ind w:left="1472" w:hanging="567"/>
        <w:spacing w:after="0" w:line="277" w:lineRule="auto"/>
        <w:tabs>
          <w:tab w:leader="none" w:pos="14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Distributions of units credited to each Participant’s Stock Unit Account shall be made by issuing to such Participant an equivalent number of Shares.</w:t>
      </w:r>
    </w:p>
    <w:p>
      <w:pPr>
        <w:spacing w:after="0" w:line="75" w:lineRule="exact"/>
        <w:rPr>
          <w:rFonts w:ascii="Arial" w:cs="Arial" w:eastAsia="Arial" w:hAnsi="Arial"/>
          <w:sz w:val="18"/>
          <w:szCs w:val="18"/>
          <w:color w:val="auto"/>
        </w:rPr>
      </w:pPr>
    </w:p>
    <w:p>
      <w:pPr>
        <w:ind w:left="1472" w:right="200" w:hanging="567"/>
        <w:spacing w:after="0" w:line="279" w:lineRule="auto"/>
        <w:tabs>
          <w:tab w:leader="none" w:pos="1472"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Distribution of Shares relating to vested Restricted Stock Units the Participant has elected to defer shall be made by issuing to such Participant the whole number of Shares attributable to such vested Restricted Stock Units. Notwithstanding the foregoing, no fractional shares will be issued and any fractional unit will be distributed by payment of cash in the amount represented by such fractional unit based on the Fair Market Value on the date preceding the date of payment.</w:t>
      </w:r>
    </w:p>
    <w:p>
      <w:pPr>
        <w:spacing w:after="0" w:line="76" w:lineRule="exact"/>
        <w:rPr>
          <w:rFonts w:ascii="Arial" w:cs="Arial" w:eastAsia="Arial" w:hAnsi="Arial"/>
          <w:sz w:val="17"/>
          <w:szCs w:val="17"/>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Time of Distributions.</w:t>
      </w:r>
    </w:p>
    <w:p>
      <w:pPr>
        <w:spacing w:after="0" w:line="131" w:lineRule="exact"/>
        <w:rPr>
          <w:sz w:val="20"/>
          <w:szCs w:val="20"/>
          <w:color w:val="auto"/>
        </w:rPr>
      </w:pPr>
    </w:p>
    <w:p>
      <w:pPr>
        <w:ind w:left="892" w:right="40" w:hanging="446"/>
        <w:spacing w:after="0" w:line="308" w:lineRule="auto"/>
        <w:tabs>
          <w:tab w:leader="none" w:pos="892"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Normal Distributions. Except as otherwise hereinafter provided, distributions from a Participant’s Deferred Compensation Account shall be made on the first day of the month following such Participant’s Separation from Service on the Board for any reason other than death.</w:t>
      </w:r>
    </w:p>
    <w:p>
      <w:pPr>
        <w:spacing w:after="0" w:line="38" w:lineRule="exact"/>
        <w:rPr>
          <w:sz w:val="20"/>
          <w:szCs w:val="20"/>
          <w:color w:val="auto"/>
        </w:rPr>
      </w:pPr>
    </w:p>
    <w:p>
      <w:pPr>
        <w:ind w:left="912" w:right="720"/>
        <w:spacing w:after="0" w:line="277" w:lineRule="auto"/>
        <w:rPr>
          <w:sz w:val="20"/>
          <w:szCs w:val="20"/>
          <w:color w:val="auto"/>
        </w:rPr>
      </w:pPr>
      <w:r>
        <w:rPr>
          <w:rFonts w:ascii="Arial" w:cs="Arial" w:eastAsia="Arial" w:hAnsi="Arial"/>
          <w:sz w:val="18"/>
          <w:szCs w:val="18"/>
          <w:color w:val="auto"/>
        </w:rPr>
        <w:t>Notwithstanding the foregoing, no distribution may be made to a Specified Employee before the date that is six months after the date of Separation from Service or, if earlier, the date of death.</w:t>
      </w:r>
    </w:p>
    <w:p>
      <w:pPr>
        <w:spacing w:after="0" w:line="76" w:lineRule="exact"/>
        <w:rPr>
          <w:sz w:val="20"/>
          <w:szCs w:val="20"/>
          <w:color w:val="auto"/>
        </w:rPr>
      </w:pPr>
    </w:p>
    <w:p>
      <w:pPr>
        <w:ind w:left="892" w:right="120" w:hanging="446"/>
        <w:spacing w:after="0" w:line="259" w:lineRule="auto"/>
        <w:tabs>
          <w:tab w:leader="none" w:pos="8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in Control. In the event a Participant experiences a Separation From Service (other than for cause) within 24 months after a Change in Control, then, to the extent permitted without additional tax or penalty by Section 409A of the Code, such Participant shall receive a distribution of the balances credited to the Participant’s Account which are attributable to amounts credited to the account. See Section 9(b)(iii) for the effect of such Separation From Service on deferred Restricted Stock Units.</w:t>
      </w:r>
    </w:p>
    <w:p>
      <w:pPr>
        <w:spacing w:after="0" w:line="79" w:lineRule="exact"/>
        <w:rPr>
          <w:sz w:val="20"/>
          <w:szCs w:val="20"/>
          <w:color w:val="auto"/>
        </w:rPr>
      </w:pPr>
    </w:p>
    <w:p>
      <w:pPr>
        <w:ind w:left="912"/>
        <w:spacing w:after="0" w:line="259" w:lineRule="auto"/>
        <w:rPr>
          <w:sz w:val="20"/>
          <w:szCs w:val="20"/>
          <w:color w:val="auto"/>
        </w:rPr>
      </w:pPr>
      <w:r>
        <w:rPr>
          <w:rFonts w:ascii="Arial" w:cs="Arial" w:eastAsia="Arial" w:hAnsi="Arial"/>
          <w:sz w:val="18"/>
          <w:szCs w:val="18"/>
          <w:color w:val="auto"/>
        </w:rPr>
        <w:t>The amounts to be distributed pursuant to this Section 11(h)(ii) shall be paid on, or as soon as practicable (but no later than 60 days) after, the Participant’s Separation from Service, provided, however, that if the Participant is a Specified Employee upon such Separation From Service, the balances credited to the Participant’s Account will be distributed on, or as soon as practicable (but no more than 10 days) after, the first day of the seventh month following such Separation From Service.</w:t>
      </w:r>
    </w:p>
    <w:p>
      <w:pPr>
        <w:spacing w:after="0" w:line="79" w:lineRule="exact"/>
        <w:rPr>
          <w:sz w:val="20"/>
          <w:szCs w:val="20"/>
          <w:color w:val="auto"/>
        </w:rPr>
      </w:pPr>
    </w:p>
    <w:p>
      <w:pPr>
        <w:ind w:left="912" w:right="20"/>
        <w:spacing w:after="0" w:line="264" w:lineRule="auto"/>
        <w:rPr>
          <w:sz w:val="20"/>
          <w:szCs w:val="20"/>
          <w:color w:val="auto"/>
        </w:rPr>
      </w:pPr>
      <w:r>
        <w:rPr>
          <w:rFonts w:ascii="Arial" w:cs="Arial" w:eastAsia="Arial" w:hAnsi="Arial"/>
          <w:sz w:val="18"/>
          <w:szCs w:val="18"/>
          <w:color w:val="auto"/>
        </w:rPr>
        <w:t>To the extent that distributions of amounts pursuant to this Section 11(h)(ii) are not permitted without additional tax or penalty by Section 409A of the Code, the affected Participant shall receive distribution of the amounts referred to in this Section 11(h)(ii) in accordance with Section 11(h) (i).</w:t>
      </w:r>
    </w:p>
    <w:p>
      <w:pPr>
        <w:spacing w:after="0" w:line="87" w:lineRule="exact"/>
        <w:rPr>
          <w:sz w:val="20"/>
          <w:szCs w:val="20"/>
          <w:color w:val="auto"/>
        </w:rPr>
      </w:pPr>
    </w:p>
    <w:p>
      <w:pPr>
        <w:ind w:left="892" w:right="380" w:hanging="446"/>
        <w:spacing w:after="0" w:line="291" w:lineRule="auto"/>
        <w:tabs>
          <w:tab w:leader="none" w:pos="8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Unforeseeable Emergency. An earlier distribution may be made upon a finding that the Participant is suffering from an Unforeseeable Emergency. A withdrawal on account of Unforeseeable Emergency may not be made to the extent that such emergency is or may be relieved</w:t>
      </w:r>
    </w:p>
    <w:p>
      <w:pPr>
        <w:ind w:left="892" w:right="740"/>
        <w:spacing w:after="0" w:line="290" w:lineRule="auto"/>
        <w:rPr>
          <w:rFonts w:ascii="Arial" w:cs="Arial" w:eastAsia="Arial" w:hAnsi="Arial"/>
          <w:sz w:val="16"/>
          <w:szCs w:val="16"/>
          <w:color w:val="auto"/>
        </w:rPr>
      </w:pPr>
      <w:r>
        <w:rPr>
          <w:rFonts w:ascii="Arial" w:cs="Arial" w:eastAsia="Arial" w:hAnsi="Arial"/>
          <w:sz w:val="17"/>
          <w:szCs w:val="17"/>
          <w:color w:val="auto"/>
        </w:rPr>
        <w:t>(A)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53" w:lineRule="exact"/>
        <w:rPr>
          <w:sz w:val="20"/>
          <w:szCs w:val="20"/>
          <w:color w:val="auto"/>
        </w:rPr>
      </w:pPr>
    </w:p>
    <w:p>
      <w:pPr>
        <w:ind w:left="912" w:right="200"/>
        <w:spacing w:after="0" w:line="286" w:lineRule="auto"/>
        <w:rPr>
          <w:sz w:val="20"/>
          <w:szCs w:val="20"/>
          <w:color w:val="auto"/>
        </w:rPr>
      </w:pPr>
      <w:r>
        <w:rPr>
          <w:rFonts w:ascii="Arial" w:cs="Arial" w:eastAsia="Arial" w:hAnsi="Arial"/>
          <w:sz w:val="17"/>
          <w:szCs w:val="17"/>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17" w:name="page18"/>
    <w:bookmarkEnd w:id="17"/>
    <w:p>
      <w:pPr>
        <w:ind w:left="920"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87" w:lineRule="exact"/>
        <w:rPr>
          <w:sz w:val="20"/>
          <w:szCs w:val="20"/>
          <w:color w:val="auto"/>
        </w:rPr>
      </w:pPr>
    </w:p>
    <w:p>
      <w:pPr>
        <w:ind w:left="460" w:right="100" w:hanging="452"/>
        <w:spacing w:after="0" w:line="297"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Notwithstanding the foregoing, in the event of the death of a Participant prior to receipt by such Participant of the full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number of shares to be distributed from his or her Deferred Compensation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63" w:lineRule="exact"/>
        <w:rPr>
          <w:rFonts w:ascii="Arial" w:cs="Arial" w:eastAsia="Arial" w:hAnsi="Arial"/>
          <w:sz w:val="16"/>
          <w:szCs w:val="16"/>
          <w:color w:val="auto"/>
        </w:rPr>
      </w:pPr>
    </w:p>
    <w:p>
      <w:pPr>
        <w:ind w:left="460" w:hanging="452"/>
        <w:spacing w:after="0" w:line="25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Certain Rights Reserved by the Company</w:t>
      </w:r>
      <w:r>
        <w:rPr>
          <w:rFonts w:ascii="Arial" w:cs="Arial" w:eastAsia="Arial" w:hAnsi="Arial"/>
          <w:sz w:val="18"/>
          <w:szCs w:val="18"/>
          <w:color w:val="auto"/>
        </w:rPr>
        <w:t>. In the event that, pursuant to Section 13, the Company suspends, modifies or terminates this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93"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In the event that a Participant terminates his or her membership on the Board and becomes affiliated with a government agency, all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SECTION 12. OTHER STOCK-BASED AWARDS.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12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SECTION 13. AMENDMENT AND 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131" w:lineRule="exact"/>
        <w:rPr>
          <w:sz w:val="20"/>
          <w:szCs w:val="20"/>
          <w:color w:val="auto"/>
        </w:rPr>
      </w:pPr>
    </w:p>
    <w:p>
      <w:pPr>
        <w:ind w:left="460" w:right="20" w:hanging="452"/>
        <w:spacing w:after="0" w:line="284"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 The Board may amend, alter, suspend, discontinue or terminate the Plan, including, without limitation, the number of shares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granted pursuant to Sections 6, 7 and 10,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adversely affect the rights of such Participants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amendment or alteration shall increase the aggregate number of shares that may be issued under the Plan or increase the total value of Awards that may be granted in any given Year, in each case except as provided in Section 5(d). In addition, any such amendment shall be in compliance with</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Section 409A of the Code. The Administrator may modify any outstanding Awards to comply with Section 409A without consent from Participants.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8" w:name="page19"/>
    <w:bookmarkEnd w:id="18"/>
    <w:p>
      <w:pPr>
        <w:ind w:left="460"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 of the Plan or any Award Agreement, no amendment, alteration, suspension, discontinuation or termination of the Plan or any Award Agreement shall be made that would (1) permit Options or SARs to be granted with a per Share exercise 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another Option, SAR, restricted stock unit or any other Award, or (z) 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 (y) of the immediately preceding sentence is prohibited regardless of whether the option, SAR, restricted stock unit or other equity is delivered simultaneously with the cancellation and regardless of whether the cancellation and exchange are treated as a repricing under GAAP or are voluntary on the part of the Participant.</w:t>
      </w:r>
    </w:p>
    <w:p>
      <w:pPr>
        <w:spacing w:after="0" w:line="72" w:lineRule="exact"/>
        <w:rPr>
          <w:sz w:val="20"/>
          <w:szCs w:val="20"/>
          <w:color w:val="auto"/>
        </w:rPr>
      </w:pPr>
    </w:p>
    <w:p>
      <w:pPr>
        <w:ind w:left="460" w:right="10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 inconsistency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 or any Award in the manner and to the extent it shall deem desirable to carry the Plan into effect.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SECTION 14. GENERAL PROVISIONS.</w:t>
      </w:r>
    </w:p>
    <w:p>
      <w:pPr>
        <w:spacing w:after="0" w:line="131" w:lineRule="exact"/>
        <w:rPr>
          <w:sz w:val="20"/>
          <w:szCs w:val="20"/>
          <w:color w:val="auto"/>
        </w:rPr>
      </w:pPr>
    </w:p>
    <w:p>
      <w:pPr>
        <w:ind w:left="460" w:right="6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the Company in respect of any Shares issuable under the Plan in connection with any Award or Account, in whole or in part, unless and until certificates or other indicia of ownership of such shares shall have been issued.</w:t>
      </w:r>
    </w:p>
    <w:p>
      <w:pPr>
        <w:spacing w:after="0" w:line="86"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86" w:lineRule="exact"/>
        <w:rPr>
          <w:rFonts w:ascii="Arial" w:cs="Arial" w:eastAsia="Arial" w:hAnsi="Arial"/>
          <w:sz w:val="18"/>
          <w:szCs w:val="18"/>
          <w:color w:val="auto"/>
        </w:rPr>
      </w:pPr>
    </w:p>
    <w:p>
      <w:pPr>
        <w:ind w:left="460" w:right="8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No Limit on Other Compensation Arrangements</w:t>
      </w:r>
      <w:r>
        <w:rPr>
          <w:rFonts w:ascii="Arial" w:cs="Arial" w:eastAsia="Arial" w:hAnsi="Arial"/>
          <w:sz w:val="17"/>
          <w:szCs w:val="17"/>
          <w:color w:val="auto"/>
        </w:rPr>
        <w:t>. Nothing contained in the Plan shall prevent the Company from adopting or continuing in effect 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additional compensation arrangements, and such arrangements may be either generally applicable or applicable only in specific cases.</w:t>
      </w:r>
    </w:p>
    <w:p>
      <w:pPr>
        <w:spacing w:after="0" w:line="51" w:lineRule="exact"/>
        <w:rPr>
          <w:rFonts w:ascii="Arial" w:cs="Arial" w:eastAsia="Arial" w:hAnsi="Arial"/>
          <w:sz w:val="17"/>
          <w:szCs w:val="17"/>
          <w:color w:val="auto"/>
        </w:rPr>
      </w:pPr>
    </w:p>
    <w:p>
      <w:pPr>
        <w:ind w:left="460" w:right="16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laws of the State of Delaware without giving effect to the principles of conflict of laws thereof.</w:t>
      </w:r>
    </w:p>
    <w:p>
      <w:pPr>
        <w:spacing w:after="0" w:line="75" w:lineRule="exact"/>
        <w:rPr>
          <w:rFonts w:ascii="Arial" w:cs="Arial" w:eastAsia="Arial" w:hAnsi="Arial"/>
          <w:sz w:val="18"/>
          <w:szCs w:val="18"/>
          <w:color w:val="auto"/>
        </w:rPr>
      </w:pPr>
    </w:p>
    <w:p>
      <w:pPr>
        <w:ind w:left="460" w:right="20" w:hanging="452"/>
        <w:spacing w:after="0" w:line="276"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the Plan or any Award Agreement is or becomes or is deemed to be invalid, illegal, or unenforceable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77" w:lineRule="exact"/>
        <w:rPr>
          <w:rFonts w:ascii="Arial" w:cs="Arial" w:eastAsia="Arial" w:hAnsi="Arial"/>
          <w:sz w:val="17"/>
          <w:szCs w:val="17"/>
          <w:color w:val="auto"/>
        </w:rPr>
      </w:pPr>
    </w:p>
    <w:p>
      <w:pPr>
        <w:ind w:left="4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92"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 Account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9" w:name="page20"/>
    <w:bookmarkEnd w:id="19"/>
    <w:p>
      <w:pPr>
        <w:ind w:left="460" w:hanging="452"/>
        <w:spacing w:after="0" w:line="25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w:t>
      </w:r>
      <w:r>
        <w:rPr>
          <w:rFonts w:ascii="Arial" w:cs="Arial" w:eastAsia="Arial" w:hAnsi="Arial"/>
          <w:sz w:val="18"/>
          <w:szCs w:val="18"/>
          <w:color w:val="auto"/>
        </w:rPr>
        <w:t>. The Company shall be authorized to withhold from any Awards granted or any transfer made under any Award or under the Plan or from</w:t>
      </w:r>
      <w:r>
        <w:rPr>
          <w:rFonts w:ascii="Arial" w:cs="Arial" w:eastAsia="Arial" w:hAnsi="Arial"/>
          <w:sz w:val="18"/>
          <w:szCs w:val="18"/>
          <w:i w:val="1"/>
          <w:iCs w:val="1"/>
          <w:color w:val="auto"/>
        </w:rPr>
        <w:t xml:space="preserve"> </w:t>
      </w:r>
      <w:r>
        <w:rPr>
          <w:rFonts w:ascii="Arial" w:cs="Arial" w:eastAsia="Arial" w:hAnsi="Arial"/>
          <w:sz w:val="18"/>
          <w:szCs w:val="18"/>
          <w:color w:val="auto"/>
        </w:rPr>
        <w:t>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93"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92"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 arrangement maintained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will comply with Section 409A of the Code.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SECTION 15. EFFECTIVE DATE OF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SECTION 16. TERM OF THE PLAN.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12 to amend, alter, adjust, suspend, discontinue, or terminate any such Award or Account, or to waive any conditions or rights thereunder, shall extend beyond such date.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19B500D"/>
    <w:multiLevelType w:val="hybridMultilevel"/>
    <w:lvl w:ilvl="0">
      <w:lvlJc w:val="left"/>
      <w:lvlText w:val="%1"/>
      <w:numFmt w:val="lowerLetter"/>
      <w:start w:val="1"/>
    </w:lvl>
    <w:lvl w:ilvl="1">
      <w:lvlJc w:val="left"/>
      <w:lvlText w:val="(%2)"/>
      <w:numFmt w:val="decimal"/>
      <w:start w:val="2"/>
    </w:lvl>
  </w:abstractNum>
  <w:abstractNum w:abstractNumId="4">
    <w:nsid w:val="431BD7B7"/>
    <w:multiLevelType w:val="hybridMultilevel"/>
    <w:lvl w:ilvl="0">
      <w:lvlJc w:val="left"/>
      <w:lvlText w:val="(%1)"/>
      <w:numFmt w:val="lowerLetter"/>
      <w:start w:val="2"/>
    </w:lvl>
    <w:lvl w:ilvl="1">
      <w:lvlJc w:val="left"/>
      <w:lvlText w:val="%2"/>
      <w:numFmt w:val="decimal"/>
      <w:start w:val="1"/>
    </w:lvl>
  </w:abstractNum>
  <w:abstractNum w:abstractNumId="5">
    <w:nsid w:val="3F2DBA31"/>
    <w:multiLevelType w:val="hybridMultilevel"/>
    <w:lvl w:ilvl="0">
      <w:lvlJc w:val="left"/>
      <w:lvlText w:val="(%1)"/>
      <w:numFmt w:val="lowerLetter"/>
      <w:start w:val="1"/>
    </w:lvl>
    <w:lvl w:ilvl="1">
      <w:lvlJc w:val="left"/>
      <w:lvlText w:val="(%2)"/>
      <w:numFmt w:val="lowerRoman"/>
      <w:start w:val="1"/>
    </w:lvl>
  </w:abstractNum>
  <w:abstractNum w:abstractNumId="6">
    <w:nsid w:val="7C83E45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
    <w:nsid w:val="257130A3"/>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8">
    <w:nsid w:val="62BBD95A"/>
    <w:multiLevelType w:val="hybridMultilevel"/>
    <w:lvl w:ilvl="0">
      <w:lvlJc w:val="left"/>
      <w:lvlText w:val="(%1)"/>
      <w:numFmt w:val="lowerLetter"/>
      <w:start w:val="18"/>
    </w:lvl>
    <w:lvl w:ilvl="1">
      <w:lvlJc w:val="left"/>
      <w:lvlText w:val="(%2)"/>
      <w:numFmt w:val="lowerRoman"/>
      <w:start w:val="1"/>
    </w:lvl>
  </w:abstractNum>
  <w:abstractNum w:abstractNumId="9">
    <w:nsid w:val="436C6125"/>
    <w:multiLevelType w:val="hybridMultilevel"/>
    <w:lvl w:ilvl="0">
      <w:lvlJc w:val="left"/>
      <w:lvlText w:val="(%1)"/>
      <w:numFmt w:val="lowerLetter"/>
      <w:start w:val="26"/>
    </w:lvl>
  </w:abstractNum>
  <w:abstractNum w:abstractNumId="10">
    <w:nsid w:val="628C895D"/>
    <w:multiLevelType w:val="hybridMultilevel"/>
    <w:lvl w:ilvl="0">
      <w:lvlJc w:val="left"/>
      <w:lvlText w:val="(%1)"/>
      <w:numFmt w:val="lowerLetter"/>
      <w:start w:val="27"/>
    </w:lvl>
    <w:lvl w:ilvl="1">
      <w:lvlJc w:val="left"/>
      <w:lvlText w:val="(%2)"/>
      <w:numFmt w:val="lowerLetter"/>
      <w:start w:val="29"/>
    </w:lvl>
  </w:abstractNum>
  <w:abstractNum w:abstractNumId="11">
    <w:nsid w:val="333AB105"/>
    <w:multiLevelType w:val="hybridMultilevel"/>
    <w:lvl w:ilvl="0">
      <w:lvlJc w:val="left"/>
      <w:lvlText w:val="(%1)"/>
      <w:numFmt w:val="lowerLetter"/>
      <w:start w:val="1"/>
    </w:lvl>
    <w:lvl w:ilvl="1">
      <w:lvlJc w:val="left"/>
      <w:lvlText w:val="(%2)"/>
      <w:numFmt w:val="lowerLetter"/>
      <w:start w:val="35"/>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3"/>
    </w:lvl>
    <w:lvl w:ilvl="1">
      <w:lvlJc w:val="left"/>
      <w:lvlText w:val="(%2)"/>
      <w:numFmt w:val="lowerRoman"/>
      <w:start w:val="1"/>
    </w:lvl>
  </w:abstractNum>
  <w:abstractNum w:abstractNumId="16">
    <w:nsid w:val="75A2A8D4"/>
    <w:multiLevelType w:val="hybridMultilevel"/>
    <w:lvl w:ilvl="0">
      <w:lvlJc w:val="left"/>
      <w:lvlText w:val="(%1)"/>
      <w:numFmt w:val="lowerLetter"/>
      <w:start w:val="1"/>
    </w:lvl>
    <w:lvl w:ilvl="1">
      <w:lvlJc w:val="left"/>
      <w:lvlText w:val="(%2)"/>
      <w:numFmt w:val="lowerRoman"/>
      <w:start w:val="1"/>
    </w:lvl>
  </w:abstractNum>
  <w:abstractNum w:abstractNumId="17">
    <w:nsid w:val="8EDBDAB"/>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8">
    <w:nsid w:val="79838CB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
    <w:nsid w:val="54E49EB4"/>
    <w:multiLevelType w:val="hybridMultilevel"/>
    <w:lvl w:ilvl="0">
      <w:lvlJc w:val="left"/>
      <w:lvlText w:val="(%1)"/>
      <w:numFmt w:val="lowerLetter"/>
      <w:start w:val="6"/>
    </w:lvl>
    <w:lvl w:ilvl="1">
      <w:lvlJc w:val="left"/>
      <w:lvlText w:val="(%2)"/>
      <w:numFmt w:val="lowerRoman"/>
      <w:start w:val="1"/>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1)"/>
      <w:numFmt w:val="lowerRoman"/>
      <w:start w:val="2"/>
    </w:lvl>
  </w:abstractNum>
  <w:abstractNum w:abstractNumId="25">
    <w:nsid w:val="836C40E"/>
    <w:multiLevelType w:val="hybridMultilevel"/>
    <w:lvl w:ilvl="0">
      <w:lvlJc w:val="left"/>
      <w:lvlText w:val="(%1)"/>
      <w:numFmt w:val="lowerRoman"/>
      <w:start w:val="3"/>
    </w:lvl>
  </w:abstractNum>
  <w:abstractNum w:abstractNumId="26">
    <w:nsid w:val="2901D82"/>
    <w:multiLevelType w:val="hybridMultilevel"/>
    <w:lvl w:ilvl="0">
      <w:lvlJc w:val="left"/>
      <w:lvlText w:val="(%1)"/>
      <w:numFmt w:val="lowerLetter"/>
      <w:start w:val="9"/>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19" Type="http://schemas.openxmlformats.org/officeDocument/2006/relationships/hyperlink" Target="http://www.sec.gov/Archives/edgar/data/97476/000009747615000003/txn-12312014xexhibit3a.htm" TargetMode="External"/><Relationship Id="rId20" Type="http://schemas.openxmlformats.org/officeDocument/2006/relationships/hyperlink" Target="http://www.sec.gov/Archives/edgar/data/97476/000156459016030135/txn-ex3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2019-12-05T09:44:14Z</dcterms:created>
  <dcterms:modified xsi:type="dcterms:W3CDTF">2019-12-05T09:44:14Z</dcterms:modified>
</cp:coreProperties>
</file>