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6"/>
          <w:szCs w:val="16"/>
          <w:color w:val="auto"/>
        </w:rPr>
        <w:t>United States Securities and</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Exchange Commission</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SCHEDULE 14A</w:t>
      </w:r>
    </w:p>
    <w:p>
      <w:pPr>
        <w:spacing w:after="0" w:line="2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(Rule 14a-101)</w:t>
      </w:r>
    </w:p>
    <w:p>
      <w:pPr>
        <w:spacing w:after="0" w:line="2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INFORMATION REQUIRED IN PROXY STATEMENT</w:t>
      </w:r>
    </w:p>
    <w:p>
      <w:pPr>
        <w:spacing w:after="0" w:line="2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SCHEDULE 14A INFORMATION</w:t>
      </w:r>
    </w:p>
    <w:p>
      <w:pPr>
        <w:spacing w:after="0" w:line="2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Proxy Statement Pursuant to Section 14(a) of the</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Securities Exchange Act of 1934 (Amendment No. )</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the Registrant [X]</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 [  ]</w:t>
      </w:r>
    </w:p>
    <w:p>
      <w:pPr>
        <w:sectPr>
          <w:pgSz w:w="11900" w:h="16838" w:orient="portrait"/>
          <w:cols w:equalWidth="0" w:num="1">
            <w:col w:w="11300"/>
          </w:cols>
          <w:pgMar w:left="240" w:top="452" w:right="359" w:bottom="1440" w:gutter="0" w:footer="0" w:header="0"/>
        </w:sect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41"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Preliminary Proxy Statement</w:t>
      </w:r>
    </w:p>
    <w:p>
      <w:pPr>
        <w:spacing w:after="0" w:line="29"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Confidential, For Use of the</w:t>
      </w:r>
    </w:p>
    <w:p>
      <w:pPr>
        <w:spacing w:after="0" w:line="2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Commission Only (as permitted</w:t>
      </w:r>
    </w:p>
    <w:p>
      <w:pPr>
        <w:spacing w:after="0" w:line="1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by Rule 14a-6(e)(2))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 Soliciting Material Under Rule 14a-12</w:t>
      </w:r>
    </w:p>
    <w:p>
      <w:pPr>
        <w:spacing w:after="0" w:line="641" w:lineRule="exact"/>
        <w:rPr>
          <w:sz w:val="24"/>
          <w:szCs w:val="24"/>
          <w:color w:val="auto"/>
        </w:rPr>
      </w:pPr>
    </w:p>
    <w:p>
      <w:pPr>
        <w:sectPr>
          <w:pgSz w:w="11900" w:h="16838" w:orient="portrait"/>
          <w:cols w:equalWidth="0" w:num="2">
            <w:col w:w="2580" w:space="420"/>
            <w:col w:w="8300"/>
          </w:cols>
          <w:pgMar w:left="240" w:top="452" w:right="359" w:bottom="1440" w:gutter="0" w:footer="0" w:header="0"/>
          <w:type w:val="continuous"/>
        </w:sectPr>
      </w:pPr>
    </w:p>
    <w:p>
      <w:pPr>
        <w:ind w:left="500" w:hanging="500"/>
        <w:spacing w:after="0"/>
        <w:tabs>
          <w:tab w:leader="none" w:pos="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Definitive Proxy Statement</w:t>
      </w:r>
    </w:p>
    <w:p>
      <w:pPr>
        <w:spacing w:after="0" w:line="41"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Definitive Additional Materials</w:t>
      </w:r>
    </w:p>
    <w:p>
      <w:pPr>
        <w:spacing w:after="0" w:line="2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222250</wp:posOffset>
            </wp:positionH>
            <wp:positionV relativeFrom="paragraph">
              <wp:posOffset>26035</wp:posOffset>
            </wp:positionV>
            <wp:extent cx="6819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9900" cy="8255"/>
                    </a:xfrm>
                    <a:prstGeom prst="rect">
                      <a:avLst/>
                    </a:prstGeom>
                    <a:noFill/>
                  </pic:spPr>
                </pic:pic>
              </a:graphicData>
            </a:graphic>
          </wp:anchor>
        </w:drawing>
      </w: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222250</wp:posOffset>
            </wp:positionH>
            <wp:positionV relativeFrom="paragraph">
              <wp:posOffset>311785</wp:posOffset>
            </wp:positionV>
            <wp:extent cx="6819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990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41" w:lineRule="exact"/>
        <w:rPr>
          <w:sz w:val="24"/>
          <w:szCs w:val="24"/>
          <w:color w:val="auto"/>
        </w:rPr>
      </w:pPr>
    </w:p>
    <w:p>
      <w:pPr>
        <w:ind w:left="480" w:hanging="468"/>
        <w:spacing w:after="0"/>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required.</w:t>
      </w:r>
    </w:p>
    <w:p>
      <w:pPr>
        <w:spacing w:after="0" w:line="41" w:lineRule="exact"/>
        <w:rPr>
          <w:sz w:val="24"/>
          <w:szCs w:val="24"/>
          <w:color w:val="auto"/>
        </w:rPr>
      </w:pPr>
    </w:p>
    <w:p>
      <w:pPr>
        <w:ind w:left="180" w:hanging="173"/>
        <w:spacing w:after="0"/>
        <w:tabs>
          <w:tab w:leader="none" w:pos="1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Fee computed on table below per Exchange Act Rules 14a-6(i)(4) and 0-11.</w:t>
      </w:r>
    </w:p>
    <w:p>
      <w:pPr>
        <w:spacing w:after="0" w:line="41" w:lineRule="exact"/>
        <w:rPr>
          <w:rFonts w:ascii="Times New Roman" w:cs="Times New Roman" w:eastAsia="Times New Roman" w:hAnsi="Times New Roman"/>
          <w:sz w:val="16"/>
          <w:szCs w:val="16"/>
          <w:color w:val="auto"/>
        </w:rPr>
      </w:pPr>
    </w:p>
    <w:p>
      <w:pPr>
        <w:ind w:left="920" w:hanging="430"/>
        <w:spacing w:after="0"/>
        <w:tabs>
          <w:tab w:leader="none" w:pos="92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303" w:lineRule="exact"/>
        <w:rPr>
          <w:rFonts w:ascii="Times New Roman" w:cs="Times New Roman" w:eastAsia="Times New Roman" w:hAnsi="Times New Roman"/>
          <w:sz w:val="16"/>
          <w:szCs w:val="16"/>
          <w:color w:val="auto"/>
        </w:rPr>
      </w:pPr>
    </w:p>
    <w:p>
      <w:pPr>
        <w:ind w:left="920" w:hanging="430"/>
        <w:spacing w:after="0"/>
        <w:tabs>
          <w:tab w:leader="none" w:pos="92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278" w:lineRule="exact"/>
        <w:rPr>
          <w:rFonts w:ascii="Times New Roman" w:cs="Times New Roman" w:eastAsia="Times New Roman" w:hAnsi="Times New Roman"/>
          <w:sz w:val="16"/>
          <w:szCs w:val="16"/>
          <w:color w:val="auto"/>
        </w:rPr>
      </w:pPr>
    </w:p>
    <w:p>
      <w:pPr>
        <w:ind w:left="920" w:right="40" w:hanging="430"/>
        <w:spacing w:after="0" w:line="328" w:lineRule="auto"/>
        <w:tabs>
          <w:tab w:leader="none" w:pos="92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Times New Roman" w:cs="Times New Roman" w:eastAsia="Times New Roman" w:hAnsi="Times New Roman"/>
          <w:sz w:val="16"/>
          <w:szCs w:val="16"/>
          <w:color w:val="auto"/>
        </w:rPr>
      </w:pPr>
    </w:p>
    <w:p>
      <w:pPr>
        <w:ind w:left="920" w:hanging="430"/>
        <w:spacing w:after="0"/>
        <w:tabs>
          <w:tab w:leader="none" w:pos="92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78" w:lineRule="exact"/>
        <w:rPr>
          <w:rFonts w:ascii="Times New Roman" w:cs="Times New Roman" w:eastAsia="Times New Roman" w:hAnsi="Times New Roman"/>
          <w:sz w:val="16"/>
          <w:szCs w:val="16"/>
          <w:color w:val="auto"/>
        </w:rPr>
      </w:pPr>
    </w:p>
    <w:p>
      <w:pPr>
        <w:ind w:left="920" w:hanging="430"/>
        <w:spacing w:after="0"/>
        <w:tabs>
          <w:tab w:leader="none" w:pos="92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587375</wp:posOffset>
            </wp:positionH>
            <wp:positionV relativeFrom="paragraph">
              <wp:posOffset>-123825</wp:posOffset>
            </wp:positionV>
            <wp:extent cx="6669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-417830</wp:posOffset>
            </wp:positionV>
            <wp:extent cx="6669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-854710</wp:posOffset>
            </wp:positionV>
            <wp:extent cx="6669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-1148080</wp:posOffset>
            </wp:positionV>
            <wp:extent cx="6669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46" w:lineRule="exact"/>
        <w:rPr>
          <w:sz w:val="24"/>
          <w:szCs w:val="24"/>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auto"/>
        </w:rPr>
        <w:t>[  ]</w:t>
        <w:tab/>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69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9" w:lineRule="exact"/>
        <w:rPr>
          <w:sz w:val="24"/>
          <w:szCs w:val="24"/>
          <w:color w:val="auto"/>
        </w:rPr>
      </w:pPr>
    </w:p>
    <w:p>
      <w:pPr>
        <w:ind w:left="480" w:hanging="473"/>
        <w:spacing w:after="0" w:line="269" w:lineRule="auto"/>
        <w:tabs>
          <w:tab w:leader="none" w:pos="17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32"/>
        <w:spacing w:after="0"/>
        <w:tabs>
          <w:tab w:leader="none" w:pos="9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353" w:lineRule="exact"/>
        <w:rPr>
          <w:rFonts w:ascii="Times New Roman" w:cs="Times New Roman" w:eastAsia="Times New Roman" w:hAnsi="Times New Roman"/>
          <w:sz w:val="16"/>
          <w:szCs w:val="16"/>
          <w:color w:val="auto"/>
        </w:rPr>
      </w:pPr>
    </w:p>
    <w:p>
      <w:pPr>
        <w:ind w:left="920" w:hanging="432"/>
        <w:spacing w:after="0"/>
        <w:tabs>
          <w:tab w:leader="none" w:pos="9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91" w:lineRule="exact"/>
        <w:rPr>
          <w:rFonts w:ascii="Times New Roman" w:cs="Times New Roman" w:eastAsia="Times New Roman" w:hAnsi="Times New Roman"/>
          <w:sz w:val="16"/>
          <w:szCs w:val="16"/>
          <w:color w:val="auto"/>
        </w:rPr>
      </w:pPr>
    </w:p>
    <w:p>
      <w:pPr>
        <w:ind w:left="920" w:hanging="432"/>
        <w:spacing w:after="0"/>
        <w:tabs>
          <w:tab w:leader="none" w:pos="9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91" w:lineRule="exact"/>
        <w:rPr>
          <w:rFonts w:ascii="Times New Roman" w:cs="Times New Roman" w:eastAsia="Times New Roman" w:hAnsi="Times New Roman"/>
          <w:sz w:val="16"/>
          <w:szCs w:val="16"/>
          <w:color w:val="auto"/>
        </w:rPr>
      </w:pPr>
    </w:p>
    <w:p>
      <w:pPr>
        <w:ind w:left="920" w:hanging="432"/>
        <w:spacing w:after="0"/>
        <w:tabs>
          <w:tab w:leader="none" w:pos="9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587375</wp:posOffset>
            </wp:positionH>
            <wp:positionV relativeFrom="paragraph">
              <wp:posOffset>168910</wp:posOffset>
            </wp:positionV>
            <wp:extent cx="6669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-123825</wp:posOffset>
            </wp:positionV>
            <wp:extent cx="6669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-425450</wp:posOffset>
            </wp:positionV>
            <wp:extent cx="66694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-727075</wp:posOffset>
            </wp:positionV>
            <wp:extent cx="6669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381000</wp:posOffset>
            </wp:positionV>
            <wp:extent cx="727710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300"/>
          </w:cols>
          <w:pgMar w:left="240" w:top="452" w:right="35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152400</wp:posOffset>
            </wp:positionH>
            <wp:positionV relativeFrom="page">
              <wp:posOffset>231775</wp:posOffset>
            </wp:positionV>
            <wp:extent cx="7256780" cy="238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238125"/>
                    </a:xfrm>
                    <a:prstGeom prst="rect">
                      <a:avLst/>
                    </a:prstGeom>
                    <a:noFill/>
                  </pic:spPr>
                </pic:pic>
              </a:graphicData>
            </a:graphic>
          </wp:anchor>
        </w:drawing>
        <w:t>NOTICE OF ANNUAL MEETING OF STOCKHOLDERS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6122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0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You are cordially invited to attend the 2014 annual meeting of stockholders on Thursday, April 17, 2014, at the cafeteria on our property at 12500 TI Boulevard, Dallas, Texas, at 10:00 a.m. (Central time). At the meeting we will consider and act upon the following matters:</w:t>
      </w:r>
    </w:p>
    <w:p>
      <w:pPr>
        <w:spacing w:after="0" w:line="131"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election of directors for the next year,</w:t>
      </w:r>
    </w:p>
    <w:p>
      <w:pPr>
        <w:spacing w:after="0" w:line="35"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advisory approval of the company’s executive compensation,</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ratification of the appointment of Ernst &amp; Young LLP as the company’s independent registered public accounting firm for 2014,</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approval of the TI Employees 2014 Stock Purchase Plan,</w:t>
      </w:r>
    </w:p>
    <w:p>
      <w:pPr>
        <w:spacing w:after="0" w:line="16" w:lineRule="exact"/>
        <w:rPr>
          <w:sz w:val="20"/>
          <w:szCs w:val="20"/>
          <w:color w:val="auto"/>
        </w:rPr>
      </w:pPr>
    </w:p>
    <w:p>
      <w:pPr>
        <w:ind w:left="300" w:right="2020"/>
        <w:spacing w:after="0" w:line="281" w:lineRule="auto"/>
        <w:rPr>
          <w:sz w:val="20"/>
          <w:szCs w:val="20"/>
          <w:color w:val="auto"/>
        </w:rPr>
      </w:pPr>
      <w:r>
        <w:rPr>
          <w:sz w:val="1"/>
          <w:szCs w:val="1"/>
          <w:color w:val="auto"/>
        </w:rPr>
        <w:drawing>
          <wp:inline distT="0" distB="0" distL="0" distR="0">
            <wp:extent cx="57150" cy="571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reapproval of the material terms of the performance goals under the Texas Instruments 2009 Long-Term Incentive Plan, and </w:t>
      </w:r>
      <w:r>
        <w:rPr>
          <w:sz w:val="1"/>
          <w:szCs w:val="1"/>
          <w:color w:val="auto"/>
        </w:rPr>
        <w:drawing>
          <wp:inline distT="0" distB="0" distL="0" distR="0">
            <wp:extent cx="57150" cy="57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such other matters as may properly come before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at the close of business on February 18, 2014, are entitled to vote at the annual meeting.</w:t>
      </w:r>
    </w:p>
    <w:p>
      <w:pPr>
        <w:spacing w:after="0" w:line="202" w:lineRule="exact"/>
        <w:rPr>
          <w:sz w:val="20"/>
          <w:szCs w:val="20"/>
          <w:color w:val="auto"/>
        </w:rPr>
      </w:pPr>
    </w:p>
    <w:p>
      <w:pPr>
        <w:spacing w:after="0" w:line="336" w:lineRule="auto"/>
        <w:rPr>
          <w:sz w:val="20"/>
          <w:szCs w:val="20"/>
          <w:color w:val="auto"/>
        </w:rPr>
      </w:pPr>
      <w:r>
        <w:rPr>
          <w:rFonts w:ascii="Arial" w:cs="Arial" w:eastAsia="Arial" w:hAnsi="Arial"/>
          <w:sz w:val="16"/>
          <w:szCs w:val="16"/>
          <w:b w:val="1"/>
          <w:bCs w:val="1"/>
          <w:color w:val="auto"/>
        </w:rPr>
        <w:t>We urge you to vote your shares as promptly as possible by: (1) accessing the Internet website, (2) calling the toll-free number or (3) signing, dating and mailing the enclosed proxy.</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29210</wp:posOffset>
            </wp:positionV>
            <wp:extent cx="1873885" cy="571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388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Joseph F. Hubach</w:t>
      </w:r>
    </w:p>
    <w:p>
      <w:pPr>
        <w:spacing w:after="0" w:line="4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w:t>
      </w:r>
    </w:p>
    <w:p>
      <w:pPr>
        <w:spacing w:after="0" w:line="4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Secretary and</w:t>
      </w:r>
    </w:p>
    <w:p>
      <w:pPr>
        <w:spacing w:after="0" w:line="4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General Counsel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4, 2014</w:t>
      </w:r>
    </w:p>
    <w:p>
      <w:pPr>
        <w:spacing w:after="0" w:line="222"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2" w:name="page3"/>
    <w:bookmarkEnd w:id="2"/>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152400</wp:posOffset>
            </wp:positionH>
            <wp:positionV relativeFrom="page">
              <wp:posOffset>231775</wp:posOffset>
            </wp:positionV>
            <wp:extent cx="7256780" cy="238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238125"/>
                    </a:xfrm>
                    <a:prstGeom prst="rect">
                      <a:avLst/>
                    </a:prstGeom>
                    <a:noFill/>
                  </pic:spPr>
                </pic:pic>
              </a:graphicData>
            </a:graphic>
          </wp:anchor>
        </w:drawing>
        <w:t>TABLE OF CONTENTS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shd w:val="clear" w:color="auto" w:fill="E9E9E9"/>
          </w:tcPr>
          <w:p>
            <w:pPr>
              <w:spacing w:after="0"/>
              <w:rPr>
                <w:sz w:val="20"/>
                <w:szCs w:val="20"/>
                <w:color w:val="auto"/>
              </w:rPr>
            </w:pPr>
            <w:r>
              <w:rPr>
                <w:rFonts w:ascii="Arial" w:cs="Arial" w:eastAsia="Arial" w:hAnsi="Arial"/>
                <w:sz w:val="16"/>
                <w:szCs w:val="16"/>
                <w:color w:val="auto"/>
              </w:rPr>
              <w:t>Voting procedures and quorum</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56</w:t>
            </w:r>
          </w:p>
        </w:tc>
        <w:tc>
          <w:tcPr>
            <w:tcW w:w="460" w:type="dxa"/>
            <w:vAlign w:val="bottom"/>
          </w:tcPr>
          <w:p>
            <w:pPr>
              <w:spacing w:after="0"/>
              <w:rPr>
                <w:sz w:val="19"/>
                <w:szCs w:val="19"/>
                <w:color w:val="auto"/>
              </w:rPr>
            </w:pPr>
          </w:p>
        </w:tc>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Audit Committee report</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5180" w:type="dxa"/>
            <w:vAlign w:val="bottom"/>
          </w:tcPr>
          <w:p>
            <w:pPr>
              <w:spacing w:after="0"/>
              <w:rPr>
                <w:sz w:val="20"/>
                <w:szCs w:val="20"/>
                <w:color w:val="auto"/>
              </w:rPr>
            </w:pPr>
            <w:r>
              <w:rPr>
                <w:rFonts w:ascii="Arial" w:cs="Arial" w:eastAsia="Arial" w:hAnsi="Arial"/>
                <w:sz w:val="16"/>
                <w:szCs w:val="16"/>
                <w:color w:val="auto"/>
              </w:rPr>
              <w:t>Election of directors</w:t>
            </w:r>
          </w:p>
        </w:tc>
        <w:tc>
          <w:tcPr>
            <w:tcW w:w="300" w:type="dxa"/>
            <w:vAlign w:val="bottom"/>
          </w:tcPr>
          <w:p>
            <w:pPr>
              <w:jc w:val="right"/>
              <w:spacing w:after="0"/>
              <w:rPr>
                <w:sz w:val="20"/>
                <w:szCs w:val="20"/>
                <w:color w:val="auto"/>
              </w:rPr>
            </w:pPr>
            <w:r>
              <w:rPr>
                <w:rFonts w:ascii="Arial" w:cs="Arial" w:eastAsia="Arial" w:hAnsi="Arial"/>
                <w:sz w:val="16"/>
                <w:szCs w:val="16"/>
                <w:color w:val="auto"/>
              </w:rPr>
              <w:t>58</w:t>
            </w:r>
          </w:p>
        </w:tc>
        <w:tc>
          <w:tcPr>
            <w:tcW w:w="4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Proposal to ratify appointment of independent</w:t>
            </w:r>
          </w:p>
        </w:tc>
        <w:tc>
          <w:tcPr>
            <w:tcW w:w="380" w:type="dxa"/>
            <w:vAlign w:val="bottom"/>
          </w:tcPr>
          <w:p>
            <w:pPr>
              <w:spacing w:after="0"/>
              <w:rPr>
                <w:sz w:val="19"/>
                <w:szCs w:val="19"/>
                <w:color w:val="auto"/>
              </w:rPr>
            </w:pP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Nominees for directorship</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w:t>
            </w:r>
          </w:p>
        </w:tc>
        <w:tc>
          <w:tcPr>
            <w:tcW w:w="46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registered public accounting firm</w:t>
            </w:r>
          </w:p>
        </w:tc>
        <w:tc>
          <w:tcPr>
            <w:tcW w:w="3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9"/>
        </w:trPr>
        <w:tc>
          <w:tcPr>
            <w:tcW w:w="5180" w:type="dxa"/>
            <w:vAlign w:val="bottom"/>
          </w:tcPr>
          <w:p>
            <w:pPr>
              <w:ind w:left="220"/>
              <w:spacing w:after="0"/>
              <w:rPr>
                <w:sz w:val="20"/>
                <w:szCs w:val="20"/>
                <w:color w:val="auto"/>
              </w:rPr>
            </w:pPr>
            <w:r>
              <w:rPr>
                <w:rFonts w:ascii="Arial" w:cs="Arial" w:eastAsia="Arial" w:hAnsi="Arial"/>
                <w:sz w:val="16"/>
                <w:szCs w:val="16"/>
                <w:color w:val="auto"/>
              </w:rPr>
              <w:t>Director nomination process</w:t>
            </w:r>
          </w:p>
        </w:tc>
        <w:tc>
          <w:tcPr>
            <w:tcW w:w="300" w:type="dxa"/>
            <w:vAlign w:val="bottom"/>
          </w:tcPr>
          <w:p>
            <w:pPr>
              <w:jc w:val="right"/>
              <w:spacing w:after="0"/>
              <w:rPr>
                <w:sz w:val="20"/>
                <w:szCs w:val="20"/>
                <w:color w:val="auto"/>
              </w:rPr>
            </w:pPr>
            <w:r>
              <w:rPr>
                <w:rFonts w:ascii="Arial" w:cs="Arial" w:eastAsia="Arial" w:hAnsi="Arial"/>
                <w:sz w:val="16"/>
                <w:szCs w:val="16"/>
                <w:color w:val="auto"/>
              </w:rPr>
              <w:t>59</w:t>
            </w:r>
          </w:p>
        </w:tc>
        <w:tc>
          <w:tcPr>
            <w:tcW w:w="460" w:type="dxa"/>
            <w:vAlign w:val="bottom"/>
          </w:tcPr>
          <w:p>
            <w:pPr>
              <w:spacing w:after="0"/>
              <w:rPr>
                <w:sz w:val="19"/>
                <w:szCs w:val="19"/>
                <w:color w:val="auto"/>
              </w:rPr>
            </w:pPr>
          </w:p>
        </w:tc>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Proposal to approve the TI Employees</w:t>
            </w:r>
          </w:p>
        </w:tc>
        <w:tc>
          <w:tcPr>
            <w:tcW w:w="380" w:type="dxa"/>
            <w:vAlign w:val="bottom"/>
            <w:shd w:val="clear" w:color="auto" w:fill="E9E9E9"/>
          </w:tcPr>
          <w:p>
            <w:pPr>
              <w:spacing w:after="0"/>
              <w:rPr>
                <w:sz w:val="19"/>
                <w:szCs w:val="19"/>
                <w:color w:val="auto"/>
              </w:rPr>
            </w:pP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Board diversity and nominee qualifications</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59</w:t>
            </w:r>
          </w:p>
        </w:tc>
        <w:tc>
          <w:tcPr>
            <w:tcW w:w="460" w:type="dxa"/>
            <w:vAlign w:val="bottom"/>
          </w:tcPr>
          <w:p>
            <w:pPr>
              <w:spacing w:after="0"/>
              <w:rPr>
                <w:sz w:val="20"/>
                <w:szCs w:val="20"/>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2014 Stock Purchase Plan</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5180" w:type="dxa"/>
            <w:vAlign w:val="bottom"/>
          </w:tcPr>
          <w:p>
            <w:pPr>
              <w:ind w:left="220"/>
              <w:spacing w:after="0"/>
              <w:rPr>
                <w:sz w:val="20"/>
                <w:szCs w:val="20"/>
                <w:color w:val="auto"/>
              </w:rPr>
            </w:pPr>
            <w:r>
              <w:rPr>
                <w:rFonts w:ascii="Arial" w:cs="Arial" w:eastAsia="Arial" w:hAnsi="Arial"/>
                <w:sz w:val="16"/>
                <w:szCs w:val="16"/>
                <w:color w:val="auto"/>
              </w:rPr>
              <w:t>Communications with the board</w:t>
            </w:r>
          </w:p>
        </w:tc>
        <w:tc>
          <w:tcPr>
            <w:tcW w:w="300" w:type="dxa"/>
            <w:vAlign w:val="bottom"/>
          </w:tcPr>
          <w:p>
            <w:pPr>
              <w:jc w:val="right"/>
              <w:spacing w:after="0"/>
              <w:rPr>
                <w:sz w:val="20"/>
                <w:szCs w:val="20"/>
                <w:color w:val="auto"/>
              </w:rPr>
            </w:pPr>
            <w:r>
              <w:rPr>
                <w:rFonts w:ascii="Arial" w:cs="Arial" w:eastAsia="Arial" w:hAnsi="Arial"/>
                <w:sz w:val="16"/>
                <w:szCs w:val="16"/>
                <w:color w:val="auto"/>
              </w:rPr>
              <w:t>61</w:t>
            </w:r>
          </w:p>
        </w:tc>
        <w:tc>
          <w:tcPr>
            <w:tcW w:w="4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Proposal to reapprove the material terms of the</w:t>
            </w:r>
          </w:p>
        </w:tc>
        <w:tc>
          <w:tcPr>
            <w:tcW w:w="380" w:type="dxa"/>
            <w:vAlign w:val="bottom"/>
          </w:tcPr>
          <w:p>
            <w:pPr>
              <w:spacing w:after="0"/>
              <w:rPr>
                <w:sz w:val="19"/>
                <w:szCs w:val="19"/>
                <w:color w:val="auto"/>
              </w:rPr>
            </w:pP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Corporate governance</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61</w:t>
            </w:r>
          </w:p>
        </w:tc>
        <w:tc>
          <w:tcPr>
            <w:tcW w:w="46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performance goals under the Texas Instruments</w:t>
            </w:r>
          </w:p>
        </w:tc>
        <w:tc>
          <w:tcPr>
            <w:tcW w:w="380" w:type="dxa"/>
            <w:vAlign w:val="bottom"/>
          </w:tcPr>
          <w:p>
            <w:pPr>
              <w:spacing w:after="0"/>
              <w:rPr>
                <w:sz w:val="20"/>
                <w:szCs w:val="20"/>
                <w:color w:val="auto"/>
              </w:rPr>
            </w:pPr>
          </w:p>
        </w:tc>
      </w:tr>
      <w:tr>
        <w:trPr>
          <w:trHeight w:val="219"/>
        </w:trPr>
        <w:tc>
          <w:tcPr>
            <w:tcW w:w="5180" w:type="dxa"/>
            <w:vAlign w:val="bottom"/>
          </w:tcPr>
          <w:p>
            <w:pPr>
              <w:ind w:left="220"/>
              <w:spacing w:after="0"/>
              <w:rPr>
                <w:sz w:val="20"/>
                <w:szCs w:val="20"/>
                <w:color w:val="auto"/>
              </w:rPr>
            </w:pPr>
            <w:r>
              <w:rPr>
                <w:rFonts w:ascii="Arial" w:cs="Arial" w:eastAsia="Arial" w:hAnsi="Arial"/>
                <w:sz w:val="16"/>
                <w:szCs w:val="16"/>
                <w:color w:val="auto"/>
              </w:rPr>
              <w:t>Annual meeting attendance</w:t>
            </w:r>
          </w:p>
        </w:tc>
        <w:tc>
          <w:tcPr>
            <w:tcW w:w="300" w:type="dxa"/>
            <w:vAlign w:val="bottom"/>
          </w:tcPr>
          <w:p>
            <w:pPr>
              <w:jc w:val="right"/>
              <w:spacing w:after="0"/>
              <w:rPr>
                <w:sz w:val="20"/>
                <w:szCs w:val="20"/>
                <w:color w:val="auto"/>
              </w:rPr>
            </w:pPr>
            <w:r>
              <w:rPr>
                <w:rFonts w:ascii="Arial" w:cs="Arial" w:eastAsia="Arial" w:hAnsi="Arial"/>
                <w:sz w:val="16"/>
                <w:szCs w:val="16"/>
                <w:color w:val="auto"/>
              </w:rPr>
              <w:t>61</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2009 Long-Term Incentive Plan</w:t>
            </w:r>
          </w:p>
        </w:tc>
        <w:tc>
          <w:tcPr>
            <w:tcW w:w="3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Director independence</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61</w:t>
            </w:r>
          </w:p>
        </w:tc>
        <w:tc>
          <w:tcPr>
            <w:tcW w:w="460" w:type="dxa"/>
            <w:vAlign w:val="bottom"/>
          </w:tcPr>
          <w:p>
            <w:pPr>
              <w:spacing w:after="0"/>
              <w:rPr>
                <w:sz w:val="20"/>
                <w:szCs w:val="20"/>
                <w:color w:val="auto"/>
              </w:rPr>
            </w:pPr>
          </w:p>
        </w:tc>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Equity compensation plan information</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5180" w:type="dxa"/>
            <w:vAlign w:val="bottom"/>
          </w:tcPr>
          <w:p>
            <w:pPr>
              <w:spacing w:after="0"/>
              <w:rPr>
                <w:sz w:val="20"/>
                <w:szCs w:val="20"/>
                <w:color w:val="auto"/>
              </w:rPr>
            </w:pPr>
            <w:r>
              <w:rPr>
                <w:rFonts w:ascii="Arial" w:cs="Arial" w:eastAsia="Arial" w:hAnsi="Arial"/>
                <w:sz w:val="16"/>
                <w:szCs w:val="16"/>
                <w:color w:val="auto"/>
              </w:rPr>
              <w:t>Board organization</w:t>
            </w:r>
          </w:p>
        </w:tc>
        <w:tc>
          <w:tcPr>
            <w:tcW w:w="300" w:type="dxa"/>
            <w:vAlign w:val="bottom"/>
          </w:tcPr>
          <w:p>
            <w:pPr>
              <w:jc w:val="right"/>
              <w:spacing w:after="0"/>
              <w:rPr>
                <w:sz w:val="20"/>
                <w:szCs w:val="20"/>
                <w:color w:val="auto"/>
              </w:rPr>
            </w:pPr>
            <w:r>
              <w:rPr>
                <w:rFonts w:ascii="Arial" w:cs="Arial" w:eastAsia="Arial" w:hAnsi="Arial"/>
                <w:sz w:val="16"/>
                <w:szCs w:val="16"/>
                <w:color w:val="auto"/>
              </w:rPr>
              <w:t>62</w:t>
            </w:r>
          </w:p>
        </w:tc>
        <w:tc>
          <w:tcPr>
            <w:tcW w:w="4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Additional information</w:t>
            </w: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Board and committee meetings</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62</w:t>
            </w:r>
          </w:p>
        </w:tc>
        <w:tc>
          <w:tcPr>
            <w:tcW w:w="460" w:type="dxa"/>
            <w:vAlign w:val="bottom"/>
          </w:tcPr>
          <w:p>
            <w:pPr>
              <w:spacing w:after="0"/>
              <w:rPr>
                <w:sz w:val="20"/>
                <w:szCs w:val="20"/>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Voting securities</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5180" w:type="dxa"/>
            <w:vAlign w:val="bottom"/>
          </w:tcPr>
          <w:p>
            <w:pPr>
              <w:ind w:left="220"/>
              <w:spacing w:after="0"/>
              <w:rPr>
                <w:sz w:val="20"/>
                <w:szCs w:val="20"/>
                <w:color w:val="auto"/>
              </w:rPr>
            </w:pPr>
            <w:r>
              <w:rPr>
                <w:rFonts w:ascii="Arial" w:cs="Arial" w:eastAsia="Arial" w:hAnsi="Arial"/>
                <w:sz w:val="16"/>
                <w:szCs w:val="16"/>
                <w:color w:val="auto"/>
              </w:rPr>
              <w:t>Committees of the board</w:t>
            </w:r>
          </w:p>
        </w:tc>
        <w:tc>
          <w:tcPr>
            <w:tcW w:w="300" w:type="dxa"/>
            <w:vAlign w:val="bottom"/>
          </w:tcPr>
          <w:p>
            <w:pPr>
              <w:jc w:val="right"/>
              <w:spacing w:after="0"/>
              <w:rPr>
                <w:sz w:val="20"/>
                <w:szCs w:val="20"/>
                <w:color w:val="auto"/>
              </w:rPr>
            </w:pPr>
            <w:r>
              <w:rPr>
                <w:rFonts w:ascii="Arial" w:cs="Arial" w:eastAsia="Arial" w:hAnsi="Arial"/>
                <w:sz w:val="16"/>
                <w:szCs w:val="16"/>
                <w:color w:val="auto"/>
              </w:rPr>
              <w:t>63</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Security ownership of certain beneficial owners</w:t>
            </w: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Board leadership structure</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65</w:t>
            </w:r>
          </w:p>
        </w:tc>
        <w:tc>
          <w:tcPr>
            <w:tcW w:w="460" w:type="dxa"/>
            <w:vAlign w:val="bottom"/>
          </w:tcPr>
          <w:p>
            <w:pPr>
              <w:spacing w:after="0"/>
              <w:rPr>
                <w:sz w:val="20"/>
                <w:szCs w:val="20"/>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Security ownership of directors and management</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5180" w:type="dxa"/>
            <w:vAlign w:val="bottom"/>
          </w:tcPr>
          <w:p>
            <w:pPr>
              <w:ind w:left="220"/>
              <w:spacing w:after="0"/>
              <w:rPr>
                <w:sz w:val="20"/>
                <w:szCs w:val="20"/>
                <w:color w:val="auto"/>
              </w:rPr>
            </w:pPr>
            <w:r>
              <w:rPr>
                <w:rFonts w:ascii="Arial" w:cs="Arial" w:eastAsia="Arial" w:hAnsi="Arial"/>
                <w:sz w:val="16"/>
                <w:szCs w:val="16"/>
                <w:color w:val="auto"/>
              </w:rPr>
              <w:t>Risk oversight by the board</w:t>
            </w:r>
          </w:p>
        </w:tc>
        <w:tc>
          <w:tcPr>
            <w:tcW w:w="300" w:type="dxa"/>
            <w:vAlign w:val="bottom"/>
          </w:tcPr>
          <w:p>
            <w:pPr>
              <w:jc w:val="right"/>
              <w:spacing w:after="0"/>
              <w:rPr>
                <w:sz w:val="20"/>
                <w:szCs w:val="20"/>
                <w:color w:val="auto"/>
              </w:rPr>
            </w:pPr>
            <w:r>
              <w:rPr>
                <w:rFonts w:ascii="Arial" w:cs="Arial" w:eastAsia="Arial" w:hAnsi="Arial"/>
                <w:sz w:val="16"/>
                <w:szCs w:val="16"/>
                <w:color w:val="auto"/>
              </w:rPr>
              <w:t>65</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Related person transactions</w:t>
            </w:r>
          </w:p>
        </w:tc>
        <w:tc>
          <w:tcPr>
            <w:tcW w:w="3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31"/>
        </w:trPr>
        <w:tc>
          <w:tcPr>
            <w:tcW w:w="5180" w:type="dxa"/>
            <w:vAlign w:val="bottom"/>
            <w:shd w:val="clear" w:color="auto" w:fill="E9E9E9"/>
          </w:tcPr>
          <w:p>
            <w:pPr>
              <w:spacing w:after="0"/>
              <w:rPr>
                <w:sz w:val="20"/>
                <w:szCs w:val="20"/>
                <w:color w:val="auto"/>
              </w:rPr>
            </w:pPr>
            <w:r>
              <w:rPr>
                <w:rFonts w:ascii="Arial" w:cs="Arial" w:eastAsia="Arial" w:hAnsi="Arial"/>
                <w:sz w:val="16"/>
                <w:szCs w:val="16"/>
                <w:color w:val="auto"/>
              </w:rPr>
              <w:t>Director compensation</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66</w:t>
            </w:r>
          </w:p>
        </w:tc>
        <w:tc>
          <w:tcPr>
            <w:tcW w:w="460" w:type="dxa"/>
            <w:vAlign w:val="bottom"/>
          </w:tcPr>
          <w:p>
            <w:pPr>
              <w:spacing w:after="0"/>
              <w:rPr>
                <w:sz w:val="20"/>
                <w:szCs w:val="20"/>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Compensation committee interlocks and</w:t>
            </w:r>
          </w:p>
        </w:tc>
        <w:tc>
          <w:tcPr>
            <w:tcW w:w="380" w:type="dxa"/>
            <w:vAlign w:val="bottom"/>
            <w:shd w:val="clear" w:color="auto" w:fill="E9E9E9"/>
          </w:tcPr>
          <w:p>
            <w:pPr>
              <w:spacing w:after="0"/>
              <w:rPr>
                <w:sz w:val="20"/>
                <w:szCs w:val="20"/>
                <w:color w:val="auto"/>
              </w:rPr>
            </w:pPr>
          </w:p>
        </w:tc>
      </w:tr>
      <w:tr>
        <w:trPr>
          <w:trHeight w:val="225"/>
        </w:trPr>
        <w:tc>
          <w:tcPr>
            <w:tcW w:w="5180" w:type="dxa"/>
            <w:vAlign w:val="bottom"/>
          </w:tcPr>
          <w:p>
            <w:pPr>
              <w:ind w:left="220"/>
              <w:spacing w:after="0"/>
              <w:rPr>
                <w:sz w:val="20"/>
                <w:szCs w:val="20"/>
                <w:color w:val="auto"/>
              </w:rPr>
            </w:pPr>
            <w:r>
              <w:rPr>
                <w:rFonts w:ascii="Arial" w:cs="Arial" w:eastAsia="Arial" w:hAnsi="Arial"/>
                <w:sz w:val="16"/>
                <w:szCs w:val="16"/>
                <w:color w:val="auto"/>
              </w:rPr>
              <w:t>2013 director compensation</w:t>
            </w:r>
          </w:p>
        </w:tc>
        <w:tc>
          <w:tcPr>
            <w:tcW w:w="300" w:type="dxa"/>
            <w:vAlign w:val="bottom"/>
          </w:tcPr>
          <w:p>
            <w:pPr>
              <w:jc w:val="right"/>
              <w:spacing w:after="0"/>
              <w:rPr>
                <w:sz w:val="20"/>
                <w:szCs w:val="20"/>
                <w:color w:val="auto"/>
              </w:rPr>
            </w:pPr>
            <w:r>
              <w:rPr>
                <w:rFonts w:ascii="Arial" w:cs="Arial" w:eastAsia="Arial" w:hAnsi="Arial"/>
                <w:sz w:val="16"/>
                <w:szCs w:val="16"/>
                <w:color w:val="auto"/>
              </w:rPr>
              <w:t>67</w:t>
            </w:r>
          </w:p>
        </w:tc>
        <w:tc>
          <w:tcPr>
            <w:tcW w:w="460" w:type="dxa"/>
            <w:vAlign w:val="bottom"/>
          </w:tcPr>
          <w:p>
            <w:pPr>
              <w:spacing w:after="0"/>
              <w:rPr>
                <w:sz w:val="19"/>
                <w:szCs w:val="19"/>
                <w:color w:val="auto"/>
              </w:rPr>
            </w:pPr>
          </w:p>
        </w:tc>
        <w:tc>
          <w:tcPr>
            <w:tcW w:w="5100" w:type="dxa"/>
            <w:vAlign w:val="bottom"/>
            <w:shd w:val="clear" w:color="auto" w:fill="E9E9E9"/>
          </w:tcPr>
          <w:p>
            <w:pPr>
              <w:ind w:left="460"/>
              <w:spacing w:after="0"/>
              <w:rPr>
                <w:sz w:val="20"/>
                <w:szCs w:val="20"/>
                <w:color w:val="auto"/>
              </w:rPr>
            </w:pPr>
            <w:r>
              <w:rPr>
                <w:rFonts w:ascii="Arial" w:cs="Arial" w:eastAsia="Arial" w:hAnsi="Arial"/>
                <w:sz w:val="16"/>
                <w:szCs w:val="16"/>
                <w:color w:val="auto"/>
              </w:rPr>
              <w:t>insider participation</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103</w:t>
            </w:r>
          </w:p>
        </w:tc>
      </w:tr>
      <w:tr>
        <w:trPr>
          <w:trHeight w:val="225"/>
        </w:trPr>
        <w:tc>
          <w:tcPr>
            <w:tcW w:w="5180" w:type="dxa"/>
            <w:vAlign w:val="bottom"/>
            <w:shd w:val="clear" w:color="auto" w:fill="E9E9E9"/>
          </w:tcPr>
          <w:p>
            <w:pPr>
              <w:spacing w:after="0"/>
              <w:rPr>
                <w:sz w:val="20"/>
                <w:szCs w:val="20"/>
                <w:color w:val="auto"/>
              </w:rPr>
            </w:pPr>
            <w:r>
              <w:rPr>
                <w:rFonts w:ascii="Arial" w:cs="Arial" w:eastAsia="Arial" w:hAnsi="Arial"/>
                <w:sz w:val="16"/>
                <w:szCs w:val="16"/>
                <w:color w:val="auto"/>
              </w:rPr>
              <w:t>Executive compensation</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68</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Cost of solicitation</w:t>
            </w:r>
          </w:p>
        </w:tc>
        <w:tc>
          <w:tcPr>
            <w:tcW w:w="3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25"/>
        </w:trPr>
        <w:tc>
          <w:tcPr>
            <w:tcW w:w="5180" w:type="dxa"/>
            <w:vAlign w:val="bottom"/>
          </w:tcPr>
          <w:p>
            <w:pPr>
              <w:ind w:left="220"/>
              <w:spacing w:after="0"/>
              <w:rPr>
                <w:sz w:val="20"/>
                <w:szCs w:val="20"/>
                <w:color w:val="auto"/>
              </w:rPr>
            </w:pPr>
            <w:r>
              <w:rPr>
                <w:rFonts w:ascii="Arial" w:cs="Arial" w:eastAsia="Arial" w:hAnsi="Arial"/>
                <w:sz w:val="16"/>
                <w:szCs w:val="16"/>
                <w:color w:val="auto"/>
              </w:rPr>
              <w:t>Proposal regarding advisory approval of</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Stockholder proposals for 2015</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5180" w:type="dxa"/>
            <w:vAlign w:val="bottom"/>
          </w:tcPr>
          <w:p>
            <w:pPr>
              <w:ind w:left="460"/>
              <w:spacing w:after="0"/>
              <w:rPr>
                <w:sz w:val="20"/>
                <w:szCs w:val="20"/>
                <w:color w:val="auto"/>
              </w:rPr>
            </w:pPr>
            <w:r>
              <w:rPr>
                <w:rFonts w:ascii="Arial" w:cs="Arial" w:eastAsia="Arial" w:hAnsi="Arial"/>
                <w:sz w:val="16"/>
                <w:szCs w:val="16"/>
                <w:color w:val="auto"/>
              </w:rPr>
              <w:t>the company’s executive compensation</w:t>
            </w:r>
          </w:p>
        </w:tc>
        <w:tc>
          <w:tcPr>
            <w:tcW w:w="300" w:type="dxa"/>
            <w:vAlign w:val="bottom"/>
          </w:tcPr>
          <w:p>
            <w:pPr>
              <w:jc w:val="right"/>
              <w:spacing w:after="0"/>
              <w:rPr>
                <w:sz w:val="20"/>
                <w:szCs w:val="20"/>
                <w:color w:val="auto"/>
              </w:rPr>
            </w:pPr>
            <w:r>
              <w:rPr>
                <w:rFonts w:ascii="Arial" w:cs="Arial" w:eastAsia="Arial" w:hAnsi="Arial"/>
                <w:sz w:val="16"/>
                <w:szCs w:val="16"/>
                <w:color w:val="auto"/>
              </w:rPr>
              <w:t>68</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Benefit plan voting</w:t>
            </w:r>
          </w:p>
        </w:tc>
        <w:tc>
          <w:tcPr>
            <w:tcW w:w="3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Compensation Discussion and Analysis</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69</w:t>
            </w:r>
          </w:p>
        </w:tc>
        <w:tc>
          <w:tcPr>
            <w:tcW w:w="460" w:type="dxa"/>
            <w:vAlign w:val="bottom"/>
          </w:tcPr>
          <w:p>
            <w:pPr>
              <w:spacing w:after="0"/>
              <w:rPr>
                <w:sz w:val="20"/>
                <w:szCs w:val="20"/>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Section 16(a) beneficial ownership reporting</w:t>
            </w:r>
          </w:p>
        </w:tc>
        <w:tc>
          <w:tcPr>
            <w:tcW w:w="380" w:type="dxa"/>
            <w:vAlign w:val="bottom"/>
            <w:shd w:val="clear" w:color="auto" w:fill="E9E9E9"/>
          </w:tcPr>
          <w:p>
            <w:pPr>
              <w:spacing w:after="0"/>
              <w:rPr>
                <w:sz w:val="20"/>
                <w:szCs w:val="20"/>
                <w:color w:val="auto"/>
              </w:rPr>
            </w:pPr>
          </w:p>
        </w:tc>
      </w:tr>
      <w:tr>
        <w:trPr>
          <w:trHeight w:val="225"/>
        </w:trPr>
        <w:tc>
          <w:tcPr>
            <w:tcW w:w="5180" w:type="dxa"/>
            <w:vAlign w:val="bottom"/>
          </w:tcPr>
          <w:p>
            <w:pPr>
              <w:ind w:left="220"/>
              <w:spacing w:after="0"/>
              <w:rPr>
                <w:sz w:val="20"/>
                <w:szCs w:val="20"/>
                <w:color w:val="auto"/>
              </w:rPr>
            </w:pPr>
            <w:r>
              <w:rPr>
                <w:rFonts w:ascii="Arial" w:cs="Arial" w:eastAsia="Arial" w:hAnsi="Arial"/>
                <w:sz w:val="16"/>
                <w:szCs w:val="16"/>
                <w:color w:val="auto"/>
              </w:rPr>
              <w:t>Compensation Committee report</w:t>
            </w:r>
          </w:p>
        </w:tc>
        <w:tc>
          <w:tcPr>
            <w:tcW w:w="300" w:type="dxa"/>
            <w:vAlign w:val="bottom"/>
          </w:tcPr>
          <w:p>
            <w:pPr>
              <w:jc w:val="right"/>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9"/>
                <w:szCs w:val="19"/>
                <w:color w:val="auto"/>
              </w:rPr>
            </w:pPr>
          </w:p>
        </w:tc>
        <w:tc>
          <w:tcPr>
            <w:tcW w:w="5100" w:type="dxa"/>
            <w:vAlign w:val="bottom"/>
            <w:shd w:val="clear" w:color="auto" w:fill="E9E9E9"/>
          </w:tcPr>
          <w:p>
            <w:pPr>
              <w:ind w:left="460"/>
              <w:spacing w:after="0"/>
              <w:rPr>
                <w:sz w:val="20"/>
                <w:szCs w:val="20"/>
                <w:color w:val="auto"/>
              </w:rPr>
            </w:pPr>
            <w:r>
              <w:rPr>
                <w:rFonts w:ascii="Arial" w:cs="Arial" w:eastAsia="Arial" w:hAnsi="Arial"/>
                <w:sz w:val="16"/>
                <w:szCs w:val="16"/>
                <w:color w:val="auto"/>
              </w:rPr>
              <w:t>compliance</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104</w:t>
            </w:r>
          </w:p>
        </w:tc>
      </w:tr>
      <w:tr>
        <w:trPr>
          <w:trHeight w:val="225"/>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2013 summary compensation table</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Telephone and Internet voting</w:t>
            </w:r>
          </w:p>
        </w:tc>
        <w:tc>
          <w:tcPr>
            <w:tcW w:w="3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25"/>
        </w:trPr>
        <w:tc>
          <w:tcPr>
            <w:tcW w:w="5180" w:type="dxa"/>
            <w:vAlign w:val="bottom"/>
          </w:tcPr>
          <w:p>
            <w:pPr>
              <w:ind w:left="220"/>
              <w:spacing w:after="0"/>
              <w:rPr>
                <w:sz w:val="20"/>
                <w:szCs w:val="20"/>
                <w:color w:val="auto"/>
              </w:rPr>
            </w:pPr>
            <w:r>
              <w:rPr>
                <w:rFonts w:ascii="Arial" w:cs="Arial" w:eastAsia="Arial" w:hAnsi="Arial"/>
                <w:sz w:val="16"/>
                <w:szCs w:val="16"/>
                <w:color w:val="auto"/>
              </w:rPr>
              <w:t>Grants of plan-based awards in 2013</w:t>
            </w:r>
          </w:p>
        </w:tc>
        <w:tc>
          <w:tcPr>
            <w:tcW w:w="300" w:type="dxa"/>
            <w:vAlign w:val="bottom"/>
          </w:tcPr>
          <w:p>
            <w:pPr>
              <w:jc w:val="right"/>
              <w:spacing w:after="0"/>
              <w:rPr>
                <w:sz w:val="20"/>
                <w:szCs w:val="20"/>
                <w:color w:val="auto"/>
              </w:rPr>
            </w:pPr>
            <w:r>
              <w:rPr>
                <w:rFonts w:ascii="Arial" w:cs="Arial" w:eastAsia="Arial" w:hAnsi="Arial"/>
                <w:sz w:val="16"/>
                <w:szCs w:val="16"/>
                <w:color w:val="auto"/>
              </w:rPr>
              <w:t>83</w:t>
            </w:r>
          </w:p>
        </w:tc>
        <w:tc>
          <w:tcPr>
            <w:tcW w:w="460" w:type="dxa"/>
            <w:vAlign w:val="bottom"/>
          </w:tcPr>
          <w:p>
            <w:pPr>
              <w:spacing w:after="0"/>
              <w:rPr>
                <w:sz w:val="19"/>
                <w:szCs w:val="19"/>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Stockholders sharing the same address</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105</w:t>
            </w:r>
          </w:p>
        </w:tc>
      </w:tr>
      <w:tr>
        <w:trPr>
          <w:trHeight w:val="225"/>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Outstanding equity awards at fiscal year-end 2013</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84</w:t>
            </w:r>
          </w:p>
        </w:tc>
        <w:tc>
          <w:tcPr>
            <w:tcW w:w="4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Electronic delivery of proxy materials</w:t>
            </w:r>
          </w:p>
        </w:tc>
        <w:tc>
          <w:tcPr>
            <w:tcW w:w="3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5"/>
        </w:trPr>
        <w:tc>
          <w:tcPr>
            <w:tcW w:w="5180" w:type="dxa"/>
            <w:vAlign w:val="bottom"/>
          </w:tcPr>
          <w:p>
            <w:pPr>
              <w:ind w:left="220"/>
              <w:spacing w:after="0"/>
              <w:rPr>
                <w:sz w:val="20"/>
                <w:szCs w:val="20"/>
                <w:color w:val="auto"/>
              </w:rPr>
            </w:pPr>
            <w:r>
              <w:rPr>
                <w:rFonts w:ascii="Arial" w:cs="Arial" w:eastAsia="Arial" w:hAnsi="Arial"/>
                <w:sz w:val="16"/>
                <w:szCs w:val="16"/>
                <w:color w:val="auto"/>
              </w:rPr>
              <w:t>2013 option exercises and stock vested</w:t>
            </w:r>
          </w:p>
        </w:tc>
        <w:tc>
          <w:tcPr>
            <w:tcW w:w="300" w:type="dxa"/>
            <w:vAlign w:val="bottom"/>
          </w:tcPr>
          <w:p>
            <w:pPr>
              <w:jc w:val="right"/>
              <w:spacing w:after="0"/>
              <w:rPr>
                <w:sz w:val="20"/>
                <w:szCs w:val="20"/>
                <w:color w:val="auto"/>
              </w:rPr>
            </w:pPr>
            <w:r>
              <w:rPr>
                <w:rFonts w:ascii="Arial" w:cs="Arial" w:eastAsia="Arial" w:hAnsi="Arial"/>
                <w:sz w:val="16"/>
                <w:szCs w:val="16"/>
                <w:color w:val="auto"/>
              </w:rPr>
              <w:t>86</w:t>
            </w:r>
          </w:p>
        </w:tc>
        <w:tc>
          <w:tcPr>
            <w:tcW w:w="460" w:type="dxa"/>
            <w:vAlign w:val="bottom"/>
          </w:tcPr>
          <w:p>
            <w:pPr>
              <w:spacing w:after="0"/>
              <w:rPr>
                <w:sz w:val="19"/>
                <w:szCs w:val="19"/>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Directions and other annual meeting information</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106</w:t>
            </w:r>
          </w:p>
        </w:tc>
      </w:tr>
      <w:tr>
        <w:trPr>
          <w:trHeight w:val="225"/>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2013 pension benefits</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86</w:t>
            </w:r>
          </w:p>
        </w:tc>
        <w:tc>
          <w:tcPr>
            <w:tcW w:w="4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Exhibit A (TI Employees 2014 Stock Purchase Plan)</w:t>
            </w:r>
          </w:p>
        </w:tc>
        <w:tc>
          <w:tcPr>
            <w:tcW w:w="380" w:type="dxa"/>
            <w:vAlign w:val="bottom"/>
          </w:tcPr>
          <w:p>
            <w:pPr>
              <w:jc w:val="right"/>
              <w:spacing w:after="0"/>
              <w:rPr>
                <w:sz w:val="20"/>
                <w:szCs w:val="20"/>
                <w:color w:val="auto"/>
              </w:rPr>
            </w:pPr>
            <w:r>
              <w:rPr>
                <w:rFonts w:ascii="Arial" w:cs="Arial" w:eastAsia="Arial" w:hAnsi="Arial"/>
                <w:sz w:val="16"/>
                <w:szCs w:val="16"/>
                <w:color w:val="auto"/>
              </w:rPr>
              <w:t>A-1</w:t>
            </w:r>
          </w:p>
        </w:tc>
      </w:tr>
      <w:tr>
        <w:trPr>
          <w:trHeight w:val="219"/>
        </w:trPr>
        <w:tc>
          <w:tcPr>
            <w:tcW w:w="5180" w:type="dxa"/>
            <w:vAlign w:val="bottom"/>
          </w:tcPr>
          <w:p>
            <w:pPr>
              <w:ind w:left="220"/>
              <w:spacing w:after="0"/>
              <w:rPr>
                <w:sz w:val="20"/>
                <w:szCs w:val="20"/>
                <w:color w:val="auto"/>
              </w:rPr>
            </w:pPr>
            <w:r>
              <w:rPr>
                <w:rFonts w:ascii="Arial" w:cs="Arial" w:eastAsia="Arial" w:hAnsi="Arial"/>
                <w:sz w:val="16"/>
                <w:szCs w:val="16"/>
                <w:color w:val="auto"/>
              </w:rPr>
              <w:t>2013 non-qualified deferred compensation</w:t>
            </w:r>
          </w:p>
        </w:tc>
        <w:tc>
          <w:tcPr>
            <w:tcW w:w="300" w:type="dxa"/>
            <w:vAlign w:val="bottom"/>
          </w:tcPr>
          <w:p>
            <w:pPr>
              <w:jc w:val="right"/>
              <w:spacing w:after="0"/>
              <w:rPr>
                <w:sz w:val="20"/>
                <w:szCs w:val="20"/>
                <w:color w:val="auto"/>
              </w:rPr>
            </w:pPr>
            <w:r>
              <w:rPr>
                <w:rFonts w:ascii="Arial" w:cs="Arial" w:eastAsia="Arial" w:hAnsi="Arial"/>
                <w:sz w:val="16"/>
                <w:szCs w:val="16"/>
                <w:color w:val="auto"/>
              </w:rPr>
              <w:t>89</w:t>
            </w:r>
          </w:p>
        </w:tc>
        <w:tc>
          <w:tcPr>
            <w:tcW w:w="460" w:type="dxa"/>
            <w:vAlign w:val="bottom"/>
          </w:tcPr>
          <w:p>
            <w:pPr>
              <w:spacing w:after="0"/>
              <w:rPr>
                <w:sz w:val="19"/>
                <w:szCs w:val="19"/>
                <w:color w:val="auto"/>
              </w:rPr>
            </w:pPr>
          </w:p>
        </w:tc>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Exhibit B (Texas Instruments 2009 Long-Term</w:t>
            </w:r>
          </w:p>
        </w:tc>
        <w:tc>
          <w:tcPr>
            <w:tcW w:w="380" w:type="dxa"/>
            <w:vAlign w:val="bottom"/>
            <w:shd w:val="clear" w:color="auto" w:fill="E9E9E9"/>
          </w:tcPr>
          <w:p>
            <w:pPr>
              <w:spacing w:after="0"/>
              <w:rPr>
                <w:sz w:val="19"/>
                <w:szCs w:val="19"/>
                <w:color w:val="auto"/>
              </w:rPr>
            </w:pPr>
          </w:p>
        </w:tc>
      </w:tr>
      <w:tr>
        <w:trPr>
          <w:trHeight w:val="231"/>
        </w:trPr>
        <w:tc>
          <w:tcPr>
            <w:tcW w:w="51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Potential payments upon termination or</w:t>
            </w:r>
          </w:p>
        </w:tc>
        <w:tc>
          <w:tcPr>
            <w:tcW w:w="300" w:type="dxa"/>
            <w:vAlign w:val="bottom"/>
            <w:shd w:val="clear" w:color="auto" w:fill="E9E9E9"/>
          </w:tcPr>
          <w:p>
            <w:pPr>
              <w:spacing w:after="0"/>
              <w:rPr>
                <w:sz w:val="20"/>
                <w:szCs w:val="20"/>
                <w:color w:val="auto"/>
              </w:rPr>
            </w:pPr>
          </w:p>
        </w:tc>
        <w:tc>
          <w:tcPr>
            <w:tcW w:w="460" w:type="dxa"/>
            <w:vAlign w:val="bottom"/>
          </w:tcPr>
          <w:p>
            <w:pPr>
              <w:spacing w:after="0"/>
              <w:rPr>
                <w:sz w:val="20"/>
                <w:szCs w:val="20"/>
                <w:color w:val="auto"/>
              </w:rPr>
            </w:pPr>
          </w:p>
        </w:tc>
        <w:tc>
          <w:tcPr>
            <w:tcW w:w="51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Incentive Plan)</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B-1</w:t>
            </w:r>
          </w:p>
        </w:tc>
      </w:tr>
      <w:tr>
        <w:trPr>
          <w:trHeight w:val="225"/>
        </w:trPr>
        <w:tc>
          <w:tcPr>
            <w:tcW w:w="5180" w:type="dxa"/>
            <w:vAlign w:val="bottom"/>
            <w:shd w:val="clear" w:color="auto" w:fill="E9E9E9"/>
          </w:tcPr>
          <w:p>
            <w:pPr>
              <w:ind w:left="460"/>
              <w:spacing w:after="0"/>
              <w:rPr>
                <w:sz w:val="20"/>
                <w:szCs w:val="20"/>
                <w:color w:val="auto"/>
              </w:rPr>
            </w:pPr>
            <w:r>
              <w:rPr>
                <w:rFonts w:ascii="Arial" w:cs="Arial" w:eastAsia="Arial" w:hAnsi="Arial"/>
                <w:sz w:val="16"/>
                <w:szCs w:val="16"/>
                <w:color w:val="auto"/>
              </w:rPr>
              <w:t>change in control</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90</w:t>
            </w:r>
          </w:p>
        </w:tc>
        <w:tc>
          <w:tcPr>
            <w:tcW w:w="4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Appendix (Non-GAAP Reconciliations)</w:t>
            </w:r>
          </w:p>
        </w:tc>
        <w:tc>
          <w:tcPr>
            <w:tcW w:w="380" w:type="dxa"/>
            <w:vAlign w:val="bottom"/>
          </w:tcPr>
          <w:p>
            <w:pPr>
              <w:jc w:val="right"/>
              <w:spacing w:after="0"/>
              <w:rPr>
                <w:sz w:val="20"/>
                <w:szCs w:val="20"/>
                <w:color w:val="auto"/>
              </w:rPr>
            </w:pPr>
            <w:r>
              <w:rPr>
                <w:rFonts w:ascii="Arial" w:cs="Arial" w:eastAsia="Arial" w:hAnsi="Arial"/>
                <w:sz w:val="16"/>
                <w:szCs w:val="16"/>
                <w:color w:val="auto"/>
              </w:rPr>
              <w:t>C-1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56780" cy="238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780" cy="238125"/>
                    </a:xfrm>
                    <a:prstGeom prst="rect">
                      <a:avLst/>
                    </a:prstGeom>
                    <a:noFill/>
                  </pic:spPr>
                </pic:pic>
              </a:graphicData>
            </a:graphic>
          </wp:anchor>
        </w:drawing>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PROXY STATEMENT – MARCH 4, 2014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12500 TI BOULEVARD, DALLAS, TEXAS 75243</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MAILING ADDRESS: P.O. BOX 660199, DALLAS, TEXAS 75266-0199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PROCEDURES AND QUORUM</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TI’s board of directors requests your proxy for the annual meeting of stockholders on April 17, 2014.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4, 2014.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 w:lineRule="exact"/>
        <w:rPr>
          <w:sz w:val="20"/>
          <w:szCs w:val="20"/>
          <w:color w:val="auto"/>
        </w:rPr>
      </w:pPr>
    </w:p>
    <w:p>
      <w:pPr>
        <w:ind w:right="40" w:firstLine="250"/>
        <w:spacing w:after="0" w:line="262" w:lineRule="auto"/>
        <w:rPr>
          <w:sz w:val="20"/>
          <w:szCs w:val="20"/>
          <w:color w:val="auto"/>
        </w:rPr>
      </w:pPr>
      <w:r>
        <w:rPr>
          <w:rFonts w:ascii="Arial" w:cs="Arial" w:eastAsia="Arial" w:hAnsi="Arial"/>
          <w:sz w:val="16"/>
          <w:szCs w:val="16"/>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91"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56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3" w:name="page4"/>
    <w:bookmarkEnd w:id="3"/>
    <w:p>
      <w:pPr>
        <w:ind w:right="60" w:firstLine="250"/>
        <w:spacing w:after="0" w:line="260" w:lineRule="auto"/>
        <w:rPr>
          <w:sz w:val="20"/>
          <w:szCs w:val="20"/>
          <w:color w:val="auto"/>
        </w:rPr>
      </w:pPr>
      <w:r>
        <w:rPr>
          <w:rFonts w:ascii="Arial" w:cs="Arial" w:eastAsia="Arial" w:hAnsi="Arial"/>
          <w:sz w:val="16"/>
          <w:szCs w:val="16"/>
          <w:color w:val="auto"/>
        </w:rPr>
        <w:t>Scheduled to be considered at the meeting are the election of directors, an advisory vote regarding approval of the company’s executive compensation, ratification of the appointment of our independent registered public accounting firm, a proposal to approve the TI Employees 2014 Stock Purchase Plan, and a proposal to reapprove the material terms of the performance goals under the Texas Instruments 2009 Long-Term Incentive Plan. Each of these matters is discussed elsewhere in this proxy statement. On each of these matters you may vote “for,” “against” or “abstain.” The vote required for the election of directors and approval of the other matters is shown in the table below.</w:t>
      </w:r>
    </w:p>
    <w:p>
      <w:pPr>
        <w:spacing w:after="0" w:line="242" w:lineRule="exact"/>
        <w:rPr>
          <w:sz w:val="20"/>
          <w:szCs w:val="20"/>
          <w:color w:val="auto"/>
        </w:rPr>
      </w:pPr>
    </w:p>
    <w:p>
      <w:pPr>
        <w:spacing w:after="0"/>
        <w:tabs>
          <w:tab w:leader="none" w:pos="5200" w:val="left"/>
          <w:tab w:leader="none" w:pos="8240" w:val="left"/>
        </w:tabs>
        <w:rPr>
          <w:sz w:val="20"/>
          <w:szCs w:val="20"/>
          <w:color w:val="auto"/>
        </w:rPr>
      </w:pPr>
      <w:r>
        <w:rPr>
          <w:rFonts w:ascii="Arial" w:cs="Arial" w:eastAsia="Arial" w:hAnsi="Arial"/>
          <w:sz w:val="13"/>
          <w:szCs w:val="13"/>
          <w:b w:val="1"/>
          <w:bCs w:val="1"/>
          <w:color w:val="auto"/>
        </w:rPr>
        <w:t>Matter</w:t>
      </w:r>
      <w:r>
        <w:rPr>
          <w:sz w:val="20"/>
          <w:szCs w:val="20"/>
          <w:color w:val="auto"/>
        </w:rPr>
        <w:tab/>
      </w:r>
      <w:r>
        <w:rPr>
          <w:rFonts w:ascii="Arial" w:cs="Arial" w:eastAsia="Arial" w:hAnsi="Arial"/>
          <w:sz w:val="13"/>
          <w:szCs w:val="13"/>
          <w:b w:val="1"/>
          <w:bCs w:val="1"/>
          <w:color w:val="auto"/>
        </w:rPr>
        <w:t>Required Vote</w:t>
      </w:r>
      <w:r>
        <w:rPr>
          <w:sz w:val="20"/>
          <w:szCs w:val="20"/>
          <w:color w:val="auto"/>
        </w:rPr>
        <w:tab/>
      </w:r>
      <w:r>
        <w:rPr>
          <w:rFonts w:ascii="Arial" w:cs="Arial" w:eastAsia="Arial" w:hAnsi="Arial"/>
          <w:sz w:val="11"/>
          <w:szCs w:val="11"/>
          <w:b w:val="1"/>
          <w:bCs w:val="1"/>
          <w:color w:val="auto"/>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56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p>
      <w:pPr>
        <w:spacing w:after="0" w:line="20" w:lineRule="exact"/>
        <w:rPr>
          <w:sz w:val="20"/>
          <w:szCs w:val="20"/>
          <w:color w:val="auto"/>
        </w:rPr>
      </w:pPr>
    </w:p>
    <w:p>
      <w:pPr>
        <w:spacing w:after="0"/>
        <w:tabs>
          <w:tab w:leader="none" w:pos="3760" w:val="left"/>
        </w:tabs>
        <w:rPr>
          <w:sz w:val="20"/>
          <w:szCs w:val="20"/>
          <w:color w:val="auto"/>
        </w:rPr>
      </w:pPr>
      <w:r>
        <w:rPr>
          <w:rFonts w:ascii="Arial" w:cs="Arial" w:eastAsia="Arial" w:hAnsi="Arial"/>
          <w:sz w:val="16"/>
          <w:szCs w:val="16"/>
          <w:color w:val="auto"/>
        </w:rPr>
        <w:t>Election of directors</w:t>
      </w:r>
      <w:r>
        <w:rPr>
          <w:sz w:val="20"/>
          <w:szCs w:val="20"/>
          <w:color w:val="auto"/>
        </w:rPr>
        <w:tab/>
      </w:r>
      <w:r>
        <w:rPr>
          <w:rFonts w:ascii="Arial" w:cs="Arial" w:eastAsia="Arial" w:hAnsi="Arial"/>
          <w:sz w:val="16"/>
          <w:szCs w:val="16"/>
          <w:color w:val="auto"/>
        </w:rPr>
        <w:t>Majority of votes present in person and by proxy at</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the meeting and entitled to be cast in the election</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with respect to a nominee must be cast for that</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nominee.</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Arial" w:cs="Arial" w:eastAsia="Arial" w:hAnsi="Arial"/>
          <w:sz w:val="16"/>
          <w:szCs w:val="16"/>
          <w:color w:val="auto"/>
        </w:rPr>
        <w:t>Abstentions have the same effect as votes against. Broker non-votes are not counted as votes for or against.</w:t>
      </w:r>
    </w:p>
    <w:p>
      <w:pPr>
        <w:spacing w:after="0" w:line="362" w:lineRule="exact"/>
        <w:rPr>
          <w:sz w:val="20"/>
          <w:szCs w:val="20"/>
          <w:color w:val="auto"/>
        </w:rPr>
      </w:pPr>
    </w:p>
    <w:p>
      <w:pPr>
        <w:sectPr>
          <w:pgSz w:w="11900" w:h="16838" w:orient="portrait"/>
          <w:cols w:equalWidth="0" w:num="2">
            <w:col w:w="7420" w:space="240"/>
            <w:col w:w="3760"/>
          </w:cols>
          <w:pgMar w:left="240" w:top="573" w:right="239" w:bottom="1440" w:gutter="0" w:footer="0" w:header="0"/>
          <w:type w:val="continuous"/>
        </w:sectPr>
      </w:pPr>
    </w:p>
    <w:p>
      <w:pPr>
        <w:spacing w:after="0" w:line="9" w:lineRule="exact"/>
        <w:rPr>
          <w:sz w:val="20"/>
          <w:szCs w:val="20"/>
          <w:color w:val="auto"/>
        </w:rPr>
      </w:pPr>
    </w:p>
    <w:p>
      <w:pPr>
        <w:ind w:left="260" w:right="80" w:hanging="249"/>
        <w:spacing w:after="0" w:line="290" w:lineRule="auto"/>
        <w:rPr>
          <w:sz w:val="20"/>
          <w:szCs w:val="20"/>
          <w:color w:val="auto"/>
        </w:rPr>
      </w:pPr>
      <w:r>
        <w:rPr>
          <w:rFonts w:ascii="Arial" w:cs="Arial" w:eastAsia="Arial" w:hAnsi="Arial"/>
          <w:sz w:val="16"/>
          <w:szCs w:val="16"/>
          <w:color w:val="auto"/>
        </w:rPr>
        <w:t>Advisory vote to approve named executive officer compensation</w:t>
      </w:r>
    </w:p>
    <w:p>
      <w:pPr>
        <w:spacing w:after="0" w:line="131" w:lineRule="exact"/>
        <w:rPr>
          <w:sz w:val="20"/>
          <w:szCs w:val="20"/>
          <w:color w:val="auto"/>
        </w:rPr>
      </w:pPr>
    </w:p>
    <w:p>
      <w:pPr>
        <w:ind w:left="260" w:hanging="249"/>
        <w:spacing w:after="0" w:line="290" w:lineRule="auto"/>
        <w:rPr>
          <w:sz w:val="20"/>
          <w:szCs w:val="20"/>
          <w:color w:val="auto"/>
        </w:rPr>
      </w:pPr>
      <w:r>
        <w:rPr>
          <w:rFonts w:ascii="Arial" w:cs="Arial" w:eastAsia="Arial" w:hAnsi="Arial"/>
          <w:sz w:val="16"/>
          <w:szCs w:val="16"/>
          <w:color w:val="auto"/>
        </w:rPr>
        <w:t>Proposal to approve the TI Employees 2014 Stock Purchase Plan</w:t>
      </w:r>
    </w:p>
    <w:p>
      <w:pPr>
        <w:spacing w:after="0" w:line="131" w:lineRule="exact"/>
        <w:rPr>
          <w:sz w:val="20"/>
          <w:szCs w:val="20"/>
          <w:color w:val="auto"/>
        </w:rPr>
      </w:pPr>
    </w:p>
    <w:p>
      <w:pPr>
        <w:ind w:left="260" w:right="220" w:hanging="249"/>
        <w:spacing w:after="0" w:line="267" w:lineRule="auto"/>
        <w:rPr>
          <w:sz w:val="20"/>
          <w:szCs w:val="20"/>
          <w:color w:val="auto"/>
        </w:rPr>
      </w:pPr>
      <w:r>
        <w:rPr>
          <w:rFonts w:ascii="Arial" w:cs="Arial" w:eastAsia="Arial" w:hAnsi="Arial"/>
          <w:sz w:val="16"/>
          <w:szCs w:val="16"/>
          <w:color w:val="auto"/>
        </w:rPr>
        <w:t>Proposal to reapprove the material terms of the performance goals under the Texas Instruments 2009 Long-Term Incentive Plan</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-271145</wp:posOffset>
            </wp:positionV>
            <wp:extent cx="7256780" cy="1087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1087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90" w:lineRule="auto"/>
        <w:rPr>
          <w:sz w:val="20"/>
          <w:szCs w:val="20"/>
          <w:color w:val="auto"/>
        </w:rPr>
      </w:pPr>
      <w:r>
        <w:rPr>
          <w:rFonts w:ascii="Arial" w:cs="Arial" w:eastAsia="Arial" w:hAnsi="Arial"/>
          <w:sz w:val="16"/>
          <w:szCs w:val="16"/>
          <w:color w:val="auto"/>
        </w:rPr>
        <w:t>Abstentions and broker non-votes have the same effect as a vote against.</w:t>
      </w:r>
    </w:p>
    <w:p>
      <w:pPr>
        <w:spacing w:after="0" w:line="1493" w:lineRule="exact"/>
        <w:rPr>
          <w:sz w:val="20"/>
          <w:szCs w:val="20"/>
          <w:color w:val="auto"/>
        </w:rPr>
      </w:pPr>
    </w:p>
    <w:p>
      <w:pPr>
        <w:sectPr>
          <w:pgSz w:w="11900" w:h="16838" w:orient="portrait"/>
          <w:cols w:equalWidth="0" w:num="3">
            <w:col w:w="3620" w:space="160"/>
            <w:col w:w="3520" w:space="360"/>
            <w:col w:w="3760"/>
          </w:cols>
          <w:pgMar w:left="240" w:top="573" w:right="239" w:bottom="1440" w:gutter="0" w:footer="0" w:header="0"/>
          <w:type w:val="continuous"/>
        </w:sectPr>
      </w:pPr>
    </w:p>
    <w:p>
      <w:pPr>
        <w:spacing w:after="0"/>
        <w:tabs>
          <w:tab w:leader="none" w:pos="3760" w:val="left"/>
        </w:tabs>
        <w:rPr>
          <w:sz w:val="20"/>
          <w:szCs w:val="20"/>
          <w:color w:val="auto"/>
        </w:rPr>
      </w:pPr>
      <w:r>
        <w:rPr>
          <w:rFonts w:ascii="Arial" w:cs="Arial" w:eastAsia="Arial" w:hAnsi="Arial"/>
          <w:sz w:val="16"/>
          <w:szCs w:val="16"/>
          <w:color w:val="auto"/>
        </w:rPr>
        <w:t>Proposal to ratify appointment of independent</w:t>
      </w:r>
      <w:r>
        <w:rPr>
          <w:sz w:val="20"/>
          <w:szCs w:val="20"/>
          <w:color w:val="auto"/>
        </w:rPr>
        <w:tab/>
      </w:r>
      <w:r>
        <w:rPr>
          <w:rFonts w:ascii="Arial" w:cs="Arial" w:eastAsia="Arial" w:hAnsi="Arial"/>
          <w:sz w:val="16"/>
          <w:szCs w:val="16"/>
          <w:color w:val="auto"/>
        </w:rPr>
        <w:t>Majority of votes present in person or by proxy at</w:t>
      </w:r>
    </w:p>
    <w:p>
      <w:pPr>
        <w:spacing w:after="0" w:line="24" w:lineRule="exact"/>
        <w:rPr>
          <w:sz w:val="20"/>
          <w:szCs w:val="20"/>
          <w:color w:val="auto"/>
        </w:rPr>
      </w:pPr>
    </w:p>
    <w:p>
      <w:pPr>
        <w:ind w:left="260"/>
        <w:spacing w:after="0"/>
        <w:tabs>
          <w:tab w:leader="none" w:pos="3760" w:val="left"/>
        </w:tabs>
        <w:rPr>
          <w:sz w:val="20"/>
          <w:szCs w:val="20"/>
          <w:color w:val="auto"/>
        </w:rPr>
      </w:pPr>
      <w:r>
        <w:rPr>
          <w:rFonts w:ascii="Arial" w:cs="Arial" w:eastAsia="Arial" w:hAnsi="Arial"/>
          <w:sz w:val="16"/>
          <w:szCs w:val="16"/>
          <w:color w:val="auto"/>
        </w:rPr>
        <w:t>registered public accounting firm</w:t>
      </w:r>
      <w:r>
        <w:rPr>
          <w:sz w:val="20"/>
          <w:szCs w:val="20"/>
          <w:color w:val="auto"/>
        </w:rPr>
        <w:tab/>
      </w:r>
      <w:r>
        <w:rPr>
          <w:rFonts w:ascii="Arial" w:cs="Arial" w:eastAsia="Arial" w:hAnsi="Arial"/>
          <w:sz w:val="16"/>
          <w:szCs w:val="16"/>
          <w:color w:val="auto"/>
        </w:rPr>
        <w:t>the meeting must be cast for the proposal.</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6"/>
          <w:szCs w:val="16"/>
          <w:color w:val="auto"/>
        </w:rPr>
        <w:t>Abstentions have the same effect as votes against. (Brokers are permitted to exercise their discretion and vote without specific instruction on this matter. Accordingly, there are no broker non-votes.)</w:t>
      </w:r>
    </w:p>
    <w:p>
      <w:pPr>
        <w:spacing w:after="0" w:line="181" w:lineRule="exact"/>
        <w:rPr>
          <w:sz w:val="20"/>
          <w:szCs w:val="20"/>
          <w:color w:val="auto"/>
        </w:rPr>
      </w:pPr>
    </w:p>
    <w:p>
      <w:pPr>
        <w:sectPr>
          <w:pgSz w:w="11900" w:h="16838" w:orient="portrait"/>
          <w:cols w:equalWidth="0" w:num="2">
            <w:col w:w="7300" w:space="360"/>
            <w:col w:w="3760"/>
          </w:cols>
          <w:pgMar w:left="240" w:top="573" w:right="239" w:bottom="1440" w:gutter="0" w:footer="0" w:header="0"/>
          <w:type w:val="continuous"/>
        </w:sectPr>
      </w:pPr>
    </w:p>
    <w:p>
      <w:pPr>
        <w:ind w:left="260" w:hanging="249"/>
        <w:spacing w:after="0" w:line="290" w:lineRule="auto"/>
        <w:rPr>
          <w:sz w:val="20"/>
          <w:szCs w:val="20"/>
          <w:color w:val="auto"/>
        </w:rPr>
      </w:pPr>
      <w:r>
        <w:rPr>
          <w:rFonts w:ascii="Arial" w:cs="Arial" w:eastAsia="Arial" w:hAnsi="Arial"/>
          <w:sz w:val="16"/>
          <w:szCs w:val="16"/>
          <w:color w:val="auto"/>
        </w:rPr>
        <w:t>Any other matter that may properly be submitted at the meeting</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-271145</wp:posOffset>
            </wp:positionV>
            <wp:extent cx="7256780" cy="238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780" cy="238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90" w:lineRule="auto"/>
        <w:rPr>
          <w:sz w:val="20"/>
          <w:szCs w:val="20"/>
          <w:color w:val="auto"/>
        </w:rPr>
      </w:pPr>
      <w:r>
        <w:rPr>
          <w:rFonts w:ascii="Arial" w:cs="Arial" w:eastAsia="Arial" w:hAnsi="Arial"/>
          <w:sz w:val="16"/>
          <w:szCs w:val="16"/>
          <w:color w:val="auto"/>
        </w:rPr>
        <w:t>Abstentions and broker non-votes have the same effect as votes against.</w:t>
      </w:r>
    </w:p>
    <w:p>
      <w:pPr>
        <w:spacing w:after="0" w:line="193" w:lineRule="exact"/>
        <w:rPr>
          <w:sz w:val="20"/>
          <w:szCs w:val="20"/>
          <w:color w:val="auto"/>
        </w:rPr>
      </w:pPr>
    </w:p>
    <w:p>
      <w:pPr>
        <w:sectPr>
          <w:pgSz w:w="11900" w:h="16838" w:orient="portrait"/>
          <w:cols w:equalWidth="0" w:num="3">
            <w:col w:w="3480" w:space="300"/>
            <w:col w:w="3520" w:space="360"/>
            <w:col w:w="3760"/>
          </w:cols>
          <w:pgMar w:left="240" w:top="573" w:right="239" w:bottom="1440" w:gutter="0" w:footer="0" w:header="0"/>
          <w:type w:val="continuous"/>
        </w:sect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ELECTION OF DIRECTORS</w:t>
      </w:r>
    </w:p>
    <w:p>
      <w:pPr>
        <w:spacing w:after="0" w:line="206"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Directors are elected at the annual meeting to hold office until the next annual meeting and until their successors are elected and qualified. The board of directors has designated the following persons as nominees: RALPH W. BABB, JR., MARK A. BLINN, DANIEL A. CARP, CARRIE S. COX, RONALD KIRK, PAMELA H. PATSLEY, ROBERT E. SANCHEZ, WAYNE R. SANDERS, RUTH J. SIMMONS, RICHARD K. TEMPLETON and CHRISTINE TODD WHITMAN.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If you return a proxy that is not otherwise marked, your shares will be voted FOR each of the nominees.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directorship</w:t>
      </w:r>
    </w:p>
    <w:p>
      <w:pPr>
        <w:spacing w:after="0" w:line="206"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All of the nominees for directorship are directors of the company. For a discussion of each nominee’s qualifications to serve as a director of the company, please see pages 59-61. If any nominee becomes unable to serve before the meeting, the persons named as proxies may vote for a substitute or the number of directors will be reduced accordingly.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20"/>
                <w:szCs w:val="20"/>
                <w:color w:val="auto"/>
              </w:rPr>
            </w:pPr>
            <w:r>
              <w:rPr>
                <w:rFonts w:ascii="Arial" w:cs="Arial" w:eastAsia="Arial" w:hAnsi="Arial"/>
                <w:sz w:val="16"/>
                <w:szCs w:val="16"/>
                <w:b w:val="1"/>
                <w:bCs w:val="1"/>
                <w:color w:val="auto"/>
              </w:rPr>
              <w:t>Directors</w:t>
            </w:r>
          </w:p>
        </w:tc>
        <w:tc>
          <w:tcPr>
            <w:tcW w:w="41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348"/>
        </w:trPr>
        <w:tc>
          <w:tcPr>
            <w:tcW w:w="4040" w:type="dxa"/>
            <w:vAlign w:val="bottom"/>
          </w:tcPr>
          <w:p>
            <w:pPr>
              <w:ind w:left="1280"/>
              <w:spacing w:after="0"/>
              <w:rPr>
                <w:sz w:val="20"/>
                <w:szCs w:val="20"/>
                <w:color w:val="auto"/>
              </w:rPr>
            </w:pPr>
            <w:r>
              <w:rPr>
                <w:rFonts w:ascii="Arial" w:cs="Arial" w:eastAsia="Arial" w:hAnsi="Arial"/>
                <w:sz w:val="16"/>
                <w:szCs w:val="16"/>
                <w:b w:val="1"/>
                <w:bCs w:val="1"/>
                <w:color w:val="auto"/>
              </w:rPr>
              <w:t>RALPH W. BABB, JR.</w:t>
            </w:r>
          </w:p>
        </w:tc>
        <w:tc>
          <w:tcPr>
            <w:tcW w:w="4180" w:type="dxa"/>
            <w:vAlign w:val="bottom"/>
          </w:tcPr>
          <w:p>
            <w:pPr>
              <w:ind w:left="1060"/>
              <w:spacing w:after="0"/>
              <w:rPr>
                <w:sz w:val="20"/>
                <w:szCs w:val="20"/>
                <w:color w:val="auto"/>
              </w:rPr>
            </w:pPr>
            <w:r>
              <w:rPr>
                <w:rFonts w:ascii="Arial" w:cs="Arial" w:eastAsia="Arial" w:hAnsi="Arial"/>
                <w:sz w:val="16"/>
                <w:szCs w:val="16"/>
                <w:b w:val="1"/>
                <w:bCs w:val="1"/>
                <w:color w:val="auto"/>
              </w:rPr>
              <w:t>RONALD KIRK</w:t>
            </w:r>
          </w:p>
        </w:tc>
        <w:tc>
          <w:tcPr>
            <w:tcW w:w="2580" w:type="dxa"/>
            <w:vAlign w:val="bottom"/>
          </w:tcPr>
          <w:p>
            <w:pPr>
              <w:ind w:left="700"/>
              <w:spacing w:after="0"/>
              <w:rPr>
                <w:sz w:val="20"/>
                <w:szCs w:val="20"/>
                <w:color w:val="auto"/>
              </w:rPr>
            </w:pPr>
            <w:r>
              <w:rPr>
                <w:rFonts w:ascii="Arial" w:cs="Arial" w:eastAsia="Arial" w:hAnsi="Arial"/>
                <w:sz w:val="16"/>
                <w:szCs w:val="16"/>
                <w:b w:val="1"/>
                <w:bCs w:val="1"/>
                <w:color w:val="auto"/>
              </w:rPr>
              <w:t>RUTH J. SIMMONS</w:t>
            </w:r>
          </w:p>
        </w:tc>
      </w:tr>
      <w:tr>
        <w:trPr>
          <w:trHeight w:val="188"/>
        </w:trPr>
        <w:tc>
          <w:tcPr>
            <w:tcW w:w="4040" w:type="dxa"/>
            <w:vAlign w:val="bottom"/>
          </w:tcPr>
          <w:p>
            <w:pPr>
              <w:ind w:left="1280"/>
              <w:spacing w:after="0"/>
              <w:rPr>
                <w:sz w:val="20"/>
                <w:szCs w:val="20"/>
                <w:color w:val="auto"/>
              </w:rPr>
            </w:pPr>
            <w:r>
              <w:rPr>
                <w:rFonts w:ascii="Arial" w:cs="Arial" w:eastAsia="Arial" w:hAnsi="Arial"/>
                <w:sz w:val="16"/>
                <w:szCs w:val="16"/>
                <w:color w:val="auto"/>
              </w:rPr>
              <w:t>Age 65</w:t>
            </w:r>
          </w:p>
        </w:tc>
        <w:tc>
          <w:tcPr>
            <w:tcW w:w="4180" w:type="dxa"/>
            <w:vAlign w:val="bottom"/>
          </w:tcPr>
          <w:p>
            <w:pPr>
              <w:ind w:left="1060"/>
              <w:spacing w:after="0"/>
              <w:rPr>
                <w:sz w:val="20"/>
                <w:szCs w:val="20"/>
                <w:color w:val="auto"/>
              </w:rPr>
            </w:pPr>
            <w:r>
              <w:rPr>
                <w:rFonts w:ascii="Arial" w:cs="Arial" w:eastAsia="Arial" w:hAnsi="Arial"/>
                <w:sz w:val="16"/>
                <w:szCs w:val="16"/>
                <w:color w:val="auto"/>
              </w:rPr>
              <w:t>Age 59</w:t>
            </w:r>
          </w:p>
        </w:tc>
        <w:tc>
          <w:tcPr>
            <w:tcW w:w="2580" w:type="dxa"/>
            <w:vAlign w:val="bottom"/>
          </w:tcPr>
          <w:p>
            <w:pPr>
              <w:ind w:left="700"/>
              <w:spacing w:after="0"/>
              <w:rPr>
                <w:sz w:val="20"/>
                <w:szCs w:val="20"/>
                <w:color w:val="auto"/>
              </w:rPr>
            </w:pPr>
            <w:r>
              <w:rPr>
                <w:rFonts w:ascii="Arial" w:cs="Arial" w:eastAsia="Arial" w:hAnsi="Arial"/>
                <w:sz w:val="16"/>
                <w:szCs w:val="16"/>
                <w:color w:val="auto"/>
              </w:rPr>
              <w:t>Age 68</w:t>
            </w:r>
          </w:p>
        </w:tc>
      </w:tr>
      <w:tr>
        <w:trPr>
          <w:trHeight w:val="190"/>
        </w:trPr>
        <w:tc>
          <w:tcPr>
            <w:tcW w:w="4040" w:type="dxa"/>
            <w:vAlign w:val="bottom"/>
          </w:tcPr>
          <w:p>
            <w:pPr>
              <w:ind w:left="1280"/>
              <w:spacing w:after="0"/>
              <w:rPr>
                <w:sz w:val="20"/>
                <w:szCs w:val="20"/>
                <w:color w:val="auto"/>
              </w:rPr>
            </w:pPr>
            <w:r>
              <w:rPr>
                <w:rFonts w:ascii="Arial" w:cs="Arial" w:eastAsia="Arial" w:hAnsi="Arial"/>
                <w:sz w:val="16"/>
                <w:szCs w:val="16"/>
                <w:color w:val="auto"/>
              </w:rPr>
              <w:t>Director since 2010</w:t>
            </w:r>
          </w:p>
        </w:tc>
        <w:tc>
          <w:tcPr>
            <w:tcW w:w="4180" w:type="dxa"/>
            <w:vAlign w:val="bottom"/>
          </w:tcPr>
          <w:p>
            <w:pPr>
              <w:ind w:left="1060"/>
              <w:spacing w:after="0"/>
              <w:rPr>
                <w:sz w:val="20"/>
                <w:szCs w:val="20"/>
                <w:color w:val="auto"/>
              </w:rPr>
            </w:pPr>
            <w:r>
              <w:rPr>
                <w:rFonts w:ascii="Arial" w:cs="Arial" w:eastAsia="Arial" w:hAnsi="Arial"/>
                <w:sz w:val="16"/>
                <w:szCs w:val="16"/>
                <w:color w:val="auto"/>
              </w:rPr>
              <w:t>Director since 2013</w:t>
            </w:r>
          </w:p>
        </w:tc>
        <w:tc>
          <w:tcPr>
            <w:tcW w:w="2580" w:type="dxa"/>
            <w:vAlign w:val="bottom"/>
          </w:tcPr>
          <w:p>
            <w:pPr>
              <w:ind w:left="700"/>
              <w:spacing w:after="0"/>
              <w:rPr>
                <w:sz w:val="20"/>
                <w:szCs w:val="20"/>
                <w:color w:val="auto"/>
              </w:rPr>
            </w:pPr>
            <w:r>
              <w:rPr>
                <w:rFonts w:ascii="Arial" w:cs="Arial" w:eastAsia="Arial" w:hAnsi="Arial"/>
                <w:sz w:val="16"/>
                <w:szCs w:val="16"/>
                <w:color w:val="auto"/>
              </w:rPr>
              <w:t>Director since 1999</w:t>
            </w:r>
          </w:p>
        </w:tc>
      </w:tr>
      <w:tr>
        <w:trPr>
          <w:trHeight w:val="188"/>
        </w:trPr>
        <w:tc>
          <w:tcPr>
            <w:tcW w:w="4040" w:type="dxa"/>
            <w:vAlign w:val="bottom"/>
          </w:tcPr>
          <w:p>
            <w:pPr>
              <w:ind w:left="1280"/>
              <w:spacing w:after="0"/>
              <w:rPr>
                <w:sz w:val="20"/>
                <w:szCs w:val="20"/>
                <w:color w:val="auto"/>
              </w:rPr>
            </w:pPr>
            <w:r>
              <w:rPr>
                <w:rFonts w:ascii="Arial" w:cs="Arial" w:eastAsia="Arial" w:hAnsi="Arial"/>
                <w:sz w:val="16"/>
                <w:szCs w:val="16"/>
                <w:i w:val="1"/>
                <w:iCs w:val="1"/>
                <w:color w:val="auto"/>
              </w:rPr>
              <w:t>Chair, Audit Committee</w:t>
            </w:r>
          </w:p>
        </w:tc>
        <w:tc>
          <w:tcPr>
            <w:tcW w:w="4180" w:type="dxa"/>
            <w:vAlign w:val="bottom"/>
          </w:tcPr>
          <w:p>
            <w:pPr>
              <w:ind w:left="1060"/>
              <w:spacing w:after="0"/>
              <w:rPr>
                <w:sz w:val="20"/>
                <w:szCs w:val="20"/>
                <w:color w:val="auto"/>
              </w:rPr>
            </w:pPr>
            <w:r>
              <w:rPr>
                <w:rFonts w:ascii="Arial" w:cs="Arial" w:eastAsia="Arial" w:hAnsi="Arial"/>
                <w:sz w:val="16"/>
                <w:szCs w:val="16"/>
                <w:i w:val="1"/>
                <w:iCs w:val="1"/>
                <w:color w:val="auto"/>
              </w:rPr>
              <w:t>Member, Governance and</w:t>
            </w:r>
          </w:p>
        </w:tc>
        <w:tc>
          <w:tcPr>
            <w:tcW w:w="2580" w:type="dxa"/>
            <w:vAlign w:val="bottom"/>
          </w:tcPr>
          <w:p>
            <w:pPr>
              <w:ind w:left="700"/>
              <w:spacing w:after="0"/>
              <w:rPr>
                <w:sz w:val="20"/>
                <w:szCs w:val="20"/>
                <w:color w:val="auto"/>
              </w:rPr>
            </w:pPr>
            <w:r>
              <w:rPr>
                <w:rFonts w:ascii="Arial" w:cs="Arial" w:eastAsia="Arial" w:hAnsi="Arial"/>
                <w:sz w:val="16"/>
                <w:szCs w:val="16"/>
                <w:i w:val="1"/>
                <w:iCs w:val="1"/>
                <w:color w:val="auto"/>
              </w:rPr>
              <w:t>Member, Audit Committee</w:t>
            </w:r>
          </w:p>
        </w:tc>
      </w:tr>
      <w:tr>
        <w:trPr>
          <w:trHeight w:val="217"/>
        </w:trPr>
        <w:tc>
          <w:tcPr>
            <w:tcW w:w="4040" w:type="dxa"/>
            <w:vAlign w:val="bottom"/>
          </w:tcPr>
          <w:p>
            <w:pPr>
              <w:spacing w:after="0"/>
              <w:rPr>
                <w:sz w:val="18"/>
                <w:szCs w:val="18"/>
                <w:color w:val="auto"/>
              </w:rPr>
            </w:pPr>
          </w:p>
        </w:tc>
        <w:tc>
          <w:tcPr>
            <w:tcW w:w="4180" w:type="dxa"/>
            <w:vAlign w:val="bottom"/>
          </w:tcPr>
          <w:p>
            <w:pPr>
              <w:ind w:left="1060"/>
              <w:spacing w:after="0"/>
              <w:rPr>
                <w:sz w:val="20"/>
                <w:szCs w:val="20"/>
                <w:color w:val="auto"/>
              </w:rPr>
            </w:pPr>
            <w:r>
              <w:rPr>
                <w:rFonts w:ascii="Arial" w:cs="Arial" w:eastAsia="Arial" w:hAnsi="Arial"/>
                <w:sz w:val="16"/>
                <w:szCs w:val="16"/>
                <w:i w:val="1"/>
                <w:iCs w:val="1"/>
                <w:color w:val="auto"/>
              </w:rPr>
              <w:t>Stockholder Relations Committee</w:t>
            </w:r>
          </w:p>
        </w:tc>
        <w:tc>
          <w:tcPr>
            <w:tcW w:w="2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-603885</wp:posOffset>
            </wp:positionV>
            <wp:extent cx="754380" cy="904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4380" cy="90487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-603885</wp:posOffset>
            </wp:positionV>
            <wp:extent cx="762000" cy="913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000" cy="91313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-603885</wp:posOffset>
            </wp:positionV>
            <wp:extent cx="762000" cy="904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000"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2860" w:type="dxa"/>
            <w:vAlign w:val="bottom"/>
          </w:tcPr>
          <w:p>
            <w:pPr>
              <w:spacing w:after="0"/>
              <w:rPr>
                <w:sz w:val="20"/>
                <w:szCs w:val="20"/>
                <w:color w:val="auto"/>
              </w:rPr>
            </w:pPr>
            <w:r>
              <w:rPr>
                <w:rFonts w:ascii="Arial" w:cs="Arial" w:eastAsia="Arial" w:hAnsi="Arial"/>
                <w:sz w:val="16"/>
                <w:szCs w:val="16"/>
                <w:b w:val="1"/>
                <w:bCs w:val="1"/>
                <w:color w:val="auto"/>
              </w:rPr>
              <w:t>MARK A. BLINN</w:t>
            </w:r>
          </w:p>
        </w:tc>
        <w:tc>
          <w:tcPr>
            <w:tcW w:w="3740" w:type="dxa"/>
            <w:vAlign w:val="bottom"/>
          </w:tcPr>
          <w:p>
            <w:pPr>
              <w:ind w:left="960"/>
              <w:spacing w:after="0"/>
              <w:rPr>
                <w:sz w:val="20"/>
                <w:szCs w:val="20"/>
                <w:color w:val="auto"/>
              </w:rPr>
            </w:pPr>
            <w:r>
              <w:rPr>
                <w:rFonts w:ascii="Arial" w:cs="Arial" w:eastAsia="Arial" w:hAnsi="Arial"/>
                <w:sz w:val="16"/>
                <w:szCs w:val="16"/>
                <w:b w:val="1"/>
                <w:bCs w:val="1"/>
                <w:color w:val="auto"/>
              </w:rPr>
              <w:t>PAMELA H. PATSLEY</w:t>
            </w:r>
          </w:p>
        </w:tc>
        <w:tc>
          <w:tcPr>
            <w:tcW w:w="3480" w:type="dxa"/>
            <w:vAlign w:val="bottom"/>
          </w:tcPr>
          <w:p>
            <w:pPr>
              <w:ind w:left="1040"/>
              <w:spacing w:after="0"/>
              <w:rPr>
                <w:sz w:val="20"/>
                <w:szCs w:val="20"/>
                <w:color w:val="auto"/>
              </w:rPr>
            </w:pPr>
            <w:r>
              <w:rPr>
                <w:rFonts w:ascii="Arial" w:cs="Arial" w:eastAsia="Arial" w:hAnsi="Arial"/>
                <w:sz w:val="16"/>
                <w:szCs w:val="16"/>
                <w:b w:val="1"/>
                <w:bCs w:val="1"/>
                <w:color w:val="auto"/>
              </w:rPr>
              <w:t>RICHARD K. TEMPLETON</w:t>
            </w:r>
          </w:p>
        </w:tc>
      </w:tr>
      <w:tr>
        <w:trPr>
          <w:trHeight w:val="188"/>
        </w:trPr>
        <w:tc>
          <w:tcPr>
            <w:tcW w:w="2860" w:type="dxa"/>
            <w:vAlign w:val="bottom"/>
          </w:tcPr>
          <w:p>
            <w:pPr>
              <w:spacing w:after="0"/>
              <w:rPr>
                <w:sz w:val="20"/>
                <w:szCs w:val="20"/>
                <w:color w:val="auto"/>
              </w:rPr>
            </w:pPr>
            <w:r>
              <w:rPr>
                <w:rFonts w:ascii="Arial" w:cs="Arial" w:eastAsia="Arial" w:hAnsi="Arial"/>
                <w:sz w:val="16"/>
                <w:szCs w:val="16"/>
                <w:color w:val="auto"/>
              </w:rPr>
              <w:t>Age 52</w:t>
            </w:r>
          </w:p>
        </w:tc>
        <w:tc>
          <w:tcPr>
            <w:tcW w:w="3740" w:type="dxa"/>
            <w:vAlign w:val="bottom"/>
          </w:tcPr>
          <w:p>
            <w:pPr>
              <w:ind w:left="960"/>
              <w:spacing w:after="0"/>
              <w:rPr>
                <w:sz w:val="20"/>
                <w:szCs w:val="20"/>
                <w:color w:val="auto"/>
              </w:rPr>
            </w:pPr>
            <w:r>
              <w:rPr>
                <w:rFonts w:ascii="Arial" w:cs="Arial" w:eastAsia="Arial" w:hAnsi="Arial"/>
                <w:sz w:val="16"/>
                <w:szCs w:val="16"/>
                <w:color w:val="auto"/>
              </w:rPr>
              <w:t>Age 57</w:t>
            </w:r>
          </w:p>
        </w:tc>
        <w:tc>
          <w:tcPr>
            <w:tcW w:w="3480" w:type="dxa"/>
            <w:vAlign w:val="bottom"/>
          </w:tcPr>
          <w:p>
            <w:pPr>
              <w:ind w:left="1040"/>
              <w:spacing w:after="0"/>
              <w:rPr>
                <w:sz w:val="20"/>
                <w:szCs w:val="20"/>
                <w:color w:val="auto"/>
              </w:rPr>
            </w:pPr>
            <w:r>
              <w:rPr>
                <w:rFonts w:ascii="Arial" w:cs="Arial" w:eastAsia="Arial" w:hAnsi="Arial"/>
                <w:sz w:val="16"/>
                <w:szCs w:val="16"/>
                <w:color w:val="auto"/>
              </w:rPr>
              <w:t>Age 55</w:t>
            </w:r>
          </w:p>
        </w:tc>
      </w:tr>
      <w:tr>
        <w:trPr>
          <w:trHeight w:val="188"/>
        </w:trPr>
        <w:tc>
          <w:tcPr>
            <w:tcW w:w="2860" w:type="dxa"/>
            <w:vAlign w:val="bottom"/>
          </w:tcPr>
          <w:p>
            <w:pPr>
              <w:spacing w:after="0"/>
              <w:rPr>
                <w:sz w:val="20"/>
                <w:szCs w:val="20"/>
                <w:color w:val="auto"/>
              </w:rPr>
            </w:pPr>
            <w:r>
              <w:rPr>
                <w:rFonts w:ascii="Arial" w:cs="Arial" w:eastAsia="Arial" w:hAnsi="Arial"/>
                <w:sz w:val="16"/>
                <w:szCs w:val="16"/>
                <w:color w:val="auto"/>
              </w:rPr>
              <w:t>Director since 2013</w:t>
            </w:r>
          </w:p>
        </w:tc>
        <w:tc>
          <w:tcPr>
            <w:tcW w:w="3740" w:type="dxa"/>
            <w:vAlign w:val="bottom"/>
          </w:tcPr>
          <w:p>
            <w:pPr>
              <w:ind w:left="960"/>
              <w:spacing w:after="0"/>
              <w:rPr>
                <w:sz w:val="20"/>
                <w:szCs w:val="20"/>
                <w:color w:val="auto"/>
              </w:rPr>
            </w:pPr>
            <w:r>
              <w:rPr>
                <w:rFonts w:ascii="Arial" w:cs="Arial" w:eastAsia="Arial" w:hAnsi="Arial"/>
                <w:sz w:val="16"/>
                <w:szCs w:val="16"/>
                <w:color w:val="auto"/>
              </w:rPr>
              <w:t>Director since 2004</w:t>
            </w:r>
          </w:p>
        </w:tc>
        <w:tc>
          <w:tcPr>
            <w:tcW w:w="3480" w:type="dxa"/>
            <w:vAlign w:val="bottom"/>
          </w:tcPr>
          <w:p>
            <w:pPr>
              <w:ind w:left="1040"/>
              <w:spacing w:after="0"/>
              <w:rPr>
                <w:sz w:val="20"/>
                <w:szCs w:val="20"/>
                <w:color w:val="auto"/>
              </w:rPr>
            </w:pPr>
            <w:r>
              <w:rPr>
                <w:rFonts w:ascii="Arial" w:cs="Arial" w:eastAsia="Arial" w:hAnsi="Arial"/>
                <w:sz w:val="16"/>
                <w:szCs w:val="16"/>
                <w:color w:val="auto"/>
              </w:rPr>
              <w:t>Chairman since 2008 and director</w:t>
            </w:r>
          </w:p>
        </w:tc>
      </w:tr>
      <w:tr>
        <w:trPr>
          <w:trHeight w:val="190"/>
        </w:trPr>
        <w:tc>
          <w:tcPr>
            <w:tcW w:w="2860" w:type="dxa"/>
            <w:vAlign w:val="bottom"/>
          </w:tcPr>
          <w:p>
            <w:pPr>
              <w:spacing w:after="0"/>
              <w:rPr>
                <w:sz w:val="20"/>
                <w:szCs w:val="20"/>
                <w:color w:val="auto"/>
              </w:rPr>
            </w:pPr>
            <w:r>
              <w:rPr>
                <w:rFonts w:ascii="Arial" w:cs="Arial" w:eastAsia="Arial" w:hAnsi="Arial"/>
                <w:sz w:val="16"/>
                <w:szCs w:val="16"/>
                <w:i w:val="1"/>
                <w:iCs w:val="1"/>
                <w:color w:val="auto"/>
              </w:rPr>
              <w:t>Member, Audit Committee</w:t>
            </w:r>
          </w:p>
        </w:tc>
        <w:tc>
          <w:tcPr>
            <w:tcW w:w="3740" w:type="dxa"/>
            <w:vAlign w:val="bottom"/>
          </w:tcPr>
          <w:p>
            <w:pPr>
              <w:ind w:left="960"/>
              <w:spacing w:after="0"/>
              <w:rPr>
                <w:sz w:val="20"/>
                <w:szCs w:val="20"/>
                <w:color w:val="auto"/>
              </w:rPr>
            </w:pPr>
            <w:r>
              <w:rPr>
                <w:rFonts w:ascii="Arial" w:cs="Arial" w:eastAsia="Arial" w:hAnsi="Arial"/>
                <w:sz w:val="16"/>
                <w:szCs w:val="16"/>
                <w:i w:val="1"/>
                <w:iCs w:val="1"/>
                <w:color w:val="auto"/>
              </w:rPr>
              <w:t>Member, Compensation</w:t>
            </w:r>
          </w:p>
        </w:tc>
        <w:tc>
          <w:tcPr>
            <w:tcW w:w="3480" w:type="dxa"/>
            <w:vAlign w:val="bottom"/>
          </w:tcPr>
          <w:p>
            <w:pPr>
              <w:ind w:left="1040"/>
              <w:spacing w:after="0"/>
              <w:rPr>
                <w:sz w:val="20"/>
                <w:szCs w:val="20"/>
                <w:color w:val="auto"/>
              </w:rPr>
            </w:pPr>
            <w:r>
              <w:rPr>
                <w:rFonts w:ascii="Arial" w:cs="Arial" w:eastAsia="Arial" w:hAnsi="Arial"/>
                <w:sz w:val="16"/>
                <w:szCs w:val="16"/>
                <w:color w:val="auto"/>
              </w:rPr>
              <w:t>since 2003</w:t>
            </w:r>
          </w:p>
        </w:tc>
      </w:tr>
      <w:tr>
        <w:trPr>
          <w:trHeight w:val="217"/>
        </w:trPr>
        <w:tc>
          <w:tcPr>
            <w:tcW w:w="2860" w:type="dxa"/>
            <w:vAlign w:val="bottom"/>
          </w:tcPr>
          <w:p>
            <w:pPr>
              <w:spacing w:after="0"/>
              <w:rPr>
                <w:sz w:val="18"/>
                <w:szCs w:val="18"/>
                <w:color w:val="auto"/>
              </w:rPr>
            </w:pPr>
          </w:p>
        </w:tc>
        <w:tc>
          <w:tcPr>
            <w:tcW w:w="3740" w:type="dxa"/>
            <w:vAlign w:val="bottom"/>
          </w:tcPr>
          <w:p>
            <w:pPr>
              <w:ind w:left="960"/>
              <w:spacing w:after="0"/>
              <w:rPr>
                <w:sz w:val="20"/>
                <w:szCs w:val="20"/>
                <w:color w:val="auto"/>
              </w:rPr>
            </w:pPr>
            <w:r>
              <w:rPr>
                <w:rFonts w:ascii="Arial" w:cs="Arial" w:eastAsia="Arial" w:hAnsi="Arial"/>
                <w:sz w:val="16"/>
                <w:szCs w:val="16"/>
                <w:i w:val="1"/>
                <w:iCs w:val="1"/>
                <w:color w:val="auto"/>
              </w:rPr>
              <w:t>Committee</w:t>
            </w:r>
          </w:p>
        </w:tc>
        <w:tc>
          <w:tcPr>
            <w:tcW w:w="3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-603885</wp:posOffset>
            </wp:positionV>
            <wp:extent cx="762000" cy="904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000" cy="90487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-603885</wp:posOffset>
            </wp:positionV>
            <wp:extent cx="754380" cy="913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54380" cy="91313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-603885</wp:posOffset>
            </wp:positionV>
            <wp:extent cx="762000" cy="913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00" cy="91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2860" w:type="dxa"/>
            <w:vAlign w:val="bottom"/>
          </w:tcPr>
          <w:p>
            <w:pPr>
              <w:spacing w:after="0"/>
              <w:rPr>
                <w:sz w:val="20"/>
                <w:szCs w:val="20"/>
                <w:color w:val="auto"/>
              </w:rPr>
            </w:pPr>
            <w:r>
              <w:rPr>
                <w:rFonts w:ascii="Arial" w:cs="Arial" w:eastAsia="Arial" w:hAnsi="Arial"/>
                <w:sz w:val="16"/>
                <w:szCs w:val="16"/>
                <w:b w:val="1"/>
                <w:bCs w:val="1"/>
                <w:color w:val="auto"/>
              </w:rPr>
              <w:t>DANIEL A. CARP</w:t>
            </w:r>
          </w:p>
        </w:tc>
        <w:tc>
          <w:tcPr>
            <w:tcW w:w="3740" w:type="dxa"/>
            <w:vAlign w:val="bottom"/>
          </w:tcPr>
          <w:p>
            <w:pPr>
              <w:ind w:left="960"/>
              <w:spacing w:after="0"/>
              <w:rPr>
                <w:sz w:val="20"/>
                <w:szCs w:val="20"/>
                <w:color w:val="auto"/>
              </w:rPr>
            </w:pPr>
            <w:r>
              <w:rPr>
                <w:rFonts w:ascii="Arial" w:cs="Arial" w:eastAsia="Arial" w:hAnsi="Arial"/>
                <w:sz w:val="16"/>
                <w:szCs w:val="16"/>
                <w:b w:val="1"/>
                <w:bCs w:val="1"/>
                <w:color w:val="auto"/>
              </w:rPr>
              <w:t>ROBERT E. SANCHEZ</w:t>
            </w:r>
          </w:p>
        </w:tc>
        <w:tc>
          <w:tcPr>
            <w:tcW w:w="3460" w:type="dxa"/>
            <w:vAlign w:val="bottom"/>
          </w:tcPr>
          <w:p>
            <w:pPr>
              <w:ind w:left="1040"/>
              <w:spacing w:after="0"/>
              <w:rPr>
                <w:sz w:val="20"/>
                <w:szCs w:val="20"/>
                <w:color w:val="auto"/>
              </w:rPr>
            </w:pPr>
            <w:r>
              <w:rPr>
                <w:rFonts w:ascii="Arial" w:cs="Arial" w:eastAsia="Arial" w:hAnsi="Arial"/>
                <w:sz w:val="16"/>
                <w:szCs w:val="16"/>
                <w:b w:val="1"/>
                <w:bCs w:val="1"/>
                <w:color w:val="auto"/>
              </w:rPr>
              <w:t>CHRISTINE TODD WHITMAN</w:t>
            </w:r>
          </w:p>
        </w:tc>
      </w:tr>
      <w:tr>
        <w:trPr>
          <w:trHeight w:val="188"/>
        </w:trPr>
        <w:tc>
          <w:tcPr>
            <w:tcW w:w="2860" w:type="dxa"/>
            <w:vAlign w:val="bottom"/>
          </w:tcPr>
          <w:p>
            <w:pPr>
              <w:spacing w:after="0"/>
              <w:rPr>
                <w:sz w:val="20"/>
                <w:szCs w:val="20"/>
                <w:color w:val="auto"/>
              </w:rPr>
            </w:pPr>
            <w:r>
              <w:rPr>
                <w:rFonts w:ascii="Arial" w:cs="Arial" w:eastAsia="Arial" w:hAnsi="Arial"/>
                <w:sz w:val="16"/>
                <w:szCs w:val="16"/>
                <w:color w:val="auto"/>
              </w:rPr>
              <w:t>Age 65</w:t>
            </w:r>
          </w:p>
        </w:tc>
        <w:tc>
          <w:tcPr>
            <w:tcW w:w="3740" w:type="dxa"/>
            <w:vAlign w:val="bottom"/>
          </w:tcPr>
          <w:p>
            <w:pPr>
              <w:ind w:left="960"/>
              <w:spacing w:after="0"/>
              <w:rPr>
                <w:sz w:val="20"/>
                <w:szCs w:val="20"/>
                <w:color w:val="auto"/>
              </w:rPr>
            </w:pPr>
            <w:r>
              <w:rPr>
                <w:rFonts w:ascii="Arial" w:cs="Arial" w:eastAsia="Arial" w:hAnsi="Arial"/>
                <w:sz w:val="16"/>
                <w:szCs w:val="16"/>
                <w:color w:val="auto"/>
              </w:rPr>
              <w:t>Age 48</w:t>
            </w:r>
          </w:p>
        </w:tc>
        <w:tc>
          <w:tcPr>
            <w:tcW w:w="3460" w:type="dxa"/>
            <w:vAlign w:val="bottom"/>
          </w:tcPr>
          <w:p>
            <w:pPr>
              <w:ind w:left="1040"/>
              <w:spacing w:after="0"/>
              <w:rPr>
                <w:sz w:val="20"/>
                <w:szCs w:val="20"/>
                <w:color w:val="auto"/>
              </w:rPr>
            </w:pPr>
            <w:r>
              <w:rPr>
                <w:rFonts w:ascii="Arial" w:cs="Arial" w:eastAsia="Arial" w:hAnsi="Arial"/>
                <w:sz w:val="16"/>
                <w:szCs w:val="16"/>
                <w:color w:val="auto"/>
              </w:rPr>
              <w:t>Age 67</w:t>
            </w:r>
          </w:p>
        </w:tc>
      </w:tr>
      <w:tr>
        <w:trPr>
          <w:trHeight w:val="190"/>
        </w:trPr>
        <w:tc>
          <w:tcPr>
            <w:tcW w:w="2860" w:type="dxa"/>
            <w:vAlign w:val="bottom"/>
          </w:tcPr>
          <w:p>
            <w:pPr>
              <w:spacing w:after="0"/>
              <w:rPr>
                <w:sz w:val="20"/>
                <w:szCs w:val="20"/>
                <w:color w:val="auto"/>
              </w:rPr>
            </w:pPr>
            <w:r>
              <w:rPr>
                <w:rFonts w:ascii="Arial" w:cs="Arial" w:eastAsia="Arial" w:hAnsi="Arial"/>
                <w:sz w:val="16"/>
                <w:szCs w:val="16"/>
                <w:color w:val="auto"/>
              </w:rPr>
              <w:t>Director since 1997</w:t>
            </w:r>
          </w:p>
        </w:tc>
        <w:tc>
          <w:tcPr>
            <w:tcW w:w="3740" w:type="dxa"/>
            <w:vAlign w:val="bottom"/>
          </w:tcPr>
          <w:p>
            <w:pPr>
              <w:ind w:left="960"/>
              <w:spacing w:after="0"/>
              <w:rPr>
                <w:sz w:val="20"/>
                <w:szCs w:val="20"/>
                <w:color w:val="auto"/>
              </w:rPr>
            </w:pPr>
            <w:r>
              <w:rPr>
                <w:rFonts w:ascii="Arial" w:cs="Arial" w:eastAsia="Arial" w:hAnsi="Arial"/>
                <w:sz w:val="16"/>
                <w:szCs w:val="16"/>
                <w:color w:val="auto"/>
              </w:rPr>
              <w:t>Director since 2011</w:t>
            </w:r>
          </w:p>
        </w:tc>
        <w:tc>
          <w:tcPr>
            <w:tcW w:w="3460" w:type="dxa"/>
            <w:vAlign w:val="bottom"/>
          </w:tcPr>
          <w:p>
            <w:pPr>
              <w:ind w:left="1040"/>
              <w:spacing w:after="0"/>
              <w:rPr>
                <w:sz w:val="20"/>
                <w:szCs w:val="20"/>
                <w:color w:val="auto"/>
              </w:rPr>
            </w:pPr>
            <w:r>
              <w:rPr>
                <w:rFonts w:ascii="Arial" w:cs="Arial" w:eastAsia="Arial" w:hAnsi="Arial"/>
                <w:sz w:val="16"/>
                <w:szCs w:val="16"/>
                <w:color w:val="auto"/>
              </w:rPr>
              <w:t>Director since 2003</w:t>
            </w:r>
          </w:p>
        </w:tc>
      </w:tr>
      <w:tr>
        <w:trPr>
          <w:trHeight w:val="188"/>
        </w:trPr>
        <w:tc>
          <w:tcPr>
            <w:tcW w:w="2860" w:type="dxa"/>
            <w:vAlign w:val="bottom"/>
          </w:tcPr>
          <w:p>
            <w:pPr>
              <w:spacing w:after="0"/>
              <w:rPr>
                <w:sz w:val="20"/>
                <w:szCs w:val="20"/>
                <w:color w:val="auto"/>
              </w:rPr>
            </w:pPr>
            <w:r>
              <w:rPr>
                <w:rFonts w:ascii="Arial" w:cs="Arial" w:eastAsia="Arial" w:hAnsi="Arial"/>
                <w:sz w:val="16"/>
                <w:szCs w:val="16"/>
                <w:i w:val="1"/>
                <w:iCs w:val="1"/>
                <w:color w:val="auto"/>
              </w:rPr>
              <w:t>Member, Governance and</w:t>
            </w:r>
          </w:p>
        </w:tc>
        <w:tc>
          <w:tcPr>
            <w:tcW w:w="3740" w:type="dxa"/>
            <w:vAlign w:val="bottom"/>
          </w:tcPr>
          <w:p>
            <w:pPr>
              <w:ind w:left="960"/>
              <w:spacing w:after="0"/>
              <w:rPr>
                <w:sz w:val="20"/>
                <w:szCs w:val="20"/>
                <w:color w:val="auto"/>
              </w:rPr>
            </w:pPr>
            <w:r>
              <w:rPr>
                <w:rFonts w:ascii="Arial" w:cs="Arial" w:eastAsia="Arial" w:hAnsi="Arial"/>
                <w:sz w:val="16"/>
                <w:szCs w:val="16"/>
                <w:i w:val="1"/>
                <w:iCs w:val="1"/>
                <w:color w:val="auto"/>
              </w:rPr>
              <w:t>Member, Compensation</w:t>
            </w:r>
          </w:p>
        </w:tc>
        <w:tc>
          <w:tcPr>
            <w:tcW w:w="3460" w:type="dxa"/>
            <w:vAlign w:val="bottom"/>
          </w:tcPr>
          <w:p>
            <w:pPr>
              <w:ind w:left="1040"/>
              <w:spacing w:after="0"/>
              <w:rPr>
                <w:sz w:val="20"/>
                <w:szCs w:val="20"/>
                <w:color w:val="auto"/>
              </w:rPr>
            </w:pPr>
            <w:r>
              <w:rPr>
                <w:rFonts w:ascii="Arial" w:cs="Arial" w:eastAsia="Arial" w:hAnsi="Arial"/>
                <w:sz w:val="16"/>
                <w:szCs w:val="16"/>
                <w:i w:val="1"/>
                <w:iCs w:val="1"/>
                <w:color w:val="auto"/>
              </w:rPr>
              <w:t>Chair, Governance and</w:t>
            </w:r>
          </w:p>
        </w:tc>
      </w:tr>
      <w:tr>
        <w:trPr>
          <w:trHeight w:val="188"/>
        </w:trPr>
        <w:tc>
          <w:tcPr>
            <w:tcW w:w="2860" w:type="dxa"/>
            <w:vAlign w:val="bottom"/>
          </w:tcPr>
          <w:p>
            <w:pPr>
              <w:spacing w:after="0"/>
              <w:rPr>
                <w:sz w:val="20"/>
                <w:szCs w:val="20"/>
                <w:color w:val="auto"/>
              </w:rPr>
            </w:pPr>
            <w:r>
              <w:rPr>
                <w:rFonts w:ascii="Arial" w:cs="Arial" w:eastAsia="Arial" w:hAnsi="Arial"/>
                <w:sz w:val="16"/>
                <w:szCs w:val="16"/>
                <w:i w:val="1"/>
                <w:iCs w:val="1"/>
                <w:color w:val="auto"/>
              </w:rPr>
              <w:t>Stockholder Relations</w:t>
            </w:r>
          </w:p>
        </w:tc>
        <w:tc>
          <w:tcPr>
            <w:tcW w:w="3740" w:type="dxa"/>
            <w:vAlign w:val="bottom"/>
          </w:tcPr>
          <w:p>
            <w:pPr>
              <w:ind w:left="960"/>
              <w:spacing w:after="0"/>
              <w:rPr>
                <w:sz w:val="20"/>
                <w:szCs w:val="20"/>
                <w:color w:val="auto"/>
              </w:rPr>
            </w:pPr>
            <w:r>
              <w:rPr>
                <w:rFonts w:ascii="Arial" w:cs="Arial" w:eastAsia="Arial" w:hAnsi="Arial"/>
                <w:sz w:val="16"/>
                <w:szCs w:val="16"/>
                <w:i w:val="1"/>
                <w:iCs w:val="1"/>
                <w:color w:val="auto"/>
              </w:rPr>
              <w:t>Committee</w:t>
            </w:r>
          </w:p>
        </w:tc>
        <w:tc>
          <w:tcPr>
            <w:tcW w:w="3460" w:type="dxa"/>
            <w:vAlign w:val="bottom"/>
          </w:tcPr>
          <w:p>
            <w:pPr>
              <w:ind w:left="1040"/>
              <w:spacing w:after="0"/>
              <w:rPr>
                <w:sz w:val="20"/>
                <w:szCs w:val="20"/>
                <w:color w:val="auto"/>
              </w:rPr>
            </w:pPr>
            <w:r>
              <w:rPr>
                <w:rFonts w:ascii="Arial" w:cs="Arial" w:eastAsia="Arial" w:hAnsi="Arial"/>
                <w:sz w:val="16"/>
                <w:szCs w:val="16"/>
                <w:i w:val="1"/>
                <w:iCs w:val="1"/>
                <w:color w:val="auto"/>
              </w:rPr>
              <w:t>Stockholder Relations Committee</w:t>
            </w:r>
          </w:p>
        </w:tc>
      </w:tr>
      <w:tr>
        <w:trPr>
          <w:trHeight w:val="217"/>
        </w:trPr>
        <w:tc>
          <w:tcPr>
            <w:tcW w:w="2860" w:type="dxa"/>
            <w:vAlign w:val="bottom"/>
          </w:tcPr>
          <w:p>
            <w:pPr>
              <w:spacing w:after="0"/>
              <w:rPr>
                <w:sz w:val="20"/>
                <w:szCs w:val="20"/>
                <w:color w:val="auto"/>
              </w:rPr>
            </w:pPr>
            <w:r>
              <w:rPr>
                <w:rFonts w:ascii="Arial" w:cs="Arial" w:eastAsia="Arial" w:hAnsi="Arial"/>
                <w:sz w:val="16"/>
                <w:szCs w:val="16"/>
                <w:i w:val="1"/>
                <w:iCs w:val="1"/>
                <w:color w:val="auto"/>
              </w:rPr>
              <w:t>Committee</w:t>
            </w:r>
          </w:p>
        </w:tc>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-723265</wp:posOffset>
            </wp:positionV>
            <wp:extent cx="762000" cy="913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00" cy="91313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-723265</wp:posOffset>
            </wp:positionV>
            <wp:extent cx="762000" cy="913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00" cy="91313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-723265</wp:posOffset>
            </wp:positionV>
            <wp:extent cx="762000" cy="904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000" cy="9048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ind w:left="1280"/>
              <w:spacing w:after="0"/>
              <w:rPr>
                <w:sz w:val="20"/>
                <w:szCs w:val="20"/>
                <w:color w:val="auto"/>
              </w:rPr>
            </w:pPr>
            <w:r>
              <w:rPr>
                <w:rFonts w:ascii="Arial" w:cs="Arial" w:eastAsia="Arial" w:hAnsi="Arial"/>
                <w:sz w:val="16"/>
                <w:szCs w:val="16"/>
                <w:b w:val="1"/>
                <w:bCs w:val="1"/>
                <w:color w:val="auto"/>
              </w:rPr>
              <w:t>CARRIE S. COX</w:t>
            </w:r>
          </w:p>
        </w:tc>
        <w:tc>
          <w:tcPr>
            <w:tcW w:w="7320" w:type="dxa"/>
            <w:vAlign w:val="bottom"/>
          </w:tcPr>
          <w:p>
            <w:pPr>
              <w:ind w:left="960"/>
              <w:spacing w:after="0"/>
              <w:rPr>
                <w:sz w:val="20"/>
                <w:szCs w:val="20"/>
                <w:color w:val="auto"/>
              </w:rPr>
            </w:pPr>
            <w:r>
              <w:rPr>
                <w:rFonts w:ascii="Arial" w:cs="Arial" w:eastAsia="Arial" w:hAnsi="Arial"/>
                <w:sz w:val="16"/>
                <w:szCs w:val="16"/>
                <w:b w:val="1"/>
                <w:bCs w:val="1"/>
                <w:color w:val="auto"/>
              </w:rPr>
              <w:t>WAYNE R. SANDERS</w:t>
            </w:r>
          </w:p>
        </w:tc>
      </w:tr>
      <w:tr>
        <w:trPr>
          <w:trHeight w:val="188"/>
        </w:trPr>
        <w:tc>
          <w:tcPr>
            <w:tcW w:w="4140" w:type="dxa"/>
            <w:vAlign w:val="bottom"/>
          </w:tcPr>
          <w:p>
            <w:pPr>
              <w:ind w:left="1280"/>
              <w:spacing w:after="0"/>
              <w:rPr>
                <w:sz w:val="20"/>
                <w:szCs w:val="20"/>
                <w:color w:val="auto"/>
              </w:rPr>
            </w:pPr>
            <w:r>
              <w:rPr>
                <w:rFonts w:ascii="Arial" w:cs="Arial" w:eastAsia="Arial" w:hAnsi="Arial"/>
                <w:sz w:val="16"/>
                <w:szCs w:val="16"/>
                <w:color w:val="auto"/>
              </w:rPr>
              <w:t>Age 56</w:t>
            </w:r>
          </w:p>
        </w:tc>
        <w:tc>
          <w:tcPr>
            <w:tcW w:w="7320" w:type="dxa"/>
            <w:vAlign w:val="bottom"/>
          </w:tcPr>
          <w:p>
            <w:pPr>
              <w:ind w:left="960"/>
              <w:spacing w:after="0"/>
              <w:rPr>
                <w:sz w:val="20"/>
                <w:szCs w:val="20"/>
                <w:color w:val="auto"/>
              </w:rPr>
            </w:pPr>
            <w:r>
              <w:rPr>
                <w:rFonts w:ascii="Arial" w:cs="Arial" w:eastAsia="Arial" w:hAnsi="Arial"/>
                <w:sz w:val="16"/>
                <w:szCs w:val="16"/>
                <w:color w:val="auto"/>
              </w:rPr>
              <w:t>Age 66</w:t>
            </w:r>
          </w:p>
        </w:tc>
      </w:tr>
      <w:tr>
        <w:trPr>
          <w:trHeight w:val="190"/>
        </w:trPr>
        <w:tc>
          <w:tcPr>
            <w:tcW w:w="4140" w:type="dxa"/>
            <w:vAlign w:val="bottom"/>
          </w:tcPr>
          <w:p>
            <w:pPr>
              <w:ind w:left="1280"/>
              <w:spacing w:after="0"/>
              <w:rPr>
                <w:sz w:val="20"/>
                <w:szCs w:val="20"/>
                <w:color w:val="auto"/>
              </w:rPr>
            </w:pPr>
            <w:r>
              <w:rPr>
                <w:rFonts w:ascii="Arial" w:cs="Arial" w:eastAsia="Arial" w:hAnsi="Arial"/>
                <w:sz w:val="16"/>
                <w:szCs w:val="16"/>
                <w:color w:val="auto"/>
              </w:rPr>
              <w:t>Director since 2004</w:t>
            </w:r>
          </w:p>
        </w:tc>
        <w:tc>
          <w:tcPr>
            <w:tcW w:w="7320" w:type="dxa"/>
            <w:vAlign w:val="bottom"/>
          </w:tcPr>
          <w:p>
            <w:pPr>
              <w:ind w:left="960"/>
              <w:spacing w:after="0"/>
              <w:rPr>
                <w:sz w:val="20"/>
                <w:szCs w:val="20"/>
                <w:color w:val="auto"/>
              </w:rPr>
            </w:pPr>
            <w:r>
              <w:rPr>
                <w:rFonts w:ascii="Arial" w:cs="Arial" w:eastAsia="Arial" w:hAnsi="Arial"/>
                <w:sz w:val="16"/>
                <w:szCs w:val="16"/>
                <w:color w:val="auto"/>
              </w:rPr>
              <w:t>Director since 1997</w:t>
            </w:r>
          </w:p>
        </w:tc>
      </w:tr>
      <w:tr>
        <w:trPr>
          <w:trHeight w:val="188"/>
        </w:trPr>
        <w:tc>
          <w:tcPr>
            <w:tcW w:w="4140" w:type="dxa"/>
            <w:vAlign w:val="bottom"/>
          </w:tcPr>
          <w:p>
            <w:pPr>
              <w:ind w:left="1280"/>
              <w:spacing w:after="0"/>
              <w:rPr>
                <w:sz w:val="20"/>
                <w:szCs w:val="20"/>
                <w:color w:val="auto"/>
              </w:rPr>
            </w:pPr>
            <w:r>
              <w:rPr>
                <w:rFonts w:ascii="Arial" w:cs="Arial" w:eastAsia="Arial" w:hAnsi="Arial"/>
                <w:sz w:val="16"/>
                <w:szCs w:val="16"/>
                <w:i w:val="1"/>
                <w:iCs w:val="1"/>
                <w:color w:val="auto"/>
              </w:rPr>
              <w:t>Lead Director; Chair,</w:t>
            </w:r>
          </w:p>
        </w:tc>
        <w:tc>
          <w:tcPr>
            <w:tcW w:w="7320" w:type="dxa"/>
            <w:vAlign w:val="bottom"/>
          </w:tcPr>
          <w:p>
            <w:pPr>
              <w:ind w:left="960"/>
              <w:spacing w:after="0"/>
              <w:rPr>
                <w:sz w:val="20"/>
                <w:szCs w:val="20"/>
                <w:color w:val="auto"/>
              </w:rPr>
            </w:pPr>
            <w:r>
              <w:rPr>
                <w:rFonts w:ascii="Arial" w:cs="Arial" w:eastAsia="Arial" w:hAnsi="Arial"/>
                <w:sz w:val="16"/>
                <w:szCs w:val="16"/>
                <w:i w:val="1"/>
                <w:iCs w:val="1"/>
                <w:color w:val="auto"/>
              </w:rPr>
              <w:t>Member, Governance and</w:t>
            </w:r>
          </w:p>
        </w:tc>
      </w:tr>
      <w:tr>
        <w:trPr>
          <w:trHeight w:val="217"/>
        </w:trPr>
        <w:tc>
          <w:tcPr>
            <w:tcW w:w="4140" w:type="dxa"/>
            <w:vAlign w:val="bottom"/>
          </w:tcPr>
          <w:p>
            <w:pPr>
              <w:ind w:left="1280"/>
              <w:spacing w:after="0"/>
              <w:rPr>
                <w:sz w:val="20"/>
                <w:szCs w:val="20"/>
                <w:color w:val="auto"/>
              </w:rPr>
            </w:pPr>
            <w:r>
              <w:rPr>
                <w:rFonts w:ascii="Arial" w:cs="Arial" w:eastAsia="Arial" w:hAnsi="Arial"/>
                <w:sz w:val="16"/>
                <w:szCs w:val="16"/>
                <w:i w:val="1"/>
                <w:iCs w:val="1"/>
                <w:color w:val="auto"/>
              </w:rPr>
              <w:t>Compensation Committee</w:t>
            </w:r>
          </w:p>
        </w:tc>
        <w:tc>
          <w:tcPr>
            <w:tcW w:w="7320" w:type="dxa"/>
            <w:vAlign w:val="bottom"/>
          </w:tcPr>
          <w:p>
            <w:pPr>
              <w:ind w:left="960"/>
              <w:spacing w:after="0"/>
              <w:rPr>
                <w:sz w:val="20"/>
                <w:szCs w:val="20"/>
                <w:color w:val="auto"/>
              </w:rPr>
            </w:pPr>
            <w:r>
              <w:rPr>
                <w:rFonts w:ascii="Arial" w:cs="Arial" w:eastAsia="Arial" w:hAnsi="Arial"/>
                <w:sz w:val="16"/>
                <w:szCs w:val="16"/>
                <w:i w:val="1"/>
                <w:iCs w:val="1"/>
                <w:color w:val="auto"/>
              </w:rPr>
              <w:t>Stockholder Relations Committee</w:t>
            </w:r>
          </w:p>
        </w:tc>
      </w:tr>
      <w:tr>
        <w:trPr>
          <w:trHeight w:val="1132"/>
        </w:trPr>
        <w:tc>
          <w:tcPr>
            <w:tcW w:w="4140" w:type="dxa"/>
            <w:vAlign w:val="bottom"/>
          </w:tcPr>
          <w:p>
            <w:pPr>
              <w:spacing w:after="0"/>
              <w:rPr>
                <w:sz w:val="20"/>
                <w:szCs w:val="20"/>
                <w:color w:val="auto"/>
              </w:rPr>
            </w:pPr>
            <w:r>
              <w:rPr>
                <w:rFonts w:ascii="Arial" w:cs="Arial" w:eastAsia="Arial" w:hAnsi="Arial"/>
                <w:sz w:val="13"/>
                <w:szCs w:val="13"/>
                <w:b w:val="1"/>
                <w:bCs w:val="1"/>
                <w:color w:val="808285"/>
              </w:rPr>
              <w:t xml:space="preserve">58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p>
        </w:tc>
        <w:tc>
          <w:tcPr>
            <w:tcW w:w="7320" w:type="dxa"/>
            <w:vAlign w:val="bottom"/>
          </w:tcPr>
          <w:p>
            <w:pPr>
              <w:ind w:left="5940"/>
              <w:spacing w:after="0"/>
              <w:rPr>
                <w:sz w:val="20"/>
                <w:szCs w:val="20"/>
                <w:color w:val="auto"/>
              </w:rPr>
            </w:pPr>
            <w:r>
              <w:rPr>
                <w:rFonts w:ascii="Arial" w:cs="Arial" w:eastAsia="Arial" w:hAnsi="Arial"/>
                <w:sz w:val="13"/>
                <w:szCs w:val="13"/>
                <w:b w:val="1"/>
                <w:bCs w:val="1"/>
                <w:color w:val="808285"/>
                <w:w w:val="96"/>
              </w:rPr>
              <w:t>TEXAS INSTRUMENTS</w:t>
            </w:r>
          </w:p>
        </w:tc>
      </w:tr>
      <w:tr>
        <w:trPr>
          <w:trHeight w:val="363"/>
        </w:trPr>
        <w:tc>
          <w:tcPr>
            <w:tcW w:w="414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-1565910</wp:posOffset>
            </wp:positionV>
            <wp:extent cx="762000" cy="913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00" cy="91313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-1565910</wp:posOffset>
            </wp:positionV>
            <wp:extent cx="754380" cy="913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54380" cy="913130"/>
                    </a:xfrm>
                    <a:prstGeom prst="rect">
                      <a:avLst/>
                    </a:prstGeom>
                    <a:noFill/>
                  </pic:spPr>
                </pic:pic>
              </a:graphicData>
            </a:graphic>
          </wp:anchor>
        </w:drawing>
      </w:r>
    </w:p>
    <w:p>
      <w:pPr>
        <w:sectPr>
          <w:pgSz w:w="11900" w:h="16838" w:orient="portrait"/>
          <w:cols w:equalWidth="0" w:num="1">
            <w:col w:w="11460"/>
          </w:cols>
          <w:pgMar w:left="240" w:top="546" w:right="1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Director nomination process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NASDAQ Stock Market (NASDAQ) and the board’s corporate governance guidelines. Our board of directors has adopted a written charter for the G&amp;SR Committee. It can be found on our website at www.ti.com/corporategovernance.</w:t>
      </w:r>
    </w:p>
    <w:p>
      <w:pPr>
        <w:spacing w:after="0" w:line="3" w:lineRule="exact"/>
        <w:rPr>
          <w:sz w:val="20"/>
          <w:szCs w:val="20"/>
          <w:color w:val="auto"/>
        </w:rPr>
      </w:pPr>
    </w:p>
    <w:p>
      <w:pPr>
        <w:ind w:right="20" w:firstLine="250"/>
        <w:spacing w:after="0" w:line="256" w:lineRule="auto"/>
        <w:rPr>
          <w:sz w:val="20"/>
          <w:szCs w:val="20"/>
          <w:color w:val="auto"/>
        </w:rPr>
      </w:pPr>
      <w:r>
        <w:rPr>
          <w:rFonts w:ascii="Arial" w:cs="Arial" w:eastAsia="Arial" w:hAnsi="Arial"/>
          <w:sz w:val="16"/>
          <w:szCs w:val="16"/>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 Box 655936, MS 8658, Dallas, TX 75265-5936. The G&amp;SR Committee will evaluate the stockholder’s prospective board nominee in the same manner as it evaluates other nominees.</w:t>
      </w:r>
    </w:p>
    <w:p>
      <w:pPr>
        <w:ind w:left="260"/>
        <w:spacing w:after="0" w:line="233" w:lineRule="auto"/>
        <w:rPr>
          <w:sz w:val="20"/>
          <w:szCs w:val="20"/>
          <w:color w:val="auto"/>
        </w:rPr>
      </w:pPr>
      <w:r>
        <w:rPr>
          <w:rFonts w:ascii="Arial" w:cs="Arial" w:eastAsia="Arial" w:hAnsi="Arial"/>
          <w:sz w:val="16"/>
          <w:szCs w:val="16"/>
          <w:color w:val="auto"/>
        </w:rPr>
        <w:t>In evaluating prospective nominees, the G&amp;SR Committee looks for the following minimum qualifications, qualities and skills:</w:t>
      </w:r>
    </w:p>
    <w:p>
      <w:pPr>
        <w:ind w:left="300"/>
        <w:spacing w:after="0"/>
        <w:rPr>
          <w:sz w:val="20"/>
          <w:szCs w:val="20"/>
          <w:color w:val="auto"/>
        </w:rPr>
      </w:pPr>
      <w:r>
        <w:rPr>
          <w:sz w:val="1"/>
          <w:szCs w:val="1"/>
          <w:color w:val="auto"/>
        </w:rPr>
        <w:drawing>
          <wp:inline distT="0" distB="0" distL="0" distR="0">
            <wp:extent cx="57150" cy="571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Outstanding achievement in the individual’s personal career.</w:t>
      </w:r>
    </w:p>
    <w:p>
      <w:pPr>
        <w:spacing w:after="0" w:line="15"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Breadth of experience.</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Soundness of judgment.</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Ability to make independent, analytical inquiries.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Ability to contribute to a diversity of viewpoints among board members.</w:t>
      </w:r>
    </w:p>
    <w:p>
      <w:pPr>
        <w:spacing w:after="0" w:line="16" w:lineRule="exact"/>
        <w:rPr>
          <w:sz w:val="20"/>
          <w:szCs w:val="20"/>
          <w:color w:val="auto"/>
        </w:rPr>
      </w:pPr>
    </w:p>
    <w:p>
      <w:pPr>
        <w:ind w:left="500" w:right="100" w:hanging="207"/>
        <w:spacing w:after="0"/>
        <w:rPr>
          <w:sz w:val="20"/>
          <w:szCs w:val="20"/>
          <w:color w:val="auto"/>
        </w:rPr>
      </w:pPr>
      <w:r>
        <w:rPr>
          <w:sz w:val="1"/>
          <w:szCs w:val="1"/>
          <w:color w:val="auto"/>
        </w:rPr>
        <w:drawing>
          <wp:inline distT="0" distB="0" distL="0" distR="0">
            <wp:extent cx="57150" cy="571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ind w:left="500" w:right="200" w:hanging="207"/>
        <w:spacing w:after="0"/>
        <w:rPr>
          <w:sz w:val="20"/>
          <w:szCs w:val="20"/>
          <w:color w:val="auto"/>
        </w:rPr>
      </w:pPr>
      <w:r>
        <w:rPr>
          <w:sz w:val="1"/>
          <w:szCs w:val="1"/>
          <w:color w:val="auto"/>
        </w:rPr>
        <w:drawing>
          <wp:inline distT="0" distB="0" distL="0" distR="0">
            <wp:extent cx="57150" cy="571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Ability to represent the total corporate interests of TI (a director will not be selected to, nor will he or she be expected to, represent the interests of any particular group).</w:t>
      </w:r>
    </w:p>
    <w:p>
      <w:pPr>
        <w:ind w:left="260"/>
        <w:spacing w:after="0"/>
        <w:rPr>
          <w:sz w:val="20"/>
          <w:szCs w:val="20"/>
          <w:color w:val="auto"/>
        </w:rPr>
      </w:pPr>
      <w:r>
        <w:rPr>
          <w:rFonts w:ascii="Arial" w:cs="Arial" w:eastAsia="Arial" w:hAnsi="Arial"/>
          <w:sz w:val="16"/>
          <w:szCs w:val="16"/>
          <w:color w:val="auto"/>
        </w:rPr>
        <w:t>Stockholders, non-employee directors, management and others may submit recommendations to the G&amp;SR Committee.</w:t>
      </w:r>
    </w:p>
    <w:p>
      <w:pPr>
        <w:spacing w:after="0" w:line="22" w:lineRule="exact"/>
        <w:rPr>
          <w:sz w:val="20"/>
          <w:szCs w:val="20"/>
          <w:color w:val="auto"/>
        </w:rPr>
      </w:pPr>
    </w:p>
    <w:p>
      <w:pPr>
        <w:ind w:right="640" w:firstLine="250"/>
        <w:spacing w:after="0" w:line="273" w:lineRule="auto"/>
        <w:rPr>
          <w:sz w:val="20"/>
          <w:szCs w:val="20"/>
          <w:color w:val="auto"/>
        </w:rPr>
      </w:pPr>
      <w:r>
        <w:rPr>
          <w:rFonts w:ascii="Arial" w:cs="Arial" w:eastAsia="Arial" w:hAnsi="Arial"/>
          <w:sz w:val="16"/>
          <w:szCs w:val="16"/>
          <w:color w:val="auto"/>
        </w:rPr>
        <w:t>Mr. Kirk was elected to the board effective September 19, 2013. He is the only director nominee at the 2014 annual meeting of stockholders who is standing for election by the stockholders for the first time. One of the independent directors identified Mr. Kirk as a potential candidate.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board believes its current size is within the desired range as stated in the board’s corporate governance guidelines.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diversity and nominee qualifications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effectiveness of this approach is evidenced by the directors’ participation in the insightful and robust yet respectful deliberation that occurs at board and committee meetings and in shaping the agendas for those meetings.</w:t>
      </w:r>
    </w:p>
    <w:p>
      <w:pPr>
        <w:spacing w:after="0" w:line="3" w:lineRule="exact"/>
        <w:rPr>
          <w:sz w:val="20"/>
          <w:szCs w:val="20"/>
          <w:color w:val="auto"/>
        </w:rPr>
      </w:pPr>
    </w:p>
    <w:p>
      <w:pPr>
        <w:jc w:val="both"/>
        <w:ind w:right="220" w:firstLine="250"/>
        <w:spacing w:after="0" w:line="254" w:lineRule="auto"/>
        <w:rPr>
          <w:sz w:val="20"/>
          <w:szCs w:val="20"/>
          <w:color w:val="auto"/>
        </w:rPr>
      </w:pPr>
      <w:r>
        <w:rPr>
          <w:rFonts w:ascii="Arial" w:cs="Arial" w:eastAsia="Arial" w:hAnsi="Arial"/>
          <w:sz w:val="16"/>
          <w:szCs w:val="16"/>
          <w:color w:val="auto"/>
        </w:rPr>
        <w:t>As it considered director nominees for the 2014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 w:lineRule="exact"/>
        <w:rPr>
          <w:sz w:val="20"/>
          <w:szCs w:val="20"/>
          <w:color w:val="auto"/>
        </w:rPr>
      </w:pPr>
    </w:p>
    <w:p>
      <w:pPr>
        <w:ind w:right="40" w:firstLine="250"/>
        <w:spacing w:after="0" w:line="252" w:lineRule="auto"/>
        <w:rPr>
          <w:sz w:val="20"/>
          <w:szCs w:val="20"/>
          <w:color w:val="auto"/>
        </w:rPr>
      </w:pPr>
      <w:r>
        <w:rPr>
          <w:rFonts w:ascii="Arial" w:cs="Arial" w:eastAsia="Arial" w:hAnsi="Arial"/>
          <w:sz w:val="16"/>
          <w:szCs w:val="16"/>
          <w:color w:val="auto"/>
        </w:rPr>
        <w:t>As described below, each of our director nominees has achieved an extremely high level of success in his or her career, whether at multi-billion dollar multinational corporate enterprises, major U.S. universities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Ten of them have experience in serving on the board of directors of at least one other major corporation, and two have served in high political office, all of which provides additional relevant experience on which each nominee can draw.</w:t>
      </w:r>
    </w:p>
    <w:p>
      <w:pPr>
        <w:spacing w:after="0" w:line="4" w:lineRule="exact"/>
        <w:rPr>
          <w:sz w:val="20"/>
          <w:szCs w:val="20"/>
          <w:color w:val="auto"/>
        </w:rPr>
      </w:pPr>
    </w:p>
    <w:p>
      <w:pPr>
        <w:jc w:val="both"/>
        <w:ind w:right="400" w:firstLine="250"/>
        <w:spacing w:after="0" w:line="271" w:lineRule="auto"/>
        <w:rPr>
          <w:sz w:val="20"/>
          <w:szCs w:val="20"/>
          <w:color w:val="auto"/>
        </w:rPr>
      </w:pPr>
      <w:r>
        <w:rPr>
          <w:rFonts w:ascii="Arial" w:cs="Arial" w:eastAsia="Arial" w:hAnsi="Arial"/>
          <w:sz w:val="16"/>
          <w:szCs w:val="16"/>
          <w:color w:val="auto"/>
        </w:rPr>
        <w:t>In concluding that each nominee should serve as a director, the board relied on the specific experiences and attributes listed below and on the direct personal knowledge, born of previous service on the board, that each of the nominees brings insight and the willingness to ask difficult questions to board deliberations.</w:t>
      </w:r>
    </w:p>
    <w:p>
      <w:pPr>
        <w:spacing w:after="0" w:line="183"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Mr. Babb</w:t>
      </w:r>
    </w:p>
    <w:p>
      <w:pPr>
        <w:spacing w:after="0" w:line="24" w:lineRule="exact"/>
        <w:rPr>
          <w:sz w:val="20"/>
          <w:szCs w:val="20"/>
          <w:color w:val="auto"/>
        </w:rPr>
      </w:pPr>
    </w:p>
    <w:p>
      <w:pPr>
        <w:ind w:left="500" w:right="280" w:hanging="207"/>
        <w:spacing w:after="0"/>
        <w:rPr>
          <w:sz w:val="20"/>
          <w:szCs w:val="20"/>
          <w:color w:val="auto"/>
        </w:rPr>
      </w:pPr>
      <w:r>
        <w:rPr>
          <w:sz w:val="1"/>
          <w:szCs w:val="1"/>
          <w:color w:val="auto"/>
        </w:rPr>
        <w:drawing>
          <wp:inline distT="0" distB="0" distL="0" distR="0">
            <wp:extent cx="57150" cy="571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and CEO of Comerica Incorporated and Comerica Bank (2002-present) and through a long career in banking, has gained first-hand experience in managing large, complex institutions, as well as insight into financial markets, which experience is particularly relevant to the company due to its global presence.</w:t>
      </w:r>
    </w:p>
    <w:p>
      <w:pPr>
        <w:jc w:val="right"/>
        <w:ind w:left="300" w:right="280"/>
        <w:spacing w:after="0" w:line="260" w:lineRule="auto"/>
        <w:rPr>
          <w:sz w:val="20"/>
          <w:szCs w:val="20"/>
          <w:color w:val="auto"/>
        </w:rPr>
      </w:pPr>
      <w:r>
        <w:rPr>
          <w:sz w:val="1"/>
          <w:szCs w:val="1"/>
          <w:color w:val="auto"/>
        </w:rPr>
        <w:drawing>
          <wp:inline distT="0" distB="0" distL="0" distR="0">
            <wp:extent cx="57150" cy="571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Audit Committee chair at the company, chief financial officer of Comerica Incorporated and Comerica Bank (1995-2002), controller and later chief financial officer of Mercantile Bancorporation (1978-1995), and auditor and later audit manager at the accounting firm of Peat Marwick Mitchell &amp; Co.</w:t>
      </w:r>
    </w:p>
    <w:p>
      <w:pPr>
        <w:ind w:left="500"/>
        <w:spacing w:after="0" w:line="215" w:lineRule="auto"/>
        <w:rPr>
          <w:sz w:val="20"/>
          <w:szCs w:val="20"/>
          <w:color w:val="auto"/>
        </w:rPr>
      </w:pPr>
      <w:r>
        <w:rPr>
          <w:rFonts w:ascii="Arial" w:cs="Arial" w:eastAsia="Arial" w:hAnsi="Arial"/>
          <w:sz w:val="16"/>
          <w:szCs w:val="16"/>
          <w:color w:val="auto"/>
        </w:rPr>
        <w:t>(1971-1978), has gained extensive audit knowledge and experience in audit- and financial control-related matters.</w:t>
      </w:r>
    </w:p>
    <w:p>
      <w:pPr>
        <w:spacing w:after="0"/>
        <w:rPr>
          <w:sz w:val="20"/>
          <w:szCs w:val="20"/>
          <w:color w:val="auto"/>
        </w:rPr>
      </w:pPr>
      <w:r>
        <w:rPr>
          <w:rFonts w:ascii="Arial" w:cs="Arial" w:eastAsia="Arial" w:hAnsi="Arial"/>
          <w:sz w:val="16"/>
          <w:szCs w:val="16"/>
          <w:u w:val="single" w:color="auto"/>
          <w:color w:val="auto"/>
        </w:rPr>
        <w:t>Mr. Blinn</w:t>
      </w:r>
    </w:p>
    <w:p>
      <w:pPr>
        <w:spacing w:after="0" w:line="4" w:lineRule="exact"/>
        <w:rPr>
          <w:sz w:val="20"/>
          <w:szCs w:val="20"/>
          <w:color w:val="auto"/>
        </w:rPr>
      </w:pPr>
    </w:p>
    <w:p>
      <w:pPr>
        <w:ind w:left="500" w:right="240" w:hanging="207"/>
        <w:spacing w:after="0"/>
        <w:rPr>
          <w:sz w:val="20"/>
          <w:szCs w:val="20"/>
          <w:color w:val="auto"/>
        </w:rPr>
      </w:pPr>
      <w:r>
        <w:rPr>
          <w:sz w:val="1"/>
          <w:szCs w:val="1"/>
          <w:color w:val="auto"/>
        </w:rPr>
        <w:drawing>
          <wp:inline distT="0" distB="0" distL="0" distR="0">
            <wp:extent cx="57150" cy="571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CEO and a director of Flowserve Corporation (2009-present), has gained first-hand experience in managing a large, multinational corporation operating in global industrial markets, with ultimate management responsibility for the organization’s financial performance and significant capital and R&amp;D investments.</w:t>
      </w:r>
    </w:p>
    <w:p>
      <w:pPr>
        <w:ind w:left="300"/>
        <w:spacing w:after="0"/>
        <w:rPr>
          <w:sz w:val="20"/>
          <w:szCs w:val="20"/>
          <w:color w:val="auto"/>
        </w:rPr>
      </w:pPr>
      <w:r>
        <w:rPr>
          <w:sz w:val="1"/>
          <w:szCs w:val="1"/>
          <w:color w:val="auto"/>
        </w:rPr>
        <w:drawing>
          <wp:inline distT="0" distB="0" distL="0" distR="0">
            <wp:extent cx="57150" cy="571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chief financial officer of Flowserve Corporation (2004-2009), chief financial officer of FedEx Kinko’s Office and Print Services Inc. (2003-2004) and</w:t>
      </w:r>
    </w:p>
    <w:p>
      <w:pPr>
        <w:spacing w:after="0" w:line="16" w:lineRule="exact"/>
        <w:rPr>
          <w:sz w:val="20"/>
          <w:szCs w:val="20"/>
          <w:color w:val="auto"/>
        </w:rPr>
      </w:pPr>
    </w:p>
    <w:p>
      <w:pPr>
        <w:ind w:right="360" w:firstLine="500"/>
        <w:spacing w:after="0" w:line="237" w:lineRule="auto"/>
        <w:rPr>
          <w:sz w:val="20"/>
          <w:szCs w:val="20"/>
          <w:color w:val="auto"/>
        </w:rPr>
      </w:pPr>
      <w:r>
        <w:rPr>
          <w:rFonts w:ascii="Arial" w:cs="Arial" w:eastAsia="Arial" w:hAnsi="Arial"/>
          <w:sz w:val="16"/>
          <w:szCs w:val="16"/>
          <w:color w:val="auto"/>
        </w:rPr>
        <w:t xml:space="preserve">vice president and controller of Centex Corporation (2000-2002), has developed a keen appreciation for audit- and financial control-related matters. </w:t>
      </w:r>
      <w:r>
        <w:rPr>
          <w:rFonts w:ascii="Arial" w:cs="Arial" w:eastAsia="Arial" w:hAnsi="Arial"/>
          <w:sz w:val="16"/>
          <w:szCs w:val="16"/>
          <w:u w:val="single" w:color="auto"/>
          <w:color w:val="auto"/>
        </w:rPr>
        <w:t>Mr. Carp</w:t>
      </w:r>
    </w:p>
    <w:p>
      <w:pPr>
        <w:ind w:left="500" w:right="60" w:hanging="207"/>
        <w:spacing w:after="0"/>
        <w:rPr>
          <w:sz w:val="20"/>
          <w:szCs w:val="20"/>
          <w:color w:val="auto"/>
        </w:rPr>
      </w:pPr>
      <w:r>
        <w:rPr>
          <w:sz w:val="1"/>
          <w:szCs w:val="1"/>
          <w:color w:val="auto"/>
        </w:rPr>
        <w:drawing>
          <wp:inline distT="0" distB="0" distL="0" distR="0">
            <wp:extent cx="57150" cy="571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and CEO (2000-2005) and president (1997-2001, 2002-2003) of Eastman Kodak Company, has gained first-hand experience in managing a large, multinational corporation focused on worldwide electronic consumer markets (which are of relevance to the company), with ultimate management responsibility for the corporation’s financial performance and its significant investments in capital and R&amp;D.</w:t>
      </w:r>
    </w:p>
    <w:p>
      <w:pPr>
        <w:jc w:val="right"/>
        <w:ind w:left="300" w:right="320"/>
        <w:spacing w:after="0" w:line="260" w:lineRule="auto"/>
        <w:rPr>
          <w:sz w:val="20"/>
          <w:szCs w:val="20"/>
          <w:color w:val="auto"/>
        </w:rPr>
      </w:pPr>
      <w:r>
        <w:rPr>
          <w:sz w:val="1"/>
          <w:szCs w:val="1"/>
          <w:color w:val="auto"/>
        </w:rPr>
        <w:drawing>
          <wp:inline distT="0" distB="0" distL="0" distR="0">
            <wp:extent cx="57150" cy="571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of the board of directors of Delta Air Lines, Inc. (2007-present), a director of Norfolk Southern Corporation (2006-present) and a former director of Liz Claiborne, Inc. (2006-2009), has helped oversee the strategy and operations of major multinational corporations in various industries,</w:t>
      </w:r>
    </w:p>
    <w:p>
      <w:pPr>
        <w:ind w:left="500"/>
        <w:spacing w:after="0" w:line="215" w:lineRule="auto"/>
        <w:rPr>
          <w:sz w:val="20"/>
          <w:szCs w:val="20"/>
          <w:color w:val="auto"/>
        </w:rPr>
      </w:pPr>
      <w:r>
        <w:rPr>
          <w:rFonts w:ascii="Arial" w:cs="Arial" w:eastAsia="Arial" w:hAnsi="Arial"/>
          <w:sz w:val="16"/>
          <w:szCs w:val="16"/>
          <w:color w:val="auto"/>
        </w:rPr>
        <w:t>including some that are capital-intensive.</w:t>
      </w:r>
    </w:p>
    <w:p>
      <w:pPr>
        <w:spacing w:after="0"/>
        <w:rPr>
          <w:sz w:val="20"/>
          <w:szCs w:val="20"/>
          <w:color w:val="auto"/>
        </w:rPr>
      </w:pPr>
      <w:r>
        <w:rPr>
          <w:rFonts w:ascii="Arial" w:cs="Arial" w:eastAsia="Arial" w:hAnsi="Arial"/>
          <w:sz w:val="16"/>
          <w:szCs w:val="16"/>
          <w:u w:val="single" w:color="auto"/>
          <w:color w:val="auto"/>
        </w:rPr>
        <w:t>Ms. Cox</w:t>
      </w:r>
    </w:p>
    <w:p>
      <w:pPr>
        <w:spacing w:after="0" w:line="4" w:lineRule="exact"/>
        <w:rPr>
          <w:sz w:val="20"/>
          <w:szCs w:val="20"/>
          <w:color w:val="auto"/>
        </w:rPr>
      </w:pPr>
    </w:p>
    <w:p>
      <w:pPr>
        <w:ind w:left="500" w:right="20" w:hanging="207"/>
        <w:spacing w:after="0"/>
        <w:rPr>
          <w:sz w:val="20"/>
          <w:szCs w:val="20"/>
          <w:color w:val="auto"/>
        </w:rPr>
      </w:pPr>
      <w:r>
        <w:rPr>
          <w:sz w:val="1"/>
          <w:szCs w:val="1"/>
          <w:color w:val="auto"/>
        </w:rPr>
        <w:drawing>
          <wp:inline distT="0" distB="0" distL="0" distR="0">
            <wp:extent cx="57150" cy="571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(2013-present), CEO and a director (2010-present) of Humacyte, Inc.,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(which are of relevance to the company), with responsibility for those organizations’ financial performance and significant capital and R&amp;D investments. Is also a director of</w:t>
      </w:r>
    </w:p>
    <w:p>
      <w:pPr>
        <w:ind w:left="500"/>
        <w:spacing w:after="0" w:line="213" w:lineRule="auto"/>
        <w:rPr>
          <w:sz w:val="20"/>
          <w:szCs w:val="20"/>
          <w:color w:val="auto"/>
        </w:rPr>
      </w:pPr>
      <w:r>
        <w:rPr>
          <w:rFonts w:ascii="Arial" w:cs="Arial" w:eastAsia="Arial" w:hAnsi="Arial"/>
          <w:sz w:val="16"/>
          <w:szCs w:val="16"/>
          <w:color w:val="auto"/>
        </w:rPr>
        <w:t>Cardinal Health, Inc. (2009-present) and Celgene Corporation (2009-present).</w:t>
      </w:r>
    </w:p>
    <w:p>
      <w:pPr>
        <w:spacing w:after="0"/>
        <w:rPr>
          <w:sz w:val="20"/>
          <w:szCs w:val="20"/>
          <w:color w:val="auto"/>
        </w:rPr>
      </w:pPr>
      <w:r>
        <w:rPr>
          <w:rFonts w:ascii="Arial" w:cs="Arial" w:eastAsia="Arial" w:hAnsi="Arial"/>
          <w:sz w:val="16"/>
          <w:szCs w:val="16"/>
          <w:u w:val="single" w:color="auto"/>
          <w:color w:val="auto"/>
        </w:rPr>
        <w:t>Mr. Kirk</w:t>
      </w:r>
    </w:p>
    <w:p>
      <w:pPr>
        <w:spacing w:after="0" w:line="4" w:lineRule="exact"/>
        <w:rPr>
          <w:sz w:val="20"/>
          <w:szCs w:val="20"/>
          <w:color w:val="auto"/>
        </w:rPr>
      </w:pPr>
    </w:p>
    <w:p>
      <w:pPr>
        <w:ind w:left="500" w:right="360" w:hanging="207"/>
        <w:spacing w:after="0"/>
        <w:rPr>
          <w:sz w:val="20"/>
          <w:szCs w:val="20"/>
          <w:color w:val="auto"/>
        </w:rPr>
      </w:pPr>
      <w:r>
        <w:rPr>
          <w:sz w:val="1"/>
          <w:szCs w:val="1"/>
          <w:color w:val="auto"/>
        </w:rPr>
        <w:drawing>
          <wp:inline distT="0" distB="0" distL="0" distR="0">
            <wp:extent cx="57150" cy="571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U.S. Trade Representative (2009-2013), has gained first-hand experience in managing a complex organization that operates on an international scale and developed insight into issues bearing on global economic activity, international trade policies and strategies and the workings of foreign governments.</w:t>
      </w:r>
    </w:p>
    <w:p>
      <w:pPr>
        <w:ind w:left="500" w:right="320" w:hanging="207"/>
        <w:spacing w:after="0"/>
        <w:rPr>
          <w:sz w:val="20"/>
          <w:szCs w:val="20"/>
          <w:color w:val="auto"/>
        </w:rPr>
      </w:pPr>
      <w:r>
        <w:rPr>
          <w:sz w:val="1"/>
          <w:szCs w:val="1"/>
          <w:color w:val="auto"/>
        </w:rPr>
        <w:drawing>
          <wp:inline distT="0" distB="0" distL="0" distR="0">
            <wp:extent cx="57150" cy="571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Senior Of Counsel of Gibson, Dunn &amp; Crutcher LLP (2013-present), and as a partner of Vinson &amp; Elkins, LLP (2005-2009), has gained first-hand experience as an advisor to numerous multinational companies.</w:t>
      </w:r>
    </w:p>
    <w:p>
      <w:pPr>
        <w:ind w:left="300"/>
        <w:spacing w:after="0"/>
        <w:rPr>
          <w:sz w:val="20"/>
          <w:szCs w:val="20"/>
          <w:color w:val="auto"/>
        </w:rPr>
      </w:pPr>
      <w:r>
        <w:rPr>
          <w:sz w:val="1"/>
          <w:szCs w:val="1"/>
          <w:color w:val="auto"/>
        </w:rPr>
        <w:drawing>
          <wp:inline distT="0" distB="0" distL="0" distR="0">
            <wp:extent cx="57150" cy="571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 director of Brinker International, Inc. (1997-2009) and Dean Foods Company (1997-2009) has helped oversee the strategy and operations of other</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large corporations.</w:t>
      </w:r>
    </w:p>
    <w:p>
      <w:pPr>
        <w:spacing w:after="0"/>
        <w:rPr>
          <w:sz w:val="20"/>
          <w:szCs w:val="20"/>
          <w:color w:val="auto"/>
        </w:rPr>
      </w:pPr>
      <w:r>
        <w:rPr>
          <w:rFonts w:ascii="Arial" w:cs="Arial" w:eastAsia="Arial" w:hAnsi="Arial"/>
          <w:sz w:val="16"/>
          <w:szCs w:val="16"/>
          <w:u w:val="single" w:color="auto"/>
          <w:color w:val="auto"/>
        </w:rPr>
        <w:t>Ms. Patsley</w:t>
      </w:r>
    </w:p>
    <w:p>
      <w:pPr>
        <w:spacing w:after="0" w:line="4" w:lineRule="exact"/>
        <w:rPr>
          <w:sz w:val="20"/>
          <w:szCs w:val="20"/>
          <w:color w:val="auto"/>
        </w:rPr>
      </w:pPr>
    </w:p>
    <w:p>
      <w:pPr>
        <w:ind w:left="500" w:right="160" w:hanging="207"/>
        <w:spacing w:after="0"/>
        <w:rPr>
          <w:sz w:val="20"/>
          <w:szCs w:val="20"/>
          <w:color w:val="auto"/>
        </w:rPr>
      </w:pPr>
      <w:r>
        <w:rPr>
          <w:sz w:val="1"/>
          <w:szCs w:val="1"/>
          <w:color w:val="auto"/>
        </w:rPr>
        <w:drawing>
          <wp:inline distT="0" distB="0" distL="0" distR="0">
            <wp:extent cx="57150" cy="571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and CEO (2009-present) of MoneyGram International, Inc., senior executive vice president of First Data Corporation (2000-2007) and president and CEO of Paymentech, Inc. (1991-2000), has gained first-hand experience in managing large, multinational organizations, including the application of technology in the financial services sector, with ultimate management responsibility for their financial performance and significant capital investments.</w:t>
      </w:r>
    </w:p>
    <w:p>
      <w:pPr>
        <w:ind w:left="500" w:right="20" w:hanging="207"/>
        <w:spacing w:after="0"/>
        <w:rPr>
          <w:sz w:val="20"/>
          <w:szCs w:val="20"/>
          <w:color w:val="auto"/>
        </w:rPr>
      </w:pPr>
      <w:r>
        <w:rPr>
          <w:sz w:val="1"/>
          <w:szCs w:val="1"/>
          <w:color w:val="auto"/>
        </w:rPr>
        <w:drawing>
          <wp:inline distT="0" distB="0" distL="0" distR="0">
            <wp:extent cx="57150" cy="571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former Audit Committee chair at the company, a member of the audit committee at Dr Pepper Snapple Group, Inc., chief financial officer of First USA, Inc. (1987-1994) and a former auditor at KPMG Peat Marwick for almost six years before joining First USA, has developed a keen appreciation for audit- and financial control-related matters.</w:t>
      </w:r>
    </w:p>
    <w:p>
      <w:pPr>
        <w:ind w:left="300"/>
        <w:spacing w:after="0"/>
        <w:rPr>
          <w:sz w:val="20"/>
          <w:szCs w:val="20"/>
          <w:color w:val="auto"/>
        </w:rPr>
      </w:pPr>
      <w:r>
        <w:rPr>
          <w:sz w:val="1"/>
          <w:szCs w:val="1"/>
          <w:color w:val="auto"/>
        </w:rPr>
        <w:drawing>
          <wp:inline distT="0" distB="0" distL="0" distR="0">
            <wp:extent cx="57150" cy="571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 director of Dr Pepper Snapple Group, Inc. (2008-present) and a former director of Molson Coors Brewing Company (2005-2009), has helped</w:t>
      </w:r>
    </w:p>
    <w:p>
      <w:pPr>
        <w:ind w:left="500"/>
        <w:spacing w:after="0" w:line="234" w:lineRule="auto"/>
        <w:rPr>
          <w:sz w:val="20"/>
          <w:szCs w:val="20"/>
          <w:color w:val="auto"/>
        </w:rPr>
      </w:pPr>
      <w:r>
        <w:rPr>
          <w:rFonts w:ascii="Arial" w:cs="Arial" w:eastAsia="Arial" w:hAnsi="Arial"/>
          <w:sz w:val="16"/>
          <w:szCs w:val="16"/>
          <w:color w:val="auto"/>
        </w:rPr>
        <w:t>oversee the strategy and operations of other major multinational corporations.</w:t>
      </w:r>
    </w:p>
    <w:p>
      <w:pPr>
        <w:spacing w:after="0"/>
        <w:rPr>
          <w:sz w:val="20"/>
          <w:szCs w:val="20"/>
          <w:color w:val="auto"/>
        </w:rPr>
      </w:pPr>
      <w:r>
        <w:rPr>
          <w:rFonts w:ascii="Arial" w:cs="Arial" w:eastAsia="Arial" w:hAnsi="Arial"/>
          <w:sz w:val="16"/>
          <w:szCs w:val="16"/>
          <w:u w:val="single" w:color="auto"/>
          <w:color w:val="auto"/>
        </w:rPr>
        <w:t>Mr. Sanchez</w:t>
      </w:r>
    </w:p>
    <w:p>
      <w:pPr>
        <w:spacing w:after="0" w:line="4" w:lineRule="exact"/>
        <w:rPr>
          <w:sz w:val="20"/>
          <w:szCs w:val="20"/>
          <w:color w:val="auto"/>
        </w:rPr>
      </w:pPr>
    </w:p>
    <w:p>
      <w:pPr>
        <w:ind w:left="500" w:right="440" w:hanging="207"/>
        <w:spacing w:after="0"/>
        <w:rPr>
          <w:sz w:val="20"/>
          <w:szCs w:val="20"/>
          <w:color w:val="auto"/>
        </w:rPr>
      </w:pPr>
      <w:r>
        <w:rPr>
          <w:sz w:val="1"/>
          <w:szCs w:val="1"/>
          <w:color w:val="auto"/>
        </w:rPr>
        <w:drawing>
          <wp:inline distT="0" distB="0" distL="0" distR="0">
            <wp:extent cx="57150" cy="571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and CEO (2013-present), president (2012 to present) and chief operating officer (2012) of Ryder System, Inc., and as president of its Global Fleet Management Solutions business segment (2010-2012), has gained first-hand experience in managing a large, multinational, transportation-related organization, with responsibility for the organization’s financial performance and significant capital investments.</w:t>
      </w:r>
    </w:p>
    <w:p>
      <w:pPr>
        <w:ind w:left="500" w:right="340" w:hanging="207"/>
        <w:spacing w:after="0"/>
        <w:rPr>
          <w:sz w:val="20"/>
          <w:szCs w:val="20"/>
          <w:color w:val="auto"/>
        </w:rPr>
      </w:pPr>
      <w:r>
        <w:rPr>
          <w:sz w:val="1"/>
          <w:szCs w:val="1"/>
          <w:color w:val="auto"/>
        </w:rPr>
        <w:drawing>
          <wp:inline distT="0" distB="0" distL="0" distR="0">
            <wp:extent cx="57150" cy="571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executive vice president and chief financial officer (2007-2010) and as senior vice president and chief information officer (2003-2005) of Ryder System, Inc., has developed a keen appreciation for audit- and financial control-related issues and gained first-hand experience with all technology-related functions of a large, multinational corporation focused on transportation and logistics.</w:t>
      </w:r>
    </w:p>
    <w:p>
      <w:pPr>
        <w:spacing w:after="0" w:line="244"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60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auto"/>
        </w:rPr>
        <w:t>Mr. Sanders</w:t>
      </w:r>
    </w:p>
    <w:p>
      <w:pPr>
        <w:spacing w:after="0" w:line="24" w:lineRule="exact"/>
        <w:rPr>
          <w:sz w:val="20"/>
          <w:szCs w:val="20"/>
          <w:color w:val="auto"/>
        </w:rPr>
      </w:pPr>
    </w:p>
    <w:p>
      <w:pPr>
        <w:jc w:val="right"/>
        <w:ind w:left="300" w:right="320"/>
        <w:spacing w:after="0" w:line="260" w:lineRule="auto"/>
        <w:rPr>
          <w:sz w:val="20"/>
          <w:szCs w:val="20"/>
          <w:color w:val="auto"/>
        </w:rPr>
      </w:pPr>
      <w:r>
        <w:rPr>
          <w:sz w:val="1"/>
          <w:szCs w:val="1"/>
          <w:color w:val="auto"/>
        </w:rPr>
        <w:drawing>
          <wp:inline distT="0" distB="0" distL="0" distR="0">
            <wp:extent cx="57150" cy="571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(1992-2003) and CEO (1991-2002) of Kimberly-Clark Corporation, has gained first-hand experience in managing a large, multinational consumer goods corporation, with ultimate management responsibility for its financial performance and its significant capital and R&amp;D investments. </w:t>
      </w:r>
      <w:r>
        <w:rPr>
          <w:sz w:val="1"/>
          <w:szCs w:val="1"/>
          <w:color w:val="auto"/>
        </w:rPr>
        <w:drawing>
          <wp:inline distT="0" distB="0" distL="0" distR="0">
            <wp:extent cx="57150" cy="571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chairman of Dr Pepper Snapple Group, Inc. (2008-present) and a director of Belo Corporation (2003-2013), has helped oversee the strategy and</w:t>
      </w:r>
    </w:p>
    <w:p>
      <w:pPr>
        <w:ind w:left="500"/>
        <w:spacing w:after="0" w:line="214" w:lineRule="auto"/>
        <w:rPr>
          <w:sz w:val="20"/>
          <w:szCs w:val="20"/>
          <w:color w:val="auto"/>
        </w:rPr>
      </w:pPr>
      <w:r>
        <w:rPr>
          <w:rFonts w:ascii="Arial" w:cs="Arial" w:eastAsia="Arial" w:hAnsi="Arial"/>
          <w:sz w:val="16"/>
          <w:szCs w:val="16"/>
          <w:color w:val="auto"/>
        </w:rPr>
        <w:t>operations of other large corporations.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Ms. Simmons</w:t>
      </w:r>
    </w:p>
    <w:p>
      <w:pPr>
        <w:spacing w:after="0" w:line="4" w:lineRule="exact"/>
        <w:rPr>
          <w:sz w:val="20"/>
          <w:szCs w:val="20"/>
          <w:color w:val="auto"/>
        </w:rPr>
      </w:pPr>
    </w:p>
    <w:p>
      <w:pPr>
        <w:ind w:left="500" w:right="180" w:hanging="207"/>
        <w:spacing w:after="0"/>
        <w:rPr>
          <w:sz w:val="20"/>
          <w:szCs w:val="20"/>
          <w:color w:val="auto"/>
        </w:rPr>
      </w:pPr>
      <w:r>
        <w:rPr>
          <w:sz w:val="1"/>
          <w:szCs w:val="1"/>
          <w:color w:val="auto"/>
        </w:rPr>
        <w:drawing>
          <wp:inline distT="0" distB="0" distL="0" distR="0">
            <wp:extent cx="57150" cy="571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president of Brown University (2001-2012) and president of Smith College (1995-2001), has gained first-hand experience in managing large, complex institutions, and developed deep insight into the development and training of professionals, including engineers, scientists and technologists, on whom the company relies for its next generation of employees.</w:t>
      </w:r>
    </w:p>
    <w:p>
      <w:pPr>
        <w:jc w:val="center"/>
        <w:spacing w:after="0"/>
        <w:rPr>
          <w:sz w:val="20"/>
          <w:szCs w:val="20"/>
          <w:color w:val="auto"/>
        </w:rPr>
      </w:pPr>
      <w:r>
        <w:rPr>
          <w:sz w:val="1"/>
          <w:szCs w:val="1"/>
          <w:color w:val="auto"/>
        </w:rPr>
        <w:drawing>
          <wp:inline distT="0" distB="0" distL="0" distR="0">
            <wp:extent cx="57150" cy="571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 director of Chrysler Group LLC (2012-present) and Mondelez International, Inc. (2012-present) and as a former director of The Goldman Sachs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Group, Inc. (2000-2010), has helped oversee the strategy and operations of other large corporations.</w:t>
      </w:r>
    </w:p>
    <w:p>
      <w:pPr>
        <w:spacing w:after="0"/>
        <w:rPr>
          <w:sz w:val="20"/>
          <w:szCs w:val="20"/>
          <w:color w:val="auto"/>
        </w:rPr>
      </w:pPr>
      <w:r>
        <w:rPr>
          <w:rFonts w:ascii="Arial" w:cs="Arial" w:eastAsia="Arial" w:hAnsi="Arial"/>
          <w:sz w:val="16"/>
          <w:szCs w:val="16"/>
          <w:u w:val="single" w:color="auto"/>
          <w:color w:val="auto"/>
        </w:rPr>
        <w:t>Mr. Templeton</w:t>
      </w:r>
    </w:p>
    <w:p>
      <w:pPr>
        <w:spacing w:after="0" w:line="4"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 33-year veteran of the semiconductor industry, serving the last 18 years at a senior level at the company, including as chairman since 2008, CEO</w:t>
      </w:r>
    </w:p>
    <w:p>
      <w:pPr>
        <w:spacing w:after="0" w:line="15" w:lineRule="exact"/>
        <w:rPr>
          <w:sz w:val="20"/>
          <w:szCs w:val="20"/>
          <w:color w:val="auto"/>
        </w:rPr>
      </w:pPr>
    </w:p>
    <w:p>
      <w:pPr>
        <w:ind w:right="1220" w:firstLine="500"/>
        <w:spacing w:after="0" w:line="228" w:lineRule="auto"/>
        <w:rPr>
          <w:sz w:val="20"/>
          <w:szCs w:val="20"/>
          <w:color w:val="auto"/>
        </w:rPr>
      </w:pPr>
      <w:r>
        <w:rPr>
          <w:rFonts w:ascii="Arial" w:cs="Arial" w:eastAsia="Arial" w:hAnsi="Arial"/>
          <w:sz w:val="16"/>
          <w:szCs w:val="16"/>
          <w:color w:val="auto"/>
        </w:rPr>
        <w:t xml:space="preserve">since 2004 and director since 2003, has developed a deep knowledge of all aspects of the company and of the semiconductor industry. </w:t>
      </w:r>
      <w:r>
        <w:rPr>
          <w:rFonts w:ascii="Arial" w:cs="Arial" w:eastAsia="Arial" w:hAnsi="Arial"/>
          <w:sz w:val="16"/>
          <w:szCs w:val="16"/>
          <w:u w:val="single" w:color="auto"/>
          <w:color w:val="auto"/>
        </w:rPr>
        <w:t>Ms. Whitman</w:t>
      </w:r>
    </w:p>
    <w:p>
      <w:pPr>
        <w:spacing w:after="0" w:line="1" w:lineRule="exact"/>
        <w:rPr>
          <w:sz w:val="20"/>
          <w:szCs w:val="20"/>
          <w:color w:val="auto"/>
        </w:rPr>
      </w:pPr>
    </w:p>
    <w:p>
      <w:pPr>
        <w:ind w:left="500" w:right="40" w:hanging="207"/>
        <w:spacing w:after="0"/>
        <w:rPr>
          <w:sz w:val="20"/>
          <w:szCs w:val="20"/>
          <w:color w:val="auto"/>
        </w:rPr>
      </w:pPr>
      <w:r>
        <w:rPr>
          <w:sz w:val="1"/>
          <w:szCs w:val="1"/>
          <w:color w:val="auto"/>
        </w:rPr>
        <w:drawing>
          <wp:inline distT="0" distB="0" distL="0" distR="0">
            <wp:extent cx="57150" cy="571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Administrator of the Environmental Protection Agency (2001-2003) and Governor of the state of New Jersey (1994-2000), has gained first-hand experience managing a large, complex organization and developed keen insight into the workings of government on the federal and state level and how they might impact company operations.</w:t>
      </w:r>
    </w:p>
    <w:p>
      <w:pPr>
        <w:ind w:left="500" w:right="760" w:hanging="207"/>
        <w:spacing w:after="0"/>
        <w:rPr>
          <w:sz w:val="20"/>
          <w:szCs w:val="20"/>
          <w:color w:val="auto"/>
        </w:rPr>
      </w:pPr>
      <w:r>
        <w:rPr>
          <w:sz w:val="1"/>
          <w:szCs w:val="1"/>
          <w:color w:val="auto"/>
        </w:rPr>
        <w:drawing>
          <wp:inline distT="0" distB="0" distL="0" distR="0">
            <wp:extent cx="57150" cy="571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As a director of S.C. Johnson &amp; Son, Inc. (2003-present) and United Technologies Corp. (2003-present), has helped oversee the strategy and operations of other large corporations.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with the board</w:t>
      </w:r>
    </w:p>
    <w:p>
      <w:pPr>
        <w:spacing w:after="0" w:line="206"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auto"/>
        </w:rPr>
        <w:t>Stockholders and others who wish to communicate with the board as a whole, or to individual directors, may write to them at: P.O. Box 655936, MS 8658, Dallas, TX 75265-5936. All communications sent to this address will be shared with the board or the individual director, if so addressed.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206"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board has a long-standing commitment to responsible and effective corporate governance. The board’s corporate governance guidelines (which include the director independence standards), the charters of each of the board’s committees, TI’s code of business conduct and our code of ethics for our CEO and senior financial officers are available on our website at www.ti.com/corporategovernance. Stockholders may request copies of these documents free of charge by writing to Texas Instruments Incorporated, P.O. Box 660199, MS 8657, Dallas, TX 75266-0199, Attn: Investor Relations.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attendance</w:t>
      </w:r>
    </w:p>
    <w:p>
      <w:pPr>
        <w:spacing w:after="0" w:line="206" w:lineRule="exact"/>
        <w:rPr>
          <w:sz w:val="20"/>
          <w:szCs w:val="20"/>
          <w:color w:val="auto"/>
        </w:rPr>
      </w:pPr>
    </w:p>
    <w:p>
      <w:pPr>
        <w:ind w:right="680"/>
        <w:spacing w:after="0" w:line="290" w:lineRule="auto"/>
        <w:rPr>
          <w:sz w:val="20"/>
          <w:szCs w:val="20"/>
          <w:color w:val="auto"/>
        </w:rPr>
      </w:pPr>
      <w:r>
        <w:rPr>
          <w:rFonts w:ascii="Arial" w:cs="Arial" w:eastAsia="Arial" w:hAnsi="Arial"/>
          <w:sz w:val="16"/>
          <w:szCs w:val="16"/>
          <w:color w:val="auto"/>
        </w:rPr>
        <w:t>It is a policy of the board to encourage directors to attend each annual meeting of stockholders. Such attendance allows for direct interaction between stockholders and board members. In 2013, all directors then in office attended TI’s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0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49" w:lineRule="exact"/>
        <w:rPr>
          <w:sz w:val="20"/>
          <w:szCs w:val="20"/>
          <w:color w:val="auto"/>
        </w:rPr>
      </w:pPr>
    </w:p>
    <w:p>
      <w:pPr>
        <w:ind w:left="220" w:hanging="220"/>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no event will a director be considered independent if:</w:t>
      </w:r>
    </w:p>
    <w:p>
      <w:pPr>
        <w:spacing w:after="0" w:line="23" w:lineRule="exact"/>
        <w:rPr>
          <w:rFonts w:ascii="Arial" w:cs="Arial" w:eastAsia="Arial" w:hAnsi="Arial"/>
          <w:sz w:val="16"/>
          <w:szCs w:val="16"/>
          <w:color w:val="auto"/>
        </w:rPr>
      </w:pPr>
    </w:p>
    <w:p>
      <w:pPr>
        <w:ind w:left="400" w:hanging="187"/>
        <w:spacing w:after="0"/>
        <w:tabs>
          <w:tab w:leader="none" w:pos="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He or she is a current partner of or is employed by the company’s independent auditors;</w:t>
      </w:r>
    </w:p>
    <w:p>
      <w:pPr>
        <w:spacing w:after="0" w:line="3" w:lineRule="exact"/>
        <w:rPr>
          <w:rFonts w:ascii="Arial" w:cs="Arial" w:eastAsia="Arial" w:hAnsi="Arial"/>
          <w:sz w:val="16"/>
          <w:szCs w:val="16"/>
          <w:color w:val="auto"/>
        </w:rPr>
      </w:pPr>
    </w:p>
    <w:p>
      <w:pPr>
        <w:ind w:left="400" w:right="180" w:hanging="187"/>
        <w:spacing w:after="0" w:line="244" w:lineRule="auto"/>
        <w:tabs>
          <w:tab w:leader="none" w:pos="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 family member of the director is (a) a current partner of the company’s independent auditors or (b) currently employed by the company’s independent auditors and personally works on the company’s audit;</w:t>
      </w:r>
    </w:p>
    <w:p>
      <w:pPr>
        <w:ind w:left="400" w:hanging="187"/>
        <w:spacing w:after="0" w:line="254" w:lineRule="auto"/>
        <w:tabs>
          <w:tab w:leader="none" w:pos="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w:t>
      </w:r>
    </w:p>
    <w:p>
      <w:pPr>
        <w:spacing w:after="0" w:line="221"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8" w:name="page9"/>
    <w:bookmarkEnd w:id="8"/>
    <w:p>
      <w:pPr>
        <w:ind w:left="220" w:right="280"/>
        <w:spacing w:after="0" w:line="251" w:lineRule="auto"/>
        <w:rPr>
          <w:sz w:val="20"/>
          <w:szCs w:val="20"/>
          <w:color w:val="auto"/>
        </w:rPr>
      </w:pPr>
      <w:r>
        <w:rPr>
          <w:rFonts w:ascii="Arial" w:cs="Arial" w:eastAsia="Arial" w:hAnsi="Arial"/>
          <w:sz w:val="16"/>
          <w:szCs w:val="16"/>
          <w:color w:val="auto"/>
        </w:rPr>
        <w:t>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1" w:lineRule="exact"/>
        <w:rPr>
          <w:sz w:val="20"/>
          <w:szCs w:val="20"/>
          <w:color w:val="auto"/>
        </w:rPr>
      </w:pPr>
    </w:p>
    <w:p>
      <w:pPr>
        <w:ind w:left="400" w:right="60" w:hanging="187"/>
        <w:spacing w:after="0" w:line="244" w:lineRule="auto"/>
        <w:tabs>
          <w:tab w:leader="none" w:pos="400" w:val="left"/>
        </w:tabs>
        <w:numPr>
          <w:ilvl w:val="1"/>
          <w:numId w:val="6"/>
        </w:numPr>
        <w:rPr>
          <w:rFonts w:ascii="Arial" w:cs="Arial" w:eastAsia="Arial" w:hAnsi="Arial"/>
          <w:sz w:val="16"/>
          <w:szCs w:val="16"/>
          <w:color w:val="auto"/>
        </w:rPr>
      </w:pPr>
      <w:r>
        <w:rPr>
          <w:rFonts w:ascii="Arial" w:cs="Arial" w:eastAsia="Arial" w:hAnsi="Arial"/>
          <w:sz w:val="16"/>
          <w:szCs w:val="16"/>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 w:lineRule="exact"/>
        <w:rPr>
          <w:rFonts w:ascii="Arial" w:cs="Arial" w:eastAsia="Arial" w:hAnsi="Arial"/>
          <w:sz w:val="16"/>
          <w:szCs w:val="16"/>
          <w:color w:val="auto"/>
        </w:rPr>
      </w:pPr>
    </w:p>
    <w:p>
      <w:pPr>
        <w:ind w:left="220" w:hanging="220"/>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no event will a director be considered independent if, within the preceding three years:</w:t>
      </w:r>
    </w:p>
    <w:p>
      <w:pPr>
        <w:spacing w:after="0" w:line="3" w:lineRule="exact"/>
        <w:rPr>
          <w:rFonts w:ascii="Arial" w:cs="Arial" w:eastAsia="Arial" w:hAnsi="Arial"/>
          <w:sz w:val="16"/>
          <w:szCs w:val="16"/>
          <w:color w:val="auto"/>
        </w:rPr>
      </w:pPr>
    </w:p>
    <w:p>
      <w:pPr>
        <w:ind w:left="400" w:right="520" w:hanging="187"/>
        <w:spacing w:after="0" w:line="244" w:lineRule="auto"/>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He or she was employed by the company (except in the capacity of interim chairman of the board, chief executive officer or other executive officer, provided the interim employment did not last longer than one year);</w:t>
      </w:r>
    </w:p>
    <w:p>
      <w:pPr>
        <w:ind w:left="400" w:right="260" w:hanging="187"/>
        <w:spacing w:after="0" w:line="244" w:lineRule="auto"/>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He or she received more than $120,000 during any twelve-month period in compensation from the company (other than (a) 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1" w:lineRule="exact"/>
        <w:rPr>
          <w:rFonts w:ascii="Arial" w:cs="Arial" w:eastAsia="Arial" w:hAnsi="Arial"/>
          <w:sz w:val="16"/>
          <w:szCs w:val="16"/>
          <w:color w:val="auto"/>
        </w:rPr>
      </w:pPr>
    </w:p>
    <w:p>
      <w:pPr>
        <w:ind w:left="400" w:hanging="187"/>
        <w:spacing w:after="0"/>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 family member of the director was employed as an executive officer by the company;</w:t>
      </w:r>
    </w:p>
    <w:p>
      <w:pPr>
        <w:spacing w:after="0" w:line="3" w:lineRule="exact"/>
        <w:rPr>
          <w:rFonts w:ascii="Arial" w:cs="Arial" w:eastAsia="Arial" w:hAnsi="Arial"/>
          <w:sz w:val="16"/>
          <w:szCs w:val="16"/>
          <w:color w:val="auto"/>
        </w:rPr>
      </w:pPr>
    </w:p>
    <w:p>
      <w:pPr>
        <w:ind w:left="400" w:right="920" w:hanging="187"/>
        <w:spacing w:after="0" w:line="244" w:lineRule="auto"/>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 family member of the director received more than $120,000 during any twelve-month period in compensation from the company (excluding compensation as a non-executive officer employee of the company);</w:t>
      </w:r>
    </w:p>
    <w:p>
      <w:pPr>
        <w:ind w:left="400" w:hanging="187"/>
        <w:spacing w:after="0"/>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He or she was (but is no longer) a partner or employee of the company’s independent auditors and worked on the company’s audit within that time;</w:t>
      </w:r>
    </w:p>
    <w:p>
      <w:pPr>
        <w:spacing w:after="0" w:line="3" w:lineRule="exact"/>
        <w:rPr>
          <w:rFonts w:ascii="Arial" w:cs="Arial" w:eastAsia="Arial" w:hAnsi="Arial"/>
          <w:sz w:val="16"/>
          <w:szCs w:val="16"/>
          <w:color w:val="auto"/>
        </w:rPr>
      </w:pPr>
    </w:p>
    <w:p>
      <w:pPr>
        <w:ind w:left="400" w:right="100" w:hanging="187"/>
        <w:spacing w:after="0" w:line="244" w:lineRule="auto"/>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 family member of the director was (but is no longer) a partner or employee of the company’s independent auditors and worked on the company’s audit within that time;</w:t>
      </w:r>
    </w:p>
    <w:p>
      <w:pPr>
        <w:ind w:left="400" w:right="440" w:hanging="187"/>
        <w:spacing w:after="0" w:line="244" w:lineRule="auto"/>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He or she was an executive officer of another entity at which any of the company’s current executive officers at any time during the past three years served on that entity’s compensation committee; or</w:t>
      </w:r>
    </w:p>
    <w:p>
      <w:pPr>
        <w:ind w:left="400" w:right="100" w:hanging="187"/>
        <w:spacing w:after="0" w:line="244" w:lineRule="auto"/>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 family member of the director was an executive officer of another entity at which any of the company’s current executive officers at any time during the past three years served on that entity’s compensation committee.</w:t>
      </w:r>
    </w:p>
    <w:p>
      <w:pPr>
        <w:ind w:left="220" w:right="40" w:hanging="220"/>
        <w:spacing w:after="0" w:line="244"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1" w:lineRule="exact"/>
        <w:rPr>
          <w:rFonts w:ascii="Arial" w:cs="Arial" w:eastAsia="Arial" w:hAnsi="Arial"/>
          <w:sz w:val="16"/>
          <w:szCs w:val="16"/>
          <w:color w:val="auto"/>
        </w:rPr>
      </w:pPr>
    </w:p>
    <w:p>
      <w:pPr>
        <w:jc w:val="both"/>
        <w:ind w:left="220" w:right="240" w:hanging="220"/>
        <w:spacing w:after="0" w:line="244"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1" w:lineRule="exact"/>
        <w:rPr>
          <w:rFonts w:ascii="Arial" w:cs="Arial" w:eastAsia="Arial" w:hAnsi="Arial"/>
          <w:sz w:val="16"/>
          <w:szCs w:val="16"/>
          <w:color w:val="auto"/>
        </w:rPr>
      </w:pPr>
    </w:p>
    <w:p>
      <w:pPr>
        <w:ind w:left="400" w:hanging="187"/>
        <w:spacing w:after="0"/>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source of compensation of the director, including any consulting, advisory or compensatory fee paid by the company to the director; and</w:t>
      </w:r>
    </w:p>
    <w:p>
      <w:pPr>
        <w:spacing w:after="0" w:line="3" w:lineRule="exact"/>
        <w:rPr>
          <w:rFonts w:ascii="Arial" w:cs="Arial" w:eastAsia="Arial" w:hAnsi="Arial"/>
          <w:sz w:val="16"/>
          <w:szCs w:val="16"/>
          <w:color w:val="auto"/>
        </w:rPr>
      </w:pPr>
    </w:p>
    <w:p>
      <w:pPr>
        <w:ind w:left="400" w:hanging="187"/>
        <w:spacing w:after="0"/>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Whether the director is affiliated with the company, a subsidiary of the company or an affiliate of a subsidiary of the company.</w:t>
      </w:r>
    </w:p>
    <w:p>
      <w:pPr>
        <w:spacing w:after="0" w:line="3" w:lineRule="exact"/>
        <w:rPr>
          <w:rFonts w:ascii="Arial" w:cs="Arial" w:eastAsia="Arial" w:hAnsi="Arial"/>
          <w:sz w:val="16"/>
          <w:szCs w:val="16"/>
          <w:color w:val="auto"/>
        </w:rPr>
      </w:pPr>
    </w:p>
    <w:p>
      <w:pPr>
        <w:ind w:left="220" w:right="140" w:hanging="220"/>
        <w:spacing w:after="0" w:line="249"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For purposes of these independence determinations, “company” and “family member” will have the same meaning as under NASDAQ rules.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ORGANIZATION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meetings</w:t>
      </w:r>
    </w:p>
    <w:p>
      <w:pPr>
        <w:spacing w:after="0" w:line="206"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During 2013, the board held nine meetings. The board has three standing committees described below. The committees of the board collectively held 19 meetings in 2013. Each director attended all of the board and relevant committee meetings combined. Overall attendance at board and committee meetings was 100 percent.</w:t>
      </w:r>
    </w:p>
    <w:p>
      <w:pPr>
        <w:spacing w:after="0" w:line="187"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62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Committees of the board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Audit Committee</w:t>
      </w:r>
    </w:p>
    <w:p>
      <w:pPr>
        <w:spacing w:after="0" w:line="2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April 20, 2012, to April 18, 2013, the committee members were Ms. Patsley (Chair), Mr. Babb and Mr. Sanchez. Since April 19, 2013, the committee members have been Mr. Babb (Chair), Mr. Blinn and Ms. Simmons. The Audit Committee is generally responsible for:</w:t>
      </w:r>
    </w:p>
    <w:p>
      <w:pPr>
        <w:spacing w:after="0" w:line="2"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Appointing, compensating, retaining and overseeing TI’s independent registered public accounting firm.</w:t>
      </w:r>
    </w:p>
    <w:p>
      <w:pPr>
        <w:spacing w:after="0" w:line="15"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the annual report of TI’s independent registered public accounting firm related to quality control.</w:t>
      </w:r>
    </w:p>
    <w:p>
      <w:pPr>
        <w:spacing w:after="0" w:line="16" w:lineRule="exact"/>
        <w:rPr>
          <w:sz w:val="20"/>
          <w:szCs w:val="20"/>
          <w:color w:val="auto"/>
        </w:rPr>
      </w:pPr>
    </w:p>
    <w:p>
      <w:pPr>
        <w:ind w:left="500" w:right="100" w:hanging="207"/>
        <w:spacing w:after="0"/>
        <w:rPr>
          <w:sz w:val="20"/>
          <w:szCs w:val="20"/>
          <w:color w:val="auto"/>
        </w:rPr>
      </w:pPr>
      <w:r>
        <w:rPr>
          <w:sz w:val="1"/>
          <w:szCs w:val="1"/>
          <w:color w:val="auto"/>
        </w:rPr>
        <w:drawing>
          <wp:inline distT="0" distB="0" distL="0" distR="0">
            <wp:extent cx="57150" cy="571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TI’s annual reports to the SEC, including the financial statements and the “Management’s Discussion and Analysis” portion of those reports, and recommending appropriate action to the board.</w:t>
      </w:r>
    </w:p>
    <w:p>
      <w:pPr>
        <w:ind w:left="300"/>
        <w:spacing w:after="0"/>
        <w:rPr>
          <w:sz w:val="20"/>
          <w:szCs w:val="20"/>
          <w:color w:val="auto"/>
        </w:rPr>
      </w:pPr>
      <w:r>
        <w:rPr>
          <w:sz w:val="1"/>
          <w:szCs w:val="1"/>
          <w:color w:val="auto"/>
        </w:rPr>
        <w:drawing>
          <wp:inline distT="0" distB="0" distL="0" distR="0">
            <wp:extent cx="57150" cy="571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TI’s audit plans.</w:t>
      </w:r>
    </w:p>
    <w:p>
      <w:pPr>
        <w:spacing w:after="0" w:line="16" w:lineRule="exact"/>
        <w:rPr>
          <w:sz w:val="20"/>
          <w:szCs w:val="20"/>
          <w:color w:val="auto"/>
        </w:rPr>
      </w:pPr>
    </w:p>
    <w:p>
      <w:pPr>
        <w:ind w:left="500" w:right="340" w:hanging="207"/>
        <w:spacing w:after="0"/>
        <w:rPr>
          <w:sz w:val="20"/>
          <w:szCs w:val="20"/>
          <w:color w:val="auto"/>
        </w:rPr>
      </w:pPr>
      <w:r>
        <w:rPr>
          <w:sz w:val="1"/>
          <w:szCs w:val="1"/>
          <w:color w:val="auto"/>
        </w:rPr>
        <w:drawing>
          <wp:inline distT="0" distB="0" distL="0" distR="0">
            <wp:extent cx="57150" cy="571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before issuance TI’s news releases regarding annual and interim financial results and discussing with management any related earnings guidance that may be provided to analysts and rating agencies.</w:t>
      </w:r>
    </w:p>
    <w:p>
      <w:pPr>
        <w:ind w:left="500" w:right="260" w:hanging="207"/>
        <w:spacing w:after="0"/>
        <w:rPr>
          <w:sz w:val="20"/>
          <w:szCs w:val="20"/>
          <w:color w:val="auto"/>
        </w:rPr>
      </w:pPr>
      <w:r>
        <w:rPr>
          <w:sz w:val="1"/>
          <w:szCs w:val="1"/>
          <w:color w:val="auto"/>
        </w:rPr>
        <w:drawing>
          <wp:inline distT="0" distB="0" distL="0" distR="0">
            <wp:extent cx="57150" cy="571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Discussing TI’s audited financial statements with management and the independent registered public accounting firm, including a discussion with the firm regarding the matters required to be reviewed under applicable legal or regulatory requirements.</w:t>
      </w:r>
    </w:p>
    <w:p>
      <w:pPr>
        <w:ind w:left="300"/>
        <w:spacing w:after="0"/>
        <w:rPr>
          <w:sz w:val="20"/>
          <w:szCs w:val="20"/>
          <w:color w:val="auto"/>
        </w:rPr>
      </w:pPr>
      <w:r>
        <w:rPr>
          <w:sz w:val="1"/>
          <w:szCs w:val="1"/>
          <w:color w:val="auto"/>
        </w:rPr>
        <w:drawing>
          <wp:inline distT="0" distB="0" distL="0" distR="0">
            <wp:extent cx="57150" cy="571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relationships between the independent registered public accounting firm and TI.</w:t>
      </w:r>
    </w:p>
    <w:p>
      <w:pPr>
        <w:spacing w:after="0" w:line="16" w:lineRule="exact"/>
        <w:rPr>
          <w:sz w:val="20"/>
          <w:szCs w:val="20"/>
          <w:color w:val="auto"/>
        </w:rPr>
      </w:pPr>
    </w:p>
    <w:p>
      <w:pPr>
        <w:ind w:left="500" w:right="700" w:hanging="207"/>
        <w:spacing w:after="0"/>
        <w:rPr>
          <w:sz w:val="20"/>
          <w:szCs w:val="20"/>
          <w:color w:val="auto"/>
        </w:rPr>
      </w:pPr>
      <w:r>
        <w:rPr>
          <w:sz w:val="1"/>
          <w:szCs w:val="1"/>
          <w:color w:val="auto"/>
        </w:rPr>
        <w:drawing>
          <wp:inline distT="0" distB="0" distL="0" distR="0">
            <wp:extent cx="57150" cy="571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and discussing the adequacy of TI’s internal accounting controls and other factors affecting the integrity of TI’s financial reports with management and with the independent registered public accounting firm.</w:t>
      </w:r>
    </w:p>
    <w:p>
      <w:pPr>
        <w:ind w:left="300"/>
        <w:spacing w:after="0"/>
        <w:rPr>
          <w:sz w:val="20"/>
          <w:szCs w:val="20"/>
          <w:color w:val="auto"/>
        </w:rPr>
      </w:pPr>
      <w:r>
        <w:rPr>
          <w:sz w:val="1"/>
          <w:szCs w:val="1"/>
          <w:color w:val="auto"/>
        </w:rPr>
        <w:drawing>
          <wp:inline distT="0" distB="0" distL="0" distR="0">
            <wp:extent cx="57150" cy="571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Creating and periodically reviewing TI’s whistleblower policy.</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TI’s risk assessment and risk management policies.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TI’s compliance and ethics program.</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a report of compliance of management and operating personnel with TI’s code of business conduct, including TI’s conflict of interest policy.</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TI’s non-employee-related insurance programs.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changes, if any, in major accounting policies of the company.</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trends in accounting policy changes that are relevant to the company.</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the company’s policy regarding investments and financial derivative products.</w:t>
      </w:r>
    </w:p>
    <w:p>
      <w:pPr>
        <w:spacing w:after="0" w:line="22" w:lineRule="exact"/>
        <w:rPr>
          <w:sz w:val="20"/>
          <w:szCs w:val="20"/>
          <w:color w:val="auto"/>
        </w:rPr>
      </w:pPr>
    </w:p>
    <w:p>
      <w:pPr>
        <w:ind w:right="100" w:firstLine="250"/>
        <w:spacing w:after="0" w:line="263" w:lineRule="auto"/>
        <w:rPr>
          <w:sz w:val="20"/>
          <w:szCs w:val="20"/>
          <w:color w:val="auto"/>
        </w:rPr>
      </w:pPr>
      <w:r>
        <w:rPr>
          <w:rFonts w:ascii="Arial" w:cs="Arial" w:eastAsia="Arial" w:hAnsi="Arial"/>
          <w:sz w:val="16"/>
          <w:szCs w:val="16"/>
          <w:color w:val="auto"/>
        </w:rPr>
        <w:t>The board has determined that all members of the Audit Committee are financially sophisticated, as the board has interpreted such qualifications in its business judgment. In addition, the board has designated Mr. Babb as the audit committee financial expert as defined in the Securities Exchange Act of 1934, as amended.</w:t>
      </w:r>
    </w:p>
    <w:p>
      <w:pPr>
        <w:spacing w:after="0" w:line="2" w:lineRule="exact"/>
        <w:rPr>
          <w:sz w:val="20"/>
          <w:szCs w:val="20"/>
          <w:color w:val="auto"/>
        </w:rPr>
      </w:pPr>
    </w:p>
    <w:p>
      <w:pPr>
        <w:ind w:right="40" w:firstLine="250"/>
        <w:spacing w:after="0" w:line="271" w:lineRule="auto"/>
        <w:rPr>
          <w:sz w:val="20"/>
          <w:szCs w:val="20"/>
          <w:color w:val="auto"/>
        </w:rPr>
      </w:pPr>
      <w:r>
        <w:rPr>
          <w:rFonts w:ascii="Arial" w:cs="Arial" w:eastAsia="Arial" w:hAnsi="Arial"/>
          <w:sz w:val="16"/>
          <w:szCs w:val="16"/>
          <w:color w:val="auto"/>
        </w:rPr>
        <w:t>The Audit Committee met six times in 2013.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93 for a report of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Committee</w:t>
      </w:r>
    </w:p>
    <w:p>
      <w:pPr>
        <w:spacing w:after="0" w:line="24" w:lineRule="exact"/>
        <w:rPr>
          <w:sz w:val="20"/>
          <w:szCs w:val="20"/>
          <w:color w:val="auto"/>
        </w:rPr>
      </w:pPr>
    </w:p>
    <w:p>
      <w:pPr>
        <w:ind w:right="400"/>
        <w:spacing w:after="0" w:line="244" w:lineRule="auto"/>
        <w:rPr>
          <w:sz w:val="20"/>
          <w:szCs w:val="20"/>
          <w:color w:val="auto"/>
        </w:rPr>
      </w:pPr>
      <w:r>
        <w:rPr>
          <w:rFonts w:ascii="Arial" w:cs="Arial" w:eastAsia="Arial" w:hAnsi="Arial"/>
          <w:sz w:val="16"/>
          <w:szCs w:val="16"/>
          <w:color w:val="auto"/>
        </w:rPr>
        <w:t>All members of the Compensation Committee are independent. From April 20, 2012, to April 18, 2013, the committee members were Ms. Cox (Chair), Mr. Sanders and Ms. Simmons. Since April 19, 2013, the committee members have been Ms. Cox (Chair), Ms. Patsley and Mr. Sanchez. The committee is responsible for:</w:t>
      </w:r>
    </w:p>
    <w:p>
      <w:pPr>
        <w:spacing w:after="0" w:line="1"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 the performance of the CEO and determining his compensation.</w:t>
      </w:r>
    </w:p>
    <w:p>
      <w:pPr>
        <w:spacing w:after="0" w:line="15"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Setting the compensation of the company’s other executive officers.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Overseeing administration of employee benefit plans.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Making recommendations to the board regarding:</w:t>
      </w:r>
    </w:p>
    <w:p>
      <w:pPr>
        <w:spacing w:after="0" w:line="16" w:lineRule="exact"/>
        <w:rPr>
          <w:sz w:val="20"/>
          <w:szCs w:val="20"/>
          <w:color w:val="auto"/>
        </w:rPr>
      </w:pPr>
    </w:p>
    <w:p>
      <w:pPr>
        <w:ind w:left="1200" w:right="140" w:hanging="207"/>
        <w:spacing w:after="0"/>
        <w:rPr>
          <w:sz w:val="20"/>
          <w:szCs w:val="20"/>
          <w:color w:val="auto"/>
        </w:rPr>
      </w:pPr>
      <w:r>
        <w:rPr>
          <w:sz w:val="1"/>
          <w:szCs w:val="1"/>
          <w:color w:val="auto"/>
        </w:rPr>
        <w:drawing>
          <wp:inline distT="0" distB="0" distL="0" distR="0">
            <wp:extent cx="57150" cy="571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ind w:left="1200" w:right="360" w:hanging="207"/>
        <w:spacing w:after="0"/>
        <w:rPr>
          <w:sz w:val="20"/>
          <w:szCs w:val="20"/>
          <w:color w:val="auto"/>
        </w:rPr>
      </w:pPr>
      <w:r>
        <w:rPr>
          <w:sz w:val="1"/>
          <w:szCs w:val="1"/>
          <w:color w:val="auto"/>
        </w:rPr>
        <w:drawing>
          <wp:inline distT="0" distB="0" distL="0" distR="0">
            <wp:extent cx="57150" cy="571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Reservation of company stock for use as awards of grants under plans or as contributions or sales to any trustee of any employee benefit plan.</w:t>
      </w:r>
    </w:p>
    <w:p>
      <w:pPr>
        <w:ind w:left="500" w:right="160" w:hanging="207"/>
        <w:spacing w:after="0"/>
        <w:rPr>
          <w:sz w:val="20"/>
          <w:szCs w:val="20"/>
          <w:color w:val="auto"/>
        </w:rPr>
      </w:pPr>
      <w:r>
        <w:rPr>
          <w:sz w:val="1"/>
          <w:szCs w:val="1"/>
          <w:color w:val="auto"/>
        </w:rPr>
        <w:drawing>
          <wp:inline distT="0" distB="0" distL="0" distR="0">
            <wp:extent cx="57150" cy="571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Taking action as appropriate regarding the institution and termination of, revisions in and actions under employee benefit plans that are not required to be approved by the board.</w:t>
      </w:r>
    </w:p>
    <w:p>
      <w:pPr>
        <w:ind w:left="300"/>
        <w:spacing w:after="0"/>
        <w:rPr>
          <w:sz w:val="20"/>
          <w:szCs w:val="20"/>
          <w:color w:val="auto"/>
        </w:rPr>
      </w:pPr>
      <w:r>
        <w:rPr>
          <w:sz w:val="1"/>
          <w:szCs w:val="1"/>
          <w:color w:val="auto"/>
        </w:rPr>
        <w:drawing>
          <wp:inline distT="0" distB="0" distL="0" distR="0">
            <wp:extent cx="57150" cy="571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Appointing, setting the compensation of, overseeing and considering the independence of any compensation consultant or other advisor.</w:t>
      </w:r>
    </w:p>
    <w:p>
      <w:pPr>
        <w:spacing w:after="0" w:line="22" w:lineRule="exact"/>
        <w:rPr>
          <w:sz w:val="20"/>
          <w:szCs w:val="20"/>
          <w:color w:val="auto"/>
        </w:rPr>
      </w:pPr>
    </w:p>
    <w:p>
      <w:pPr>
        <w:ind w:right="360" w:firstLine="250"/>
        <w:spacing w:after="0" w:line="306" w:lineRule="auto"/>
        <w:rPr>
          <w:sz w:val="20"/>
          <w:szCs w:val="20"/>
          <w:color w:val="auto"/>
        </w:rPr>
      </w:pPr>
      <w:r>
        <w:rPr>
          <w:rFonts w:ascii="Arial" w:cs="Arial" w:eastAsia="Arial" w:hAnsi="Arial"/>
          <w:sz w:val="16"/>
          <w:szCs w:val="16"/>
          <w:color w:val="auto"/>
        </w:rPr>
        <w:t>The Compensation Committee holds regularly scheduled meetings, reports its activities to the board, and consults with the board before setting annual executive compensation. During 2013, the committee met six times. Please see page 81 for a report of the committee.</w:t>
      </w:r>
    </w:p>
    <w:p>
      <w:pPr>
        <w:spacing w:after="0" w:line="181"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0" w:name="page11"/>
    <w:bookmarkEnd w:id="10"/>
    <w:p>
      <w:pPr>
        <w:ind w:right="120" w:firstLine="250"/>
        <w:spacing w:after="0" w:line="254" w:lineRule="auto"/>
        <w:rPr>
          <w:sz w:val="20"/>
          <w:szCs w:val="20"/>
          <w:color w:val="auto"/>
        </w:rPr>
      </w:pPr>
      <w:r>
        <w:rPr>
          <w:rFonts w:ascii="Arial" w:cs="Arial" w:eastAsia="Arial" w:hAnsi="Arial"/>
          <w:sz w:val="16"/>
          <w:szCs w:val="16"/>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2013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 w:lineRule="exact"/>
        <w:rPr>
          <w:sz w:val="20"/>
          <w:szCs w:val="20"/>
          <w:color w:val="auto"/>
        </w:rPr>
      </w:pPr>
    </w:p>
    <w:p>
      <w:pPr>
        <w:ind w:right="340" w:firstLine="250"/>
        <w:spacing w:after="0" w:line="256" w:lineRule="auto"/>
        <w:rPr>
          <w:sz w:val="20"/>
          <w:szCs w:val="20"/>
          <w:color w:val="auto"/>
        </w:rPr>
      </w:pPr>
      <w:r>
        <w:rPr>
          <w:rFonts w:ascii="Arial" w:cs="Arial" w:eastAsia="Arial" w:hAnsi="Arial"/>
          <w:sz w:val="16"/>
          <w:szCs w:val="16"/>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2013, the committee determined that its compensation consultant was independent of the company and had no conflict of interest.</w:t>
      </w:r>
    </w:p>
    <w:p>
      <w:pPr>
        <w:spacing w:after="0" w:line="3" w:lineRule="exact"/>
        <w:rPr>
          <w:sz w:val="20"/>
          <w:szCs w:val="20"/>
          <w:color w:val="auto"/>
        </w:rPr>
      </w:pPr>
    </w:p>
    <w:p>
      <w:pPr>
        <w:ind w:right="140" w:firstLine="250"/>
        <w:spacing w:after="0" w:line="256" w:lineRule="auto"/>
        <w:rPr>
          <w:sz w:val="20"/>
          <w:szCs w:val="20"/>
          <w:color w:val="auto"/>
        </w:rPr>
      </w:pPr>
      <w:r>
        <w:rPr>
          <w:rFonts w:ascii="Arial" w:cs="Arial" w:eastAsia="Arial" w:hAnsi="Arial"/>
          <w:sz w:val="16"/>
          <w:szCs w:val="16"/>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3" w:lineRule="exact"/>
        <w:rPr>
          <w:sz w:val="20"/>
          <w:szCs w:val="20"/>
          <w:color w:val="auto"/>
        </w:rPr>
      </w:pPr>
    </w:p>
    <w:p>
      <w:pPr>
        <w:ind w:right="40" w:firstLine="250"/>
        <w:spacing w:after="0" w:line="251" w:lineRule="auto"/>
        <w:rPr>
          <w:sz w:val="20"/>
          <w:szCs w:val="20"/>
          <w:color w:val="auto"/>
        </w:rPr>
      </w:pPr>
      <w:r>
        <w:rPr>
          <w:rFonts w:ascii="Arial" w:cs="Arial" w:eastAsia="Arial" w:hAnsi="Arial"/>
          <w:sz w:val="16"/>
          <w:szCs w:val="16"/>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3" w:lineRule="exact"/>
        <w:rPr>
          <w:sz w:val="20"/>
          <w:szCs w:val="20"/>
          <w:color w:val="auto"/>
        </w:rPr>
      </w:pPr>
    </w:p>
    <w:p>
      <w:pPr>
        <w:ind w:right="200" w:firstLine="250"/>
        <w:spacing w:after="0" w:line="260" w:lineRule="auto"/>
        <w:rPr>
          <w:sz w:val="20"/>
          <w:szCs w:val="20"/>
          <w:color w:val="auto"/>
        </w:rPr>
      </w:pPr>
      <w:r>
        <w:rPr>
          <w:rFonts w:ascii="Arial" w:cs="Arial" w:eastAsia="Arial" w:hAnsi="Arial"/>
          <w:sz w:val="16"/>
          <w:szCs w:val="16"/>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 w:lineRule="exact"/>
        <w:rPr>
          <w:sz w:val="20"/>
          <w:szCs w:val="20"/>
          <w:color w:val="auto"/>
        </w:rPr>
      </w:pPr>
    </w:p>
    <w:p>
      <w:pPr>
        <w:ind w:right="20" w:firstLine="250"/>
        <w:spacing w:after="0" w:line="262" w:lineRule="auto"/>
        <w:rPr>
          <w:sz w:val="20"/>
          <w:szCs w:val="20"/>
          <w:color w:val="auto"/>
        </w:rPr>
      </w:pPr>
      <w:r>
        <w:rPr>
          <w:rFonts w:ascii="Arial" w:cs="Arial" w:eastAsia="Arial" w:hAnsi="Arial"/>
          <w:sz w:val="16"/>
          <w:szCs w:val="16"/>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to TI’s executive officers. The Compensation Committee reviews the grant activity of the special committee.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Governance and Stockholder Relations Committee</w:t>
      </w:r>
    </w:p>
    <w:p>
      <w:pPr>
        <w:spacing w:after="0" w:line="24" w:lineRule="exact"/>
        <w:rPr>
          <w:sz w:val="20"/>
          <w:szCs w:val="20"/>
          <w:color w:val="auto"/>
        </w:rPr>
      </w:pPr>
    </w:p>
    <w:p>
      <w:pPr>
        <w:ind w:right="360"/>
        <w:spacing w:after="0" w:line="244" w:lineRule="auto"/>
        <w:rPr>
          <w:sz w:val="20"/>
          <w:szCs w:val="20"/>
          <w:color w:val="auto"/>
        </w:rPr>
      </w:pPr>
      <w:r>
        <w:rPr>
          <w:rFonts w:ascii="Arial" w:cs="Arial" w:eastAsia="Arial" w:hAnsi="Arial"/>
          <w:sz w:val="16"/>
          <w:szCs w:val="16"/>
          <w:color w:val="auto"/>
        </w:rPr>
        <w:t>All members of the G&amp;SR Committee are independent. From April 20, 2012, to April 18, 2013, the committee members were Ms. Whitman (Chair) and Mr. Carp. Since April 19, 2013, the committee members have been Ms. Whitman (Chair), Mr. Carp and Mr. Sanders, with Mr. Kirk joining the committee on September 19, 2013. The G&amp;SR Committee is generally responsible for:</w:t>
      </w:r>
    </w:p>
    <w:p>
      <w:pPr>
        <w:spacing w:after="0" w:line="1"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Making recommendations to the board regarding:</w:t>
      </w:r>
    </w:p>
    <w:p>
      <w:pPr>
        <w:spacing w:after="0" w:line="15"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development and revision of our corporate governance principles.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size, composition and functioning of the board and board committees.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Candidates to fill board positions.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Nominees to be designated for election as directors.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Compensation of board members.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Organization and responsibilities of board committees.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Succession planning by the company.</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Issues of potential conflicts of interest involving a board member raised under TI’s conflict of interest policy.</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Election of executive officers of the company.</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Topics affecting the relationship between the company and stockholders.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Public issues likely to affect the company.</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Responses to proposals submitted by stockholders.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Reviewing:</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Contribution policies of the company and the TI Foundation.</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Revisions to TI’s code of ethics.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Electing officers of the company other than the executive officers.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Overseeing an annual evaluation of the board and the committee.</w:t>
      </w:r>
    </w:p>
    <w:p>
      <w:pPr>
        <w:spacing w:after="0" w:line="22" w:lineRule="exact"/>
        <w:rPr>
          <w:sz w:val="20"/>
          <w:szCs w:val="20"/>
          <w:color w:val="auto"/>
        </w:rPr>
      </w:pPr>
    </w:p>
    <w:p>
      <w:pPr>
        <w:ind w:right="200" w:firstLine="250"/>
        <w:spacing w:after="0" w:line="306" w:lineRule="auto"/>
        <w:rPr>
          <w:sz w:val="20"/>
          <w:szCs w:val="20"/>
          <w:color w:val="auto"/>
        </w:rPr>
      </w:pPr>
      <w:r>
        <w:rPr>
          <w:rFonts w:ascii="Arial" w:cs="Arial" w:eastAsia="Arial" w:hAnsi="Arial"/>
          <w:sz w:val="16"/>
          <w:szCs w:val="16"/>
          <w:color w:val="auto"/>
        </w:rPr>
        <w:t>The G&amp;SR Committee met seven times in 2013. The G&amp;SR Committee holds regularly scheduled meetings and reports its activities to the board. Please see page 59 for a discussion of stockholder nominations and page 61 for a discussion of communications with the board.</w:t>
      </w:r>
    </w:p>
    <w:p>
      <w:pPr>
        <w:spacing w:after="0" w:line="181"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64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Board leadership structure</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at each board meeting), allows it to maintain the active engagement of independent directors and appropriate oversight of management.</w:t>
      </w:r>
    </w:p>
    <w:p>
      <w:pPr>
        <w:spacing w:after="0" w:line="3" w:lineRule="exact"/>
        <w:rPr>
          <w:sz w:val="20"/>
          <w:szCs w:val="20"/>
          <w:color w:val="auto"/>
        </w:rPr>
      </w:pPr>
    </w:p>
    <w:p>
      <w:pPr>
        <w:ind w:right="100" w:firstLine="250"/>
        <w:spacing w:after="0" w:line="261" w:lineRule="auto"/>
        <w:rPr>
          <w:sz w:val="20"/>
          <w:szCs w:val="20"/>
          <w:color w:val="auto"/>
        </w:rPr>
      </w:pPr>
      <w:r>
        <w:rPr>
          <w:rFonts w:ascii="Arial" w:cs="Arial" w:eastAsia="Arial" w:hAnsi="Arial"/>
          <w:sz w:val="16"/>
          <w:szCs w:val="16"/>
          <w:color w:val="auto"/>
        </w:rPr>
        <w:t>The lead director is elected by the independent directors annually. The independent directors have elected Ms. Cox to serve as lead director. The duties of the lead director are to:</w:t>
      </w:r>
    </w:p>
    <w:p>
      <w:pPr>
        <w:spacing w:after="0" w:line="1"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Preside at all meetings of the board at which the chairman is not present, including executive sessions of the independent directors;</w:t>
      </w:r>
    </w:p>
    <w:p>
      <w:pPr>
        <w:spacing w:after="0" w:line="15"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Serve as liaison between the chairman and the independent directors;</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Approve information sent to the board;</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Approve meeting agendas for the board;</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Approve meeting schedules to assure that there is sufficient time for discussion of all agenda items; and</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If requested by major shareholders, ensure that he or she is available for consultation and direct communication.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lead director has authority to call meetings of the independent directors.</w:t>
      </w:r>
    </w:p>
    <w:p>
      <w:pPr>
        <w:spacing w:after="0" w:line="16" w:lineRule="exact"/>
        <w:rPr>
          <w:sz w:val="20"/>
          <w:szCs w:val="20"/>
          <w:color w:val="auto"/>
        </w:rPr>
      </w:pPr>
    </w:p>
    <w:p>
      <w:pPr>
        <w:ind w:right="100" w:firstLine="250"/>
        <w:spacing w:after="0" w:line="254" w:lineRule="auto"/>
        <w:rPr>
          <w:sz w:val="20"/>
          <w:szCs w:val="20"/>
          <w:color w:val="auto"/>
        </w:rPr>
      </w:pPr>
      <w:r>
        <w:rPr>
          <w:rFonts w:ascii="Arial" w:cs="Arial" w:eastAsia="Arial" w:hAnsi="Arial"/>
          <w:sz w:val="16"/>
          <w:szCs w:val="16"/>
          <w:color w:val="auto"/>
        </w:rPr>
        <w:t>The board, led by its G&amp;SR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2" w:lineRule="exact"/>
        <w:rPr>
          <w:sz w:val="20"/>
          <w:szCs w:val="20"/>
          <w:color w:val="auto"/>
        </w:rPr>
      </w:pPr>
    </w:p>
    <w:p>
      <w:pPr>
        <w:ind w:right="280" w:firstLine="250"/>
        <w:spacing w:after="0" w:line="298" w:lineRule="auto"/>
        <w:rPr>
          <w:sz w:val="20"/>
          <w:szCs w:val="20"/>
          <w:color w:val="auto"/>
        </w:rPr>
      </w:pPr>
      <w:r>
        <w:rPr>
          <w:rFonts w:ascii="Arial" w:cs="Arial" w:eastAsia="Arial" w:hAnsi="Arial"/>
          <w:sz w:val="16"/>
          <w:szCs w:val="16"/>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 by the board</w:t>
      </w:r>
    </w:p>
    <w:p>
      <w:pPr>
        <w:spacing w:after="0" w:line="20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ind w:right="400" w:firstLine="250"/>
        <w:spacing w:after="0" w:line="256" w:lineRule="auto"/>
        <w:rPr>
          <w:sz w:val="20"/>
          <w:szCs w:val="20"/>
          <w:color w:val="auto"/>
        </w:rPr>
      </w:pPr>
      <w:r>
        <w:rPr>
          <w:rFonts w:ascii="Arial" w:cs="Arial" w:eastAsia="Arial" w:hAnsi="Arial"/>
          <w:sz w:val="16"/>
          <w:szCs w:val="16"/>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3" w:lineRule="exact"/>
        <w:rPr>
          <w:sz w:val="20"/>
          <w:szCs w:val="20"/>
          <w:color w:val="auto"/>
        </w:rPr>
      </w:pPr>
    </w:p>
    <w:p>
      <w:pPr>
        <w:ind w:firstLine="250"/>
        <w:spacing w:after="0" w:line="254" w:lineRule="auto"/>
        <w:rPr>
          <w:sz w:val="20"/>
          <w:szCs w:val="20"/>
          <w:color w:val="auto"/>
        </w:rPr>
      </w:pPr>
      <w:r>
        <w:rPr>
          <w:rFonts w:ascii="Arial" w:cs="Arial" w:eastAsia="Arial" w:hAnsi="Arial"/>
          <w:sz w:val="16"/>
          <w:szCs w:val="16"/>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2" w:lineRule="exact"/>
        <w:rPr>
          <w:sz w:val="20"/>
          <w:szCs w:val="20"/>
          <w:color w:val="auto"/>
        </w:rPr>
      </w:pPr>
    </w:p>
    <w:p>
      <w:pPr>
        <w:ind w:right="500" w:firstLine="250"/>
        <w:spacing w:after="0" w:line="269" w:lineRule="auto"/>
        <w:rPr>
          <w:sz w:val="20"/>
          <w:szCs w:val="20"/>
          <w:color w:val="auto"/>
        </w:rPr>
      </w:pPr>
      <w:r>
        <w:rPr>
          <w:rFonts w:ascii="Arial" w:cs="Arial" w:eastAsia="Arial" w:hAnsi="Arial"/>
          <w:sz w:val="16"/>
          <w:szCs w:val="16"/>
          <w:color w:val="auto"/>
        </w:rPr>
        <w:t>The Audit Committee oversees the company’s approach to risk management as a whole. It reviews the company’s risk management process at least annually by means of a presentation by the CFO.</w:t>
      </w:r>
    </w:p>
    <w:p>
      <w:pPr>
        <w:ind w:right="300" w:firstLine="250"/>
        <w:spacing w:after="0" w:line="258" w:lineRule="auto"/>
        <w:rPr>
          <w:sz w:val="20"/>
          <w:szCs w:val="20"/>
          <w:color w:val="auto"/>
        </w:rPr>
      </w:pPr>
      <w:r>
        <w:rPr>
          <w:rFonts w:ascii="Arial" w:cs="Arial" w:eastAsia="Arial" w:hAnsi="Arial"/>
          <w:sz w:val="16"/>
          <w:szCs w:val="16"/>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93"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DIRECTOR COMPENSATION</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compensation arrangements for the non-employee directors are:</w:t>
      </w:r>
    </w:p>
    <w:p>
      <w:pPr>
        <w:spacing w:after="0" w:line="29"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Annual retainer of $80,000 for board and committee service.</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Additional annual retainer of $25,000 for service as the lead director.</w:t>
      </w:r>
    </w:p>
    <w:p>
      <w:pPr>
        <w:spacing w:after="0" w:line="16" w:lineRule="exact"/>
        <w:rPr>
          <w:sz w:val="20"/>
          <w:szCs w:val="20"/>
          <w:color w:val="auto"/>
        </w:rPr>
      </w:pPr>
    </w:p>
    <w:p>
      <w:pPr>
        <w:ind w:left="500" w:right="340" w:hanging="207"/>
        <w:spacing w:after="0"/>
        <w:rPr>
          <w:sz w:val="20"/>
          <w:szCs w:val="20"/>
          <w:color w:val="auto"/>
        </w:rPr>
      </w:pPr>
      <w:r>
        <w:rPr>
          <w:sz w:val="1"/>
          <w:szCs w:val="1"/>
          <w:color w:val="auto"/>
        </w:rPr>
        <w:drawing>
          <wp:inline distT="0" distB="0" distL="0" distR="0">
            <wp:extent cx="57150" cy="571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Additional annual retainer of $30,000 for service as chair of the Audit Committee; $20,000 for service as chair of the Compensation Committee; and $15,000 for service as chair of the G&amp;SR Committee.</w:t>
      </w:r>
    </w:p>
    <w:p>
      <w:pPr>
        <w:ind w:left="500" w:right="20" w:hanging="207"/>
        <w:spacing w:after="0"/>
        <w:rPr>
          <w:sz w:val="20"/>
          <w:szCs w:val="20"/>
          <w:color w:val="auto"/>
        </w:rPr>
      </w:pPr>
      <w:r>
        <w:rPr>
          <w:sz w:val="1"/>
          <w:szCs w:val="1"/>
          <w:color w:val="auto"/>
        </w:rPr>
        <w:drawing>
          <wp:inline distT="0" distB="0" distL="0" distR="0">
            <wp:extent cx="57150" cy="571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full term. If a director’s service terminates for any other reason, all outstanding options held by the director shall be exercisable for 30 days after the date of termination, but only to the extent such options were exercisable on the date of termination.</w:t>
      </w:r>
    </w:p>
    <w:p>
      <w:pPr>
        <w:ind w:left="500" w:hanging="207"/>
        <w:spacing w:after="0"/>
        <w:rPr>
          <w:sz w:val="20"/>
          <w:szCs w:val="20"/>
          <w:color w:val="auto"/>
        </w:rPr>
      </w:pPr>
      <w:r>
        <w:rPr>
          <w:sz w:val="1"/>
          <w:szCs w:val="1"/>
          <w:color w:val="auto"/>
        </w:rPr>
        <w:drawing>
          <wp:inline distT="0" distB="0" distL="0" distR="0">
            <wp:extent cx="57150" cy="571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ind w:left="300"/>
        <w:spacing w:after="0"/>
        <w:rPr>
          <w:sz w:val="20"/>
          <w:szCs w:val="20"/>
          <w:color w:val="auto"/>
        </w:rPr>
      </w:pPr>
      <w:r>
        <w:rPr>
          <w:sz w:val="1"/>
          <w:szCs w:val="1"/>
          <w:color w:val="auto"/>
        </w:rPr>
        <w:drawing>
          <wp:inline distT="0" distB="0" distL="0" distR="0">
            <wp:extent cx="57150" cy="571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$1,000 per day compensation for other activities designated by the chairman.</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 one-time grant of 2,000 restricted stock units upon a director’s initial election to the board.</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board has determined that grants of equity compensation to non-employee directors will be timed to occur when grants are made to our U.S. employees in connection with the annual compensation review process. Accordingly, such equity grants to non-employee directors are made in January. Please see the discussion regarding the timing of equity compensation grants on page 78.</w:t>
      </w:r>
    </w:p>
    <w:p>
      <w:pPr>
        <w:spacing w:after="0" w:line="1" w:lineRule="exact"/>
        <w:rPr>
          <w:sz w:val="20"/>
          <w:szCs w:val="20"/>
          <w:color w:val="auto"/>
        </w:rPr>
      </w:pPr>
    </w:p>
    <w:p>
      <w:pPr>
        <w:jc w:val="both"/>
        <w:ind w:right="260" w:firstLine="250"/>
        <w:spacing w:after="0" w:line="256" w:lineRule="auto"/>
        <w:rPr>
          <w:sz w:val="20"/>
          <w:szCs w:val="20"/>
          <w:color w:val="auto"/>
        </w:rPr>
      </w:pPr>
      <w:r>
        <w:rPr>
          <w:rFonts w:ascii="Arial" w:cs="Arial" w:eastAsia="Arial" w:hAnsi="Arial"/>
          <w:sz w:val="16"/>
          <w:szCs w:val="16"/>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3" w:lineRule="exact"/>
        <w:rPr>
          <w:sz w:val="20"/>
          <w:szCs w:val="20"/>
          <w:color w:val="auto"/>
        </w:rPr>
      </w:pPr>
    </w:p>
    <w:p>
      <w:pPr>
        <w:ind w:right="100" w:firstLine="250"/>
        <w:spacing w:after="0" w:line="254" w:lineRule="auto"/>
        <w:rPr>
          <w:sz w:val="20"/>
          <w:szCs w:val="20"/>
          <w:color w:val="auto"/>
        </w:rPr>
      </w:pPr>
      <w:r>
        <w:rPr>
          <w:rFonts w:ascii="Arial" w:cs="Arial" w:eastAsia="Arial" w:hAnsi="Arial"/>
          <w:sz w:val="16"/>
          <w:szCs w:val="16"/>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2013, that rate was 3.42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 w:lineRule="exact"/>
        <w:rPr>
          <w:sz w:val="20"/>
          <w:szCs w:val="20"/>
          <w:color w:val="auto"/>
        </w:rPr>
      </w:pPr>
    </w:p>
    <w:p>
      <w:pPr>
        <w:jc w:val="both"/>
        <w:ind w:right="80" w:firstLine="250"/>
        <w:spacing w:after="0" w:line="260" w:lineRule="auto"/>
        <w:rPr>
          <w:sz w:val="20"/>
          <w:szCs w:val="20"/>
          <w:color w:val="auto"/>
        </w:rPr>
      </w:pPr>
      <w:r>
        <w:rPr>
          <w:rFonts w:ascii="Arial" w:cs="Arial" w:eastAsia="Arial" w:hAnsi="Arial"/>
          <w:sz w:val="16"/>
          <w:szCs w:val="16"/>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Non-employee directors are not eligible to participate in any TI-sponsored pension plan.</w:t>
      </w:r>
    </w:p>
    <w:p>
      <w:pPr>
        <w:spacing w:after="0" w:line="273"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66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2013 director compensation</w:t>
      </w:r>
    </w:p>
    <w:p>
      <w:pPr>
        <w:spacing w:after="0" w:line="206"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The following table shows the compensation of all persons who were non-employee members of the board during 2013 for services in all capacities to TI in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5"/>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Value and</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Non-Equity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Non-qualified</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2560" w:type="dxa"/>
            <w:vAlign w:val="bottom"/>
          </w:tcPr>
          <w:p>
            <w:pPr>
              <w:spacing w:after="0"/>
              <w:rPr>
                <w:sz w:val="19"/>
                <w:szCs w:val="19"/>
                <w:color w:val="auto"/>
              </w:rPr>
            </w:pPr>
          </w:p>
        </w:tc>
        <w:tc>
          <w:tcPr>
            <w:tcW w:w="2520" w:type="dxa"/>
            <w:vAlign w:val="bottom"/>
            <w:gridSpan w:val="2"/>
          </w:tcPr>
          <w:p>
            <w:pPr>
              <w:jc w:val="center"/>
              <w:ind w:left="1262"/>
              <w:spacing w:after="0"/>
              <w:rPr>
                <w:sz w:val="20"/>
                <w:szCs w:val="20"/>
                <w:color w:val="auto"/>
              </w:rPr>
            </w:pPr>
            <w:r>
              <w:rPr>
                <w:rFonts w:ascii="Arial" w:cs="Arial" w:eastAsia="Arial" w:hAnsi="Arial"/>
                <w:sz w:val="13"/>
                <w:szCs w:val="13"/>
                <w:b w:val="1"/>
                <w:bCs w:val="1"/>
                <w:color w:val="auto"/>
                <w:w w:val="95"/>
              </w:rPr>
              <w:t>Fees Earned or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Incentive Plan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3"/>
              </w:rPr>
              <w:t>Deferred</w:t>
            </w:r>
          </w:p>
        </w:tc>
        <w:tc>
          <w:tcPr>
            <w:tcW w:w="126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All Other</w:t>
            </w:r>
          </w:p>
        </w:tc>
        <w:tc>
          <w:tcPr>
            <w:tcW w:w="820" w:type="dxa"/>
            <w:vAlign w:val="bottom"/>
          </w:tcPr>
          <w:p>
            <w:pPr>
              <w:spacing w:after="0"/>
              <w:rPr>
                <w:sz w:val="19"/>
                <w:szCs w:val="19"/>
                <w:color w:val="auto"/>
              </w:rPr>
            </w:pPr>
          </w:p>
        </w:tc>
      </w:tr>
      <w:tr>
        <w:trPr>
          <w:trHeight w:val="250"/>
        </w:trPr>
        <w:tc>
          <w:tcPr>
            <w:tcW w:w="25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20" w:type="dxa"/>
            <w:vAlign w:val="bottom"/>
          </w:tcPr>
          <w:p>
            <w:pPr>
              <w:jc w:val="center"/>
              <w:ind w:right="281"/>
              <w:spacing w:after="0"/>
              <w:rPr>
                <w:sz w:val="20"/>
                <w:szCs w:val="20"/>
                <w:color w:val="auto"/>
              </w:rPr>
            </w:pPr>
            <w:r>
              <w:rPr>
                <w:rFonts w:ascii="Arial" w:cs="Arial" w:eastAsia="Arial" w:hAnsi="Arial"/>
                <w:sz w:val="13"/>
                <w:szCs w:val="13"/>
                <w:b w:val="1"/>
                <w:bCs w:val="1"/>
                <w:color w:val="auto"/>
                <w:w w:val="98"/>
              </w:rPr>
              <w:t>Paid in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1260" w:type="dxa"/>
            <w:vAlign w:val="bottom"/>
            <w:gridSpan w:val="2"/>
          </w:tcPr>
          <w:p>
            <w:pPr>
              <w:jc w:val="right"/>
              <w:ind w:right="61"/>
              <w:spacing w:after="0"/>
              <w:rPr>
                <w:sz w:val="20"/>
                <w:szCs w:val="20"/>
                <w:color w:val="auto"/>
              </w:rPr>
            </w:pPr>
            <w:r>
              <w:rPr>
                <w:rFonts w:ascii="Arial" w:cs="Arial" w:eastAsia="Arial" w:hAnsi="Arial"/>
                <w:sz w:val="13"/>
                <w:szCs w:val="13"/>
                <w:b w:val="1"/>
                <w:bCs w:val="1"/>
                <w:color w:val="auto"/>
              </w:rPr>
              <w:t>Compensation</w:t>
            </w:r>
          </w:p>
        </w:tc>
        <w:tc>
          <w:tcPr>
            <w:tcW w:w="820" w:type="dxa"/>
            <w:vAlign w:val="bottom"/>
          </w:tcPr>
          <w:p>
            <w:pPr>
              <w:spacing w:after="0"/>
              <w:rPr>
                <w:sz w:val="21"/>
                <w:szCs w:val="21"/>
                <w:color w:val="auto"/>
              </w:rPr>
            </w:pPr>
          </w:p>
        </w:tc>
      </w:tr>
      <w:tr>
        <w:trPr>
          <w:trHeight w:val="225"/>
        </w:trPr>
        <w:tc>
          <w:tcPr>
            <w:tcW w:w="25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520" w:type="dxa"/>
            <w:vAlign w:val="bottom"/>
            <w:gridSpan w:val="2"/>
          </w:tcPr>
          <w:p>
            <w:pPr>
              <w:jc w:val="center"/>
              <w:ind w:left="1262"/>
              <w:spacing w:after="0"/>
              <w:rPr>
                <w:sz w:val="20"/>
                <w:szCs w:val="20"/>
                <w:color w:val="auto"/>
              </w:rPr>
            </w:pPr>
            <w:r>
              <w:rPr>
                <w:rFonts w:ascii="Arial" w:cs="Arial" w:eastAsia="Arial" w:hAnsi="Arial"/>
                <w:sz w:val="13"/>
                <w:szCs w:val="13"/>
                <w:b w:val="1"/>
                <w:bCs w:val="1"/>
                <w:color w:val="auto"/>
                <w:w w:val="98"/>
              </w:rPr>
              <w:t>Cash ($)(2)</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($)(3)</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Earnings (5)</w:t>
            </w:r>
          </w:p>
        </w:tc>
        <w:tc>
          <w:tcPr>
            <w:tcW w:w="440" w:type="dxa"/>
            <w:vAlign w:val="bottom"/>
          </w:tcPr>
          <w:p>
            <w:pPr>
              <w:spacing w:after="0"/>
              <w:rPr>
                <w:sz w:val="19"/>
                <w:szCs w:val="19"/>
                <w:color w:val="auto"/>
              </w:rPr>
            </w:pPr>
          </w:p>
        </w:tc>
        <w:tc>
          <w:tcPr>
            <w:tcW w:w="820" w:type="dxa"/>
            <w:vAlign w:val="bottom"/>
          </w:tcPr>
          <w:p>
            <w:pPr>
              <w:jc w:val="right"/>
              <w:ind w:right="401"/>
              <w:spacing w:after="0"/>
              <w:rPr>
                <w:sz w:val="20"/>
                <w:szCs w:val="20"/>
                <w:color w:val="auto"/>
              </w:rPr>
            </w:pPr>
            <w:r>
              <w:rPr>
                <w:rFonts w:ascii="Arial" w:cs="Arial" w:eastAsia="Arial" w:hAnsi="Arial"/>
                <w:sz w:val="13"/>
                <w:szCs w:val="13"/>
                <w:b w:val="1"/>
                <w:bCs w:val="1"/>
                <w:color w:val="auto"/>
              </w:rPr>
              <w:t>($)(6)</w:t>
            </w:r>
          </w:p>
        </w:tc>
        <w:tc>
          <w:tcPr>
            <w:tcW w:w="820" w:type="dxa"/>
            <w:vAlign w:val="bottom"/>
          </w:tcPr>
          <w:p>
            <w:pPr>
              <w:jc w:val="center"/>
              <w:ind w:left="60"/>
              <w:spacing w:after="0"/>
              <w:rPr>
                <w:sz w:val="20"/>
                <w:szCs w:val="20"/>
                <w:color w:val="auto"/>
              </w:rPr>
            </w:pPr>
            <w:r>
              <w:rPr>
                <w:rFonts w:ascii="Arial" w:cs="Arial" w:eastAsia="Arial" w:hAnsi="Arial"/>
                <w:sz w:val="13"/>
                <w:szCs w:val="13"/>
                <w:b w:val="1"/>
                <w:bCs w:val="1"/>
                <w:color w:val="auto"/>
                <w:w w:val="94"/>
              </w:rPr>
              <w:t>Total ($)</w:t>
            </w:r>
          </w:p>
        </w:tc>
      </w:tr>
      <w:tr>
        <w:trPr>
          <w:trHeight w:val="29"/>
        </w:trPr>
        <w:tc>
          <w:tcPr>
            <w:tcW w:w="2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R. W. Babb, Jr.</w:t>
            </w:r>
          </w:p>
        </w:tc>
        <w:tc>
          <w:tcPr>
            <w:tcW w:w="2520" w:type="dxa"/>
            <w:vAlign w:val="bottom"/>
            <w:gridSpan w:val="2"/>
            <w:shd w:val="clear" w:color="auto" w:fill="E9E9E9"/>
          </w:tcPr>
          <w:p>
            <w:pPr>
              <w:jc w:val="right"/>
              <w:ind w:right="161"/>
              <w:spacing w:after="0"/>
              <w:rPr>
                <w:sz w:val="20"/>
                <w:szCs w:val="20"/>
                <w:color w:val="auto"/>
              </w:rPr>
            </w:pPr>
            <w:r>
              <w:rPr>
                <w:rFonts w:ascii="Arial" w:cs="Arial" w:eastAsia="Arial" w:hAnsi="Arial"/>
                <w:sz w:val="16"/>
                <w:szCs w:val="16"/>
                <w:color w:val="auto"/>
              </w:rPr>
              <w:t>$100,000</w:t>
            </w:r>
          </w:p>
        </w:tc>
        <w:tc>
          <w:tcPr>
            <w:tcW w:w="9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E9E9E9"/>
          </w:tcPr>
          <w:p>
            <w:pPr>
              <w:jc w:val="right"/>
              <w:ind w:right="346"/>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241"/>
              <w:spacing w:after="0"/>
              <w:rPr>
                <w:sz w:val="20"/>
                <w:szCs w:val="20"/>
                <w:color w:val="auto"/>
              </w:rPr>
            </w:pPr>
            <w:r>
              <w:rPr>
                <w:rFonts w:ascii="Arial" w:cs="Arial" w:eastAsia="Arial" w:hAnsi="Arial"/>
                <w:sz w:val="16"/>
                <w:szCs w:val="16"/>
                <w:color w:val="auto"/>
              </w:rPr>
              <w:t>20</w:t>
            </w:r>
          </w:p>
        </w:tc>
        <w:tc>
          <w:tcPr>
            <w:tcW w:w="820" w:type="dxa"/>
            <w:vAlign w:val="bottom"/>
            <w:shd w:val="clear" w:color="auto" w:fill="E9E9E9"/>
          </w:tcPr>
          <w:p>
            <w:pPr>
              <w:jc w:val="center"/>
              <w:ind w:left="40"/>
              <w:spacing w:after="0"/>
              <w:rPr>
                <w:sz w:val="20"/>
                <w:szCs w:val="20"/>
                <w:color w:val="auto"/>
              </w:rPr>
            </w:pPr>
            <w:r>
              <w:rPr>
                <w:rFonts w:ascii="Arial" w:cs="Arial" w:eastAsia="Arial" w:hAnsi="Arial"/>
                <w:sz w:val="16"/>
                <w:szCs w:val="16"/>
                <w:color w:val="auto"/>
              </w:rPr>
              <w:t>$299,989</w:t>
            </w:r>
          </w:p>
        </w:tc>
      </w:tr>
      <w:tr>
        <w:trPr>
          <w:trHeight w:val="219"/>
        </w:trPr>
        <w:tc>
          <w:tcPr>
            <w:tcW w:w="2560" w:type="dxa"/>
            <w:vAlign w:val="bottom"/>
          </w:tcPr>
          <w:p>
            <w:pPr>
              <w:spacing w:after="0"/>
              <w:rPr>
                <w:sz w:val="20"/>
                <w:szCs w:val="20"/>
                <w:color w:val="auto"/>
              </w:rPr>
            </w:pPr>
            <w:r>
              <w:rPr>
                <w:rFonts w:ascii="Arial" w:cs="Arial" w:eastAsia="Arial" w:hAnsi="Arial"/>
                <w:sz w:val="16"/>
                <w:szCs w:val="16"/>
                <w:color w:val="auto"/>
              </w:rPr>
              <w:t>M. A. Blinn (1)</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61"/>
              <w:spacing w:after="0"/>
              <w:rPr>
                <w:sz w:val="20"/>
                <w:szCs w:val="20"/>
                <w:color w:val="auto"/>
              </w:rPr>
            </w:pPr>
            <w:r>
              <w:rPr>
                <w:rFonts w:ascii="Arial" w:cs="Arial" w:eastAsia="Arial" w:hAnsi="Arial"/>
                <w:sz w:val="16"/>
                <w:szCs w:val="16"/>
                <w:color w:val="auto"/>
              </w:rPr>
              <w:t>68,571</w:t>
            </w:r>
          </w:p>
        </w:tc>
        <w:tc>
          <w:tcPr>
            <w:tcW w:w="900" w:type="dxa"/>
            <w:vAlign w:val="bottom"/>
          </w:tcPr>
          <w:p>
            <w:pPr>
              <w:jc w:val="center"/>
              <w:spacing w:after="0"/>
              <w:rPr>
                <w:sz w:val="20"/>
                <w:szCs w:val="20"/>
                <w:color w:val="auto"/>
              </w:rPr>
            </w:pPr>
            <w:r>
              <w:rPr>
                <w:rFonts w:ascii="Arial" w:cs="Arial" w:eastAsia="Arial" w:hAnsi="Arial"/>
                <w:sz w:val="16"/>
                <w:szCs w:val="16"/>
                <w:color w:val="auto"/>
              </w:rPr>
              <w:t>$64,960</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right"/>
              <w:ind w:right="346"/>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1"/>
              <w:spacing w:after="0"/>
              <w:rPr>
                <w:sz w:val="20"/>
                <w:szCs w:val="20"/>
                <w:color w:val="auto"/>
              </w:rPr>
            </w:pPr>
            <w:r>
              <w:rPr>
                <w:rFonts w:ascii="Arial" w:cs="Arial" w:eastAsia="Arial" w:hAnsi="Arial"/>
                <w:sz w:val="16"/>
                <w:szCs w:val="16"/>
                <w:color w:val="auto"/>
              </w:rPr>
              <w:t>$10,020</w:t>
            </w:r>
          </w:p>
        </w:tc>
        <w:tc>
          <w:tcPr>
            <w:tcW w:w="820" w:type="dxa"/>
            <w:vAlign w:val="bottom"/>
          </w:tcPr>
          <w:p>
            <w:pPr>
              <w:jc w:val="center"/>
              <w:ind w:left="40"/>
              <w:spacing w:after="0"/>
              <w:rPr>
                <w:sz w:val="20"/>
                <w:szCs w:val="20"/>
                <w:color w:val="auto"/>
              </w:rPr>
            </w:pPr>
            <w:r>
              <w:rPr>
                <w:rFonts w:ascii="Arial" w:cs="Arial" w:eastAsia="Arial" w:hAnsi="Arial"/>
                <w:sz w:val="16"/>
                <w:szCs w:val="16"/>
                <w:color w:val="auto"/>
              </w:rPr>
              <w:t>$143,551</w:t>
            </w:r>
          </w:p>
        </w:tc>
      </w:tr>
      <w:tr>
        <w:trPr>
          <w:trHeight w:val="231"/>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1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80,000</w:t>
            </w:r>
          </w:p>
        </w:tc>
        <w:tc>
          <w:tcPr>
            <w:tcW w:w="9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E9E9E9"/>
          </w:tcPr>
          <w:p>
            <w:pPr>
              <w:jc w:val="right"/>
              <w:ind w:right="346"/>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241"/>
              <w:spacing w:after="0"/>
              <w:rPr>
                <w:sz w:val="20"/>
                <w:szCs w:val="20"/>
                <w:color w:val="auto"/>
              </w:rPr>
            </w:pPr>
            <w:r>
              <w:rPr>
                <w:rFonts w:ascii="Arial" w:cs="Arial" w:eastAsia="Arial" w:hAnsi="Arial"/>
                <w:sz w:val="16"/>
                <w:szCs w:val="16"/>
                <w:color w:val="auto"/>
              </w:rPr>
              <w:t>703</w:t>
            </w:r>
          </w:p>
        </w:tc>
        <w:tc>
          <w:tcPr>
            <w:tcW w:w="820" w:type="dxa"/>
            <w:vAlign w:val="bottom"/>
            <w:shd w:val="clear" w:color="auto" w:fill="E9E9E9"/>
          </w:tcPr>
          <w:p>
            <w:pPr>
              <w:jc w:val="center"/>
              <w:ind w:left="40"/>
              <w:spacing w:after="0"/>
              <w:rPr>
                <w:sz w:val="20"/>
                <w:szCs w:val="20"/>
                <w:color w:val="auto"/>
              </w:rPr>
            </w:pPr>
            <w:r>
              <w:rPr>
                <w:rFonts w:ascii="Arial" w:cs="Arial" w:eastAsia="Arial" w:hAnsi="Arial"/>
                <w:sz w:val="16"/>
                <w:szCs w:val="16"/>
                <w:color w:val="auto"/>
              </w:rPr>
              <w:t>$280,672</w:t>
            </w:r>
          </w:p>
        </w:tc>
      </w:tr>
      <w:tr>
        <w:trPr>
          <w:trHeight w:val="219"/>
        </w:trPr>
        <w:tc>
          <w:tcPr>
            <w:tcW w:w="2560" w:type="dxa"/>
            <w:vAlign w:val="bottom"/>
          </w:tcPr>
          <w:p>
            <w:pPr>
              <w:spacing w:after="0"/>
              <w:rPr>
                <w:sz w:val="20"/>
                <w:szCs w:val="20"/>
                <w:color w:val="auto"/>
              </w:rPr>
            </w:pPr>
            <w:r>
              <w:rPr>
                <w:rFonts w:ascii="Arial" w:cs="Arial" w:eastAsia="Arial" w:hAnsi="Arial"/>
                <w:sz w:val="16"/>
                <w:szCs w:val="16"/>
                <w:color w:val="auto"/>
              </w:rPr>
              <w:t>C. S. Cox</w:t>
            </w:r>
          </w:p>
        </w:tc>
        <w:tc>
          <w:tcPr>
            <w:tcW w:w="2520" w:type="dxa"/>
            <w:vAlign w:val="bottom"/>
            <w:gridSpan w:val="2"/>
          </w:tcPr>
          <w:p>
            <w:pPr>
              <w:jc w:val="right"/>
              <w:ind w:right="161"/>
              <w:spacing w:after="0"/>
              <w:rPr>
                <w:sz w:val="20"/>
                <w:szCs w:val="20"/>
                <w:color w:val="auto"/>
              </w:rPr>
            </w:pPr>
            <w:r>
              <w:rPr>
                <w:rFonts w:ascii="Arial" w:cs="Arial" w:eastAsia="Arial" w:hAnsi="Arial"/>
                <w:sz w:val="16"/>
                <w:szCs w:val="16"/>
                <w:color w:val="auto"/>
              </w:rPr>
              <w:t>$ 116,667</w:t>
            </w:r>
          </w:p>
        </w:tc>
        <w:tc>
          <w:tcPr>
            <w:tcW w:w="900" w:type="dxa"/>
            <w:vAlign w:val="bottom"/>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right"/>
              <w:ind w:right="346"/>
              <w:spacing w:after="0"/>
              <w:rPr>
                <w:sz w:val="20"/>
                <w:szCs w:val="20"/>
                <w:color w:val="auto"/>
              </w:rPr>
            </w:pPr>
            <w:r>
              <w:rPr>
                <w:rFonts w:ascii="Arial" w:cs="Arial" w:eastAsia="Arial" w:hAnsi="Arial"/>
                <w:sz w:val="16"/>
                <w:szCs w:val="16"/>
                <w:color w:val="auto"/>
              </w:rPr>
              <w:t>$ 2,617</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20</w:t>
            </w:r>
          </w:p>
        </w:tc>
        <w:tc>
          <w:tcPr>
            <w:tcW w:w="820" w:type="dxa"/>
            <w:vAlign w:val="bottom"/>
          </w:tcPr>
          <w:p>
            <w:pPr>
              <w:jc w:val="center"/>
              <w:ind w:left="40"/>
              <w:spacing w:after="0"/>
              <w:rPr>
                <w:sz w:val="20"/>
                <w:szCs w:val="20"/>
                <w:color w:val="auto"/>
              </w:rPr>
            </w:pPr>
            <w:r>
              <w:rPr>
                <w:rFonts w:ascii="Arial" w:cs="Arial" w:eastAsia="Arial" w:hAnsi="Arial"/>
                <w:sz w:val="16"/>
                <w:szCs w:val="16"/>
                <w:color w:val="auto"/>
              </w:rPr>
              <w:t>$319,273</w:t>
            </w:r>
          </w:p>
        </w:tc>
      </w:tr>
      <w:tr>
        <w:trPr>
          <w:trHeight w:val="231"/>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R. Kirk (1)</w:t>
            </w:r>
          </w:p>
        </w:tc>
        <w:tc>
          <w:tcPr>
            <w:tcW w:w="1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22,667</w:t>
            </w:r>
          </w:p>
        </w:tc>
        <w:tc>
          <w:tcPr>
            <w:tcW w:w="9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$81,600</w:t>
            </w:r>
          </w:p>
        </w:tc>
        <w:tc>
          <w:tcPr>
            <w:tcW w:w="86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E9E9E9"/>
          </w:tcPr>
          <w:p>
            <w:pPr>
              <w:jc w:val="right"/>
              <w:ind w:right="346"/>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241"/>
              <w:spacing w:after="0"/>
              <w:rPr>
                <w:sz w:val="20"/>
                <w:szCs w:val="20"/>
                <w:color w:val="auto"/>
              </w:rPr>
            </w:pPr>
            <w:r>
              <w:rPr>
                <w:rFonts w:ascii="Arial" w:cs="Arial" w:eastAsia="Arial" w:hAnsi="Arial"/>
                <w:sz w:val="16"/>
                <w:szCs w:val="16"/>
                <w:color w:val="auto"/>
              </w:rPr>
              <w:t>20</w:t>
            </w:r>
          </w:p>
        </w:tc>
        <w:tc>
          <w:tcPr>
            <w:tcW w:w="820" w:type="dxa"/>
            <w:vAlign w:val="bottom"/>
            <w:shd w:val="clear" w:color="auto" w:fill="E9E9E9"/>
          </w:tcPr>
          <w:p>
            <w:pPr>
              <w:jc w:val="center"/>
              <w:ind w:left="40"/>
              <w:spacing w:after="0"/>
              <w:rPr>
                <w:sz w:val="20"/>
                <w:szCs w:val="20"/>
                <w:color w:val="auto"/>
              </w:rPr>
            </w:pPr>
            <w:r>
              <w:rPr>
                <w:rFonts w:ascii="Arial" w:cs="Arial" w:eastAsia="Arial" w:hAnsi="Arial"/>
                <w:sz w:val="16"/>
                <w:szCs w:val="16"/>
                <w:color w:val="auto"/>
              </w:rPr>
              <w:t>$104,287</w:t>
            </w:r>
          </w:p>
        </w:tc>
      </w:tr>
      <w:tr>
        <w:trPr>
          <w:trHeight w:val="219"/>
        </w:trPr>
        <w:tc>
          <w:tcPr>
            <w:tcW w:w="2560" w:type="dxa"/>
            <w:vAlign w:val="bottom"/>
          </w:tcPr>
          <w:p>
            <w:pPr>
              <w:spacing w:after="0"/>
              <w:rPr>
                <w:sz w:val="20"/>
                <w:szCs w:val="20"/>
                <w:color w:val="auto"/>
              </w:rPr>
            </w:pPr>
            <w:r>
              <w:rPr>
                <w:rFonts w:ascii="Arial" w:cs="Arial" w:eastAsia="Arial" w:hAnsi="Arial"/>
                <w:sz w:val="16"/>
                <w:szCs w:val="16"/>
                <w:color w:val="auto"/>
              </w:rPr>
              <w:t>P. H. Patsley</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61"/>
              <w:spacing w:after="0"/>
              <w:rPr>
                <w:sz w:val="20"/>
                <w:szCs w:val="20"/>
                <w:color w:val="auto"/>
              </w:rPr>
            </w:pPr>
            <w:r>
              <w:rPr>
                <w:rFonts w:ascii="Arial" w:cs="Arial" w:eastAsia="Arial" w:hAnsi="Arial"/>
                <w:sz w:val="16"/>
                <w:szCs w:val="16"/>
                <w:color w:val="auto"/>
              </w:rPr>
              <w:t>98,333</w:t>
            </w:r>
          </w:p>
        </w:tc>
        <w:tc>
          <w:tcPr>
            <w:tcW w:w="900" w:type="dxa"/>
            <w:vAlign w:val="bottom"/>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right"/>
              <w:ind w:right="346"/>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20</w:t>
            </w:r>
          </w:p>
        </w:tc>
        <w:tc>
          <w:tcPr>
            <w:tcW w:w="820" w:type="dxa"/>
            <w:vAlign w:val="bottom"/>
          </w:tcPr>
          <w:p>
            <w:pPr>
              <w:jc w:val="center"/>
              <w:ind w:left="40"/>
              <w:spacing w:after="0"/>
              <w:rPr>
                <w:sz w:val="20"/>
                <w:szCs w:val="20"/>
                <w:color w:val="auto"/>
              </w:rPr>
            </w:pPr>
            <w:r>
              <w:rPr>
                <w:rFonts w:ascii="Arial" w:cs="Arial" w:eastAsia="Arial" w:hAnsi="Arial"/>
                <w:sz w:val="16"/>
                <w:szCs w:val="16"/>
                <w:color w:val="auto"/>
              </w:rPr>
              <w:t>$298,322</w:t>
            </w:r>
          </w:p>
        </w:tc>
      </w:tr>
      <w:tr>
        <w:trPr>
          <w:trHeight w:val="231"/>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R. E. Sanchez</w:t>
            </w:r>
          </w:p>
        </w:tc>
        <w:tc>
          <w:tcPr>
            <w:tcW w:w="1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80,000</w:t>
            </w:r>
          </w:p>
        </w:tc>
        <w:tc>
          <w:tcPr>
            <w:tcW w:w="9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E9E9E9"/>
          </w:tcPr>
          <w:p>
            <w:pPr>
              <w:jc w:val="right"/>
              <w:ind w:right="346"/>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9E9E9"/>
          </w:tcPr>
          <w:p>
            <w:pPr>
              <w:jc w:val="right"/>
              <w:ind w:right="241"/>
              <w:spacing w:after="0"/>
              <w:rPr>
                <w:sz w:val="20"/>
                <w:szCs w:val="20"/>
                <w:color w:val="auto"/>
              </w:rPr>
            </w:pPr>
            <w:r>
              <w:rPr>
                <w:rFonts w:ascii="Arial" w:cs="Arial" w:eastAsia="Arial" w:hAnsi="Arial"/>
                <w:sz w:val="16"/>
                <w:szCs w:val="16"/>
                <w:color w:val="auto"/>
              </w:rPr>
              <w:t>$10,020</w:t>
            </w:r>
          </w:p>
        </w:tc>
        <w:tc>
          <w:tcPr>
            <w:tcW w:w="820" w:type="dxa"/>
            <w:vAlign w:val="bottom"/>
            <w:shd w:val="clear" w:color="auto" w:fill="E9E9E9"/>
          </w:tcPr>
          <w:p>
            <w:pPr>
              <w:jc w:val="center"/>
              <w:ind w:left="40"/>
              <w:spacing w:after="0"/>
              <w:rPr>
                <w:sz w:val="20"/>
                <w:szCs w:val="20"/>
                <w:color w:val="auto"/>
              </w:rPr>
            </w:pPr>
            <w:r>
              <w:rPr>
                <w:rFonts w:ascii="Arial" w:cs="Arial" w:eastAsia="Arial" w:hAnsi="Arial"/>
                <w:sz w:val="16"/>
                <w:szCs w:val="16"/>
                <w:color w:val="auto"/>
              </w:rPr>
              <w:t>$289,989</w:t>
            </w:r>
          </w:p>
        </w:tc>
      </w:tr>
      <w:tr>
        <w:trPr>
          <w:trHeight w:val="219"/>
        </w:trPr>
        <w:tc>
          <w:tcPr>
            <w:tcW w:w="2560" w:type="dxa"/>
            <w:vAlign w:val="bottom"/>
          </w:tcPr>
          <w:p>
            <w:pPr>
              <w:spacing w:after="0"/>
              <w:rPr>
                <w:sz w:val="20"/>
                <w:szCs w:val="20"/>
                <w:color w:val="auto"/>
              </w:rPr>
            </w:pPr>
            <w:r>
              <w:rPr>
                <w:rFonts w:ascii="Arial" w:cs="Arial" w:eastAsia="Arial" w:hAnsi="Arial"/>
                <w:sz w:val="16"/>
                <w:szCs w:val="16"/>
                <w:color w:val="auto"/>
              </w:rPr>
              <w:t>W. R. Sanders</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61"/>
              <w:spacing w:after="0"/>
              <w:rPr>
                <w:sz w:val="20"/>
                <w:szCs w:val="20"/>
                <w:color w:val="auto"/>
              </w:rPr>
            </w:pPr>
            <w:r>
              <w:rPr>
                <w:rFonts w:ascii="Arial" w:cs="Arial" w:eastAsia="Arial" w:hAnsi="Arial"/>
                <w:sz w:val="16"/>
                <w:szCs w:val="16"/>
                <w:color w:val="auto"/>
              </w:rPr>
              <w:t>80,000</w:t>
            </w:r>
          </w:p>
        </w:tc>
        <w:tc>
          <w:tcPr>
            <w:tcW w:w="900" w:type="dxa"/>
            <w:vAlign w:val="bottom"/>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right"/>
              <w:ind w:right="346"/>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703</w:t>
            </w:r>
          </w:p>
        </w:tc>
        <w:tc>
          <w:tcPr>
            <w:tcW w:w="820" w:type="dxa"/>
            <w:vAlign w:val="bottom"/>
          </w:tcPr>
          <w:p>
            <w:pPr>
              <w:jc w:val="center"/>
              <w:ind w:left="40"/>
              <w:spacing w:after="0"/>
              <w:rPr>
                <w:sz w:val="20"/>
                <w:szCs w:val="20"/>
                <w:color w:val="auto"/>
              </w:rPr>
            </w:pPr>
            <w:r>
              <w:rPr>
                <w:rFonts w:ascii="Arial" w:cs="Arial" w:eastAsia="Arial" w:hAnsi="Arial"/>
                <w:sz w:val="16"/>
                <w:szCs w:val="16"/>
                <w:color w:val="auto"/>
              </w:rPr>
              <w:t>$280,672</w:t>
            </w:r>
          </w:p>
        </w:tc>
      </w:tr>
      <w:tr>
        <w:trPr>
          <w:trHeight w:val="231"/>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R. J. Simmons</w:t>
            </w:r>
          </w:p>
        </w:tc>
        <w:tc>
          <w:tcPr>
            <w:tcW w:w="1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80,000</w:t>
            </w:r>
          </w:p>
        </w:tc>
        <w:tc>
          <w:tcPr>
            <w:tcW w:w="9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E9E9E9"/>
          </w:tcPr>
          <w:p>
            <w:pPr>
              <w:jc w:val="right"/>
              <w:ind w:right="346"/>
              <w:spacing w:after="0"/>
              <w:rPr>
                <w:sz w:val="20"/>
                <w:szCs w:val="20"/>
                <w:color w:val="auto"/>
              </w:rPr>
            </w:pPr>
            <w:r>
              <w:rPr>
                <w:rFonts w:ascii="Arial" w:cs="Arial" w:eastAsia="Arial" w:hAnsi="Arial"/>
                <w:sz w:val="16"/>
                <w:szCs w:val="16"/>
                <w:color w:val="auto"/>
              </w:rPr>
              <w:t>$ 551</w:t>
            </w:r>
          </w:p>
        </w:tc>
        <w:tc>
          <w:tcPr>
            <w:tcW w:w="4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241"/>
              <w:spacing w:after="0"/>
              <w:rPr>
                <w:sz w:val="20"/>
                <w:szCs w:val="20"/>
                <w:color w:val="auto"/>
              </w:rPr>
            </w:pPr>
            <w:r>
              <w:rPr>
                <w:rFonts w:ascii="Arial" w:cs="Arial" w:eastAsia="Arial" w:hAnsi="Arial"/>
                <w:sz w:val="16"/>
                <w:szCs w:val="16"/>
                <w:color w:val="auto"/>
              </w:rPr>
              <w:t>5,020</w:t>
            </w:r>
          </w:p>
        </w:tc>
        <w:tc>
          <w:tcPr>
            <w:tcW w:w="820" w:type="dxa"/>
            <w:vAlign w:val="bottom"/>
            <w:shd w:val="clear" w:color="auto" w:fill="E9E9E9"/>
          </w:tcPr>
          <w:p>
            <w:pPr>
              <w:jc w:val="center"/>
              <w:ind w:left="40"/>
              <w:spacing w:after="0"/>
              <w:rPr>
                <w:sz w:val="20"/>
                <w:szCs w:val="20"/>
                <w:color w:val="auto"/>
              </w:rPr>
            </w:pPr>
            <w:r>
              <w:rPr>
                <w:rFonts w:ascii="Arial" w:cs="Arial" w:eastAsia="Arial" w:hAnsi="Arial"/>
                <w:sz w:val="16"/>
                <w:szCs w:val="16"/>
                <w:color w:val="auto"/>
              </w:rPr>
              <w:t>$285,540</w:t>
            </w:r>
          </w:p>
        </w:tc>
      </w:tr>
      <w:tr>
        <w:trPr>
          <w:trHeight w:val="219"/>
        </w:trPr>
        <w:tc>
          <w:tcPr>
            <w:tcW w:w="2560" w:type="dxa"/>
            <w:vAlign w:val="bottom"/>
          </w:tcPr>
          <w:p>
            <w:pPr>
              <w:spacing w:after="0"/>
              <w:rPr>
                <w:sz w:val="20"/>
                <w:szCs w:val="20"/>
                <w:color w:val="auto"/>
              </w:rPr>
            </w:pPr>
            <w:r>
              <w:rPr>
                <w:rFonts w:ascii="Arial" w:cs="Arial" w:eastAsia="Arial" w:hAnsi="Arial"/>
                <w:sz w:val="16"/>
                <w:szCs w:val="16"/>
                <w:color w:val="auto"/>
              </w:rPr>
              <w:t>C. T. Whitman</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61"/>
              <w:spacing w:after="0"/>
              <w:rPr>
                <w:sz w:val="20"/>
                <w:szCs w:val="20"/>
                <w:color w:val="auto"/>
              </w:rPr>
            </w:pPr>
            <w:r>
              <w:rPr>
                <w:rFonts w:ascii="Arial" w:cs="Arial" w:eastAsia="Arial" w:hAnsi="Arial"/>
                <w:sz w:val="16"/>
                <w:szCs w:val="16"/>
                <w:color w:val="auto"/>
              </w:rPr>
              <w:t>95,000</w:t>
            </w:r>
          </w:p>
        </w:tc>
        <w:tc>
          <w:tcPr>
            <w:tcW w:w="900" w:type="dxa"/>
            <w:vAlign w:val="bottom"/>
          </w:tcPr>
          <w:p>
            <w:pPr>
              <w:jc w:val="center"/>
              <w:spacing w:after="0"/>
              <w:rPr>
                <w:sz w:val="20"/>
                <w:szCs w:val="20"/>
                <w:color w:val="auto"/>
              </w:rPr>
            </w:pPr>
            <w:r>
              <w:rPr>
                <w:rFonts w:ascii="Arial" w:cs="Arial" w:eastAsia="Arial" w:hAnsi="Arial"/>
                <w:sz w:val="16"/>
                <w:szCs w:val="16"/>
                <w:color w:val="auto"/>
              </w:rPr>
              <w:t>$99,974</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$99,995</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right"/>
              <w:ind w:right="346"/>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1,020</w:t>
            </w:r>
          </w:p>
        </w:tc>
        <w:tc>
          <w:tcPr>
            <w:tcW w:w="820" w:type="dxa"/>
            <w:vAlign w:val="bottom"/>
          </w:tcPr>
          <w:p>
            <w:pPr>
              <w:jc w:val="center"/>
              <w:ind w:left="40"/>
              <w:spacing w:after="0"/>
              <w:rPr>
                <w:sz w:val="20"/>
                <w:szCs w:val="20"/>
                <w:color w:val="auto"/>
              </w:rPr>
            </w:pPr>
            <w:r>
              <w:rPr>
                <w:rFonts w:ascii="Arial" w:cs="Arial" w:eastAsia="Arial" w:hAnsi="Arial"/>
                <w:sz w:val="16"/>
                <w:szCs w:val="16"/>
                <w:color w:val="auto"/>
              </w:rPr>
              <w:t>$295,989</w:t>
            </w:r>
          </w:p>
        </w:tc>
      </w:tr>
    </w:tbl>
    <w:p>
      <w:pPr>
        <w:spacing w:after="0" w:line="214" w:lineRule="exact"/>
        <w:rPr>
          <w:sz w:val="20"/>
          <w:szCs w:val="20"/>
          <w:color w:val="auto"/>
        </w:rPr>
      </w:pPr>
    </w:p>
    <w:p>
      <w:pPr>
        <w:ind w:left="400" w:hanging="400"/>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Blinn was elected effective February 21, 2013, and Mr. Kirk was elected effective September 19, 2013.</w:t>
      </w:r>
    </w:p>
    <w:p>
      <w:pPr>
        <w:spacing w:after="0" w:line="228" w:lineRule="exact"/>
        <w:rPr>
          <w:rFonts w:ascii="Arial" w:cs="Arial" w:eastAsia="Arial" w:hAnsi="Arial"/>
          <w:sz w:val="16"/>
          <w:szCs w:val="16"/>
          <w:color w:val="auto"/>
        </w:rPr>
      </w:pPr>
    </w:p>
    <w:p>
      <w:pPr>
        <w:ind w:left="400" w:hanging="400"/>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amounts deferred at the director’s election.</w:t>
      </w:r>
    </w:p>
    <w:p>
      <w:pPr>
        <w:spacing w:after="0" w:line="228" w:lineRule="exact"/>
        <w:rPr>
          <w:rFonts w:ascii="Arial" w:cs="Arial" w:eastAsia="Arial" w:hAnsi="Arial"/>
          <w:sz w:val="16"/>
          <w:szCs w:val="16"/>
          <w:color w:val="auto"/>
        </w:rPr>
      </w:pPr>
    </w:p>
    <w:p>
      <w:pPr>
        <w:jc w:val="both"/>
        <w:ind w:left="400" w:right="60" w:hanging="400"/>
        <w:spacing w:after="0" w:line="267"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Shown is the aggregate grant date fair value of awards granted in 2013 calculated in accordance with Financial Accounting Standards Board Accounting Standards Codification™ Topic 718, Compensation-Stock Compensation (ASC 718). The discussion of the assumptions used for purposes of calculating the grant date fair value appears in Note 5 of Exhibit 13 to TI’s annual report on Form 10-K for the year ended December 31, 2013.</w:t>
      </w:r>
    </w:p>
    <w:p>
      <w:pPr>
        <w:spacing w:after="0" w:line="173" w:lineRule="exact"/>
        <w:rPr>
          <w:rFonts w:ascii="Arial" w:cs="Arial" w:eastAsia="Arial" w:hAnsi="Arial"/>
          <w:sz w:val="16"/>
          <w:szCs w:val="16"/>
          <w:color w:val="auto"/>
        </w:rPr>
      </w:pPr>
    </w:p>
    <w:p>
      <w:pPr>
        <w:ind w:left="400" w:right="160"/>
        <w:spacing w:after="0" w:line="290" w:lineRule="auto"/>
        <w:rPr>
          <w:rFonts w:ascii="Arial" w:cs="Arial" w:eastAsia="Arial" w:hAnsi="Arial"/>
          <w:sz w:val="16"/>
          <w:szCs w:val="16"/>
          <w:color w:val="auto"/>
        </w:rPr>
      </w:pPr>
      <w:r>
        <w:rPr>
          <w:rFonts w:ascii="Arial" w:cs="Arial" w:eastAsia="Arial" w:hAnsi="Arial"/>
          <w:sz w:val="16"/>
          <w:szCs w:val="16"/>
          <w:color w:val="auto"/>
        </w:rPr>
        <w:t>The table below shows the aggregate number of shares underlying outstanding restricted stock units held by the named individuals as of December 31,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420" w:type="dxa"/>
            <w:vAlign w:val="bottom"/>
          </w:tcPr>
          <w:p>
            <w:pPr>
              <w:jc w:val="center"/>
              <w:ind w:left="3503"/>
              <w:spacing w:after="0"/>
              <w:rPr>
                <w:sz w:val="20"/>
                <w:szCs w:val="20"/>
                <w:color w:val="auto"/>
              </w:rPr>
            </w:pPr>
            <w:r>
              <w:rPr>
                <w:rFonts w:ascii="Arial" w:cs="Arial" w:eastAsia="Arial" w:hAnsi="Arial"/>
                <w:sz w:val="13"/>
                <w:szCs w:val="13"/>
                <w:b w:val="1"/>
                <w:bCs w:val="1"/>
                <w:color w:val="auto"/>
                <w:w w:val="94"/>
              </w:rPr>
              <w:t>Restricted</w:t>
            </w:r>
          </w:p>
        </w:tc>
      </w:tr>
      <w:tr>
        <w:trPr>
          <w:trHeight w:val="225"/>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420" w:type="dxa"/>
            <w:vAlign w:val="bottom"/>
          </w:tcPr>
          <w:p>
            <w:pPr>
              <w:jc w:val="center"/>
              <w:ind w:left="3503"/>
              <w:spacing w:after="0"/>
              <w:rPr>
                <w:sz w:val="20"/>
                <w:szCs w:val="20"/>
                <w:color w:val="auto"/>
              </w:rPr>
            </w:pPr>
            <w:r>
              <w:rPr>
                <w:rFonts w:ascii="Arial" w:cs="Arial" w:eastAsia="Arial" w:hAnsi="Arial"/>
                <w:sz w:val="13"/>
                <w:szCs w:val="13"/>
                <w:b w:val="1"/>
                <w:bCs w:val="1"/>
                <w:color w:val="auto"/>
                <w:w w:val="95"/>
              </w:rPr>
              <w:t>Stock Units</w:t>
            </w:r>
          </w:p>
        </w:tc>
      </w:tr>
      <w:tr>
        <w:trPr>
          <w:trHeight w:val="225"/>
        </w:trPr>
        <w:tc>
          <w:tcPr>
            <w:tcW w:w="47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420" w:type="dxa"/>
            <w:vAlign w:val="bottom"/>
          </w:tcPr>
          <w:p>
            <w:pPr>
              <w:jc w:val="center"/>
              <w:ind w:left="3503"/>
              <w:spacing w:after="0"/>
              <w:rPr>
                <w:sz w:val="20"/>
                <w:szCs w:val="20"/>
                <w:color w:val="auto"/>
              </w:rPr>
            </w:pPr>
            <w:r>
              <w:rPr>
                <w:rFonts w:ascii="Arial" w:cs="Arial" w:eastAsia="Arial" w:hAnsi="Arial"/>
                <w:sz w:val="13"/>
                <w:szCs w:val="13"/>
                <w:b w:val="1"/>
                <w:bCs w:val="1"/>
                <w:color w:val="auto"/>
                <w:w w:val="95"/>
              </w:rPr>
              <w:t>(in Shares)</w:t>
            </w:r>
          </w:p>
        </w:tc>
      </w:tr>
      <w:tr>
        <w:trPr>
          <w:trHeight w:val="29"/>
        </w:trPr>
        <w:tc>
          <w:tcPr>
            <w:tcW w:w="4740" w:type="dxa"/>
            <w:vAlign w:val="bottom"/>
            <w:gridSpan w:val="2"/>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 W. Babb, Jr.</w:t>
            </w:r>
          </w:p>
        </w:tc>
        <w:tc>
          <w:tcPr>
            <w:tcW w:w="4420" w:type="dxa"/>
            <w:vAlign w:val="bottom"/>
            <w:tcBorders>
              <w:top w:val="single" w:sz="8" w:color="auto"/>
            </w:tcBorders>
            <w:shd w:val="clear" w:color="auto" w:fill="E9E9E9"/>
          </w:tcPr>
          <w:p>
            <w:pPr>
              <w:jc w:val="right"/>
              <w:ind w:right="83"/>
              <w:spacing w:after="0"/>
              <w:rPr>
                <w:sz w:val="20"/>
                <w:szCs w:val="20"/>
                <w:color w:val="auto"/>
              </w:rPr>
            </w:pPr>
            <w:r>
              <w:rPr>
                <w:rFonts w:ascii="Arial" w:cs="Arial" w:eastAsia="Arial" w:hAnsi="Arial"/>
                <w:sz w:val="16"/>
                <w:szCs w:val="16"/>
                <w:color w:val="auto"/>
              </w:rPr>
              <w:t>11,025</w:t>
            </w: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M. A. Blinn</w:t>
            </w:r>
          </w:p>
        </w:tc>
        <w:tc>
          <w:tcPr>
            <w:tcW w:w="4420" w:type="dxa"/>
            <w:vAlign w:val="bottom"/>
          </w:tcPr>
          <w:p>
            <w:pPr>
              <w:jc w:val="right"/>
              <w:ind w:right="83"/>
              <w:spacing w:after="0"/>
              <w:rPr>
                <w:sz w:val="20"/>
                <w:szCs w:val="20"/>
                <w:color w:val="auto"/>
              </w:rPr>
            </w:pPr>
            <w:r>
              <w:rPr>
                <w:rFonts w:ascii="Arial" w:cs="Arial" w:eastAsia="Arial" w:hAnsi="Arial"/>
                <w:sz w:val="16"/>
                <w:szCs w:val="16"/>
                <w:color w:val="auto"/>
              </w:rPr>
              <w:t>2,000</w:t>
            </w:r>
          </w:p>
        </w:tc>
      </w:tr>
      <w:tr>
        <w:trPr>
          <w:trHeight w:val="231"/>
        </w:trPr>
        <w:tc>
          <w:tcPr>
            <w:tcW w:w="20" w:type="dxa"/>
            <w:vAlign w:val="bottom"/>
          </w:tcPr>
          <w:p>
            <w:pPr>
              <w:spacing w:after="0"/>
              <w:rPr>
                <w:sz w:val="20"/>
                <w:szCs w:val="20"/>
                <w:color w:val="auto"/>
              </w:rPr>
            </w:pPr>
          </w:p>
        </w:tc>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4420" w:type="dxa"/>
            <w:vAlign w:val="bottom"/>
            <w:shd w:val="clear" w:color="auto" w:fill="E9E9E9"/>
          </w:tcPr>
          <w:p>
            <w:pPr>
              <w:jc w:val="right"/>
              <w:ind w:right="83"/>
              <w:spacing w:after="0"/>
              <w:rPr>
                <w:sz w:val="20"/>
                <w:szCs w:val="20"/>
                <w:color w:val="auto"/>
              </w:rPr>
            </w:pPr>
            <w:r>
              <w:rPr>
                <w:rFonts w:ascii="Arial" w:cs="Arial" w:eastAsia="Arial" w:hAnsi="Arial"/>
                <w:sz w:val="16"/>
                <w:szCs w:val="16"/>
                <w:color w:val="auto"/>
              </w:rPr>
              <w:t>27,689</w:t>
            </w: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 S. Cox</w:t>
            </w:r>
          </w:p>
        </w:tc>
        <w:tc>
          <w:tcPr>
            <w:tcW w:w="4420" w:type="dxa"/>
            <w:vAlign w:val="bottom"/>
          </w:tcPr>
          <w:p>
            <w:pPr>
              <w:jc w:val="right"/>
              <w:ind w:right="83"/>
              <w:spacing w:after="0"/>
              <w:rPr>
                <w:sz w:val="20"/>
                <w:szCs w:val="20"/>
                <w:color w:val="auto"/>
              </w:rPr>
            </w:pPr>
            <w:r>
              <w:rPr>
                <w:rFonts w:ascii="Arial" w:cs="Arial" w:eastAsia="Arial" w:hAnsi="Arial"/>
                <w:sz w:val="16"/>
                <w:szCs w:val="16"/>
                <w:color w:val="auto"/>
              </w:rPr>
              <w:t>21,025</w:t>
            </w:r>
          </w:p>
        </w:tc>
      </w:tr>
      <w:tr>
        <w:trPr>
          <w:trHeight w:val="231"/>
        </w:trPr>
        <w:tc>
          <w:tcPr>
            <w:tcW w:w="20" w:type="dxa"/>
            <w:vAlign w:val="bottom"/>
          </w:tcPr>
          <w:p>
            <w:pPr>
              <w:spacing w:after="0"/>
              <w:rPr>
                <w:sz w:val="20"/>
                <w:szCs w:val="20"/>
                <w:color w:val="auto"/>
              </w:rPr>
            </w:pPr>
          </w:p>
        </w:tc>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R. Kirk</w:t>
            </w:r>
          </w:p>
        </w:tc>
        <w:tc>
          <w:tcPr>
            <w:tcW w:w="4420" w:type="dxa"/>
            <w:vAlign w:val="bottom"/>
            <w:shd w:val="clear" w:color="auto" w:fill="E9E9E9"/>
          </w:tcPr>
          <w:p>
            <w:pPr>
              <w:jc w:val="right"/>
              <w:ind w:right="83"/>
              <w:spacing w:after="0"/>
              <w:rPr>
                <w:sz w:val="20"/>
                <w:szCs w:val="20"/>
                <w:color w:val="auto"/>
              </w:rPr>
            </w:pPr>
            <w:r>
              <w:rPr>
                <w:rFonts w:ascii="Arial" w:cs="Arial" w:eastAsia="Arial" w:hAnsi="Arial"/>
                <w:sz w:val="16"/>
                <w:szCs w:val="16"/>
                <w:color w:val="auto"/>
              </w:rPr>
              <w:t>2,000</w:t>
            </w: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P. H. Patsley</w:t>
            </w:r>
          </w:p>
        </w:tc>
        <w:tc>
          <w:tcPr>
            <w:tcW w:w="4420" w:type="dxa"/>
            <w:vAlign w:val="bottom"/>
          </w:tcPr>
          <w:p>
            <w:pPr>
              <w:jc w:val="right"/>
              <w:ind w:right="83"/>
              <w:spacing w:after="0"/>
              <w:rPr>
                <w:sz w:val="20"/>
                <w:szCs w:val="20"/>
                <w:color w:val="auto"/>
              </w:rPr>
            </w:pPr>
            <w:r>
              <w:rPr>
                <w:rFonts w:ascii="Arial" w:cs="Arial" w:eastAsia="Arial" w:hAnsi="Arial"/>
                <w:sz w:val="16"/>
                <w:szCs w:val="16"/>
                <w:color w:val="auto"/>
              </w:rPr>
              <w:t>13,525</w:t>
            </w:r>
          </w:p>
        </w:tc>
      </w:tr>
      <w:tr>
        <w:trPr>
          <w:trHeight w:val="231"/>
        </w:trPr>
        <w:tc>
          <w:tcPr>
            <w:tcW w:w="20" w:type="dxa"/>
            <w:vAlign w:val="bottom"/>
          </w:tcPr>
          <w:p>
            <w:pPr>
              <w:spacing w:after="0"/>
              <w:rPr>
                <w:sz w:val="20"/>
                <w:szCs w:val="20"/>
                <w:color w:val="auto"/>
              </w:rPr>
            </w:pPr>
          </w:p>
        </w:tc>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R. E. Sanchez</w:t>
            </w:r>
          </w:p>
        </w:tc>
        <w:tc>
          <w:tcPr>
            <w:tcW w:w="4420" w:type="dxa"/>
            <w:vAlign w:val="bottom"/>
            <w:shd w:val="clear" w:color="auto" w:fill="E9E9E9"/>
          </w:tcPr>
          <w:p>
            <w:pPr>
              <w:jc w:val="right"/>
              <w:ind w:right="83"/>
              <w:spacing w:after="0"/>
              <w:rPr>
                <w:sz w:val="20"/>
                <w:szCs w:val="20"/>
                <w:color w:val="auto"/>
              </w:rPr>
            </w:pPr>
            <w:r>
              <w:rPr>
                <w:rFonts w:ascii="Arial" w:cs="Arial" w:eastAsia="Arial" w:hAnsi="Arial"/>
                <w:sz w:val="16"/>
                <w:szCs w:val="16"/>
                <w:color w:val="auto"/>
              </w:rPr>
              <w:t>8,138</w:t>
            </w: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W. R. Sanders</w:t>
            </w:r>
          </w:p>
        </w:tc>
        <w:tc>
          <w:tcPr>
            <w:tcW w:w="4420" w:type="dxa"/>
            <w:vAlign w:val="bottom"/>
          </w:tcPr>
          <w:p>
            <w:pPr>
              <w:jc w:val="right"/>
              <w:ind w:right="83"/>
              <w:spacing w:after="0"/>
              <w:rPr>
                <w:sz w:val="20"/>
                <w:szCs w:val="20"/>
                <w:color w:val="auto"/>
              </w:rPr>
            </w:pPr>
            <w:r>
              <w:rPr>
                <w:rFonts w:ascii="Arial" w:cs="Arial" w:eastAsia="Arial" w:hAnsi="Arial"/>
                <w:sz w:val="16"/>
                <w:szCs w:val="16"/>
                <w:color w:val="auto"/>
              </w:rPr>
              <w:t>21,125</w:t>
            </w:r>
          </w:p>
        </w:tc>
      </w:tr>
      <w:tr>
        <w:trPr>
          <w:trHeight w:val="231"/>
        </w:trPr>
        <w:tc>
          <w:tcPr>
            <w:tcW w:w="20" w:type="dxa"/>
            <w:vAlign w:val="bottom"/>
          </w:tcPr>
          <w:p>
            <w:pPr>
              <w:spacing w:after="0"/>
              <w:rPr>
                <w:sz w:val="20"/>
                <w:szCs w:val="20"/>
                <w:color w:val="auto"/>
              </w:rPr>
            </w:pPr>
          </w:p>
        </w:tc>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R. J. Simmons</w:t>
            </w:r>
          </w:p>
        </w:tc>
        <w:tc>
          <w:tcPr>
            <w:tcW w:w="4420" w:type="dxa"/>
            <w:vAlign w:val="bottom"/>
            <w:shd w:val="clear" w:color="auto" w:fill="E9E9E9"/>
          </w:tcPr>
          <w:p>
            <w:pPr>
              <w:jc w:val="right"/>
              <w:ind w:right="83"/>
              <w:spacing w:after="0"/>
              <w:rPr>
                <w:sz w:val="20"/>
                <w:szCs w:val="20"/>
                <w:color w:val="auto"/>
              </w:rPr>
            </w:pPr>
            <w:r>
              <w:rPr>
                <w:rFonts w:ascii="Arial" w:cs="Arial" w:eastAsia="Arial" w:hAnsi="Arial"/>
                <w:sz w:val="16"/>
                <w:szCs w:val="16"/>
                <w:color w:val="auto"/>
              </w:rPr>
              <w:t>27,025</w:t>
            </w: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 T. Whitman</w:t>
            </w:r>
          </w:p>
        </w:tc>
        <w:tc>
          <w:tcPr>
            <w:tcW w:w="4420" w:type="dxa"/>
            <w:vAlign w:val="bottom"/>
          </w:tcPr>
          <w:p>
            <w:pPr>
              <w:jc w:val="right"/>
              <w:ind w:right="83"/>
              <w:spacing w:after="0"/>
              <w:rPr>
                <w:sz w:val="20"/>
                <w:szCs w:val="20"/>
                <w:color w:val="auto"/>
              </w:rPr>
            </w:pPr>
            <w:r>
              <w:rPr>
                <w:rFonts w:ascii="Arial" w:cs="Arial" w:eastAsia="Arial" w:hAnsi="Arial"/>
                <w:sz w:val="16"/>
                <w:szCs w:val="16"/>
                <w:color w:val="auto"/>
              </w:rPr>
              <w:t>21,025</w:t>
            </w:r>
          </w:p>
        </w:tc>
      </w:tr>
    </w:tbl>
    <w:p>
      <w:pPr>
        <w:spacing w:after="0" w:line="214" w:lineRule="exact"/>
        <w:rPr>
          <w:sz w:val="20"/>
          <w:szCs w:val="20"/>
          <w:color w:val="auto"/>
        </w:rPr>
      </w:pPr>
    </w:p>
    <w:p>
      <w:pPr>
        <w:ind w:left="400" w:right="380"/>
        <w:spacing w:after="0" w:line="259" w:lineRule="auto"/>
        <w:rPr>
          <w:sz w:val="20"/>
          <w:szCs w:val="20"/>
          <w:color w:val="auto"/>
        </w:rPr>
      </w:pPr>
      <w:r>
        <w:rPr>
          <w:rFonts w:ascii="Arial" w:cs="Arial" w:eastAsia="Arial" w:hAnsi="Arial"/>
          <w:sz w:val="16"/>
          <w:szCs w:val="16"/>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66.</w:t>
      </w:r>
    </w:p>
    <w:p>
      <w:pPr>
        <w:spacing w:after="0" w:line="181" w:lineRule="exact"/>
        <w:rPr>
          <w:sz w:val="20"/>
          <w:szCs w:val="20"/>
          <w:color w:val="auto"/>
        </w:rPr>
      </w:pPr>
    </w:p>
    <w:p>
      <w:pPr>
        <w:jc w:val="both"/>
        <w:ind w:left="400" w:right="60" w:hanging="400"/>
        <w:spacing w:after="0" w:line="267" w:lineRule="auto"/>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Shown is the aggregate grant date fair value of awards granted in 2013 calculated in accordance with ASC 718. The discussion of the assumptions used for purposes of calculating the grant date fair value appears in Note 5 of Exhibit 13 to TI’s annual report on Form 10-K for the year ended December 31, 2013.</w:t>
      </w:r>
    </w:p>
    <w:p>
      <w:pPr>
        <w:spacing w:after="0" w:line="212"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4" w:name="page15"/>
    <w:bookmarkEnd w:id="14"/>
    <w:p>
      <w:pPr>
        <w:ind w:left="400"/>
        <w:spacing w:after="0"/>
        <w:rPr>
          <w:sz w:val="20"/>
          <w:szCs w:val="20"/>
          <w:color w:val="auto"/>
        </w:rPr>
      </w:pPr>
      <w:r>
        <w:rPr>
          <w:rFonts w:ascii="Arial" w:cs="Arial" w:eastAsia="Arial" w:hAnsi="Arial"/>
          <w:sz w:val="16"/>
          <w:szCs w:val="16"/>
          <w:color w:val="auto"/>
        </w:rPr>
        <w:t>The table below shows the aggregate number of shares underlying outstanding stock options held by the named individuals as of December 31, 2013.</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380" w:type="dxa"/>
            <w:vAlign w:val="bottom"/>
          </w:tcPr>
          <w:p>
            <w:pPr>
              <w:jc w:val="right"/>
              <w:ind w:right="42"/>
              <w:spacing w:after="0"/>
              <w:rPr>
                <w:sz w:val="20"/>
                <w:szCs w:val="20"/>
                <w:color w:val="auto"/>
              </w:rPr>
            </w:pPr>
            <w:r>
              <w:rPr>
                <w:rFonts w:ascii="Arial" w:cs="Arial" w:eastAsia="Arial" w:hAnsi="Arial"/>
                <w:sz w:val="13"/>
                <w:szCs w:val="13"/>
                <w:b w:val="1"/>
                <w:bCs w:val="1"/>
                <w:color w:val="auto"/>
              </w:rPr>
              <w:t>Options</w:t>
            </w:r>
          </w:p>
        </w:tc>
      </w:tr>
      <w:tr>
        <w:trPr>
          <w:trHeight w:val="225"/>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380" w:type="dxa"/>
            <w:vAlign w:val="bottom"/>
          </w:tcPr>
          <w:p>
            <w:pPr>
              <w:jc w:val="right"/>
              <w:spacing w:after="0"/>
              <w:rPr>
                <w:sz w:val="20"/>
                <w:szCs w:val="20"/>
                <w:color w:val="auto"/>
              </w:rPr>
            </w:pPr>
            <w:r>
              <w:rPr>
                <w:rFonts w:ascii="Arial" w:cs="Arial" w:eastAsia="Arial" w:hAnsi="Arial"/>
                <w:sz w:val="13"/>
                <w:szCs w:val="13"/>
                <w:b w:val="1"/>
                <w:bCs w:val="1"/>
                <w:color w:val="auto"/>
              </w:rPr>
              <w:t>(in Shares)</w:t>
            </w:r>
          </w:p>
        </w:tc>
      </w:tr>
      <w:tr>
        <w:trPr>
          <w:trHeight w:val="29"/>
        </w:trPr>
        <w:tc>
          <w:tcPr>
            <w:tcW w:w="4780" w:type="dxa"/>
            <w:vAlign w:val="bottom"/>
            <w:gridSpan w:val="2"/>
          </w:tcPr>
          <w:p>
            <w:pPr>
              <w:spacing w:after="0"/>
              <w:rPr>
                <w:sz w:val="2"/>
                <w:szCs w:val="2"/>
                <w:color w:val="auto"/>
              </w:rPr>
            </w:pPr>
          </w:p>
        </w:tc>
        <w:tc>
          <w:tcPr>
            <w:tcW w:w="438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 W. Babb, Jr.</w:t>
            </w:r>
          </w:p>
        </w:tc>
        <w:tc>
          <w:tcPr>
            <w:tcW w:w="4380" w:type="dxa"/>
            <w:vAlign w:val="bottom"/>
            <w:tcBorders>
              <w:top w:val="single" w:sz="8" w:color="auto"/>
            </w:tcBorders>
            <w:shd w:val="clear" w:color="auto" w:fill="E9E9E9"/>
          </w:tcPr>
          <w:p>
            <w:pPr>
              <w:jc w:val="right"/>
              <w:ind w:right="42"/>
              <w:spacing w:after="0"/>
              <w:rPr>
                <w:sz w:val="20"/>
                <w:szCs w:val="20"/>
                <w:color w:val="auto"/>
              </w:rPr>
            </w:pPr>
            <w:r>
              <w:rPr>
                <w:rFonts w:ascii="Arial" w:cs="Arial" w:eastAsia="Arial" w:hAnsi="Arial"/>
                <w:sz w:val="16"/>
                <w:szCs w:val="16"/>
                <w:color w:val="auto"/>
              </w:rPr>
              <w:t>36,907</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M. A. Blinn</w:t>
            </w:r>
          </w:p>
        </w:tc>
        <w:tc>
          <w:tcPr>
            <w:tcW w:w="438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31"/>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438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79,907</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C. S. Cox</w:t>
            </w:r>
          </w:p>
        </w:tc>
        <w:tc>
          <w:tcPr>
            <w:tcW w:w="4380" w:type="dxa"/>
            <w:vAlign w:val="bottom"/>
          </w:tcPr>
          <w:p>
            <w:pPr>
              <w:jc w:val="right"/>
              <w:ind w:right="42"/>
              <w:spacing w:after="0"/>
              <w:rPr>
                <w:sz w:val="20"/>
                <w:szCs w:val="20"/>
                <w:color w:val="auto"/>
              </w:rPr>
            </w:pPr>
            <w:r>
              <w:rPr>
                <w:rFonts w:ascii="Arial" w:cs="Arial" w:eastAsia="Arial" w:hAnsi="Arial"/>
                <w:sz w:val="16"/>
                <w:szCs w:val="16"/>
                <w:color w:val="auto"/>
              </w:rPr>
              <w:t>79,907</w:t>
            </w:r>
          </w:p>
        </w:tc>
      </w:tr>
      <w:tr>
        <w:trPr>
          <w:trHeight w:val="231"/>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6"/>
                <w:szCs w:val="16"/>
                <w:color w:val="auto"/>
              </w:rPr>
              <w:t>R. Kirk</w:t>
            </w:r>
          </w:p>
        </w:tc>
        <w:tc>
          <w:tcPr>
            <w:tcW w:w="438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P. H. Patsley</w:t>
            </w:r>
          </w:p>
        </w:tc>
        <w:tc>
          <w:tcPr>
            <w:tcW w:w="4380" w:type="dxa"/>
            <w:vAlign w:val="bottom"/>
          </w:tcPr>
          <w:p>
            <w:pPr>
              <w:jc w:val="right"/>
              <w:ind w:right="42"/>
              <w:spacing w:after="0"/>
              <w:rPr>
                <w:sz w:val="20"/>
                <w:szCs w:val="20"/>
                <w:color w:val="auto"/>
              </w:rPr>
            </w:pPr>
            <w:r>
              <w:rPr>
                <w:rFonts w:ascii="Arial" w:cs="Arial" w:eastAsia="Arial" w:hAnsi="Arial"/>
                <w:sz w:val="16"/>
                <w:szCs w:val="16"/>
                <w:color w:val="auto"/>
              </w:rPr>
              <w:t>94,907</w:t>
            </w:r>
          </w:p>
        </w:tc>
      </w:tr>
      <w:tr>
        <w:trPr>
          <w:trHeight w:val="231"/>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6"/>
                <w:szCs w:val="16"/>
                <w:color w:val="auto"/>
              </w:rPr>
              <w:t>R. E. Sanchez</w:t>
            </w:r>
          </w:p>
        </w:tc>
        <w:tc>
          <w:tcPr>
            <w:tcW w:w="438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26,905</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W. R. Sanders</w:t>
            </w:r>
          </w:p>
        </w:tc>
        <w:tc>
          <w:tcPr>
            <w:tcW w:w="4380" w:type="dxa"/>
            <w:vAlign w:val="bottom"/>
          </w:tcPr>
          <w:p>
            <w:pPr>
              <w:jc w:val="right"/>
              <w:ind w:right="42"/>
              <w:spacing w:after="0"/>
              <w:rPr>
                <w:sz w:val="20"/>
                <w:szCs w:val="20"/>
                <w:color w:val="auto"/>
              </w:rPr>
            </w:pPr>
            <w:r>
              <w:rPr>
                <w:rFonts w:ascii="Arial" w:cs="Arial" w:eastAsia="Arial" w:hAnsi="Arial"/>
                <w:sz w:val="16"/>
                <w:szCs w:val="16"/>
                <w:color w:val="auto"/>
              </w:rPr>
              <w:t>74,657</w:t>
            </w:r>
          </w:p>
        </w:tc>
      </w:tr>
      <w:tr>
        <w:trPr>
          <w:trHeight w:val="231"/>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6"/>
                <w:szCs w:val="16"/>
                <w:color w:val="auto"/>
              </w:rPr>
              <w:t>R. J. Simmons</w:t>
            </w:r>
          </w:p>
        </w:tc>
        <w:tc>
          <w:tcPr>
            <w:tcW w:w="438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72,907</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C. T. Whitman</w:t>
            </w:r>
          </w:p>
        </w:tc>
        <w:tc>
          <w:tcPr>
            <w:tcW w:w="4380" w:type="dxa"/>
            <w:vAlign w:val="bottom"/>
          </w:tcPr>
          <w:p>
            <w:pPr>
              <w:jc w:val="right"/>
              <w:ind w:right="42"/>
              <w:spacing w:after="0"/>
              <w:rPr>
                <w:sz w:val="20"/>
                <w:szCs w:val="20"/>
                <w:color w:val="auto"/>
              </w:rPr>
            </w:pPr>
            <w:r>
              <w:rPr>
                <w:rFonts w:ascii="Arial" w:cs="Arial" w:eastAsia="Arial" w:hAnsi="Arial"/>
                <w:sz w:val="16"/>
                <w:szCs w:val="16"/>
                <w:color w:val="auto"/>
              </w:rPr>
              <w:t>94,907</w:t>
            </w:r>
          </w:p>
        </w:tc>
      </w:tr>
    </w:tbl>
    <w:p>
      <w:pPr>
        <w:spacing w:after="0" w:line="214" w:lineRule="exact"/>
        <w:rPr>
          <w:sz w:val="20"/>
          <w:szCs w:val="20"/>
          <w:color w:val="auto"/>
        </w:rPr>
      </w:pPr>
    </w:p>
    <w:p>
      <w:pPr>
        <w:jc w:val="both"/>
        <w:ind w:left="400" w:right="240"/>
        <w:spacing w:after="0" w:line="267" w:lineRule="auto"/>
        <w:rPr>
          <w:sz w:val="20"/>
          <w:szCs w:val="20"/>
          <w:color w:val="auto"/>
        </w:rPr>
      </w:pPr>
      <w:r>
        <w:rPr>
          <w:rFonts w:ascii="Arial" w:cs="Arial" w:eastAsia="Arial" w:hAnsi="Arial"/>
          <w:sz w:val="16"/>
          <w:szCs w:val="16"/>
          <w:color w:val="auto"/>
        </w:rPr>
        <w:t>The terms of these options are as set forth on page 66 except that for options granted before November 2006, the exercise price is the average of the high and low price of TI common stock on the date of grant, and for options granted before 2010, the grant becomes fully exercisable upon a change in control of TI.</w:t>
      </w:r>
    </w:p>
    <w:p>
      <w:pPr>
        <w:spacing w:after="0" w:line="174" w:lineRule="exact"/>
        <w:rPr>
          <w:sz w:val="20"/>
          <w:szCs w:val="20"/>
          <w:color w:val="auto"/>
        </w:rPr>
      </w:pPr>
    </w:p>
    <w:p>
      <w:pPr>
        <w:ind w:left="400" w:right="140" w:hanging="400"/>
        <w:spacing w:after="0" w:line="259"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2013, this interest rate exceeded the Federal Rate by 0.83 percentage points. Shown is the amount of interest earned on the directors’ deferred compensation accounts that was in excess of the Federal Rate.</w:t>
      </w:r>
    </w:p>
    <w:p>
      <w:pPr>
        <w:spacing w:after="0" w:line="181" w:lineRule="exact"/>
        <w:rPr>
          <w:rFonts w:ascii="Arial" w:cs="Arial" w:eastAsia="Arial" w:hAnsi="Arial"/>
          <w:sz w:val="16"/>
          <w:szCs w:val="16"/>
          <w:color w:val="auto"/>
        </w:rPr>
      </w:pPr>
    </w:p>
    <w:p>
      <w:pPr>
        <w:ind w:left="400" w:right="340" w:hanging="400"/>
        <w:spacing w:after="0" w:line="251"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(a) the annual cost ($20 per director) of premiums for travel and accident insurance policies, (b) contributions under the TI Foundation matching gift program of $10,000 for Messrs. Sanchez and Blinn, $5,000 for Ms. Simmons and $1,000 for Ms. Whitman and (c)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$683.</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206" w:lineRule="exact"/>
        <w:rPr>
          <w:sz w:val="20"/>
          <w:szCs w:val="20"/>
          <w:color w:val="auto"/>
        </w:rPr>
      </w:pPr>
    </w:p>
    <w:p>
      <w:pPr>
        <w:ind w:right="640"/>
        <w:spacing w:after="0" w:line="290" w:lineRule="auto"/>
        <w:rPr>
          <w:sz w:val="20"/>
          <w:szCs w:val="20"/>
          <w:color w:val="auto"/>
        </w:rPr>
      </w:pPr>
      <w:r>
        <w:rPr>
          <w:rFonts w:ascii="Arial" w:cs="Arial" w:eastAsia="Arial" w:hAnsi="Arial"/>
          <w:sz w:val="16"/>
          <w:szCs w:val="16"/>
          <w:color w:val="auto"/>
        </w:rPr>
        <w:t>We are providing the following advisory vote on named executive officer compensation as required by Section 14A of the Securities Exchange Act. The company holds this vote annually.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regarding advisory approval of the company’s executive compensation</w:t>
      </w:r>
    </w:p>
    <w:p>
      <w:pPr>
        <w:spacing w:after="0" w:line="20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board asks the shareholders to cast an advisory vote on the compensation of our named executive officers. The “named executive officers” are the chief executive officer, chief financial officer and three other most highly compensated executive officers, as named in the compensation tables on pages 81-93.</w:t>
      </w:r>
    </w:p>
    <w:p>
      <w:pPr>
        <w:ind w:left="260"/>
        <w:spacing w:after="0"/>
        <w:rPr>
          <w:sz w:val="20"/>
          <w:szCs w:val="20"/>
          <w:color w:val="auto"/>
        </w:rPr>
      </w:pPr>
      <w:r>
        <w:rPr>
          <w:rFonts w:ascii="Arial" w:cs="Arial" w:eastAsia="Arial" w:hAnsi="Arial"/>
          <w:sz w:val="16"/>
          <w:szCs w:val="16"/>
          <w:color w:val="auto"/>
        </w:rPr>
        <w:t>Specifically, we ask the shareholders to approve the following resolution:</w:t>
      </w:r>
    </w:p>
    <w:p>
      <w:pPr>
        <w:spacing w:after="0" w:line="29" w:lineRule="exact"/>
        <w:rPr>
          <w:sz w:val="20"/>
          <w:szCs w:val="20"/>
          <w:color w:val="auto"/>
        </w:rPr>
      </w:pPr>
    </w:p>
    <w:p>
      <w:pPr>
        <w:jc w:val="both"/>
        <w:ind w:left="500"/>
        <w:spacing w:after="0" w:line="250"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 on pages 69-93 of this proxy statement, is hereby approved.</w:t>
      </w:r>
    </w:p>
    <w:p>
      <w:pPr>
        <w:ind w:right="120" w:firstLine="250"/>
        <w:spacing w:after="0" w:line="256" w:lineRule="auto"/>
        <w:rPr>
          <w:sz w:val="20"/>
          <w:szCs w:val="20"/>
          <w:color w:val="auto"/>
        </w:rPr>
      </w:pPr>
      <w:r>
        <w:rPr>
          <w:rFonts w:ascii="Arial" w:cs="Arial" w:eastAsia="Arial" w:hAnsi="Arial"/>
          <w:sz w:val="16"/>
          <w:szCs w:val="16"/>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2013. We believe that the policies and programs serve the interests of our shareholders and that the compensation received by the named executive officers is commensurate with the performance and strategic position of the company.</w:t>
      </w:r>
    </w:p>
    <w:p>
      <w:pPr>
        <w:spacing w:after="0" w:line="3" w:lineRule="exact"/>
        <w:rPr>
          <w:sz w:val="20"/>
          <w:szCs w:val="20"/>
          <w:color w:val="auto"/>
        </w:rPr>
      </w:pPr>
    </w:p>
    <w:p>
      <w:pPr>
        <w:ind w:right="60" w:firstLine="250"/>
        <w:spacing w:after="0" w:line="298" w:lineRule="auto"/>
        <w:rPr>
          <w:sz w:val="20"/>
          <w:szCs w:val="20"/>
          <w:color w:val="auto"/>
        </w:rPr>
      </w:pPr>
      <w:r>
        <w:rPr>
          <w:rFonts w:ascii="Arial" w:cs="Arial" w:eastAsia="Arial" w:hAnsi="Arial"/>
          <w:sz w:val="16"/>
          <w:szCs w:val="16"/>
          <w:color w:val="auto"/>
        </w:rPr>
        <w:t>Although the outcome of this vote is not binding on the company or the board, the Compensation Committee of the board will consider it when setting future compensation for the executive officers.</w:t>
      </w:r>
    </w:p>
    <w:p>
      <w:pPr>
        <w:spacing w:after="0" w:line="147" w:lineRule="exact"/>
        <w:rPr>
          <w:sz w:val="20"/>
          <w:szCs w:val="20"/>
          <w:color w:val="auto"/>
        </w:rPr>
      </w:pPr>
    </w:p>
    <w:p>
      <w:pPr>
        <w:ind w:right="340" w:firstLine="250"/>
        <w:spacing w:after="0" w:line="319" w:lineRule="auto"/>
        <w:rPr>
          <w:sz w:val="20"/>
          <w:szCs w:val="20"/>
          <w:color w:val="auto"/>
        </w:rPr>
      </w:pPr>
      <w:r>
        <w:rPr>
          <w:rFonts w:ascii="Arial" w:cs="Arial" w:eastAsia="Arial" w:hAnsi="Arial"/>
          <w:sz w:val="16"/>
          <w:szCs w:val="16"/>
          <w:b w:val="1"/>
          <w:bCs w:val="1"/>
          <w:color w:val="auto"/>
        </w:rPr>
        <w:t>The board of directors recommends a vote FOR the resolution approving the named executive officer compensation for 2013, as disclosed in this proxy statement.</w:t>
      </w:r>
    </w:p>
    <w:p>
      <w:pPr>
        <w:spacing w:after="0" w:line="139"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68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80"/>
          </w:cols>
          <w:pgMar w:left="240" w:top="360" w:right="17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This section describes TI’s compensation program for executive officers. It will provide insight into the following:</w:t>
      </w:r>
    </w:p>
    <w:p>
      <w:pPr>
        <w:spacing w:after="0" w:line="24" w:lineRule="exact"/>
        <w:rPr>
          <w:sz w:val="20"/>
          <w:szCs w:val="20"/>
          <w:color w:val="auto"/>
        </w:rPr>
      </w:pPr>
    </w:p>
    <w:p>
      <w:pPr>
        <w:ind w:left="300" w:right="2760"/>
        <w:spacing w:after="0" w:line="264" w:lineRule="auto"/>
        <w:rPr>
          <w:sz w:val="20"/>
          <w:szCs w:val="20"/>
          <w:color w:val="auto"/>
        </w:rPr>
      </w:pPr>
      <w:r>
        <w:rPr>
          <w:sz w:val="1"/>
          <w:szCs w:val="1"/>
          <w:color w:val="auto"/>
        </w:rPr>
        <w:drawing>
          <wp:inline distT="0" distB="0" distL="0" distR="0">
            <wp:extent cx="57150" cy="571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elements of the 2013 compensation program, why we selected them and how they relate to one another; and </w:t>
      </w:r>
      <w:r>
        <w:rPr>
          <w:sz w:val="1"/>
          <w:szCs w:val="1"/>
          <w:color w:val="auto"/>
        </w:rPr>
        <w:drawing>
          <wp:inline distT="0" distB="0" distL="0" distR="0">
            <wp:extent cx="57150" cy="571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How we determined the amount of compensation for 2013.</w:t>
      </w:r>
    </w:p>
    <w:p>
      <w:pPr>
        <w:ind w:right="140" w:firstLine="250"/>
        <w:spacing w:after="0" w:line="265" w:lineRule="auto"/>
        <w:rPr>
          <w:sz w:val="20"/>
          <w:szCs w:val="20"/>
          <w:color w:val="auto"/>
        </w:rPr>
      </w:pPr>
      <w:r>
        <w:rPr>
          <w:rFonts w:ascii="Arial" w:cs="Arial" w:eastAsia="Arial" w:hAnsi="Arial"/>
          <w:sz w:val="16"/>
          <w:szCs w:val="16"/>
          <w:color w:val="auto"/>
        </w:rPr>
        <w:t>Currently, TI has 14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2013 (collectively called the “named executive officers”) can be found in the tables beginning on page 81.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04" w:lineRule="exact"/>
        <w:rPr>
          <w:sz w:val="20"/>
          <w:szCs w:val="20"/>
          <w:color w:val="auto"/>
        </w:rPr>
      </w:pPr>
    </w:p>
    <w:p>
      <w:pPr>
        <w:ind w:left="500" w:right="60"/>
        <w:spacing w:after="0" w:line="266" w:lineRule="auto"/>
        <w:rPr>
          <w:sz w:val="20"/>
          <w:szCs w:val="20"/>
          <w:color w:val="auto"/>
        </w:rPr>
      </w:pPr>
      <w:r>
        <w:rPr>
          <w:rFonts w:ascii="Arial" w:cs="Arial" w:eastAsia="Arial" w:hAnsi="Arial"/>
          <w:sz w:val="16"/>
          <w:szCs w:val="16"/>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-600075</wp:posOffset>
            </wp:positionV>
            <wp:extent cx="57150" cy="57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b w:val="1"/>
          <w:bCs w:val="1"/>
          <w:color w:val="auto"/>
        </w:rPr>
        <w:t>2013 compensation decisions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-83185</wp:posOffset>
            </wp:positionV>
            <wp:extent cx="57150" cy="571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1000"/>
        <w:spacing w:after="0"/>
        <w:rPr>
          <w:sz w:val="20"/>
          <w:szCs w:val="20"/>
          <w:color w:val="auto"/>
        </w:rPr>
      </w:pPr>
      <w:r>
        <w:rPr>
          <w:sz w:val="1"/>
          <w:szCs w:val="1"/>
          <w:color w:val="auto"/>
        </w:rPr>
        <w:drawing>
          <wp:inline distT="0" distB="0" distL="0" distR="0">
            <wp:extent cx="57150" cy="5715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Base salary was increased by 3.4 percent over 2012.</w:t>
      </w:r>
    </w:p>
    <w:p>
      <w:pPr>
        <w:spacing w:after="0" w:line="15" w:lineRule="exact"/>
        <w:rPr>
          <w:sz w:val="20"/>
          <w:szCs w:val="20"/>
          <w:color w:val="auto"/>
        </w:rPr>
      </w:pPr>
    </w:p>
    <w:p>
      <w:pPr>
        <w:ind w:left="1200" w:right="180" w:hanging="207"/>
        <w:spacing w:after="0"/>
        <w:rPr>
          <w:sz w:val="20"/>
          <w:szCs w:val="20"/>
          <w:color w:val="auto"/>
        </w:rPr>
      </w:pPr>
      <w:r>
        <w:rPr>
          <w:sz w:val="1"/>
          <w:szCs w:val="1"/>
          <w:color w:val="auto"/>
        </w:rPr>
        <w:drawing>
          <wp:inline distT="0" distB="0" distL="0" distR="0">
            <wp:extent cx="57150" cy="571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grant date fair value of equity compensation awarded in 2013 was 2 percent higher than in 2012. The number of shares was 11 percent higher than in 2012.</w:t>
      </w:r>
    </w:p>
    <w:p>
      <w:pPr>
        <w:ind w:left="1000"/>
        <w:spacing w:after="0"/>
        <w:rPr>
          <w:sz w:val="20"/>
          <w:szCs w:val="20"/>
          <w:color w:val="auto"/>
        </w:rPr>
      </w:pPr>
      <w:r>
        <w:rPr>
          <w:sz w:val="1"/>
          <w:szCs w:val="1"/>
          <w:color w:val="auto"/>
        </w:rPr>
        <w:drawing>
          <wp:inline distT="0" distB="0" distL="0" distR="0">
            <wp:extent cx="57150" cy="571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bonus decision was based primarily on the following performance results in 2013: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460" w:type="dxa"/>
            <w:vAlign w:val="bottom"/>
            <w:tcBorders>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c>
          <w:tcPr>
            <w:tcW w:w="2860" w:type="dxa"/>
            <w:vAlign w:val="bottom"/>
            <w:tcBorders>
              <w:top w:val="single" w:sz="8" w:color="auto"/>
              <w:left w:val="single" w:sz="8" w:color="E9E9E9"/>
              <w:bottom w:val="single" w:sz="8" w:color="auto"/>
              <w:right w:val="single" w:sz="8" w:color="auto"/>
            </w:tcBorders>
            <w:shd w:val="clear" w:color="auto" w:fill="E9E9E9"/>
          </w:tcPr>
          <w:p>
            <w:pPr>
              <w:jc w:val="right"/>
              <w:ind w:right="359"/>
              <w:spacing w:after="0"/>
              <w:rPr>
                <w:sz w:val="20"/>
                <w:szCs w:val="20"/>
                <w:color w:val="auto"/>
              </w:rPr>
            </w:pPr>
            <w:r>
              <w:rPr>
                <w:rFonts w:ascii="Arial" w:cs="Arial" w:eastAsia="Arial" w:hAnsi="Arial"/>
                <w:sz w:val="16"/>
                <w:szCs w:val="16"/>
                <w:color w:val="auto"/>
              </w:rPr>
              <w:t>2013 Absolute Performance</w:t>
            </w:r>
          </w:p>
        </w:tc>
        <w:tc>
          <w:tcPr>
            <w:tcW w:w="2900" w:type="dxa"/>
            <w:vAlign w:val="bottom"/>
            <w:tcBorders>
              <w:top w:val="single" w:sz="8" w:color="auto"/>
              <w:bottom w:val="single" w:sz="8" w:color="auto"/>
              <w:right w:val="single" w:sz="8" w:color="auto"/>
            </w:tcBorders>
            <w:gridSpan w:val="2"/>
            <w:shd w:val="clear" w:color="auto" w:fill="E9E9E9"/>
          </w:tcPr>
          <w:p>
            <w:pPr>
              <w:jc w:val="center"/>
              <w:ind w:right="40"/>
              <w:spacing w:after="0"/>
              <w:rPr>
                <w:sz w:val="20"/>
                <w:szCs w:val="20"/>
                <w:color w:val="auto"/>
              </w:rPr>
            </w:pPr>
            <w:r>
              <w:rPr>
                <w:rFonts w:ascii="Arial" w:cs="Arial" w:eastAsia="Arial" w:hAnsi="Arial"/>
                <w:sz w:val="16"/>
                <w:szCs w:val="16"/>
                <w:color w:val="auto"/>
              </w:rPr>
              <w:t>2013 Relative Performance**</w:t>
            </w:r>
          </w:p>
        </w:tc>
        <w:tc>
          <w:tcPr>
            <w:tcW w:w="0" w:type="dxa"/>
            <w:vAlign w:val="bottom"/>
          </w:tcPr>
          <w:p>
            <w:pPr>
              <w:spacing w:after="0"/>
              <w:rPr>
                <w:sz w:val="1"/>
                <w:szCs w:val="1"/>
                <w:color w:val="auto"/>
              </w:rPr>
            </w:pPr>
          </w:p>
        </w:tc>
      </w:tr>
      <w:tr>
        <w:trPr>
          <w:trHeight w:val="215"/>
        </w:trPr>
        <w:tc>
          <w:tcPr>
            <w:tcW w:w="5680" w:type="dxa"/>
            <w:vAlign w:val="bottom"/>
            <w:tcBorders>
              <w:left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6"/>
                <w:szCs w:val="16"/>
                <w:color w:val="auto"/>
              </w:rPr>
              <w:t>Revenue Growth: Total TI</w:t>
            </w:r>
          </w:p>
        </w:tc>
        <w:tc>
          <w:tcPr>
            <w:tcW w:w="2860" w:type="dxa"/>
            <w:vAlign w:val="bottom"/>
            <w:tcBorders>
              <w:right w:val="single" w:sz="8" w:color="auto"/>
            </w:tcBorders>
          </w:tcPr>
          <w:p>
            <w:pPr>
              <w:jc w:val="right"/>
              <w:ind w:right="1099"/>
              <w:spacing w:after="0"/>
              <w:rPr>
                <w:sz w:val="20"/>
                <w:szCs w:val="20"/>
                <w:color w:val="auto"/>
              </w:rPr>
            </w:pPr>
            <w:r>
              <w:rPr>
                <w:rFonts w:ascii="Arial" w:cs="Arial" w:eastAsia="Arial" w:hAnsi="Arial"/>
                <w:sz w:val="16"/>
                <w:szCs w:val="16"/>
                <w:color w:val="auto"/>
              </w:rPr>
              <w:t>-4.8%</w:t>
            </w:r>
          </w:p>
        </w:tc>
        <w:tc>
          <w:tcPr>
            <w:tcW w:w="2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Below Median</w:t>
            </w:r>
          </w:p>
        </w:tc>
        <w:tc>
          <w:tcPr>
            <w:tcW w:w="0" w:type="dxa"/>
            <w:vAlign w:val="bottom"/>
          </w:tcPr>
          <w:p>
            <w:pPr>
              <w:spacing w:after="0"/>
              <w:rPr>
                <w:sz w:val="1"/>
                <w:szCs w:val="1"/>
                <w:color w:val="auto"/>
              </w:rPr>
            </w:pPr>
          </w:p>
        </w:tc>
      </w:tr>
      <w:tr>
        <w:trPr>
          <w:trHeight w:val="226"/>
        </w:trPr>
        <w:tc>
          <w:tcPr>
            <w:tcW w:w="5680" w:type="dxa"/>
            <w:vAlign w:val="bottom"/>
            <w:tcBorders>
              <w:left w:val="single" w:sz="8" w:color="auto"/>
              <w:bottom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6"/>
                <w:szCs w:val="16"/>
                <w:color w:val="auto"/>
              </w:rPr>
              <w:t>Revenue Growth without legacy wireless products*</w:t>
            </w:r>
          </w:p>
        </w:tc>
        <w:tc>
          <w:tcPr>
            <w:tcW w:w="2860" w:type="dxa"/>
            <w:vAlign w:val="bottom"/>
            <w:tcBorders>
              <w:bottom w:val="single" w:sz="8" w:color="auto"/>
              <w:right w:val="single" w:sz="8" w:color="auto"/>
            </w:tcBorders>
          </w:tcPr>
          <w:p>
            <w:pPr>
              <w:jc w:val="right"/>
              <w:ind w:right="1099"/>
              <w:spacing w:after="0"/>
              <w:rPr>
                <w:sz w:val="20"/>
                <w:szCs w:val="20"/>
                <w:color w:val="auto"/>
              </w:rPr>
            </w:pPr>
            <w:r>
              <w:rPr>
                <w:rFonts w:ascii="Arial" w:cs="Arial" w:eastAsia="Arial" w:hAnsi="Arial"/>
                <w:sz w:val="16"/>
                <w:szCs w:val="16"/>
                <w:color w:val="auto"/>
              </w:rPr>
              <w:t>0.9%</w:t>
            </w:r>
          </w:p>
        </w:tc>
        <w:tc>
          <w:tcPr>
            <w:tcW w:w="29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Above Median</w:t>
            </w:r>
          </w:p>
        </w:tc>
        <w:tc>
          <w:tcPr>
            <w:tcW w:w="0" w:type="dxa"/>
            <w:vAlign w:val="bottom"/>
          </w:tcPr>
          <w:p>
            <w:pPr>
              <w:spacing w:after="0"/>
              <w:rPr>
                <w:sz w:val="1"/>
                <w:szCs w:val="1"/>
                <w:color w:val="auto"/>
              </w:rPr>
            </w:pPr>
          </w:p>
        </w:tc>
      </w:tr>
      <w:tr>
        <w:trPr>
          <w:trHeight w:val="220"/>
        </w:trPr>
        <w:tc>
          <w:tcPr>
            <w:tcW w:w="5680" w:type="dxa"/>
            <w:vAlign w:val="bottom"/>
            <w:tcBorders>
              <w:left w:val="single" w:sz="8" w:color="auto"/>
              <w:bottom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6"/>
                <w:szCs w:val="16"/>
                <w:color w:val="auto"/>
              </w:rPr>
              <w:t>Profit from Operations as a % of Revenue (PFO%)</w:t>
            </w:r>
          </w:p>
        </w:tc>
        <w:tc>
          <w:tcPr>
            <w:tcW w:w="2860" w:type="dxa"/>
            <w:vAlign w:val="bottom"/>
            <w:tcBorders>
              <w:bottom w:val="single" w:sz="8" w:color="auto"/>
              <w:right w:val="single" w:sz="8" w:color="auto"/>
            </w:tcBorders>
          </w:tcPr>
          <w:p>
            <w:pPr>
              <w:jc w:val="right"/>
              <w:ind w:right="1099"/>
              <w:spacing w:after="0"/>
              <w:rPr>
                <w:sz w:val="20"/>
                <w:szCs w:val="20"/>
                <w:color w:val="auto"/>
              </w:rPr>
            </w:pPr>
            <w:r>
              <w:rPr>
                <w:rFonts w:ascii="Arial" w:cs="Arial" w:eastAsia="Arial" w:hAnsi="Arial"/>
                <w:sz w:val="16"/>
                <w:szCs w:val="16"/>
                <w:color w:val="auto"/>
              </w:rPr>
              <w:t>23.2%</w:t>
            </w:r>
          </w:p>
        </w:tc>
        <w:tc>
          <w:tcPr>
            <w:tcW w:w="29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Above Median</w:t>
            </w:r>
          </w:p>
        </w:tc>
        <w:tc>
          <w:tcPr>
            <w:tcW w:w="0" w:type="dxa"/>
            <w:vAlign w:val="bottom"/>
          </w:tcPr>
          <w:p>
            <w:pPr>
              <w:spacing w:after="0"/>
              <w:rPr>
                <w:sz w:val="1"/>
                <w:szCs w:val="1"/>
                <w:color w:val="auto"/>
              </w:rPr>
            </w:pPr>
          </w:p>
        </w:tc>
      </w:tr>
      <w:tr>
        <w:trPr>
          <w:trHeight w:val="218"/>
        </w:trPr>
        <w:tc>
          <w:tcPr>
            <w:tcW w:w="5680" w:type="dxa"/>
            <w:vAlign w:val="bottom"/>
            <w:tcBorders>
              <w:left w:val="single" w:sz="8" w:color="auto"/>
              <w:bottom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6"/>
                <w:szCs w:val="16"/>
                <w:color w:val="auto"/>
              </w:rPr>
              <w:t>Total Shareholder Return (TSR)</w:t>
            </w:r>
          </w:p>
        </w:tc>
        <w:tc>
          <w:tcPr>
            <w:tcW w:w="2860" w:type="dxa"/>
            <w:vAlign w:val="bottom"/>
            <w:tcBorders>
              <w:bottom w:val="single" w:sz="8" w:color="auto"/>
              <w:right w:val="single" w:sz="8" w:color="auto"/>
            </w:tcBorders>
          </w:tcPr>
          <w:p>
            <w:pPr>
              <w:jc w:val="right"/>
              <w:ind w:right="1099"/>
              <w:spacing w:after="0"/>
              <w:rPr>
                <w:sz w:val="20"/>
                <w:szCs w:val="20"/>
                <w:color w:val="auto"/>
              </w:rPr>
            </w:pPr>
            <w:r>
              <w:rPr>
                <w:rFonts w:ascii="Arial" w:cs="Arial" w:eastAsia="Arial" w:hAnsi="Arial"/>
                <w:sz w:val="16"/>
                <w:szCs w:val="16"/>
                <w:color w:val="auto"/>
              </w:rPr>
              <w:t>46.3%</w:t>
            </w:r>
          </w:p>
        </w:tc>
        <w:tc>
          <w:tcPr>
            <w:tcW w:w="29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Above Median</w:t>
            </w: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460" w:type="dxa"/>
            <w:vAlign w:val="bottom"/>
            <w:tcBorders>
              <w:right w:val="single" w:sz="8" w:color="auto"/>
            </w:tcBorders>
          </w:tcPr>
          <w:p>
            <w:pPr>
              <w:spacing w:after="0"/>
              <w:rPr>
                <w:sz w:val="24"/>
                <w:szCs w:val="24"/>
                <w:color w:val="auto"/>
              </w:rPr>
            </w:pPr>
          </w:p>
        </w:tc>
        <w:tc>
          <w:tcPr>
            <w:tcW w:w="4220" w:type="dxa"/>
            <w:vAlign w:val="bottom"/>
            <w:tcBorders>
              <w:right w:val="single" w:sz="8" w:color="E9E9E9"/>
            </w:tcBorders>
            <w:shd w:val="clear" w:color="auto" w:fill="E9E9E9"/>
          </w:tcPr>
          <w:p>
            <w:pPr>
              <w:ind w:left="780"/>
              <w:spacing w:after="0"/>
              <w:rPr>
                <w:sz w:val="20"/>
                <w:szCs w:val="20"/>
                <w:color w:val="auto"/>
              </w:rPr>
            </w:pPr>
            <w:r>
              <w:rPr>
                <w:rFonts w:ascii="Arial" w:cs="Arial" w:eastAsia="Arial" w:hAnsi="Arial"/>
                <w:sz w:val="16"/>
                <w:szCs w:val="16"/>
                <w:color w:val="auto"/>
              </w:rPr>
              <w:t>Year-on-Year Change in CEO Bonus</w:t>
            </w:r>
          </w:p>
        </w:tc>
        <w:tc>
          <w:tcPr>
            <w:tcW w:w="286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60" w:type="dxa"/>
            <w:vAlign w:val="bottom"/>
            <w:tcBorders>
              <w:right w:val="single" w:sz="8" w:color="auto"/>
            </w:tcBorders>
          </w:tcPr>
          <w:p>
            <w:pPr>
              <w:spacing w:after="0"/>
              <w:rPr>
                <w:sz w:val="19"/>
                <w:szCs w:val="19"/>
                <w:color w:val="auto"/>
              </w:rPr>
            </w:pPr>
          </w:p>
        </w:tc>
        <w:tc>
          <w:tcPr>
            <w:tcW w:w="4220" w:type="dxa"/>
            <w:vAlign w:val="bottom"/>
            <w:tcBorders>
              <w:right w:val="single" w:sz="8" w:color="E9E9E9"/>
            </w:tcBorders>
            <w:shd w:val="clear" w:color="auto" w:fill="E9E9E9"/>
          </w:tcPr>
          <w:p>
            <w:pPr>
              <w:ind w:left="780"/>
              <w:spacing w:after="0"/>
              <w:rPr>
                <w:sz w:val="20"/>
                <w:szCs w:val="20"/>
                <w:color w:val="auto"/>
              </w:rPr>
            </w:pPr>
            <w:r>
              <w:rPr>
                <w:rFonts w:ascii="Arial" w:cs="Arial" w:eastAsia="Arial" w:hAnsi="Arial"/>
                <w:sz w:val="16"/>
                <w:szCs w:val="16"/>
                <w:color w:val="auto"/>
              </w:rPr>
              <w:t>(2013 bonus compared to 2012)</w:t>
            </w:r>
          </w:p>
        </w:tc>
        <w:tc>
          <w:tcPr>
            <w:tcW w:w="2860" w:type="dxa"/>
            <w:vAlign w:val="bottom"/>
            <w:tcBorders>
              <w:lef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11% change</w:t>
            </w:r>
          </w:p>
        </w:tc>
        <w:tc>
          <w:tcPr>
            <w:tcW w:w="1480" w:type="dxa"/>
            <w:vAlign w:val="bottom"/>
            <w:tcBorders>
              <w:right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460" w:type="dxa"/>
            <w:vAlign w:val="bottom"/>
            <w:tcBorders>
              <w:right w:val="single" w:sz="8" w:color="auto"/>
            </w:tcBorders>
          </w:tcPr>
          <w:p>
            <w:pPr>
              <w:spacing w:after="0"/>
              <w:rPr>
                <w:sz w:val="9"/>
                <w:szCs w:val="9"/>
                <w:color w:val="auto"/>
              </w:rPr>
            </w:pPr>
          </w:p>
        </w:tc>
        <w:tc>
          <w:tcPr>
            <w:tcW w:w="4220" w:type="dxa"/>
            <w:vAlign w:val="bottom"/>
            <w:tcBorders>
              <w:bottom w:val="single" w:sz="8" w:color="auto"/>
              <w:right w:val="single" w:sz="8" w:color="E9E9E9"/>
            </w:tcBorders>
            <w:shd w:val="clear" w:color="auto" w:fill="E9E9E9"/>
          </w:tcPr>
          <w:p>
            <w:pPr>
              <w:spacing w:after="0"/>
              <w:rPr>
                <w:sz w:val="9"/>
                <w:szCs w:val="9"/>
                <w:color w:val="auto"/>
              </w:rPr>
            </w:pPr>
          </w:p>
        </w:tc>
        <w:tc>
          <w:tcPr>
            <w:tcW w:w="2860" w:type="dxa"/>
            <w:vAlign w:val="bottom"/>
            <w:tcBorders>
              <w:left w:val="single" w:sz="8" w:color="auto"/>
              <w:bottom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0" w:hanging="380"/>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growth for total TI excluding wireless product lines that, as of year-end 2013, we have exited. See note 3 on page 75.</w:t>
      </w:r>
    </w:p>
    <w:p>
      <w:pPr>
        <w:spacing w:after="0" w:line="24" w:lineRule="exact"/>
        <w:rPr>
          <w:sz w:val="20"/>
          <w:szCs w:val="20"/>
          <w:color w:val="auto"/>
        </w:rPr>
      </w:pPr>
    </w:p>
    <w:p>
      <w:pPr>
        <w:ind w:left="380" w:hanging="380"/>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Relative to semiconductor competitors as outlined on page 74. Includes estimates and projections of certain competitors’ financial results.</w:t>
      </w:r>
    </w:p>
    <w:p>
      <w:pPr>
        <w:spacing w:after="0" w:line="146" w:lineRule="exact"/>
        <w:rPr>
          <w:sz w:val="20"/>
          <w:szCs w:val="20"/>
          <w:color w:val="auto"/>
        </w:rPr>
      </w:pPr>
    </w:p>
    <w:p>
      <w:pPr>
        <w:ind w:left="500" w:right="420" w:hanging="207"/>
        <w:spacing w:after="0"/>
        <w:rPr>
          <w:sz w:val="20"/>
          <w:szCs w:val="20"/>
          <w:color w:val="auto"/>
        </w:rPr>
      </w:pPr>
      <w:r>
        <w:rPr>
          <w:sz w:val="1"/>
          <w:szCs w:val="1"/>
          <w:color w:val="auto"/>
        </w:rPr>
        <w:drawing>
          <wp:inline distT="0" distB="0" distL="0" distR="0">
            <wp:extent cx="57150" cy="571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ind w:left="1000"/>
        <w:spacing w:after="0"/>
        <w:rPr>
          <w:sz w:val="20"/>
          <w:szCs w:val="20"/>
          <w:color w:val="auto"/>
        </w:rPr>
      </w:pPr>
      <w:r>
        <w:rPr>
          <w:sz w:val="1"/>
          <w:szCs w:val="1"/>
          <w:color w:val="auto"/>
        </w:rPr>
        <w:drawing>
          <wp:inline distT="0" distB="0" distL="0" distR="0">
            <wp:extent cx="57150" cy="571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Executive officers do not have employment contracts and are not guaranteed salary increases or bonus amounts.</w:t>
      </w:r>
    </w:p>
    <w:p>
      <w:pPr>
        <w:spacing w:after="0" w:line="16" w:lineRule="exact"/>
        <w:rPr>
          <w:sz w:val="20"/>
          <w:szCs w:val="20"/>
          <w:color w:val="auto"/>
        </w:rPr>
      </w:pPr>
    </w:p>
    <w:p>
      <w:pPr>
        <w:ind w:left="1200" w:right="220" w:hanging="207"/>
        <w:spacing w:after="0"/>
        <w:rPr>
          <w:sz w:val="20"/>
          <w:szCs w:val="20"/>
          <w:color w:val="auto"/>
        </w:rPr>
      </w:pPr>
      <w:r>
        <w:rPr>
          <w:sz w:val="1"/>
          <w:szCs w:val="1"/>
          <w:color w:val="auto"/>
        </w:rPr>
        <w:drawing>
          <wp:inline distT="0" distB="0" distL="0" distR="0">
            <wp:extent cx="57150" cy="571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ind w:left="1000"/>
        <w:spacing w:after="0"/>
        <w:rPr>
          <w:sz w:val="20"/>
          <w:szCs w:val="20"/>
          <w:color w:val="auto"/>
        </w:rPr>
      </w:pPr>
      <w:r>
        <w:rPr>
          <w:sz w:val="1"/>
          <w:szCs w:val="1"/>
          <w:color w:val="auto"/>
        </w:rPr>
        <w:drawing>
          <wp:inline distT="0" distB="0" distL="0" distR="0">
            <wp:extent cx="57150" cy="571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Bonus and equity compensation awards are subject to clawback under the committee’s policy described on page 78.</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We do not provide excessive perquisites. We provide no tax gross-ups for perquisites.</w:t>
      </w:r>
    </w:p>
    <w:p>
      <w:pPr>
        <w:spacing w:after="0" w:line="16" w:lineRule="exact"/>
        <w:rPr>
          <w:sz w:val="20"/>
          <w:szCs w:val="20"/>
          <w:color w:val="auto"/>
        </w:rPr>
      </w:pPr>
    </w:p>
    <w:p>
      <w:pPr>
        <w:ind w:left="1000"/>
        <w:spacing w:after="0"/>
        <w:rPr>
          <w:sz w:val="20"/>
          <w:szCs w:val="20"/>
          <w:color w:val="auto"/>
        </w:rPr>
      </w:pPr>
      <w:r>
        <w:rPr>
          <w:sz w:val="1"/>
          <w:szCs w:val="1"/>
          <w:color w:val="auto"/>
        </w:rPr>
        <w:drawing>
          <wp:inline distT="0" distB="0" distL="0" distR="0">
            <wp:extent cx="57150" cy="571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We do not guarantee a return or provide above-market returns on compensation that has been deferred.</w:t>
      </w:r>
    </w:p>
    <w:p>
      <w:pPr>
        <w:spacing w:after="0" w:line="16" w:lineRule="exact"/>
        <w:rPr>
          <w:sz w:val="20"/>
          <w:szCs w:val="20"/>
          <w:color w:val="auto"/>
        </w:rPr>
      </w:pPr>
    </w:p>
    <w:p>
      <w:pPr>
        <w:ind w:left="1200" w:right="360" w:hanging="207"/>
        <w:spacing w:after="0"/>
        <w:rPr>
          <w:sz w:val="20"/>
          <w:szCs w:val="20"/>
          <w:color w:val="auto"/>
        </w:rPr>
      </w:pPr>
      <w:r>
        <w:rPr>
          <w:sz w:val="1"/>
          <w:szCs w:val="1"/>
          <w:color w:val="auto"/>
        </w:rPr>
        <w:drawing>
          <wp:inline distT="0" distB="0" distL="0" distR="0">
            <wp:extent cx="57150" cy="571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Pension benefits are calculated on salary and bonus only; the proceeds earned on equity or other performance awards are not part of the pension calculation.</w:t>
      </w:r>
    </w:p>
    <w:p>
      <w:pPr>
        <w:spacing w:after="0" w:line="194"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6" w:name="page17"/>
    <w:bookmarkEnd w:id="16"/>
    <w:p>
      <w:pPr>
        <w:jc w:val="both"/>
        <w:ind w:right="120"/>
        <w:spacing w:after="0" w:line="267" w:lineRule="auto"/>
        <w:rPr>
          <w:sz w:val="20"/>
          <w:szCs w:val="20"/>
          <w:color w:val="auto"/>
        </w:rPr>
      </w:pPr>
      <w:r>
        <w:rPr>
          <w:rFonts w:ascii="Arial" w:cs="Arial" w:eastAsia="Arial" w:hAnsi="Arial"/>
          <w:sz w:val="16"/>
          <w:szCs w:val="16"/>
          <w:color w:val="auto"/>
        </w:rPr>
        <w:t>The committee’s strategy for setting cash and non-cash compensation is described in the table that follows immediately below. Its compensation decisions for the named executive officers for 2013 are discussed on pages 71-78. Benefit programs in which the executive officers participate are discussed on pages 79-80. Perquisites are discussed on page 80.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Detailed discussion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philosophy and elements</w:t>
      </w:r>
    </w:p>
    <w:p>
      <w:pPr>
        <w:spacing w:after="0" w:line="2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primary elements of our executive compensation program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Near-term compensation, paid in cash</w:t>
      </w:r>
    </w:p>
    <w:p>
      <w:pPr>
        <w:spacing w:after="0" w:line="294" w:lineRule="exact"/>
        <w:rPr>
          <w:sz w:val="20"/>
          <w:szCs w:val="20"/>
          <w:color w:val="auto"/>
        </w:rPr>
      </w:pPr>
    </w:p>
    <w:p>
      <w:pPr>
        <w:spacing w:after="0"/>
        <w:tabs>
          <w:tab w:leader="none" w:pos="2560" w:val="left"/>
          <w:tab w:leader="none" w:pos="6020" w:val="left"/>
          <w:tab w:leader="none" w:pos="958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1"/>
          <w:szCs w:val="11"/>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56780" cy="4845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6780" cy="48450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p>
      <w:pPr>
        <w:spacing w:after="0" w:line="20"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color w:val="auto"/>
        </w:rPr>
        <w:t>Base salary</w:t>
        <w:tab/>
        <w:t>Basic, least variable form of compensation</w:t>
      </w:r>
    </w:p>
    <w:p>
      <w:pPr>
        <w:spacing w:after="0" w:line="20" w:lineRule="exact"/>
        <w:rPr>
          <w:sz w:val="20"/>
          <w:szCs w:val="20"/>
          <w:color w:val="auto"/>
        </w:rPr>
      </w:pPr>
      <w:r>
        <w:rPr>
          <w:sz w:val="20"/>
          <w:szCs w:val="20"/>
          <w:color w:val="auto"/>
        </w:rPr>
        <w:br w:type="column"/>
      </w:r>
    </w:p>
    <w:p>
      <w:pPr>
        <w:ind w:right="1940"/>
        <w:spacing w:after="0" w:line="244" w:lineRule="auto"/>
        <w:rPr>
          <w:sz w:val="20"/>
          <w:szCs w:val="20"/>
          <w:color w:val="auto"/>
        </w:rPr>
      </w:pPr>
      <w:r>
        <w:rPr>
          <w:rFonts w:ascii="Arial" w:cs="Arial" w:eastAsia="Arial" w:hAnsi="Arial"/>
          <w:sz w:val="16"/>
          <w:szCs w:val="16"/>
          <w:color w:val="auto"/>
        </w:rPr>
        <w:t>Pay below market median in order to weight Paid twice monthly total compensation to the performance-based elements described below in this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chart.</w:t>
      </w:r>
    </w:p>
    <w:p>
      <w:pPr>
        <w:spacing w:after="0" w:line="200" w:lineRule="exact"/>
        <w:rPr>
          <w:sz w:val="20"/>
          <w:szCs w:val="20"/>
          <w:color w:val="auto"/>
        </w:rPr>
      </w:pPr>
    </w:p>
    <w:p>
      <w:pPr>
        <w:sectPr>
          <w:pgSz w:w="11900" w:h="16838" w:orient="portrait"/>
          <w:cols w:equalWidth="0" w:num="2">
            <w:col w:w="4260" w:space="460"/>
            <w:col w:w="6700"/>
          </w:cols>
          <w:pgMar w:left="240" w:top="548" w:right="239" w:bottom="1440" w:gutter="0" w:footer="0" w:header="0"/>
          <w:type w:val="continuous"/>
        </w:sectPr>
      </w:pPr>
    </w:p>
    <w:p>
      <w:pPr>
        <w:spacing w:after="0" w:line="9" w:lineRule="exact"/>
        <w:rPr>
          <w:sz w:val="20"/>
          <w:szCs w:val="20"/>
          <w:color w:val="auto"/>
        </w:rPr>
      </w:pPr>
    </w:p>
    <w:p>
      <w:pPr>
        <w:ind w:left="1220" w:hanging="1212"/>
        <w:spacing w:after="0" w:line="259" w:lineRule="auto"/>
        <w:tabs>
          <w:tab w:leader="none" w:pos="1200" w:val="left"/>
        </w:tabs>
        <w:rPr>
          <w:sz w:val="20"/>
          <w:szCs w:val="20"/>
          <w:color w:val="auto"/>
        </w:rPr>
      </w:pPr>
      <w:r>
        <w:rPr>
          <w:rFonts w:ascii="Arial" w:cs="Arial" w:eastAsia="Arial" w:hAnsi="Arial"/>
          <w:sz w:val="16"/>
          <w:szCs w:val="16"/>
          <w:color w:val="auto"/>
        </w:rPr>
        <w:t>Profit sharing</w:t>
        <w:tab/>
        <w:t>Broad-based program designed to emphasize that each employee contributes to the company’s profitability and can share in it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6"/>
          <w:szCs w:val="16"/>
          <w:color w:val="auto"/>
        </w:rPr>
        <w:t>Pay according to a formula that focuses employees on a company goal, and at a level that will affect behavior. Profit sharing is paid in addition to any performance bonus awarded for the year.</w:t>
      </w:r>
    </w:p>
    <w:p>
      <w:pPr>
        <w:spacing w:after="0" w:line="3" w:lineRule="exact"/>
        <w:rPr>
          <w:sz w:val="20"/>
          <w:szCs w:val="20"/>
          <w:color w:val="auto"/>
        </w:rPr>
      </w:pPr>
    </w:p>
    <w:p>
      <w:pPr>
        <w:ind w:firstLine="250"/>
        <w:spacing w:after="0" w:line="255" w:lineRule="auto"/>
        <w:rPr>
          <w:sz w:val="20"/>
          <w:szCs w:val="20"/>
          <w:color w:val="auto"/>
        </w:rPr>
      </w:pPr>
      <w:r>
        <w:rPr>
          <w:rFonts w:ascii="Arial" w:cs="Arial" w:eastAsia="Arial" w:hAnsi="Arial"/>
          <w:sz w:val="16"/>
          <w:szCs w:val="16"/>
          <w:color w:val="auto"/>
        </w:rPr>
        <w:t>For the last nine years, the formula has been based on company-level annual operating profit margin. The formula was set by the TI board. The committee’s practice has been not to adjust amounts earned under the formula.</w:t>
      </w:r>
    </w:p>
    <w:p>
      <w:pPr>
        <w:spacing w:after="0" w:line="20" w:lineRule="exact"/>
        <w:rPr>
          <w:sz w:val="20"/>
          <w:szCs w:val="20"/>
          <w:color w:val="auto"/>
        </w:rPr>
      </w:pPr>
      <w:r>
        <w:rPr>
          <w:sz w:val="20"/>
          <w:szCs w:val="20"/>
          <w:color w:val="auto"/>
        </w:rPr>
        <w:br w:type="column"/>
      </w:r>
    </w:p>
    <w:p>
      <w:pPr>
        <w:ind w:right="340"/>
        <w:spacing w:after="0" w:line="265" w:lineRule="auto"/>
        <w:rPr>
          <w:sz w:val="20"/>
          <w:szCs w:val="20"/>
          <w:color w:val="auto"/>
        </w:rPr>
      </w:pPr>
      <w:r>
        <w:rPr>
          <w:rFonts w:ascii="Arial" w:cs="Arial" w:eastAsia="Arial" w:hAnsi="Arial"/>
          <w:sz w:val="16"/>
          <w:szCs w:val="16"/>
          <w:color w:val="auto"/>
        </w:rPr>
        <w:t>Payable in a single cash payment shortly after the end of the performance year</w:t>
      </w:r>
    </w:p>
    <w:p>
      <w:pPr>
        <w:ind w:right="200" w:firstLine="250"/>
        <w:spacing w:after="0" w:line="261" w:lineRule="auto"/>
        <w:rPr>
          <w:sz w:val="20"/>
          <w:szCs w:val="20"/>
          <w:color w:val="auto"/>
        </w:rPr>
      </w:pPr>
      <w:r>
        <w:rPr>
          <w:rFonts w:ascii="Arial" w:cs="Arial" w:eastAsia="Arial" w:hAnsi="Arial"/>
          <w:sz w:val="16"/>
          <w:szCs w:val="16"/>
          <w:color w:val="auto"/>
        </w:rPr>
        <w:t>As in recent years, the formula for 2013 was:</w:t>
      </w:r>
    </w:p>
    <w:p>
      <w:pPr>
        <w:spacing w:after="0" w:line="1" w:lineRule="exact"/>
        <w:rPr>
          <w:sz w:val="20"/>
          <w:szCs w:val="20"/>
          <w:color w:val="auto"/>
        </w:rPr>
      </w:pPr>
    </w:p>
    <w:p>
      <w:pPr>
        <w:jc w:val="right"/>
        <w:ind w:left="500"/>
        <w:spacing w:after="0" w:line="260" w:lineRule="auto"/>
        <w:rPr>
          <w:sz w:val="20"/>
          <w:szCs w:val="20"/>
          <w:color w:val="auto"/>
        </w:rPr>
      </w:pPr>
      <w:r>
        <w:rPr>
          <w:sz w:val="1"/>
          <w:szCs w:val="1"/>
          <w:color w:val="auto"/>
        </w:rPr>
        <w:drawing>
          <wp:inline distT="0" distB="0" distL="0" distR="0">
            <wp:extent cx="57150" cy="571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Below 10% company-level annual operating profit as a percentage of revenue (“Margin”): no profit sharing </w:t>
      </w:r>
      <w:r>
        <w:rPr>
          <w:sz w:val="1"/>
          <w:szCs w:val="1"/>
          <w:color w:val="auto"/>
        </w:rPr>
        <w:drawing>
          <wp:inline distT="0" distB="0" distL="0" distR="0">
            <wp:extent cx="57150" cy="571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At 10% Margin: profit sharing = 2%</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 base salary</w:t>
      </w:r>
    </w:p>
    <w:p>
      <w:pPr>
        <w:spacing w:after="0" w:line="16" w:lineRule="exact"/>
        <w:rPr>
          <w:sz w:val="20"/>
          <w:szCs w:val="20"/>
          <w:color w:val="auto"/>
        </w:rPr>
      </w:pPr>
    </w:p>
    <w:p>
      <w:pPr>
        <w:ind w:left="700" w:right="20" w:hanging="207"/>
        <w:spacing w:after="0"/>
        <w:rPr>
          <w:sz w:val="20"/>
          <w:szCs w:val="20"/>
          <w:color w:val="auto"/>
        </w:rPr>
      </w:pPr>
      <w:r>
        <w:rPr>
          <w:sz w:val="1"/>
          <w:szCs w:val="1"/>
          <w:color w:val="auto"/>
        </w:rPr>
        <w:drawing>
          <wp:inline distT="0" distB="0" distL="0" distR="0">
            <wp:extent cx="57150" cy="571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At Margin above 10%: profit sharing increases by 0.5% of base salary for each percentage point of Margin between 10% and 24%, and 1% of base salary for each percentage point of Margin above 24%. The maximum profit sharing is 20% of base salary.</w:t>
      </w:r>
    </w:p>
    <w:p>
      <w:pPr>
        <w:spacing w:after="0" w:line="1" w:lineRule="exact"/>
        <w:rPr>
          <w:sz w:val="20"/>
          <w:szCs w:val="20"/>
          <w:color w:val="auto"/>
        </w:rPr>
      </w:pPr>
    </w:p>
    <w:p>
      <w:pPr>
        <w:sectPr>
          <w:pgSz w:w="11900" w:h="16838" w:orient="portrait"/>
          <w:cols w:equalWidth="0" w:num="3">
            <w:col w:w="4340" w:space="380"/>
            <w:col w:w="3060" w:space="340"/>
            <w:col w:w="3300"/>
          </w:cols>
          <w:pgMar w:left="240" w:top="548" w:right="239" w:bottom="1440" w:gutter="0" w:footer="0" w:header="0"/>
          <w:type w:val="continuous"/>
        </w:sectPr>
      </w:pPr>
    </w:p>
    <w:p>
      <w:pPr>
        <w:ind w:left="8120"/>
        <w:spacing w:after="0"/>
        <w:rPr>
          <w:sz w:val="20"/>
          <w:szCs w:val="20"/>
          <w:color w:val="auto"/>
        </w:rPr>
      </w:pPr>
      <w:r>
        <w:rPr>
          <w:rFonts w:ascii="Arial" w:cs="Arial" w:eastAsia="Arial" w:hAnsi="Arial"/>
          <w:sz w:val="16"/>
          <w:szCs w:val="16"/>
          <w:color w:val="auto"/>
        </w:rPr>
        <w:t>In 2013, TI delivered Margin of 23.2%. As a</w:t>
      </w:r>
    </w:p>
    <w:p>
      <w:pPr>
        <w:spacing w:after="0" w:line="5"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result, all eligible employees, including</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executive officers, received profit sharing of</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8.6% of base salary.</w:t>
      </w:r>
    </w:p>
    <w:p>
      <w:pPr>
        <w:spacing w:after="0" w:line="247"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70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type w:val="continuous"/>
        </w:sectPr>
      </w:pPr>
    </w:p>
    <w:bookmarkStart w:id="17" w:name="page18"/>
    <w:bookmarkEnd w:id="17"/>
    <w:p>
      <w:pPr>
        <w:spacing w:after="0"/>
        <w:tabs>
          <w:tab w:leader="none" w:pos="2540" w:val="left"/>
          <w:tab w:leader="none" w:pos="5920" w:val="left"/>
          <w:tab w:leader="none" w:pos="950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1"/>
          <w:szCs w:val="11"/>
          <w:b w:val="1"/>
          <w:bCs w:val="1"/>
          <w:color w:val="auto"/>
        </w:rPr>
        <w:t>Terms</w:t>
      </w:r>
    </w:p>
    <w:p>
      <w:pPr>
        <w:sectPr>
          <w:pgSz w:w="11900" w:h="16838" w:orient="portrait"/>
          <w:cols w:equalWidth="0" w:num="1">
            <w:col w:w="11420"/>
          </w:cols>
          <w:pgMar w:left="240" w:top="385" w:right="239" w:bottom="1440" w:gutter="0" w:footer="0" w:header="0"/>
        </w:sectPr>
      </w:pPr>
    </w:p>
    <w:p>
      <w:pPr>
        <w:spacing w:after="0" w:line="50"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Performance</w:t>
        <w:tab/>
        <w:t>To motivate executives and reward them</w:t>
      </w:r>
    </w:p>
    <w:p>
      <w:pPr>
        <w:spacing w:after="0" w:line="24"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bonus</w:t>
      </w:r>
      <w:r>
        <w:rPr>
          <w:sz w:val="20"/>
          <w:szCs w:val="20"/>
          <w:color w:val="auto"/>
        </w:rPr>
        <w:tab/>
      </w:r>
      <w:r>
        <w:rPr>
          <w:rFonts w:ascii="Arial" w:cs="Arial" w:eastAsia="Arial" w:hAnsi="Arial"/>
          <w:sz w:val="16"/>
          <w:szCs w:val="16"/>
          <w:color w:val="auto"/>
        </w:rPr>
        <w:t>according to the company’s relative and</w:t>
      </w:r>
    </w:p>
    <w:p>
      <w:pPr>
        <w:spacing w:after="0" w:line="4" w:lineRule="exact"/>
        <w:rPr>
          <w:sz w:val="20"/>
          <w:szCs w:val="20"/>
          <w:color w:val="auto"/>
        </w:rPr>
      </w:pPr>
    </w:p>
    <w:p>
      <w:pPr>
        <w:ind w:left="1180"/>
        <w:spacing w:after="0" w:line="264" w:lineRule="auto"/>
        <w:rPr>
          <w:sz w:val="20"/>
          <w:szCs w:val="20"/>
          <w:color w:val="auto"/>
        </w:rPr>
      </w:pPr>
      <w:r>
        <w:rPr>
          <w:rFonts w:ascii="Arial" w:cs="Arial" w:eastAsia="Arial" w:hAnsi="Arial"/>
          <w:sz w:val="16"/>
          <w:szCs w:val="16"/>
          <w:color w:val="auto"/>
        </w:rPr>
        <w:t>absolute performance and the executive’s individual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compensation, awarded in equity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Determined primarily on the basis of one-year and three-year company performance on certain measures (revenue growth percent,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-485140</wp:posOffset>
            </wp:positionV>
            <wp:extent cx="7256780" cy="28898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6780" cy="288988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margin and total shareholder return</w:t>
      </w:r>
      <w:r>
        <w:rPr>
          <w:rFonts w:ascii="Arial" w:cs="Arial" w:eastAsia="Arial" w:hAnsi="Arial"/>
          <w:sz w:val="27"/>
          <w:szCs w:val="27"/>
          <w:color w:val="auto"/>
          <w:vertAlign w:val="superscript"/>
        </w:rPr>
        <w:t>1</w:t>
      </w:r>
      <w:r>
        <w:rPr>
          <w:rFonts w:ascii="Arial" w:cs="Arial" w:eastAsia="Arial" w:hAnsi="Arial"/>
          <w:sz w:val="16"/>
          <w:szCs w:val="16"/>
          <w:color w:val="auto"/>
        </w:rPr>
        <w:t>) as compared to competitors and on our strategic progress in key markets and with customers. These factors have been chosen to reflect our near-term financial performance as well as our progress in building long-term shareholder value.</w:t>
      </w:r>
    </w:p>
    <w:p>
      <w:pPr>
        <w:spacing w:after="0" w:line="1" w:lineRule="exact"/>
        <w:rPr>
          <w:sz w:val="20"/>
          <w:szCs w:val="20"/>
          <w:color w:val="auto"/>
        </w:rPr>
      </w:pPr>
    </w:p>
    <w:p>
      <w:pPr>
        <w:ind w:right="60" w:firstLine="226"/>
        <w:spacing w:after="0" w:line="244" w:lineRule="auto"/>
        <w:rPr>
          <w:sz w:val="20"/>
          <w:szCs w:val="20"/>
          <w:color w:val="auto"/>
        </w:rPr>
      </w:pPr>
      <w:r>
        <w:rPr>
          <w:rFonts w:ascii="Arial" w:cs="Arial" w:eastAsia="Arial" w:hAnsi="Arial"/>
          <w:sz w:val="16"/>
          <w:szCs w:val="16"/>
          <w:color w:val="auto"/>
        </w:rPr>
        <w:t>The committee aims to pay total cash compensation (base salary, profit sharing and bonus) appropriately above median if company performance is above that of competitors, and pay total cash compensation appropriately below the median if company performance is below competitors.</w:t>
      </w:r>
    </w:p>
    <w:p>
      <w:pPr>
        <w:spacing w:after="0" w:line="4" w:lineRule="exact"/>
        <w:rPr>
          <w:sz w:val="20"/>
          <w:szCs w:val="20"/>
          <w:color w:val="auto"/>
        </w:rPr>
      </w:pPr>
    </w:p>
    <w:p>
      <w:pPr>
        <w:ind w:right="240" w:firstLine="226"/>
        <w:spacing w:after="0" w:line="249" w:lineRule="auto"/>
        <w:rPr>
          <w:sz w:val="20"/>
          <w:szCs w:val="20"/>
          <w:color w:val="auto"/>
        </w:rPr>
      </w:pPr>
      <w:r>
        <w:rPr>
          <w:rFonts w:ascii="Arial" w:cs="Arial" w:eastAsia="Arial" w:hAnsi="Arial"/>
          <w:sz w:val="16"/>
          <w:szCs w:val="16"/>
          <w:color w:val="auto"/>
        </w:rPr>
        <w:t>The committee does not rely on formulas or performance targets or thresholds. Instead it uses its judgment based on its assessment of the factors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130175</wp:posOffset>
            </wp:positionV>
            <wp:extent cx="7256780" cy="142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678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Determined by the committee and paid in a single payment after the performance year</w:t>
      </w:r>
    </w:p>
    <w:p>
      <w:pPr>
        <w:spacing w:after="0" w:line="4713" w:lineRule="exact"/>
        <w:rPr>
          <w:sz w:val="20"/>
          <w:szCs w:val="20"/>
          <w:color w:val="auto"/>
        </w:rPr>
      </w:pPr>
    </w:p>
    <w:p>
      <w:pPr>
        <w:sectPr>
          <w:pgSz w:w="11900" w:h="16838" w:orient="portrait"/>
          <w:cols w:equalWidth="0" w:num="3">
            <w:col w:w="4200" w:space="480"/>
            <w:col w:w="3040" w:space="240"/>
            <w:col w:w="3460"/>
          </w:cols>
          <w:pgMar w:left="240" w:top="385" w:right="23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Stock</w:t>
            </w:r>
          </w:p>
        </w:tc>
        <w:tc>
          <w:tcPr>
            <w:tcW w:w="3460" w:type="dxa"/>
            <w:vAlign w:val="bottom"/>
            <w:shd w:val="clear" w:color="auto" w:fill="E9E9E9"/>
          </w:tcPr>
          <w:p>
            <w:pPr>
              <w:ind w:left="160"/>
              <w:spacing w:after="0"/>
              <w:rPr>
                <w:sz w:val="20"/>
                <w:szCs w:val="20"/>
                <w:color w:val="auto"/>
              </w:rPr>
            </w:pPr>
            <w:r>
              <w:rPr>
                <w:rFonts w:ascii="Arial" w:cs="Arial" w:eastAsia="Arial" w:hAnsi="Arial"/>
                <w:sz w:val="16"/>
                <w:szCs w:val="16"/>
                <w:color w:val="auto"/>
              </w:rPr>
              <w:t>Alignment with shareholders; long-term</w:t>
            </w:r>
          </w:p>
        </w:tc>
        <w:tc>
          <w:tcPr>
            <w:tcW w:w="33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We grant a combination of nonqualified</w:t>
            </w:r>
          </w:p>
        </w:tc>
        <w:tc>
          <w:tcPr>
            <w:tcW w:w="3640" w:type="dxa"/>
            <w:vAlign w:val="bottom"/>
            <w:shd w:val="clear" w:color="auto" w:fill="E9E9E9"/>
          </w:tcPr>
          <w:p>
            <w:pPr>
              <w:ind w:left="180"/>
              <w:spacing w:after="0"/>
              <w:rPr>
                <w:sz w:val="20"/>
                <w:szCs w:val="20"/>
                <w:color w:val="auto"/>
              </w:rPr>
            </w:pPr>
            <w:r>
              <w:rPr>
                <w:rFonts w:ascii="Arial" w:cs="Arial" w:eastAsia="Arial" w:hAnsi="Arial"/>
                <w:sz w:val="16"/>
                <w:szCs w:val="16"/>
                <w:color w:val="auto"/>
              </w:rPr>
              <w:t>The terms and conditions of stock options and</w:t>
            </w:r>
          </w:p>
        </w:tc>
      </w:tr>
      <w:tr>
        <w:trPr>
          <w:trHeight w:val="188"/>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options and</w:t>
            </w:r>
          </w:p>
        </w:tc>
        <w:tc>
          <w:tcPr>
            <w:tcW w:w="3460" w:type="dxa"/>
            <w:vAlign w:val="bottom"/>
            <w:shd w:val="clear" w:color="auto" w:fill="E9E9E9"/>
          </w:tcPr>
          <w:p>
            <w:pPr>
              <w:ind w:left="160"/>
              <w:spacing w:after="0"/>
              <w:rPr>
                <w:sz w:val="20"/>
                <w:szCs w:val="20"/>
                <w:color w:val="auto"/>
              </w:rPr>
            </w:pPr>
            <w:r>
              <w:rPr>
                <w:rFonts w:ascii="Arial" w:cs="Arial" w:eastAsia="Arial" w:hAnsi="Arial"/>
                <w:sz w:val="16"/>
                <w:szCs w:val="16"/>
                <w:color w:val="auto"/>
              </w:rPr>
              <w:t>focus; retention, particularly with respect to</w:t>
            </w:r>
          </w:p>
        </w:tc>
        <w:tc>
          <w:tcPr>
            <w:tcW w:w="33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(NQ) stock options and restricted stock</w:t>
            </w:r>
          </w:p>
        </w:tc>
        <w:tc>
          <w:tcPr>
            <w:tcW w:w="3640" w:type="dxa"/>
            <w:vAlign w:val="bottom"/>
            <w:shd w:val="clear" w:color="auto" w:fill="E9E9E9"/>
          </w:tcPr>
          <w:p>
            <w:pPr>
              <w:ind w:left="180"/>
              <w:spacing w:after="0"/>
              <w:rPr>
                <w:sz w:val="20"/>
                <w:szCs w:val="20"/>
                <w:color w:val="auto"/>
              </w:rPr>
            </w:pPr>
            <w:r>
              <w:rPr>
                <w:rFonts w:ascii="Arial" w:cs="Arial" w:eastAsia="Arial" w:hAnsi="Arial"/>
                <w:sz w:val="16"/>
                <w:szCs w:val="16"/>
                <w:color w:val="auto"/>
              </w:rPr>
              <w:t>restricted stock units are summarized on pages</w:t>
            </w:r>
          </w:p>
        </w:tc>
      </w:tr>
      <w:tr>
        <w:trPr>
          <w:trHeight w:val="188"/>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restricted</w:t>
            </w:r>
          </w:p>
        </w:tc>
        <w:tc>
          <w:tcPr>
            <w:tcW w:w="3460" w:type="dxa"/>
            <w:vAlign w:val="bottom"/>
            <w:shd w:val="clear" w:color="auto" w:fill="E9E9E9"/>
          </w:tcPr>
          <w:p>
            <w:pPr>
              <w:ind w:left="160"/>
              <w:spacing w:after="0"/>
              <w:rPr>
                <w:sz w:val="20"/>
                <w:szCs w:val="20"/>
                <w:color w:val="auto"/>
              </w:rPr>
            </w:pPr>
            <w:r>
              <w:rPr>
                <w:rFonts w:ascii="Arial" w:cs="Arial" w:eastAsia="Arial" w:hAnsi="Arial"/>
                <w:sz w:val="16"/>
                <w:szCs w:val="16"/>
                <w:color w:val="auto"/>
              </w:rPr>
              <w:t>restricted stock units</w:t>
            </w:r>
          </w:p>
        </w:tc>
        <w:tc>
          <w:tcPr>
            <w:tcW w:w="33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units, generally targeted at the median</w:t>
            </w:r>
          </w:p>
        </w:tc>
        <w:tc>
          <w:tcPr>
            <w:tcW w:w="3640" w:type="dxa"/>
            <w:vAlign w:val="bottom"/>
            <w:shd w:val="clear" w:color="auto" w:fill="E9E9E9"/>
          </w:tcPr>
          <w:p>
            <w:pPr>
              <w:ind w:left="180"/>
              <w:spacing w:after="0"/>
              <w:rPr>
                <w:sz w:val="20"/>
                <w:szCs w:val="20"/>
                <w:color w:val="auto"/>
              </w:rPr>
            </w:pPr>
            <w:r>
              <w:rPr>
                <w:rFonts w:ascii="Arial" w:cs="Arial" w:eastAsia="Arial" w:hAnsi="Arial"/>
                <w:sz w:val="16"/>
                <w:szCs w:val="16"/>
                <w:color w:val="auto"/>
              </w:rPr>
              <w:t>85-86. The committee’s grant procedures are</w:t>
            </w:r>
          </w:p>
        </w:tc>
      </w:tr>
      <w:tr>
        <w:trPr>
          <w:trHeight w:val="188"/>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stock units</w:t>
            </w:r>
          </w:p>
        </w:tc>
        <w:tc>
          <w:tcPr>
            <w:tcW w:w="3460" w:type="dxa"/>
            <w:vAlign w:val="bottom"/>
            <w:shd w:val="clear" w:color="auto" w:fill="E9E9E9"/>
          </w:tcPr>
          <w:p>
            <w:pPr>
              <w:spacing w:after="0"/>
              <w:rPr>
                <w:sz w:val="16"/>
                <w:szCs w:val="16"/>
                <w:color w:val="auto"/>
              </w:rPr>
            </w:pPr>
          </w:p>
        </w:tc>
        <w:tc>
          <w:tcPr>
            <w:tcW w:w="33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level of equity compensation awarded to</w:t>
            </w:r>
          </w:p>
        </w:tc>
        <w:tc>
          <w:tcPr>
            <w:tcW w:w="3640" w:type="dxa"/>
            <w:vAlign w:val="bottom"/>
            <w:shd w:val="clear" w:color="auto" w:fill="E9E9E9"/>
          </w:tcPr>
          <w:p>
            <w:pPr>
              <w:ind w:left="180"/>
              <w:spacing w:after="0"/>
              <w:rPr>
                <w:sz w:val="20"/>
                <w:szCs w:val="20"/>
                <w:color w:val="auto"/>
              </w:rPr>
            </w:pPr>
            <w:r>
              <w:rPr>
                <w:rFonts w:ascii="Arial" w:cs="Arial" w:eastAsia="Arial" w:hAnsi="Arial"/>
                <w:sz w:val="16"/>
                <w:szCs w:val="16"/>
                <w:color w:val="auto"/>
              </w:rPr>
              <w:t>described on page 78.</w:t>
            </w:r>
          </w:p>
        </w:tc>
      </w:tr>
      <w:tr>
        <w:trPr>
          <w:trHeight w:val="188"/>
        </w:trPr>
        <w:tc>
          <w:tcPr>
            <w:tcW w:w="1020" w:type="dxa"/>
            <w:vAlign w:val="bottom"/>
            <w:shd w:val="clear" w:color="auto" w:fill="E9E9E9"/>
          </w:tcPr>
          <w:p>
            <w:pPr>
              <w:spacing w:after="0"/>
              <w:rPr>
                <w:sz w:val="16"/>
                <w:szCs w:val="16"/>
                <w:color w:val="auto"/>
              </w:rPr>
            </w:pPr>
          </w:p>
        </w:tc>
        <w:tc>
          <w:tcPr>
            <w:tcW w:w="3460" w:type="dxa"/>
            <w:vAlign w:val="bottom"/>
            <w:shd w:val="clear" w:color="auto" w:fill="E9E9E9"/>
          </w:tcPr>
          <w:p>
            <w:pPr>
              <w:spacing w:after="0"/>
              <w:rPr>
                <w:sz w:val="16"/>
                <w:szCs w:val="16"/>
                <w:color w:val="auto"/>
              </w:rPr>
            </w:pPr>
          </w:p>
        </w:tc>
        <w:tc>
          <w:tcPr>
            <w:tcW w:w="33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executives in similar positions at the</w:t>
            </w:r>
          </w:p>
        </w:tc>
        <w:tc>
          <w:tcPr>
            <w:tcW w:w="3640" w:type="dxa"/>
            <w:vAlign w:val="bottom"/>
            <w:shd w:val="clear" w:color="auto" w:fill="E9E9E9"/>
          </w:tcPr>
          <w:p>
            <w:pPr>
              <w:spacing w:after="0"/>
              <w:rPr>
                <w:sz w:val="16"/>
                <w:szCs w:val="16"/>
                <w:color w:val="auto"/>
              </w:rPr>
            </w:pPr>
          </w:p>
        </w:tc>
      </w:tr>
      <w:tr>
        <w:trPr>
          <w:trHeight w:val="205"/>
        </w:trPr>
        <w:tc>
          <w:tcPr>
            <w:tcW w:w="1020" w:type="dxa"/>
            <w:vAlign w:val="bottom"/>
            <w:shd w:val="clear" w:color="auto" w:fill="E9E9E9"/>
          </w:tcPr>
          <w:p>
            <w:pPr>
              <w:spacing w:after="0"/>
              <w:rPr>
                <w:sz w:val="17"/>
                <w:szCs w:val="17"/>
                <w:color w:val="auto"/>
              </w:rPr>
            </w:pPr>
          </w:p>
        </w:tc>
        <w:tc>
          <w:tcPr>
            <w:tcW w:w="3460" w:type="dxa"/>
            <w:vAlign w:val="bottom"/>
            <w:shd w:val="clear" w:color="auto" w:fill="E9E9E9"/>
          </w:tcPr>
          <w:p>
            <w:pPr>
              <w:spacing w:after="0"/>
              <w:rPr>
                <w:sz w:val="17"/>
                <w:szCs w:val="17"/>
                <w:color w:val="auto"/>
              </w:rPr>
            </w:pPr>
          </w:p>
        </w:tc>
        <w:tc>
          <w:tcPr>
            <w:tcW w:w="33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Comparator Group.</w:t>
            </w:r>
          </w:p>
        </w:tc>
        <w:tc>
          <w:tcPr>
            <w:tcW w:w="3640" w:type="dxa"/>
            <w:vAlign w:val="bottom"/>
            <w:shd w:val="clear" w:color="auto" w:fill="E9E9E9"/>
          </w:tcPr>
          <w:p>
            <w:pPr>
              <w:spacing w:after="0"/>
              <w:rPr>
                <w:sz w:val="17"/>
                <w:szCs w:val="17"/>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Comparator group</w:t>
      </w:r>
    </w:p>
    <w:p>
      <w:pPr>
        <w:spacing w:after="0" w:line="2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considers the market level of compensation when setting the salary, bonuses and equity compensation of the executive officers. The committee targets salary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4" w:lineRule="exact"/>
        <w:rPr>
          <w:sz w:val="20"/>
          <w:szCs w:val="20"/>
          <w:color w:val="auto"/>
        </w:rPr>
      </w:pPr>
    </w:p>
    <w:p>
      <w:pPr>
        <w:ind w:left="340" w:right="620" w:hanging="340"/>
        <w:spacing w:after="0" w:line="29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shareholder return refers to the percentage change in the value of a stockholder’s investment in a company over the relevant time period, as determined by dividends paid and the change in the company’s share price during the period. See page 76.</w:t>
      </w:r>
    </w:p>
    <w:p>
      <w:pPr>
        <w:spacing w:after="0" w:line="193"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type w:val="continuous"/>
        </w:sectPr>
      </w:pPr>
    </w:p>
    <w:bookmarkStart w:id="18" w:name="page19"/>
    <w:bookmarkEnd w:id="18"/>
    <w:p>
      <w:pPr>
        <w:ind w:right="300"/>
        <w:spacing w:after="0" w:line="253" w:lineRule="auto"/>
        <w:rPr>
          <w:sz w:val="20"/>
          <w:szCs w:val="20"/>
          <w:color w:val="auto"/>
        </w:rPr>
      </w:pPr>
      <w:r>
        <w:rPr>
          <w:rFonts w:ascii="Arial" w:cs="Arial" w:eastAsia="Arial" w:hAnsi="Arial"/>
          <w:sz w:val="16"/>
          <w:szCs w:val="16"/>
          <w:color w:val="auto"/>
        </w:rPr>
        <w:t>The committee sets the Comparator Group. In general,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Shown in the table below is the Comparator Group used for the compensation decisions for 2013.</w:t>
      </w:r>
    </w:p>
    <w:p>
      <w:pPr>
        <w:sectPr>
          <w:pgSz w:w="11900" w:h="16838" w:orient="portrait"/>
          <w:cols w:equalWidth="0" w:num="1">
            <w:col w:w="11420"/>
          </w:cols>
          <w:pgMar w:left="240" w:top="548" w:right="239" w:bottom="1440" w:gutter="0" w:footer="0" w:header="0"/>
        </w:sectPr>
      </w:pPr>
    </w:p>
    <w:p>
      <w:pPr>
        <w:spacing w:after="0" w:line="19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Motorola Solutions, Inc.</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Oracle Corporation*</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QUALCOMM Incorporated</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Computer 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Seagate Technology</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eBay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 Connectivity Ltd.</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EMC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Western Digital Corporation</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Xerox Corporation</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Intel Corporation</w:t>
      </w:r>
    </w:p>
    <w:p>
      <w:pPr>
        <w:sectPr>
          <w:pgSz w:w="11900" w:h="16838" w:orient="portrait"/>
          <w:cols w:equalWidth="0" w:num="1">
            <w:col w:w="11420"/>
          </w:cols>
          <w:pgMar w:left="240" w:top="548" w:right="239" w:bottom="1440" w:gutter="0" w:footer="0" w:header="0"/>
          <w:type w:val="continuous"/>
        </w:sectPr>
      </w:pPr>
    </w:p>
    <w:p>
      <w:pPr>
        <w:spacing w:after="0" w:line="26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Removed in July 2013.</w:t>
      </w:r>
    </w:p>
    <w:p>
      <w:pPr>
        <w:spacing w:after="0" w:line="200" w:lineRule="exact"/>
        <w:rPr>
          <w:sz w:val="20"/>
          <w:szCs w:val="20"/>
          <w:color w:val="auto"/>
        </w:rPr>
      </w:pPr>
    </w:p>
    <w:p>
      <w:pPr>
        <w:sectPr>
          <w:pgSz w:w="11900" w:h="16838" w:orient="portrait"/>
          <w:cols w:equalWidth="0" w:num="2">
            <w:col w:w="1780" w:space="240"/>
            <w:col w:w="9400"/>
          </w:cols>
          <w:pgMar w:left="240" w:top="548" w:right="239" w:bottom="1440" w:gutter="0" w:footer="0" w:header="0"/>
          <w:type w:val="continuous"/>
        </w:sectPr>
      </w:pP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committee set the Comparator Group in July 2012 for the base salary and equity compensation decisions it made in January 2013. For a discussion of the factors considered by the committee in setting the Comparator Group, please see page 71 of the company’s 2013 proxy statement.</w:t>
      </w:r>
    </w:p>
    <w:p>
      <w:pPr>
        <w:spacing w:after="0" w:line="1" w:lineRule="exact"/>
        <w:rPr>
          <w:sz w:val="20"/>
          <w:szCs w:val="20"/>
          <w:color w:val="auto"/>
        </w:rPr>
      </w:pPr>
    </w:p>
    <w:p>
      <w:pPr>
        <w:ind w:right="160" w:firstLine="226"/>
        <w:spacing w:after="0" w:line="251" w:lineRule="auto"/>
        <w:rPr>
          <w:sz w:val="20"/>
          <w:szCs w:val="20"/>
          <w:color w:val="auto"/>
        </w:rPr>
      </w:pPr>
      <w:r>
        <w:rPr>
          <w:rFonts w:ascii="Arial" w:cs="Arial" w:eastAsia="Arial" w:hAnsi="Arial"/>
          <w:sz w:val="16"/>
          <w:szCs w:val="16"/>
          <w:color w:val="auto"/>
        </w:rPr>
        <w:t>In July 2013, the committee conducted its regular review of the Comparator Group in terms of industry, revenue and market capitalization. With the advice of its compensation consultant, and to increase the group’s overall comparability to TI, the committee removed Oracle, which was at the upper end of the revenue and market capitalization ranges, from the Comparator Group. The committee used that Comparator Group for the bonus decisions in January 2014 relating to 2013 performance. The table below compares the group to TI in terms of revenue and market capitalization.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4500" w:type="dxa"/>
            <w:vAlign w:val="bottom"/>
          </w:tcPr>
          <w:p>
            <w:pPr>
              <w:jc w:val="right"/>
              <w:ind w:right="161"/>
              <w:spacing w:after="0"/>
              <w:rPr>
                <w:sz w:val="20"/>
                <w:szCs w:val="20"/>
                <w:color w:val="auto"/>
              </w:rPr>
            </w:pPr>
            <w:r>
              <w:rPr>
                <w:rFonts w:ascii="Arial" w:cs="Arial" w:eastAsia="Arial" w:hAnsi="Arial"/>
                <w:sz w:val="13"/>
                <w:szCs w:val="13"/>
                <w:b w:val="1"/>
                <w:bCs w:val="1"/>
                <w:color w:val="auto"/>
              </w:rPr>
              <w:t>Revenue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Market Cap</w:t>
            </w:r>
          </w:p>
        </w:tc>
        <w:tc>
          <w:tcPr>
            <w:tcW w:w="0" w:type="dxa"/>
            <w:vAlign w:val="bottom"/>
          </w:tcPr>
          <w:p>
            <w:pPr>
              <w:spacing w:after="0"/>
              <w:rPr>
                <w:sz w:val="1"/>
                <w:szCs w:val="1"/>
                <w:color w:val="auto"/>
              </w:rPr>
            </w:pPr>
          </w:p>
        </w:tc>
      </w:tr>
      <w:tr>
        <w:trPr>
          <w:trHeight w:val="225"/>
        </w:trPr>
        <w:tc>
          <w:tcPr>
            <w:tcW w:w="600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4500" w:type="dxa"/>
            <w:vAlign w:val="bottom"/>
          </w:tcPr>
          <w:p>
            <w:pPr>
              <w:jc w:val="right"/>
              <w:ind w:right="121"/>
              <w:spacing w:after="0"/>
              <w:rPr>
                <w:sz w:val="20"/>
                <w:szCs w:val="20"/>
                <w:color w:val="auto"/>
              </w:rPr>
            </w:pPr>
            <w:r>
              <w:rPr>
                <w:rFonts w:ascii="Arial" w:cs="Arial" w:eastAsia="Arial" w:hAnsi="Arial"/>
                <w:sz w:val="13"/>
                <w:szCs w:val="13"/>
                <w:b w:val="1"/>
                <w:bCs w:val="1"/>
                <w:color w:val="auto"/>
              </w:rPr>
              <w:t>($ billion)*</w:t>
            </w:r>
          </w:p>
        </w:tc>
        <w:tc>
          <w:tcPr>
            <w:tcW w:w="920" w:type="dxa"/>
            <w:vAlign w:val="bottom"/>
          </w:tcPr>
          <w:p>
            <w:pPr>
              <w:jc w:val="right"/>
              <w:ind w:right="21"/>
              <w:spacing w:after="0"/>
              <w:rPr>
                <w:sz w:val="20"/>
                <w:szCs w:val="20"/>
                <w:color w:val="auto"/>
              </w:rPr>
            </w:pPr>
            <w:r>
              <w:rPr>
                <w:rFonts w:ascii="Arial" w:cs="Arial" w:eastAsia="Arial" w:hAnsi="Arial"/>
                <w:sz w:val="13"/>
                <w:szCs w:val="13"/>
                <w:b w:val="1"/>
                <w:bCs w:val="1"/>
                <w:color w:val="auto"/>
              </w:rPr>
              <w:t>($ billion)*</w:t>
            </w:r>
          </w:p>
        </w:tc>
        <w:tc>
          <w:tcPr>
            <w:tcW w:w="0" w:type="dxa"/>
            <w:vAlign w:val="bottom"/>
          </w:tcPr>
          <w:p>
            <w:pPr>
              <w:spacing w:after="0"/>
              <w:rPr>
                <w:sz w:val="1"/>
                <w:szCs w:val="1"/>
                <w:color w:val="auto"/>
              </w:rPr>
            </w:pPr>
          </w:p>
        </w:tc>
      </w:tr>
      <w:tr>
        <w:trPr>
          <w:trHeight w:val="29"/>
        </w:trPr>
        <w:tc>
          <w:tcPr>
            <w:tcW w:w="6000" w:type="dxa"/>
            <w:vAlign w:val="bottom"/>
            <w:gridSpan w:val="2"/>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Intel Corporation</w:t>
            </w:r>
          </w:p>
        </w:tc>
        <w:tc>
          <w:tcPr>
            <w:tcW w:w="4500" w:type="dxa"/>
            <w:vAlign w:val="bottom"/>
            <w:tcBorders>
              <w:top w:val="single" w:sz="8" w:color="auto"/>
            </w:tcBorders>
            <w:shd w:val="clear" w:color="auto" w:fill="E9E9E9"/>
          </w:tcPr>
          <w:p>
            <w:pPr>
              <w:jc w:val="right"/>
              <w:ind w:right="261"/>
              <w:spacing w:after="0"/>
              <w:rPr>
                <w:sz w:val="20"/>
                <w:szCs w:val="20"/>
                <w:color w:val="auto"/>
              </w:rPr>
            </w:pPr>
            <w:r>
              <w:rPr>
                <w:rFonts w:ascii="Arial" w:cs="Arial" w:eastAsia="Arial" w:hAnsi="Arial"/>
                <w:sz w:val="16"/>
                <w:szCs w:val="16"/>
                <w:color w:val="auto"/>
              </w:rPr>
              <w:t>52.7</w:t>
            </w:r>
          </w:p>
        </w:tc>
        <w:tc>
          <w:tcPr>
            <w:tcW w:w="920" w:type="dxa"/>
            <w:vAlign w:val="bottom"/>
            <w:tcBorders>
              <w:top w:val="single" w:sz="8" w:color="auto"/>
            </w:tcBorders>
            <w:shd w:val="clear" w:color="auto" w:fill="E9E9E9"/>
          </w:tcPr>
          <w:p>
            <w:pPr>
              <w:jc w:val="right"/>
              <w:ind w:right="121"/>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QUALCOMM Corporation</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24.9</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Emerson Electric Co.</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24.7</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EMC Corporation</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23.2</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Xerox Corporation</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21.4</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eBay Inc.</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16.0</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Western Digital Corporation</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15.3</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Seagate Technology</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14.0</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Computer Sciences Corporation</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13.6</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TE Connectivity Ltd.</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13.5</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Motorola Solutions, Inc.</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8.7</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Broadcom Corporation</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8.3</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Applied Materials, Inc.</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7.5</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Analog Devices, Inc.</w:t>
            </w:r>
          </w:p>
        </w:tc>
        <w:tc>
          <w:tcPr>
            <w:tcW w:w="45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2.6</w:t>
            </w: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9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5980" w:type="dxa"/>
            <w:vAlign w:val="bottom"/>
            <w:shd w:val="clear" w:color="auto" w:fill="E9E9E9"/>
          </w:tcPr>
          <w:p>
            <w:pPr>
              <w:spacing w:after="0"/>
              <w:rPr>
                <w:sz w:val="20"/>
                <w:szCs w:val="20"/>
                <w:color w:val="auto"/>
              </w:rPr>
            </w:pPr>
            <w:r>
              <w:rPr>
                <w:rFonts w:ascii="Arial" w:cs="Arial" w:eastAsia="Arial" w:hAnsi="Arial"/>
                <w:sz w:val="16"/>
                <w:szCs w:val="16"/>
                <w:color w:val="auto"/>
              </w:rPr>
              <w:t>Median</w:t>
            </w:r>
          </w:p>
        </w:tc>
        <w:tc>
          <w:tcPr>
            <w:tcW w:w="4500" w:type="dxa"/>
            <w:vAlign w:val="bottom"/>
            <w:shd w:val="clear" w:color="auto" w:fill="E9E9E9"/>
          </w:tcPr>
          <w:p>
            <w:pPr>
              <w:jc w:val="right"/>
              <w:ind w:right="261"/>
              <w:spacing w:after="0"/>
              <w:rPr>
                <w:sz w:val="20"/>
                <w:szCs w:val="20"/>
                <w:color w:val="auto"/>
              </w:rPr>
            </w:pPr>
            <w:r>
              <w:rPr>
                <w:rFonts w:ascii="Arial" w:cs="Arial" w:eastAsia="Arial" w:hAnsi="Arial"/>
                <w:sz w:val="16"/>
                <w:szCs w:val="16"/>
                <w:color w:val="auto"/>
              </w:rPr>
              <w:t>14.6</w:t>
            </w:r>
          </w:p>
        </w:tc>
        <w:tc>
          <w:tcPr>
            <w:tcW w:w="920" w:type="dxa"/>
            <w:vAlign w:val="bottom"/>
            <w:shd w:val="clear" w:color="auto" w:fill="E9E9E9"/>
          </w:tcPr>
          <w:p>
            <w:pPr>
              <w:jc w:val="right"/>
              <w:ind w:right="121"/>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auto"/>
              </w:rPr>
              <w:t>Texas Instruments Incorporated</w:t>
            </w:r>
          </w:p>
        </w:tc>
        <w:tc>
          <w:tcPr>
            <w:tcW w:w="4500" w:type="dxa"/>
            <w:vAlign w:val="bottom"/>
          </w:tcPr>
          <w:p>
            <w:pPr>
              <w:jc w:val="right"/>
              <w:ind w:right="261"/>
              <w:spacing w:after="0"/>
              <w:rPr>
                <w:sz w:val="20"/>
                <w:szCs w:val="20"/>
                <w:color w:val="auto"/>
              </w:rPr>
            </w:pPr>
            <w:r>
              <w:rPr>
                <w:rFonts w:ascii="Arial" w:cs="Arial" w:eastAsia="Arial" w:hAnsi="Arial"/>
                <w:sz w:val="16"/>
                <w:szCs w:val="16"/>
                <w:color w:val="auto"/>
              </w:rPr>
              <w:t>12.2</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60"/>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Trailing four-quarter revenue as reported by Thomson Reuters on January 31, 2014. Market capitalization as of December 31, 2013.</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Analysis of compensation determinations for 2013</w:t>
      </w:r>
    </w:p>
    <w:p>
      <w:pPr>
        <w:spacing w:after="0" w:line="2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i w:val="1"/>
          <w:iCs w:val="1"/>
          <w:color w:val="auto"/>
        </w:rPr>
        <w:t xml:space="preserve">Total compensation </w:t>
      </w:r>
      <w:r>
        <w:rPr>
          <w:rFonts w:ascii="Arial" w:cs="Arial" w:eastAsia="Arial" w:hAnsi="Arial"/>
          <w:sz w:val="16"/>
          <w:szCs w:val="16"/>
          <w:color w:val="auto"/>
        </w:rPr>
        <w:t>– Before finalizing the compensation of the executive officers, the committee reviewed all elements of compensation.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205"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72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 The committee set the 2013 rate of base salary for the named executive officers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4740" w:type="dxa"/>
            <w:vAlign w:val="bottom"/>
            <w:gridSpan w:val="2"/>
          </w:tcPr>
          <w:p>
            <w:pPr>
              <w:jc w:val="right"/>
              <w:ind w:right="119"/>
              <w:spacing w:after="0"/>
              <w:rPr>
                <w:sz w:val="20"/>
                <w:szCs w:val="20"/>
                <w:color w:val="auto"/>
              </w:rPr>
            </w:pPr>
            <w:r>
              <w:rPr>
                <w:rFonts w:ascii="Arial" w:cs="Arial" w:eastAsia="Arial" w:hAnsi="Arial"/>
                <w:sz w:val="13"/>
                <w:szCs w:val="13"/>
                <w:b w:val="1"/>
                <w:bCs w:val="1"/>
                <w:color w:val="auto"/>
              </w:rPr>
              <w:t>2013 Annual Rate</w:t>
            </w:r>
          </w:p>
        </w:tc>
        <w:tc>
          <w:tcPr>
            <w:tcW w:w="2020" w:type="dxa"/>
            <w:vAlign w:val="bottom"/>
          </w:tcPr>
          <w:p>
            <w:pPr>
              <w:ind w:left="180"/>
              <w:spacing w:after="0"/>
              <w:rPr>
                <w:sz w:val="20"/>
                <w:szCs w:val="20"/>
                <w:color w:val="auto"/>
              </w:rPr>
            </w:pPr>
            <w:r>
              <w:rPr>
                <w:rFonts w:ascii="Arial" w:cs="Arial" w:eastAsia="Arial" w:hAnsi="Arial"/>
                <w:sz w:val="13"/>
                <w:szCs w:val="13"/>
                <w:b w:val="1"/>
                <w:bCs w:val="1"/>
                <w:color w:val="auto"/>
                <w:w w:val="94"/>
              </w:rPr>
              <w:t>Change from 2012 Annual Rate</w:t>
            </w:r>
          </w:p>
        </w:tc>
      </w:tr>
      <w:tr>
        <w:trPr>
          <w:trHeight w:val="29"/>
        </w:trPr>
        <w:tc>
          <w:tcPr>
            <w:tcW w:w="46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8"/>
        </w:trPr>
        <w:tc>
          <w:tcPr>
            <w:tcW w:w="466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3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219"/>
              <w:spacing w:after="0"/>
              <w:rPr>
                <w:sz w:val="20"/>
                <w:szCs w:val="20"/>
                <w:color w:val="auto"/>
              </w:rPr>
            </w:pPr>
            <w:r>
              <w:rPr>
                <w:rFonts w:ascii="Arial" w:cs="Arial" w:eastAsia="Arial" w:hAnsi="Arial"/>
                <w:sz w:val="16"/>
                <w:szCs w:val="16"/>
                <w:color w:val="auto"/>
              </w:rPr>
              <w:t>1,075,000</w:t>
            </w:r>
          </w:p>
        </w:tc>
        <w:tc>
          <w:tcPr>
            <w:tcW w:w="2020" w:type="dxa"/>
            <w:vAlign w:val="bottom"/>
            <w:shd w:val="clear" w:color="auto" w:fill="E9E9E9"/>
          </w:tcPr>
          <w:p>
            <w:pPr>
              <w:ind w:left="880"/>
              <w:spacing w:after="0"/>
              <w:rPr>
                <w:sz w:val="20"/>
                <w:szCs w:val="20"/>
                <w:color w:val="auto"/>
              </w:rPr>
            </w:pPr>
            <w:r>
              <w:rPr>
                <w:rFonts w:ascii="Arial" w:cs="Arial" w:eastAsia="Arial" w:hAnsi="Arial"/>
                <w:sz w:val="16"/>
                <w:szCs w:val="16"/>
                <w:color w:val="auto"/>
              </w:rPr>
              <w:t>3.4%</w:t>
            </w:r>
          </w:p>
        </w:tc>
      </w:tr>
      <w:tr>
        <w:trPr>
          <w:trHeight w:val="219"/>
        </w:trPr>
        <w:tc>
          <w:tcPr>
            <w:tcW w:w="4660" w:type="dxa"/>
            <w:vAlign w:val="bottom"/>
          </w:tcPr>
          <w:p>
            <w:pPr>
              <w:spacing w:after="0"/>
              <w:rPr>
                <w:sz w:val="20"/>
                <w:szCs w:val="20"/>
                <w:color w:val="auto"/>
              </w:rPr>
            </w:pPr>
            <w:r>
              <w:rPr>
                <w:rFonts w:ascii="Arial" w:cs="Arial" w:eastAsia="Arial" w:hAnsi="Arial"/>
                <w:sz w:val="16"/>
                <w:szCs w:val="16"/>
                <w:color w:val="auto"/>
              </w:rPr>
              <w:t>K. P. March</w:t>
            </w:r>
          </w:p>
        </w:tc>
        <w:tc>
          <w:tcPr>
            <w:tcW w:w="37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610,000</w:t>
            </w:r>
          </w:p>
        </w:tc>
        <w:tc>
          <w:tcPr>
            <w:tcW w:w="2020" w:type="dxa"/>
            <w:vAlign w:val="bottom"/>
          </w:tcPr>
          <w:p>
            <w:pPr>
              <w:ind w:left="880"/>
              <w:spacing w:after="0"/>
              <w:rPr>
                <w:sz w:val="20"/>
                <w:szCs w:val="20"/>
                <w:color w:val="auto"/>
              </w:rPr>
            </w:pPr>
            <w:r>
              <w:rPr>
                <w:rFonts w:ascii="Arial" w:cs="Arial" w:eastAsia="Arial" w:hAnsi="Arial"/>
                <w:sz w:val="16"/>
                <w:szCs w:val="16"/>
                <w:color w:val="auto"/>
              </w:rPr>
              <w:t>3.4%</w:t>
            </w:r>
          </w:p>
        </w:tc>
      </w:tr>
      <w:tr>
        <w:trPr>
          <w:trHeight w:val="231"/>
        </w:trPr>
        <w:tc>
          <w:tcPr>
            <w:tcW w:w="466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3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219"/>
              <w:spacing w:after="0"/>
              <w:rPr>
                <w:sz w:val="20"/>
                <w:szCs w:val="20"/>
                <w:color w:val="auto"/>
              </w:rPr>
            </w:pPr>
            <w:r>
              <w:rPr>
                <w:rFonts w:ascii="Arial" w:cs="Arial" w:eastAsia="Arial" w:hAnsi="Arial"/>
                <w:sz w:val="16"/>
                <w:szCs w:val="16"/>
                <w:color w:val="auto"/>
              </w:rPr>
              <w:t>675,000</w:t>
            </w:r>
          </w:p>
        </w:tc>
        <w:tc>
          <w:tcPr>
            <w:tcW w:w="2020" w:type="dxa"/>
            <w:vAlign w:val="bottom"/>
            <w:shd w:val="clear" w:color="auto" w:fill="E9E9E9"/>
          </w:tcPr>
          <w:p>
            <w:pPr>
              <w:ind w:left="880"/>
              <w:spacing w:after="0"/>
              <w:rPr>
                <w:sz w:val="20"/>
                <w:szCs w:val="20"/>
                <w:color w:val="auto"/>
              </w:rPr>
            </w:pPr>
            <w:r>
              <w:rPr>
                <w:rFonts w:ascii="Arial" w:cs="Arial" w:eastAsia="Arial" w:hAnsi="Arial"/>
                <w:sz w:val="16"/>
                <w:szCs w:val="16"/>
                <w:color w:val="auto"/>
              </w:rPr>
              <w:t>7.1%*</w:t>
            </w:r>
          </w:p>
        </w:tc>
      </w:tr>
      <w:tr>
        <w:trPr>
          <w:trHeight w:val="219"/>
        </w:trPr>
        <w:tc>
          <w:tcPr>
            <w:tcW w:w="4660" w:type="dxa"/>
            <w:vAlign w:val="bottom"/>
          </w:tcPr>
          <w:p>
            <w:pPr>
              <w:spacing w:after="0"/>
              <w:rPr>
                <w:sz w:val="20"/>
                <w:szCs w:val="20"/>
                <w:color w:val="auto"/>
              </w:rPr>
            </w:pPr>
            <w:r>
              <w:rPr>
                <w:rFonts w:ascii="Arial" w:cs="Arial" w:eastAsia="Arial" w:hAnsi="Arial"/>
                <w:sz w:val="16"/>
                <w:szCs w:val="16"/>
                <w:color w:val="auto"/>
              </w:rPr>
              <w:t>K. J. Ritchie</w:t>
            </w:r>
          </w:p>
        </w:tc>
        <w:tc>
          <w:tcPr>
            <w:tcW w:w="37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625,000</w:t>
            </w:r>
          </w:p>
        </w:tc>
        <w:tc>
          <w:tcPr>
            <w:tcW w:w="2020" w:type="dxa"/>
            <w:vAlign w:val="bottom"/>
          </w:tcPr>
          <w:p>
            <w:pPr>
              <w:ind w:left="880"/>
              <w:spacing w:after="0"/>
              <w:rPr>
                <w:sz w:val="20"/>
                <w:szCs w:val="20"/>
                <w:color w:val="auto"/>
              </w:rPr>
            </w:pPr>
            <w:r>
              <w:rPr>
                <w:rFonts w:ascii="Arial" w:cs="Arial" w:eastAsia="Arial" w:hAnsi="Arial"/>
                <w:sz w:val="16"/>
                <w:szCs w:val="16"/>
                <w:color w:val="auto"/>
              </w:rPr>
              <w:t>4.2%</w:t>
            </w:r>
          </w:p>
        </w:tc>
      </w:tr>
      <w:tr>
        <w:trPr>
          <w:trHeight w:val="231"/>
        </w:trPr>
        <w:tc>
          <w:tcPr>
            <w:tcW w:w="466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37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219"/>
              <w:spacing w:after="0"/>
              <w:rPr>
                <w:sz w:val="20"/>
                <w:szCs w:val="20"/>
                <w:color w:val="auto"/>
              </w:rPr>
            </w:pPr>
            <w:r>
              <w:rPr>
                <w:rFonts w:ascii="Arial" w:cs="Arial" w:eastAsia="Arial" w:hAnsi="Arial"/>
                <w:sz w:val="16"/>
                <w:szCs w:val="16"/>
                <w:color w:val="auto"/>
              </w:rPr>
              <w:t>625,000</w:t>
            </w:r>
          </w:p>
        </w:tc>
        <w:tc>
          <w:tcPr>
            <w:tcW w:w="2020" w:type="dxa"/>
            <w:vAlign w:val="bottom"/>
            <w:shd w:val="clear" w:color="auto" w:fill="E9E9E9"/>
          </w:tcPr>
          <w:p>
            <w:pPr>
              <w:ind w:left="880"/>
              <w:spacing w:after="0"/>
              <w:rPr>
                <w:sz w:val="20"/>
                <w:szCs w:val="20"/>
                <w:color w:val="auto"/>
              </w:rPr>
            </w:pPr>
            <w:r>
              <w:rPr>
                <w:rFonts w:ascii="Arial" w:cs="Arial" w:eastAsia="Arial" w:hAnsi="Arial"/>
                <w:sz w:val="16"/>
                <w:szCs w:val="16"/>
                <w:color w:val="auto"/>
              </w:rPr>
              <w:t>4.2%*</w:t>
            </w:r>
          </w:p>
        </w:tc>
      </w:tr>
    </w:tbl>
    <w:p>
      <w:pPr>
        <w:spacing w:after="0" w:line="208" w:lineRule="exact"/>
        <w:rPr>
          <w:sz w:val="20"/>
          <w:szCs w:val="20"/>
          <w:color w:val="auto"/>
        </w:rPr>
      </w:pPr>
    </w:p>
    <w:p>
      <w:pPr>
        <w:ind w:left="260" w:hanging="260"/>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2012 annual rate includes salary increase in June 2012, when Mr. Crutcher and Mr. Delagi assumed new responsibilities.</w:t>
      </w:r>
    </w:p>
    <w:p>
      <w:pPr>
        <w:spacing w:after="0" w:line="20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committee set the 2013 base-salary rate for each of the named executive officers in January 2013. In keeping with its strategy, the committee set the annual base-salary rates to be below the estimated median level of salaries expected to be paid to similarly situated executives of the Comparator Group in 2013.</w:t>
      </w:r>
    </w:p>
    <w:p>
      <w:pPr>
        <w:spacing w:after="0" w:line="1" w:lineRule="exact"/>
        <w:rPr>
          <w:sz w:val="20"/>
          <w:szCs w:val="20"/>
          <w:color w:val="auto"/>
        </w:rPr>
      </w:pPr>
    </w:p>
    <w:p>
      <w:pPr>
        <w:ind w:right="280" w:firstLine="226"/>
        <w:spacing w:after="0" w:line="264" w:lineRule="auto"/>
        <w:rPr>
          <w:sz w:val="20"/>
          <w:szCs w:val="20"/>
          <w:color w:val="auto"/>
        </w:rPr>
      </w:pPr>
      <w:r>
        <w:rPr>
          <w:rFonts w:ascii="Arial" w:cs="Arial" w:eastAsia="Arial" w:hAnsi="Arial"/>
          <w:sz w:val="16"/>
          <w:szCs w:val="16"/>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 In 2013, the committee awarded equity compensation to each of the named executive officers. The grants are shown in the grants of</w:t>
      </w:r>
      <w:r>
        <w:rPr>
          <w:rFonts w:ascii="Arial" w:cs="Arial" w:eastAsia="Arial" w:hAnsi="Arial"/>
          <w:sz w:val="16"/>
          <w:szCs w:val="16"/>
          <w:i w:val="1"/>
          <w:iCs w:val="1"/>
          <w:color w:val="auto"/>
        </w:rPr>
        <w:t xml:space="preserve"> </w:t>
      </w:r>
      <w:r>
        <w:rPr>
          <w:rFonts w:ascii="Arial" w:cs="Arial" w:eastAsia="Arial" w:hAnsi="Arial"/>
          <w:sz w:val="16"/>
          <w:szCs w:val="16"/>
          <w:color w:val="auto"/>
        </w:rPr>
        <w:t>plan-based awards in 2013 table on page 83. The grant date fair value of the awards is reflected in that table and in the “Stock Awards” and “Option Awards” columns of the summary compensation table on page 81. The table below is provided to assist the reader in comparing the number of shares, grant date fair values and “NQ Equivalent” levels for each of the years shown in the summary compensation table. NQ Equivalents were calculated by treating each restricted stock unit as 3 NQ Equivalents and each option share as 1 NQ Equivalent. This 3:1 ratio is consistent with the committee’s past practice.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Restricted</w:t>
            </w: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ind w:right="161"/>
              <w:spacing w:after="0"/>
              <w:rPr>
                <w:sz w:val="20"/>
                <w:szCs w:val="20"/>
                <w:color w:val="auto"/>
              </w:rPr>
            </w:pPr>
            <w:r>
              <w:rPr>
                <w:rFonts w:ascii="Arial" w:cs="Arial" w:eastAsia="Arial" w:hAnsi="Arial"/>
                <w:sz w:val="13"/>
                <w:szCs w:val="13"/>
                <w:b w:val="1"/>
                <w:bCs w:val="1"/>
                <w:color w:val="auto"/>
              </w:rPr>
              <w:t>Stock Options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Stock Units</w:t>
            </w:r>
          </w:p>
        </w:tc>
        <w:tc>
          <w:tcPr>
            <w:tcW w:w="1440" w:type="dxa"/>
            <w:vAlign w:val="bottom"/>
          </w:tcPr>
          <w:p>
            <w:pPr>
              <w:spacing w:after="0"/>
              <w:rPr>
                <w:sz w:val="19"/>
                <w:szCs w:val="19"/>
                <w:color w:val="auto"/>
              </w:rPr>
            </w:pPr>
          </w:p>
        </w:tc>
        <w:tc>
          <w:tcPr>
            <w:tcW w:w="1280" w:type="dxa"/>
            <w:vAlign w:val="bottom"/>
          </w:tcPr>
          <w:p>
            <w:pPr>
              <w:ind w:left="340"/>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225"/>
        </w:trPr>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Officer</w:t>
            </w:r>
          </w:p>
        </w:tc>
        <w:tc>
          <w:tcPr>
            <w:tcW w:w="740" w:type="dxa"/>
            <w:vAlign w:val="bottom"/>
          </w:tcPr>
          <w:p>
            <w:pPr>
              <w:jc w:val="center"/>
              <w:ind w:left="180"/>
              <w:spacing w:after="0"/>
              <w:rPr>
                <w:sz w:val="20"/>
                <w:szCs w:val="20"/>
                <w:color w:val="auto"/>
              </w:rPr>
            </w:pPr>
            <w:r>
              <w:rPr>
                <w:rFonts w:ascii="Arial" w:cs="Arial" w:eastAsia="Arial" w:hAnsi="Arial"/>
                <w:sz w:val="13"/>
                <w:szCs w:val="13"/>
                <w:b w:val="1"/>
                <w:bCs w:val="1"/>
                <w:color w:val="auto"/>
                <w:w w:val="99"/>
              </w:rPr>
              <w:t>Year</w:t>
            </w:r>
          </w:p>
        </w:tc>
        <w:tc>
          <w:tcPr>
            <w:tcW w:w="1420" w:type="dxa"/>
            <w:vAlign w:val="bottom"/>
          </w:tcPr>
          <w:p>
            <w:pPr>
              <w:jc w:val="right"/>
              <w:ind w:right="261"/>
              <w:spacing w:after="0"/>
              <w:rPr>
                <w:sz w:val="20"/>
                <w:szCs w:val="20"/>
                <w:color w:val="auto"/>
              </w:rPr>
            </w:pPr>
            <w:r>
              <w:rPr>
                <w:rFonts w:ascii="Arial" w:cs="Arial" w:eastAsia="Arial" w:hAnsi="Arial"/>
                <w:sz w:val="13"/>
                <w:szCs w:val="13"/>
                <w:b w:val="1"/>
                <w:bCs w:val="1"/>
                <w:color w:val="auto"/>
              </w:rPr>
              <w:t>(In Shares)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8"/>
              </w:rPr>
              <w:t>(In Shares)</w:t>
            </w:r>
          </w:p>
        </w:tc>
        <w:tc>
          <w:tcPr>
            <w:tcW w:w="1440" w:type="dxa"/>
            <w:vAlign w:val="bottom"/>
          </w:tcPr>
          <w:p>
            <w:pPr>
              <w:jc w:val="right"/>
              <w:ind w:right="220"/>
              <w:spacing w:after="0"/>
              <w:rPr>
                <w:sz w:val="20"/>
                <w:szCs w:val="20"/>
                <w:color w:val="auto"/>
              </w:rPr>
            </w:pPr>
            <w:r>
              <w:rPr>
                <w:rFonts w:ascii="Arial" w:cs="Arial" w:eastAsia="Arial" w:hAnsi="Arial"/>
                <w:sz w:val="13"/>
                <w:szCs w:val="13"/>
                <w:b w:val="1"/>
                <w:bCs w:val="1"/>
                <w:color w:val="auto"/>
              </w:rPr>
              <w:t>NQ Equivalents</w:t>
            </w:r>
          </w:p>
        </w:tc>
        <w:tc>
          <w:tcPr>
            <w:tcW w:w="1280" w:type="dxa"/>
            <w:vAlign w:val="bottom"/>
          </w:tcPr>
          <w:p>
            <w:pPr>
              <w:ind w:left="3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9"/>
        </w:trPr>
        <w:tc>
          <w:tcPr>
            <w:tcW w:w="53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 K. Templeton</w:t>
            </w:r>
          </w:p>
        </w:tc>
        <w:tc>
          <w:tcPr>
            <w:tcW w:w="740" w:type="dxa"/>
            <w:vAlign w:val="bottom"/>
            <w:tcBorders>
              <w:top w:val="single" w:sz="8" w:color="auto"/>
            </w:tcBorders>
            <w:shd w:val="clear" w:color="auto" w:fill="E9E9E9"/>
          </w:tcPr>
          <w:p>
            <w:pPr>
              <w:jc w:val="center"/>
              <w:ind w:left="180"/>
              <w:spacing w:after="0"/>
              <w:rPr>
                <w:sz w:val="20"/>
                <w:szCs w:val="20"/>
                <w:color w:val="auto"/>
              </w:rPr>
            </w:pPr>
            <w:r>
              <w:rPr>
                <w:rFonts w:ascii="Arial" w:cs="Arial" w:eastAsia="Arial" w:hAnsi="Arial"/>
                <w:sz w:val="16"/>
                <w:szCs w:val="16"/>
                <w:color w:val="auto"/>
              </w:rPr>
              <w:t>2013</w:t>
            </w:r>
          </w:p>
        </w:tc>
        <w:tc>
          <w:tcPr>
            <w:tcW w:w="1420" w:type="dxa"/>
            <w:vAlign w:val="bottom"/>
            <w:tcBorders>
              <w:top w:val="single" w:sz="8" w:color="auto"/>
            </w:tcBorders>
            <w:shd w:val="clear" w:color="auto" w:fill="E9E9E9"/>
          </w:tcPr>
          <w:p>
            <w:pPr>
              <w:jc w:val="right"/>
              <w:ind w:right="301"/>
              <w:spacing w:after="0"/>
              <w:rPr>
                <w:sz w:val="20"/>
                <w:szCs w:val="20"/>
                <w:color w:val="auto"/>
              </w:rPr>
            </w:pPr>
            <w:r>
              <w:rPr>
                <w:rFonts w:ascii="Arial" w:cs="Arial" w:eastAsia="Arial" w:hAnsi="Arial"/>
                <w:sz w:val="16"/>
                <w:szCs w:val="16"/>
                <w:color w:val="auto"/>
              </w:rPr>
              <w:t>525,000</w:t>
            </w:r>
          </w:p>
        </w:tc>
        <w:tc>
          <w:tcPr>
            <w:tcW w:w="1200" w:type="dxa"/>
            <w:vAlign w:val="bottom"/>
            <w:tcBorders>
              <w:top w:val="single" w:sz="8" w:color="auto"/>
            </w:tcBorders>
            <w:shd w:val="clear" w:color="auto" w:fill="E9E9E9"/>
          </w:tcPr>
          <w:p>
            <w:pPr>
              <w:jc w:val="right"/>
              <w:ind w:right="262"/>
              <w:spacing w:after="0"/>
              <w:rPr>
                <w:sz w:val="20"/>
                <w:szCs w:val="20"/>
                <w:color w:val="auto"/>
              </w:rPr>
            </w:pPr>
            <w:r>
              <w:rPr>
                <w:rFonts w:ascii="Arial" w:cs="Arial" w:eastAsia="Arial" w:hAnsi="Arial"/>
                <w:sz w:val="16"/>
                <w:szCs w:val="16"/>
                <w:color w:val="auto"/>
              </w:rPr>
              <w:t>175,000</w:t>
            </w:r>
          </w:p>
        </w:tc>
        <w:tc>
          <w:tcPr>
            <w:tcW w:w="1440" w:type="dxa"/>
            <w:vAlign w:val="bottom"/>
            <w:tcBorders>
              <w:top w:val="single" w:sz="8" w:color="auto"/>
            </w:tcBorders>
            <w:shd w:val="clear" w:color="auto" w:fill="E9E9E9"/>
          </w:tcPr>
          <w:p>
            <w:pPr>
              <w:jc w:val="right"/>
              <w:ind w:right="320"/>
              <w:spacing w:after="0"/>
              <w:rPr>
                <w:sz w:val="20"/>
                <w:szCs w:val="20"/>
                <w:color w:val="auto"/>
              </w:rPr>
            </w:pPr>
            <w:r>
              <w:rPr>
                <w:rFonts w:ascii="Arial" w:cs="Arial" w:eastAsia="Arial" w:hAnsi="Arial"/>
                <w:sz w:val="16"/>
                <w:szCs w:val="16"/>
                <w:color w:val="auto"/>
              </w:rPr>
              <w:t>1,050,000</w:t>
            </w:r>
          </w:p>
        </w:tc>
        <w:tc>
          <w:tcPr>
            <w:tcW w:w="1280" w:type="dxa"/>
            <w:vAlign w:val="bottom"/>
            <w:tcBorders>
              <w:top w:val="single" w:sz="8" w:color="auto"/>
            </w:tcBorders>
            <w:shd w:val="clear" w:color="auto" w:fill="E9E9E9"/>
          </w:tcPr>
          <w:p>
            <w:pPr>
              <w:ind w:left="280"/>
              <w:spacing w:after="0"/>
              <w:rPr>
                <w:sz w:val="20"/>
                <w:szCs w:val="20"/>
                <w:color w:val="auto"/>
              </w:rPr>
            </w:pPr>
            <w:r>
              <w:rPr>
                <w:rFonts w:ascii="Arial" w:cs="Arial" w:eastAsia="Arial" w:hAnsi="Arial"/>
                <w:sz w:val="16"/>
                <w:szCs w:val="16"/>
                <w:color w:val="auto"/>
              </w:rPr>
              <w:t>$9,299,374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E9E9E9"/>
          </w:tcPr>
          <w:p>
            <w:pPr>
              <w:spacing w:after="0"/>
              <w:rPr>
                <w:sz w:val="19"/>
                <w:szCs w:val="19"/>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2012</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475,000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158,334</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950,002</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$9,074,035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shd w:val="clear" w:color="auto" w:fill="E9E9E9"/>
          </w:tcPr>
          <w:p>
            <w:pPr>
              <w:spacing w:after="0"/>
              <w:rPr>
                <w:sz w:val="20"/>
                <w:szCs w:val="20"/>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2011</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450,000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150,000</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900,000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$9,883,575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2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2013</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150,000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50,000</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300,000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$2,656,964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E9E9E9"/>
          </w:tcPr>
          <w:p>
            <w:pPr>
              <w:spacing w:after="0"/>
              <w:rPr>
                <w:sz w:val="19"/>
                <w:szCs w:val="19"/>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2012</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150,000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50,000</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300,000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$2,865,478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shd w:val="clear" w:color="auto" w:fill="E9E9E9"/>
          </w:tcPr>
          <w:p>
            <w:pPr>
              <w:spacing w:after="0"/>
              <w:rPr>
                <w:sz w:val="20"/>
                <w:szCs w:val="20"/>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2011</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137,500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45,834</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275,002</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$3,020,004</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2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2013</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225,000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75,000</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450,000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$3,985,446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E9E9E9"/>
          </w:tcPr>
          <w:p>
            <w:pPr>
              <w:spacing w:after="0"/>
              <w:rPr>
                <w:sz w:val="19"/>
                <w:szCs w:val="19"/>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2012</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187,500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62,500</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375,000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$3,581,848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122"/>
              <w:spacing w:after="0"/>
              <w:rPr>
                <w:sz w:val="20"/>
                <w:szCs w:val="20"/>
                <w:color w:val="auto"/>
              </w:rPr>
            </w:pPr>
            <w:r>
              <w:rPr>
                <w:rFonts w:ascii="Arial" w:cs="Arial" w:eastAsia="Arial" w:hAnsi="Arial"/>
                <w:sz w:val="16"/>
                <w:szCs w:val="16"/>
                <w:color w:val="auto"/>
              </w:rPr>
              <w:t>100,000**</w:t>
            </w:r>
          </w:p>
        </w:tc>
        <w:tc>
          <w:tcPr>
            <w:tcW w:w="1440" w:type="dxa"/>
            <w:vAlign w:val="bottom"/>
            <w:shd w:val="clear" w:color="auto" w:fill="E9E9E9"/>
          </w:tcPr>
          <w:p>
            <w:pPr>
              <w:jc w:val="right"/>
              <w:ind w:right="200"/>
              <w:spacing w:after="0"/>
              <w:rPr>
                <w:sz w:val="20"/>
                <w:szCs w:val="20"/>
                <w:color w:val="auto"/>
              </w:rPr>
            </w:pPr>
            <w:r>
              <w:rPr>
                <w:rFonts w:ascii="Arial" w:cs="Arial" w:eastAsia="Arial" w:hAnsi="Arial"/>
                <w:sz w:val="16"/>
                <w:szCs w:val="16"/>
                <w:color w:val="auto"/>
              </w:rPr>
              <w:t>300,000**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$2,760,000**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shd w:val="clear" w:color="auto" w:fill="E9E9E9"/>
          </w:tcPr>
          <w:p>
            <w:pPr>
              <w:spacing w:after="0"/>
              <w:rPr>
                <w:sz w:val="20"/>
                <w:szCs w:val="20"/>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2011</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162,500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54,167</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325,001</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$3,569,080</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2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2013</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200,000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66,667</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400,001</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$3,542,630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E9E9E9"/>
          </w:tcPr>
          <w:p>
            <w:pPr>
              <w:spacing w:after="0"/>
              <w:rPr>
                <w:sz w:val="19"/>
                <w:szCs w:val="19"/>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2012</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175,000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58,334</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350,002</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$3,343,079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shd w:val="clear" w:color="auto" w:fill="E9E9E9"/>
          </w:tcPr>
          <w:p>
            <w:pPr>
              <w:spacing w:after="0"/>
              <w:rPr>
                <w:sz w:val="20"/>
                <w:szCs w:val="20"/>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2011</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162,500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54,167</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325,001</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$3,569,080</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2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2013</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200,000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66,667</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400,001</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$3,542,630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E9E9E9"/>
          </w:tcPr>
          <w:p>
            <w:pPr>
              <w:spacing w:after="0"/>
              <w:rPr>
                <w:sz w:val="19"/>
                <w:szCs w:val="19"/>
                <w:color w:val="auto"/>
              </w:rPr>
            </w:pPr>
          </w:p>
        </w:tc>
        <w:tc>
          <w:tcPr>
            <w:tcW w:w="740" w:type="dxa"/>
            <w:vAlign w:val="bottom"/>
            <w:shd w:val="clear" w:color="auto" w:fill="E9E9E9"/>
          </w:tcPr>
          <w:p>
            <w:pPr>
              <w:jc w:val="center"/>
              <w:ind w:left="180"/>
              <w:spacing w:after="0"/>
              <w:rPr>
                <w:sz w:val="20"/>
                <w:szCs w:val="20"/>
                <w:color w:val="auto"/>
              </w:rPr>
            </w:pPr>
            <w:r>
              <w:rPr>
                <w:rFonts w:ascii="Arial" w:cs="Arial" w:eastAsia="Arial" w:hAnsi="Arial"/>
                <w:sz w:val="16"/>
                <w:szCs w:val="16"/>
                <w:color w:val="auto"/>
              </w:rPr>
              <w:t>2012</w:t>
            </w: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175,000</w:t>
            </w:r>
          </w:p>
        </w:tc>
        <w:tc>
          <w:tcPr>
            <w:tcW w:w="120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58,334</w:t>
            </w:r>
          </w:p>
        </w:tc>
        <w:tc>
          <w:tcPr>
            <w:tcW w:w="1440" w:type="dxa"/>
            <w:vAlign w:val="bottom"/>
            <w:shd w:val="clear" w:color="auto" w:fill="E9E9E9"/>
          </w:tcPr>
          <w:p>
            <w:pPr>
              <w:jc w:val="right"/>
              <w:ind w:right="320"/>
              <w:spacing w:after="0"/>
              <w:rPr>
                <w:sz w:val="20"/>
                <w:szCs w:val="20"/>
                <w:color w:val="auto"/>
              </w:rPr>
            </w:pPr>
            <w:r>
              <w:rPr>
                <w:rFonts w:ascii="Arial" w:cs="Arial" w:eastAsia="Arial" w:hAnsi="Arial"/>
                <w:sz w:val="16"/>
                <w:szCs w:val="16"/>
                <w:color w:val="auto"/>
              </w:rPr>
              <w:t>350,002</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$3,343,079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1420" w:type="dxa"/>
            <w:vAlign w:val="bottom"/>
            <w:shd w:val="clear" w:color="auto" w:fill="E9E9E9"/>
          </w:tcPr>
          <w:p>
            <w:pPr>
              <w:jc w:val="right"/>
              <w:ind w:right="30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122"/>
              <w:spacing w:after="0"/>
              <w:rPr>
                <w:sz w:val="20"/>
                <w:szCs w:val="20"/>
                <w:color w:val="auto"/>
              </w:rPr>
            </w:pPr>
            <w:r>
              <w:rPr>
                <w:rFonts w:ascii="Arial" w:cs="Arial" w:eastAsia="Arial" w:hAnsi="Arial"/>
                <w:sz w:val="16"/>
                <w:szCs w:val="16"/>
                <w:color w:val="auto"/>
              </w:rPr>
              <w:t>50,000**</w:t>
            </w:r>
          </w:p>
        </w:tc>
        <w:tc>
          <w:tcPr>
            <w:tcW w:w="1440" w:type="dxa"/>
            <w:vAlign w:val="bottom"/>
            <w:shd w:val="clear" w:color="auto" w:fill="E9E9E9"/>
          </w:tcPr>
          <w:p>
            <w:pPr>
              <w:jc w:val="right"/>
              <w:ind w:right="200"/>
              <w:spacing w:after="0"/>
              <w:rPr>
                <w:sz w:val="20"/>
                <w:szCs w:val="20"/>
                <w:color w:val="auto"/>
              </w:rPr>
            </w:pPr>
            <w:r>
              <w:rPr>
                <w:rFonts w:ascii="Arial" w:cs="Arial" w:eastAsia="Arial" w:hAnsi="Arial"/>
                <w:sz w:val="16"/>
                <w:szCs w:val="16"/>
                <w:color w:val="auto"/>
              </w:rPr>
              <w:t>150,000**</w:t>
            </w:r>
          </w:p>
        </w:tc>
        <w:tc>
          <w:tcPr>
            <w:tcW w:w="1280" w:type="dxa"/>
            <w:vAlign w:val="bottom"/>
            <w:shd w:val="clear" w:color="auto" w:fill="E9E9E9"/>
          </w:tcPr>
          <w:p>
            <w:pPr>
              <w:ind w:left="280"/>
              <w:spacing w:after="0"/>
              <w:rPr>
                <w:sz w:val="20"/>
                <w:szCs w:val="20"/>
                <w:color w:val="auto"/>
              </w:rPr>
            </w:pPr>
            <w:r>
              <w:rPr>
                <w:rFonts w:ascii="Arial" w:cs="Arial" w:eastAsia="Arial" w:hAnsi="Arial"/>
                <w:sz w:val="16"/>
                <w:szCs w:val="16"/>
                <w:color w:val="auto"/>
              </w:rPr>
              <w:t>$1,380,000**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0"/>
        <w:spacing w:after="0" w:line="290" w:lineRule="auto"/>
        <w:tabs>
          <w:tab w:leader="none" w:pos="3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notes 2 and 3 to the summary compensation table on page 81 for information on how grant date fair value was calculated. ** Retention grant made in June 2012, when Mr. Crutcher and Mr. Delagi assumed new responsibilities.</w:t>
      </w:r>
    </w:p>
    <w:p>
      <w:pPr>
        <w:spacing w:after="0" w:line="131" w:lineRule="exact"/>
        <w:rPr>
          <w:sz w:val="20"/>
          <w:szCs w:val="20"/>
          <w:color w:val="auto"/>
        </w:rPr>
      </w:pPr>
    </w:p>
    <w:p>
      <w:pPr>
        <w:ind w:right="360"/>
        <w:spacing w:after="0" w:line="223" w:lineRule="auto"/>
        <w:rPr>
          <w:sz w:val="20"/>
          <w:szCs w:val="20"/>
          <w:color w:val="auto"/>
        </w:rPr>
      </w:pPr>
      <w:r>
        <w:rPr>
          <w:rFonts w:ascii="Arial" w:cs="Arial" w:eastAsia="Arial" w:hAnsi="Arial"/>
          <w:sz w:val="16"/>
          <w:szCs w:val="16"/>
          <w:color w:val="auto"/>
        </w:rPr>
        <w:t>In January 2013, the committee awarded equity compensation to each of the named executive officers. The committee’s objective was to award to those officers equity compensation that had a grant date fair value at approximately the median market level, in this case the 40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to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3-year average of equity compensation (including an estimate of amounts for 2013) granted by the Comparator Group.</w:t>
      </w:r>
    </w:p>
    <w:p>
      <w:pPr>
        <w:spacing w:after="0" w:line="208"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0" w:name="page21"/>
    <w:bookmarkEnd w:id="20"/>
    <w:p>
      <w:pPr>
        <w:jc w:val="both"/>
        <w:ind w:right="400" w:firstLine="226"/>
        <w:spacing w:after="0" w:line="253" w:lineRule="auto"/>
        <w:rPr>
          <w:sz w:val="20"/>
          <w:szCs w:val="20"/>
          <w:color w:val="auto"/>
        </w:rPr>
      </w:pPr>
      <w:r>
        <w:rPr>
          <w:rFonts w:ascii="Arial" w:cs="Arial" w:eastAsia="Arial" w:hAnsi="Arial"/>
          <w:sz w:val="16"/>
          <w:szCs w:val="16"/>
          <w:color w:val="auto"/>
        </w:rPr>
        <w:t>In assessing the market level, the committee considered information presented by TI’s Compensation and Benefits organization (prepared using data provided by the committee’s compensation consultant) on the estimated value of the awards expected to be granted by the Comparator Group to similarly situated executives. The award value was estimated using the same methodology used for financial accounting.</w:t>
      </w:r>
    </w:p>
    <w:p>
      <w:pPr>
        <w:spacing w:after="0" w:line="1" w:lineRule="exact"/>
        <w:rPr>
          <w:sz w:val="20"/>
          <w:szCs w:val="20"/>
          <w:color w:val="auto"/>
        </w:rPr>
      </w:pPr>
    </w:p>
    <w:p>
      <w:pPr>
        <w:ind w:right="120" w:firstLine="226"/>
        <w:spacing w:after="0" w:line="244" w:lineRule="auto"/>
        <w:rPr>
          <w:sz w:val="20"/>
          <w:szCs w:val="20"/>
          <w:color w:val="auto"/>
        </w:rPr>
      </w:pPr>
      <w:r>
        <w:rPr>
          <w:rFonts w:ascii="Arial" w:cs="Arial" w:eastAsia="Arial" w:hAnsi="Arial"/>
          <w:sz w:val="16"/>
          <w:szCs w:val="16"/>
          <w:color w:val="auto"/>
        </w:rPr>
        <w:t>For each officer, the committee set a number of NQ Equivalents to achieve the desired grant value. The committee decided to allocate the NQ Equivalents for each officer equally between restricted stock units and options to give equal emphasis to promoting retention, motivating the executive and aligning his interests with those of shareholders.</w:t>
      </w:r>
    </w:p>
    <w:p>
      <w:pPr>
        <w:spacing w:after="0" w:line="1" w:lineRule="exact"/>
        <w:rPr>
          <w:sz w:val="20"/>
          <w:szCs w:val="20"/>
          <w:color w:val="auto"/>
        </w:rPr>
      </w:pPr>
    </w:p>
    <w:p>
      <w:pPr>
        <w:ind w:right="240" w:firstLine="226"/>
        <w:spacing w:after="0" w:line="244" w:lineRule="auto"/>
        <w:rPr>
          <w:sz w:val="20"/>
          <w:szCs w:val="20"/>
          <w:color w:val="auto"/>
        </w:rPr>
      </w:pPr>
      <w:r>
        <w:rPr>
          <w:rFonts w:ascii="Arial" w:cs="Arial" w:eastAsia="Arial" w:hAnsi="Arial"/>
          <w:sz w:val="16"/>
          <w:szCs w:val="16"/>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 from the levels described above.</w:t>
      </w:r>
    </w:p>
    <w:p>
      <w:pPr>
        <w:spacing w:after="0" w:line="1" w:lineRule="exact"/>
        <w:rPr>
          <w:sz w:val="20"/>
          <w:szCs w:val="20"/>
          <w:color w:val="auto"/>
        </w:rPr>
      </w:pPr>
    </w:p>
    <w:p>
      <w:pPr>
        <w:jc w:val="both"/>
        <w:ind w:right="240" w:firstLine="223"/>
        <w:spacing w:after="0" w:line="244" w:lineRule="auto"/>
        <w:rPr>
          <w:sz w:val="20"/>
          <w:szCs w:val="20"/>
          <w:color w:val="auto"/>
        </w:rPr>
      </w:pPr>
      <w:r>
        <w:rPr>
          <w:rFonts w:ascii="Arial" w:cs="Arial" w:eastAsia="Arial" w:hAnsi="Arial"/>
          <w:sz w:val="16"/>
          <w:szCs w:val="16"/>
          <w:color w:val="auto"/>
        </w:rPr>
        <w:t>The exercise price of the options was the closing price of TI stock on January 25, 2013, the third trading day after the company released its annual and fourth quarter financial results for 2012. All grants were made under the Texas Instruments 2009 Long-Term Incentive Plan, which shareholders approved in April 2009.</w:t>
      </w:r>
    </w:p>
    <w:p>
      <w:pPr>
        <w:spacing w:after="0" w:line="1" w:lineRule="exact"/>
        <w:rPr>
          <w:sz w:val="20"/>
          <w:szCs w:val="20"/>
          <w:color w:val="auto"/>
        </w:rPr>
      </w:pPr>
    </w:p>
    <w:p>
      <w:pPr>
        <w:ind w:right="60" w:firstLine="226"/>
        <w:spacing w:after="0" w:line="254" w:lineRule="auto"/>
        <w:rPr>
          <w:sz w:val="20"/>
          <w:szCs w:val="20"/>
          <w:color w:val="auto"/>
        </w:rPr>
      </w:pPr>
      <w:r>
        <w:rPr>
          <w:rFonts w:ascii="Arial" w:cs="Arial" w:eastAsia="Arial" w:hAnsi="Arial"/>
          <w:sz w:val="16"/>
          <w:szCs w:val="16"/>
          <w:color w:val="auto"/>
        </w:rPr>
        <w:t>All grants have the terms described on pages 85-86.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 In January 2014, the committee set the 2013 bonus compensation for executive officers based on its assessment of 2013 performance. In setting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the committee used the following performance measures to assess the company:</w:t>
      </w:r>
    </w:p>
    <w:p>
      <w:pPr>
        <w:spacing w:after="0" w:line="1" w:lineRule="exact"/>
        <w:rPr>
          <w:sz w:val="20"/>
          <w:szCs w:val="20"/>
          <w:color w:val="auto"/>
        </w:rPr>
      </w:pPr>
    </w:p>
    <w:p>
      <w:pPr>
        <w:ind w:right="2760" w:firstLine="300"/>
        <w:spacing w:after="0" w:line="227" w:lineRule="auto"/>
        <w:rPr>
          <w:sz w:val="20"/>
          <w:szCs w:val="20"/>
          <w:color w:val="auto"/>
        </w:rPr>
      </w:pPr>
      <w:r>
        <w:rPr>
          <w:sz w:val="1"/>
          <w:szCs w:val="1"/>
          <w:color w:val="auto"/>
        </w:rPr>
        <w:drawing>
          <wp:inline distT="0" distB="0" distL="0" distR="0">
            <wp:extent cx="57150" cy="571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relative</w:t>
      </w:r>
      <w:r>
        <w:rPr>
          <w:rFonts w:ascii="Arial" w:cs="Arial" w:eastAsia="Arial" w:hAnsi="Arial"/>
          <w:sz w:val="16"/>
          <w:szCs w:val="16"/>
          <w:color w:val="auto"/>
        </w:rPr>
        <w:t xml:space="preserve"> one-year and three-year performance of TI as compared with competitor companies, as measured by </w:t>
      </w:r>
      <w:r>
        <w:rPr>
          <w:sz w:val="1"/>
          <w:szCs w:val="1"/>
          <w:color w:val="auto"/>
        </w:rPr>
        <w:drawing>
          <wp:inline distT="0" distB="0" distL="0" distR="0">
            <wp:extent cx="57150" cy="571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revenue growth,</w:t>
      </w:r>
    </w:p>
    <w:p>
      <w:pPr>
        <w:spacing w:after="0" w:line="1" w:lineRule="exact"/>
        <w:rPr>
          <w:sz w:val="20"/>
          <w:szCs w:val="20"/>
          <w:color w:val="auto"/>
        </w:rPr>
      </w:pPr>
    </w:p>
    <w:p>
      <w:pPr>
        <w:spacing w:after="0"/>
        <w:rPr>
          <w:sz w:val="20"/>
          <w:szCs w:val="20"/>
          <w:color w:val="auto"/>
        </w:rPr>
      </w:pPr>
      <w:r>
        <w:rPr>
          <w:sz w:val="1"/>
          <w:szCs w:val="1"/>
          <w:color w:val="auto"/>
        </w:rPr>
        <w:drawing>
          <wp:inline distT="0" distB="0" distL="0" distR="0">
            <wp:extent cx="57150" cy="571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operating profit as a percentage of revenue,</w:t>
      </w:r>
    </w:p>
    <w:p>
      <w:pPr>
        <w:spacing w:after="0" w:line="217" w:lineRule="auto"/>
        <w:rPr>
          <w:sz w:val="20"/>
          <w:szCs w:val="20"/>
          <w:color w:val="auto"/>
        </w:rPr>
      </w:pPr>
      <w:r>
        <w:rPr>
          <w:sz w:val="1"/>
          <w:szCs w:val="1"/>
          <w:color w:val="auto"/>
        </w:rPr>
        <w:drawing>
          <wp:inline distT="0" distB="0" distL="0" distR="0">
            <wp:extent cx="57150" cy="571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total shareholder return; and</w:t>
      </w:r>
    </w:p>
    <w:p>
      <w:pPr>
        <w:spacing w:after="0" w:line="1"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absolute</w:t>
      </w:r>
      <w:r>
        <w:rPr>
          <w:rFonts w:ascii="Arial" w:cs="Arial" w:eastAsia="Arial" w:hAnsi="Arial"/>
          <w:sz w:val="16"/>
          <w:szCs w:val="16"/>
          <w:color w:val="auto"/>
        </w:rPr>
        <w:t xml:space="preserve"> one-year and three-year performance of TI on the above measures.</w:t>
      </w:r>
    </w:p>
    <w:p>
      <w:pPr>
        <w:spacing w:after="0" w:line="19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addition, the committee considered our strategic progress by reviewing how competitive we are in key markets with our core products and technologies, as well as the strength of our relationships with key customers.</w:t>
      </w:r>
    </w:p>
    <w:p>
      <w:pPr>
        <w:spacing w:after="0" w:line="1" w:lineRule="exact"/>
        <w:rPr>
          <w:sz w:val="20"/>
          <w:szCs w:val="20"/>
          <w:color w:val="auto"/>
        </w:rPr>
      </w:pPr>
    </w:p>
    <w:p>
      <w:pPr>
        <w:ind w:right="180" w:firstLine="226"/>
        <w:spacing w:after="0" w:line="244" w:lineRule="auto"/>
        <w:rPr>
          <w:sz w:val="20"/>
          <w:szCs w:val="20"/>
          <w:color w:val="auto"/>
        </w:rPr>
      </w:pPr>
      <w:r>
        <w:rPr>
          <w:rFonts w:ascii="Arial" w:cs="Arial" w:eastAsia="Arial" w:hAnsi="Arial"/>
          <w:sz w:val="16"/>
          <w:szCs w:val="16"/>
          <w:color w:val="auto"/>
        </w:rPr>
        <w:t>One-year relative performance on the three measures and one-year strategic progress were the primary considerations in the committee’s assessment of the company’s 2013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the comparison of relative performance, the committee used the following companies (the “competitor companies”):</w:t>
      </w:r>
      <w:r>
        <w:rPr>
          <w:rFonts w:ascii="Arial" w:cs="Arial" w:eastAsia="Arial" w:hAnsi="Arial"/>
          <w:sz w:val="27"/>
          <w:szCs w:val="27"/>
          <w:color w:val="auto"/>
          <w:vertAlign w:val="superscript"/>
        </w:rPr>
        <w:t>2</w:t>
      </w:r>
    </w:p>
    <w:p>
      <w:pPr>
        <w:sectPr>
          <w:pgSz w:w="11900" w:h="16838" w:orient="portrait"/>
          <w:cols w:equalWidth="0" w:num="1">
            <w:col w:w="11420"/>
          </w:cols>
          <w:pgMar w:left="240" w:top="548" w:right="239" w:bottom="1440" w:gutter="0" w:footer="0" w:header="0"/>
        </w:sectPr>
      </w:pPr>
    </w:p>
    <w:p>
      <w:pPr>
        <w:spacing w:after="0" w:line="10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Advanced Micro Devices, Inc.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LSI Corporation</w:t>
      </w:r>
    </w:p>
    <w:p>
      <w:pPr>
        <w:spacing w:after="0" w:line="52"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Altera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Marvell Technology Group Ltd.</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Maxim Integrated Products, Inc.</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Atmel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Microchip Technology Incorporated</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NVIDIA Corporation</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Fairchild Semiconductor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NXP Semiconductors N.V.</w:t>
      </w:r>
    </w:p>
    <w:p>
      <w:pPr>
        <w:spacing w:after="0" w:line="41" w:lineRule="exact"/>
        <w:rPr>
          <w:sz w:val="20"/>
          <w:szCs w:val="20"/>
          <w:color w:val="auto"/>
        </w:rPr>
      </w:pPr>
    </w:p>
    <w:p>
      <w:pPr>
        <w:sectPr>
          <w:pgSz w:w="11900" w:h="16838" w:orient="portrait"/>
          <w:cols w:equalWidth="0" w:num="2">
            <w:col w:w="4760" w:space="60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Freescale Semiconductor,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Semiconductor Corporation</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QUALCOMM Incorporated</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STMicroelectronics N.V.</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Intersil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Xilinx, Inc.</w:t>
      </w:r>
    </w:p>
    <w:p>
      <w:pPr>
        <w:spacing w:after="0" w:line="41" w:lineRule="exact"/>
        <w:rPr>
          <w:sz w:val="20"/>
          <w:szCs w:val="20"/>
          <w:color w:val="auto"/>
        </w:rPr>
      </w:pPr>
    </w:p>
    <w:p>
      <w:pPr>
        <w:sectPr>
          <w:pgSz w:w="11900" w:h="16838" w:orient="portrait"/>
          <w:cols w:equalWidth="0" w:num="2">
            <w:col w:w="4640" w:space="720"/>
            <w:col w:w="6060"/>
          </w:cols>
          <w:pgMar w:left="240" w:top="548"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Linear Technology Corporation</w:t>
      </w:r>
    </w:p>
    <w:p>
      <w:pPr>
        <w:sectPr>
          <w:pgSz w:w="11900" w:h="16838" w:orient="portrait"/>
          <w:cols w:equalWidth="0" w:num="1">
            <w:col w:w="11420"/>
          </w:cols>
          <w:pgMar w:left="240" w:top="548"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 to the list of competitor companies in 2013.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4" w:lineRule="exact"/>
        <w:rPr>
          <w:sz w:val="20"/>
          <w:szCs w:val="20"/>
          <w:color w:val="auto"/>
        </w:rPr>
      </w:pPr>
    </w:p>
    <w:p>
      <w:pPr>
        <w:ind w:left="280" w:right="300" w:hanging="280"/>
        <w:spacing w:after="0" w:line="290" w:lineRule="auto"/>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the companies had not released financial results for the year or most recent quarter, the committee based its evaluation on estimates and projections of the companies’ financial results for 2013.</w:t>
      </w:r>
    </w:p>
    <w:p>
      <w:pPr>
        <w:spacing w:after="0" w:line="193"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74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u w:val="single" w:color="auto"/>
          <w:color w:val="auto"/>
        </w:rPr>
        <w:t>Assessment of 2013 performance</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committee spent extensive time in December and January assessing TI’s results and strategic progress for 2013. The committee considered both quantitative and qualitative data, and it applied judgment in its assessment. Overall, the committee determined that TI’s performance was better than the prior year. Absolute performance in the company’s core businesses was stronger versus a year ago, and relative performance for total TI was, again, better on most measures (see list of competitor companies above). The committee also noted the increasing strength of TI’s strategic position. Commensurate with this performance, the committee set bonuses for executive officers about 10 percent higher than the prior year. Below are details of the committee’s performance assessment.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and margin</w:t>
      </w:r>
    </w:p>
    <w:p>
      <w:pPr>
        <w:spacing w:after="0" w:line="9" w:lineRule="exact"/>
        <w:rPr>
          <w:sz w:val="20"/>
          <w:szCs w:val="20"/>
          <w:color w:val="auto"/>
        </w:rPr>
      </w:pPr>
    </w:p>
    <w:p>
      <w:pPr>
        <w:ind w:left="500" w:right="200" w:hanging="207"/>
        <w:spacing w:after="0"/>
        <w:rPr>
          <w:sz w:val="20"/>
          <w:szCs w:val="20"/>
          <w:color w:val="auto"/>
        </w:rPr>
      </w:pPr>
      <w:r>
        <w:rPr>
          <w:sz w:val="1"/>
          <w:szCs w:val="1"/>
          <w:color w:val="auto"/>
        </w:rPr>
        <w:drawing>
          <wp:inline distT="0" distB="0" distL="0" distR="0">
            <wp:extent cx="57150" cy="571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TI revenue declined 4.8 percent, which was below the median growth rate of competitor companies. However, this included a $730 million decline in revenue from legacy wireless products, for which the company has had publicly stated exit plans for a number of years. Excluding the legacy wireless</w:t>
      </w:r>
    </w:p>
    <w:p>
      <w:pPr>
        <w:ind w:left="500" w:right="240"/>
        <w:spacing w:after="0" w:line="212" w:lineRule="auto"/>
        <w:rPr>
          <w:sz w:val="20"/>
          <w:szCs w:val="20"/>
          <w:color w:val="auto"/>
        </w:rPr>
      </w:pPr>
      <w:r>
        <w:rPr>
          <w:rFonts w:ascii="Arial" w:cs="Arial" w:eastAsia="Arial" w:hAnsi="Arial"/>
          <w:sz w:val="16"/>
          <w:szCs w:val="16"/>
          <w:color w:val="auto"/>
        </w:rPr>
        <w:t>products, TI’s revenue grew about 1 percent, better than the median rate of competitors.</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Revenue for the company’s core businesses of Analog and Embedded Processing was up 2.8 percent and 8.6 percent, respectively. This resulted in share gains for both businesses.</w:t>
      </w:r>
    </w:p>
    <w:p>
      <w:pPr>
        <w:spacing w:after="0" w:line="1"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Operating profit margin was 23.2 percent, above the median comparison with competitors.</w:t>
      </w:r>
    </w:p>
    <w:p>
      <w:pPr>
        <w:spacing w:after="0" w:line="16" w:lineRule="exact"/>
        <w:rPr>
          <w:sz w:val="20"/>
          <w:szCs w:val="20"/>
          <w:color w:val="auto"/>
        </w:rPr>
      </w:pPr>
    </w:p>
    <w:p>
      <w:pPr>
        <w:jc w:val="both"/>
        <w:ind w:left="500" w:right="340" w:hanging="207"/>
        <w:spacing w:after="0"/>
        <w:rPr>
          <w:sz w:val="20"/>
          <w:szCs w:val="20"/>
          <w:color w:val="auto"/>
        </w:rPr>
      </w:pPr>
      <w:r>
        <w:rPr>
          <w:sz w:val="1"/>
          <w:szCs w:val="1"/>
          <w:color w:val="auto"/>
        </w:rPr>
        <w:drawing>
          <wp:inline distT="0" distB="0" distL="0" distR="0">
            <wp:extent cx="57150" cy="571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Three-year metrics were -4.4 percent compounded annual revenue growth and 20.1 percent average operating profit margin, below and above the median, respectively, as compared with competitors. (Without the impact of the legacy wireless products mentioned above, three-year compounded revenue growth was 1.9 percent, above the median comparison with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shareholder return (TSR)</w:t>
      </w:r>
    </w:p>
    <w:p>
      <w:pPr>
        <w:ind w:left="300"/>
        <w:spacing w:after="0"/>
        <w:rPr>
          <w:sz w:val="20"/>
          <w:szCs w:val="20"/>
          <w:color w:val="auto"/>
        </w:rPr>
      </w:pPr>
      <w:r>
        <w:rPr>
          <w:sz w:val="1"/>
          <w:szCs w:val="1"/>
          <w:color w:val="auto"/>
        </w:rPr>
        <w:drawing>
          <wp:inline distT="0" distB="0" distL="0" distR="0">
            <wp:extent cx="57150" cy="571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TSR was 46.3 percent, which was better than the median performance of competitors.</w:t>
      </w:r>
    </w:p>
    <w:p>
      <w:pPr>
        <w:spacing w:after="0" w:line="15" w:lineRule="exact"/>
        <w:rPr>
          <w:sz w:val="20"/>
          <w:szCs w:val="20"/>
          <w:color w:val="auto"/>
        </w:rPr>
      </w:pPr>
    </w:p>
    <w:p>
      <w:pPr>
        <w:jc w:val="right"/>
        <w:ind w:left="300" w:right="280"/>
        <w:spacing w:after="0" w:line="212" w:lineRule="auto"/>
        <w:rPr>
          <w:sz w:val="20"/>
          <w:szCs w:val="20"/>
          <w:color w:val="auto"/>
        </w:rPr>
      </w:pPr>
      <w:r>
        <w:rPr>
          <w:sz w:val="1"/>
          <w:szCs w:val="1"/>
          <w:color w:val="auto"/>
        </w:rPr>
        <w:drawing>
          <wp:inline distT="0" distB="0" distL="0" distR="0">
            <wp:extent cx="57150" cy="571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company again generated strong cash, with free cash flow at 24.4 percent of revenue.</w:t>
      </w:r>
      <w:r>
        <w:rPr>
          <w:rFonts w:ascii="Arial" w:cs="Arial" w:eastAsia="Arial" w:hAnsi="Arial"/>
          <w:sz w:val="27"/>
          <w:szCs w:val="27"/>
          <w:color w:val="auto"/>
          <w:vertAlign w:val="superscript"/>
        </w:rPr>
        <w:t>4</w:t>
      </w:r>
      <w:r>
        <w:rPr>
          <w:rFonts w:ascii="Arial" w:cs="Arial" w:eastAsia="Arial" w:hAnsi="Arial"/>
          <w:sz w:val="16"/>
          <w:szCs w:val="16"/>
          <w:color w:val="auto"/>
        </w:rPr>
        <w:t xml:space="preserve"> More than 100 percent of free cash flow was returned to shareholders in 2013 through share repurchases and dividends. Share repurchases of $2.9 billion reduced outstanding shares by 2.3 percent (net of</w:t>
      </w:r>
    </w:p>
    <w:p>
      <w:pPr>
        <w:spacing w:after="0" w:line="1" w:lineRule="exact"/>
        <w:rPr>
          <w:sz w:val="20"/>
          <w:szCs w:val="20"/>
          <w:color w:val="auto"/>
        </w:rPr>
      </w:pPr>
    </w:p>
    <w:p>
      <w:pPr>
        <w:jc w:val="both"/>
        <w:ind w:left="500" w:right="20"/>
        <w:spacing w:after="0" w:line="233" w:lineRule="auto"/>
        <w:rPr>
          <w:sz w:val="20"/>
          <w:szCs w:val="20"/>
          <w:color w:val="auto"/>
        </w:rPr>
      </w:pPr>
      <w:r>
        <w:rPr>
          <w:rFonts w:ascii="Arial" w:cs="Arial" w:eastAsia="Arial" w:hAnsi="Arial"/>
          <w:sz w:val="16"/>
          <w:szCs w:val="16"/>
          <w:color w:val="auto"/>
        </w:rPr>
        <w:t>stock issuances during the year). The quarterly dividend rate increased twice, by 33.3 percent and 7.1 percent, respectively (the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and 12</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increases in ten years). These share repurchases and dividend increases are an important element of TI’s capital management strategy. TI’s business model, with its focus on Analog and Embedded Processing semiconductors, allows the company to consistently generate cash and return it to shareholders, which puts TI within a unique group of companies that do so.</w:t>
      </w:r>
    </w:p>
    <w:p>
      <w:pPr>
        <w:ind w:left="300"/>
        <w:spacing w:after="0"/>
        <w:rPr>
          <w:sz w:val="20"/>
          <w:szCs w:val="20"/>
          <w:color w:val="auto"/>
        </w:rPr>
      </w:pPr>
      <w:r>
        <w:rPr>
          <w:sz w:val="1"/>
          <w:szCs w:val="1"/>
          <w:color w:val="auto"/>
        </w:rPr>
        <w:drawing>
          <wp:inline distT="0" distB="0" distL="0" distR="0">
            <wp:extent cx="57150" cy="571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balance sheet remained robust, ending the year with cash and short-term investments of $3.8 billion.</w:t>
      </w:r>
    </w:p>
    <w:p>
      <w:pPr>
        <w:spacing w:after="0" w:line="16" w:lineRule="exact"/>
        <w:rPr>
          <w:sz w:val="20"/>
          <w:szCs w:val="20"/>
          <w:color w:val="auto"/>
        </w:rPr>
      </w:pPr>
    </w:p>
    <w:p>
      <w:pPr>
        <w:ind w:left="300"/>
        <w:spacing w:after="0"/>
        <w:rPr>
          <w:sz w:val="20"/>
          <w:szCs w:val="20"/>
          <w:color w:val="auto"/>
        </w:rPr>
      </w:pPr>
      <w:r>
        <w:rPr>
          <w:sz w:val="1"/>
          <w:szCs w:val="1"/>
          <w:color w:val="auto"/>
        </w:rPr>
        <w:drawing>
          <wp:inline distT="0" distB="0" distL="0" distR="0">
            <wp:extent cx="57150" cy="571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Three-year TSR increased 13.2 percent, above the median performance of competitors.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Strategic progress</w:t>
      </w:r>
    </w:p>
    <w:p>
      <w:pPr>
        <w:spacing w:after="0" w:line="9" w:lineRule="exact"/>
        <w:rPr>
          <w:sz w:val="20"/>
          <w:szCs w:val="20"/>
          <w:color w:val="auto"/>
        </w:rPr>
      </w:pPr>
    </w:p>
    <w:p>
      <w:pPr>
        <w:ind w:left="500" w:right="80" w:hanging="207"/>
        <w:spacing w:after="0"/>
        <w:rPr>
          <w:sz w:val="20"/>
          <w:szCs w:val="20"/>
          <w:color w:val="auto"/>
        </w:rPr>
      </w:pPr>
      <w:r>
        <w:rPr>
          <w:sz w:val="1"/>
          <w:szCs w:val="1"/>
          <w:color w:val="auto"/>
        </w:rPr>
        <w:drawing>
          <wp:inline distT="0" distB="0" distL="0" distR="0">
            <wp:extent cx="57150" cy="571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company’s efforts over the past five years to focus on Analog and Embedded Processing semiconductors have yielded strong results. Almost 80 percent of revenue in 2013 came from these core businesses, which serve markets with thousands of possible applications and have dependable long-term growth opportunities. The company’s customer base is highly diverse, with no single customer representing more than 7 percent of total revenue.</w:t>
      </w:r>
    </w:p>
    <w:p>
      <w:pPr>
        <w:ind w:left="500" w:right="540" w:hanging="207"/>
        <w:spacing w:after="0"/>
        <w:rPr>
          <w:sz w:val="20"/>
          <w:szCs w:val="20"/>
          <w:color w:val="auto"/>
        </w:rPr>
      </w:pPr>
      <w:r>
        <w:rPr>
          <w:sz w:val="1"/>
          <w:szCs w:val="1"/>
          <w:color w:val="auto"/>
        </w:rPr>
        <w:drawing>
          <wp:inline distT="0" distB="0" distL="0" distR="0">
            <wp:extent cx="57150" cy="571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The successful integration of National Semiconductor continued, with the associated product lines gaining market share in 2013, a year ahead of schedule.</w:t>
      </w:r>
    </w:p>
    <w:p>
      <w:pPr>
        <w:ind w:left="500" w:right="180" w:hanging="207"/>
        <w:spacing w:after="0"/>
        <w:rPr>
          <w:sz w:val="20"/>
          <w:szCs w:val="20"/>
          <w:color w:val="auto"/>
        </w:rPr>
      </w:pPr>
      <w:r>
        <w:rPr>
          <w:sz w:val="1"/>
          <w:szCs w:val="1"/>
          <w:color w:val="auto"/>
        </w:rPr>
        <w:drawing>
          <wp:inline distT="0" distB="0" distL="0" distR="0">
            <wp:extent cx="57150" cy="571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Also of note were the company’s strategic access to low-cost capacity for future revenue growth, and its strong customer and market share position in China.</w:t>
      </w:r>
    </w:p>
    <w:p>
      <w:pPr>
        <w:ind w:left="300"/>
        <w:spacing w:after="0"/>
        <w:rPr>
          <w:sz w:val="20"/>
          <w:szCs w:val="20"/>
          <w:color w:val="auto"/>
        </w:rPr>
      </w:pPr>
      <w:r>
        <w:rPr>
          <w:sz w:val="1"/>
          <w:szCs w:val="1"/>
          <w:color w:val="auto"/>
        </w:rPr>
        <w:drawing>
          <wp:inline distT="0" distB="0" distL="0" distR="0">
            <wp:extent cx="57150" cy="571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50" cy="57150"/>
                    </a:xfrm>
                    <a:prstGeom prst="rect">
                      <a:avLst/>
                    </a:prstGeom>
                    <a:noFill/>
                    <a:ln>
                      <a:noFill/>
                    </a:ln>
                  </pic:spPr>
                </pic:pic>
              </a:graphicData>
            </a:graphic>
          </wp:inline>
        </w:drawing>
      </w:r>
      <w:r>
        <w:rPr>
          <w:rFonts w:ascii="Arial" w:cs="Arial" w:eastAsia="Arial" w:hAnsi="Arial"/>
          <w:sz w:val="16"/>
          <w:szCs w:val="16"/>
          <w:color w:val="auto"/>
        </w:rPr>
        <w:t xml:space="preserve"> In all, the committee concluded that the strategic condition of the company continued to improve and provides a sustainable competitive advantage.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7" w:lineRule="exact"/>
        <w:rPr>
          <w:sz w:val="20"/>
          <w:szCs w:val="20"/>
          <w:color w:val="auto"/>
        </w:rPr>
      </w:pPr>
    </w:p>
    <w:p>
      <w:pPr>
        <w:ind w:left="280" w:right="220" w:hanging="280"/>
        <w:spacing w:after="0" w:line="257" w:lineRule="auto"/>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excluding legacy wireless products (baseband products, and OMAP™ applications processors and connectivity products sold into smartphone and consumer tablet applications) is a non-GAAP financial measure. For a reconciliation to GAAP, see the Appendix to this proxy statement.</w:t>
      </w:r>
    </w:p>
    <w:p>
      <w:pPr>
        <w:spacing w:after="0" w:line="1" w:lineRule="exact"/>
        <w:rPr>
          <w:sz w:val="20"/>
          <w:szCs w:val="20"/>
          <w:color w:val="auto"/>
        </w:rPr>
      </w:pPr>
    </w:p>
    <w:p>
      <w:pPr>
        <w:ind w:left="280" w:right="400" w:hanging="280"/>
        <w:spacing w:after="0" w:line="264" w:lineRule="auto"/>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Free cash flow was calculated by subtracting Capital expenditures from the GAAP-based Cash flows from operating activities. Free cash flow and the ratios based on it are non-GAAP financial measures. For a reconciliation to GAAP, see the Appendix to this proxy statement.</w:t>
      </w:r>
    </w:p>
    <w:p>
      <w:pPr>
        <w:spacing w:after="0" w:line="213"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i w:val="1"/>
          <w:iCs w:val="1"/>
          <w:color w:val="auto"/>
        </w:rPr>
        <w:t>Performance Summary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3780" w:type="dxa"/>
            <w:vAlign w:val="bottom"/>
          </w:tcPr>
          <w:p>
            <w:pPr>
              <w:jc w:val="right"/>
              <w:ind w:right="361"/>
              <w:spacing w:after="0"/>
              <w:rPr>
                <w:sz w:val="20"/>
                <w:szCs w:val="20"/>
                <w:color w:val="auto"/>
              </w:rPr>
            </w:pPr>
            <w:r>
              <w:rPr>
                <w:rFonts w:ascii="Arial" w:cs="Arial" w:eastAsia="Arial" w:hAnsi="Arial"/>
                <w:sz w:val="13"/>
                <w:szCs w:val="13"/>
                <w:b w:val="1"/>
                <w:bCs w:val="1"/>
                <w:color w:val="auto"/>
              </w:rPr>
              <w:t>1-Year</w:t>
            </w:r>
          </w:p>
        </w:tc>
        <w:tc>
          <w:tcPr>
            <w:tcW w:w="1580" w:type="dxa"/>
            <w:vAlign w:val="bottom"/>
            <w:gridSpan w:val="2"/>
          </w:tcPr>
          <w:p>
            <w:pPr>
              <w:ind w:left="680"/>
              <w:spacing w:after="0"/>
              <w:rPr>
                <w:sz w:val="20"/>
                <w:szCs w:val="20"/>
                <w:color w:val="auto"/>
              </w:rPr>
            </w:pPr>
            <w:r>
              <w:rPr>
                <w:rFonts w:ascii="Arial" w:cs="Arial" w:eastAsia="Arial" w:hAnsi="Arial"/>
                <w:sz w:val="13"/>
                <w:szCs w:val="13"/>
                <w:b w:val="1"/>
                <w:bCs w:val="1"/>
                <w:color w:val="auto"/>
              </w:rPr>
              <w:t>3-Year</w:t>
            </w:r>
          </w:p>
        </w:tc>
      </w:tr>
      <w:tr>
        <w:trPr>
          <w:trHeight w:val="29"/>
        </w:trPr>
        <w:tc>
          <w:tcPr>
            <w:tcW w:w="60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8"/>
        </w:trPr>
        <w:tc>
          <w:tcPr>
            <w:tcW w:w="6060" w:type="dxa"/>
            <w:vAlign w:val="bottom"/>
            <w:shd w:val="clear" w:color="auto" w:fill="E9E9E9"/>
          </w:tcPr>
          <w:p>
            <w:pPr>
              <w:spacing w:after="0"/>
              <w:rPr>
                <w:sz w:val="20"/>
                <w:szCs w:val="20"/>
                <w:color w:val="auto"/>
              </w:rPr>
            </w:pPr>
            <w:r>
              <w:rPr>
                <w:rFonts w:ascii="Arial" w:cs="Arial" w:eastAsia="Arial" w:hAnsi="Arial"/>
                <w:sz w:val="16"/>
                <w:szCs w:val="16"/>
                <w:color w:val="auto"/>
              </w:rPr>
              <w:t>Revenue growth</w:t>
            </w:r>
          </w:p>
        </w:tc>
        <w:tc>
          <w:tcPr>
            <w:tcW w:w="378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-4.8%</w:t>
            </w:r>
          </w:p>
        </w:tc>
        <w:tc>
          <w:tcPr>
            <w:tcW w:w="9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-4.4%</w:t>
            </w:r>
          </w:p>
        </w:tc>
        <w:tc>
          <w:tcPr>
            <w:tcW w:w="620" w:type="dxa"/>
            <w:vAlign w:val="bottom"/>
            <w:shd w:val="clear" w:color="auto" w:fill="E9E9E9"/>
          </w:tcPr>
          <w:p>
            <w:pPr>
              <w:ind w:left="40"/>
              <w:spacing w:after="0"/>
              <w:rPr>
                <w:sz w:val="20"/>
                <w:szCs w:val="20"/>
                <w:color w:val="auto"/>
              </w:rPr>
            </w:pPr>
            <w:r>
              <w:rPr>
                <w:rFonts w:ascii="Arial" w:cs="Arial" w:eastAsia="Arial" w:hAnsi="Arial"/>
                <w:sz w:val="16"/>
                <w:szCs w:val="16"/>
                <w:color w:val="auto"/>
              </w:rPr>
              <w:t>CAGR</w:t>
            </w:r>
          </w:p>
        </w:tc>
      </w:tr>
      <w:tr>
        <w:trPr>
          <w:trHeight w:val="219"/>
        </w:trPr>
        <w:tc>
          <w:tcPr>
            <w:tcW w:w="6060" w:type="dxa"/>
            <w:vAlign w:val="bottom"/>
          </w:tcPr>
          <w:p>
            <w:pPr>
              <w:spacing w:after="0"/>
              <w:rPr>
                <w:sz w:val="20"/>
                <w:szCs w:val="20"/>
                <w:color w:val="auto"/>
              </w:rPr>
            </w:pPr>
            <w:r>
              <w:rPr>
                <w:rFonts w:ascii="Arial" w:cs="Arial" w:eastAsia="Arial" w:hAnsi="Arial"/>
                <w:sz w:val="16"/>
                <w:szCs w:val="16"/>
                <w:color w:val="auto"/>
              </w:rPr>
              <w:t>Operating margin</w:t>
            </w:r>
          </w:p>
        </w:tc>
        <w:tc>
          <w:tcPr>
            <w:tcW w:w="3780" w:type="dxa"/>
            <w:vAlign w:val="bottom"/>
          </w:tcPr>
          <w:p>
            <w:pPr>
              <w:jc w:val="right"/>
              <w:ind w:right="281"/>
              <w:spacing w:after="0"/>
              <w:rPr>
                <w:sz w:val="20"/>
                <w:szCs w:val="20"/>
                <w:color w:val="auto"/>
              </w:rPr>
            </w:pPr>
            <w:r>
              <w:rPr>
                <w:rFonts w:ascii="Arial" w:cs="Arial" w:eastAsia="Arial" w:hAnsi="Arial"/>
                <w:sz w:val="16"/>
                <w:szCs w:val="16"/>
                <w:color w:val="auto"/>
              </w:rPr>
              <w:t>23.2%</w:t>
            </w:r>
          </w:p>
        </w:tc>
        <w:tc>
          <w:tcPr>
            <w:tcW w:w="960" w:type="dxa"/>
            <w:vAlign w:val="bottom"/>
          </w:tcPr>
          <w:p>
            <w:pPr>
              <w:jc w:val="right"/>
              <w:spacing w:after="0"/>
              <w:rPr>
                <w:sz w:val="20"/>
                <w:szCs w:val="20"/>
                <w:color w:val="auto"/>
              </w:rPr>
            </w:pPr>
            <w:r>
              <w:rPr>
                <w:rFonts w:ascii="Arial" w:cs="Arial" w:eastAsia="Arial" w:hAnsi="Arial"/>
                <w:sz w:val="16"/>
                <w:szCs w:val="16"/>
                <w:color w:val="auto"/>
              </w:rPr>
              <w:t>20.1%</w:t>
            </w:r>
          </w:p>
        </w:tc>
        <w:tc>
          <w:tcPr>
            <w:tcW w:w="620" w:type="dxa"/>
            <w:vAlign w:val="bottom"/>
          </w:tcPr>
          <w:p>
            <w:pPr>
              <w:ind w:left="40"/>
              <w:spacing w:after="0"/>
              <w:rPr>
                <w:sz w:val="20"/>
                <w:szCs w:val="20"/>
                <w:color w:val="auto"/>
              </w:rPr>
            </w:pPr>
            <w:r>
              <w:rPr>
                <w:rFonts w:ascii="Arial" w:cs="Arial" w:eastAsia="Arial" w:hAnsi="Arial"/>
                <w:sz w:val="16"/>
                <w:szCs w:val="16"/>
                <w:color w:val="auto"/>
                <w:w w:val="96"/>
              </w:rPr>
              <w:t>average</w:t>
            </w:r>
          </w:p>
        </w:tc>
      </w:tr>
      <w:tr>
        <w:trPr>
          <w:trHeight w:val="231"/>
        </w:trPr>
        <w:tc>
          <w:tcPr>
            <w:tcW w:w="6060" w:type="dxa"/>
            <w:vAlign w:val="bottom"/>
            <w:shd w:val="clear" w:color="auto" w:fill="E9E9E9"/>
          </w:tcPr>
          <w:p>
            <w:pPr>
              <w:spacing w:after="0"/>
              <w:rPr>
                <w:sz w:val="20"/>
                <w:szCs w:val="20"/>
                <w:color w:val="auto"/>
              </w:rPr>
            </w:pPr>
            <w:r>
              <w:rPr>
                <w:rFonts w:ascii="Arial" w:cs="Arial" w:eastAsia="Arial" w:hAnsi="Arial"/>
                <w:sz w:val="16"/>
                <w:szCs w:val="16"/>
                <w:color w:val="auto"/>
              </w:rPr>
              <w:t>Free cash flow as % of revenue</w:t>
            </w:r>
          </w:p>
        </w:tc>
        <w:tc>
          <w:tcPr>
            <w:tcW w:w="378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24.4%</w:t>
            </w:r>
          </w:p>
        </w:tc>
        <w:tc>
          <w:tcPr>
            <w:tcW w:w="9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21.5%</w:t>
            </w:r>
          </w:p>
        </w:tc>
        <w:tc>
          <w:tcPr>
            <w:tcW w:w="620" w:type="dxa"/>
            <w:vAlign w:val="bottom"/>
            <w:shd w:val="clear" w:color="auto" w:fill="E9E9E9"/>
          </w:tcPr>
          <w:p>
            <w:pPr>
              <w:ind w:left="40"/>
              <w:spacing w:after="0"/>
              <w:rPr>
                <w:sz w:val="20"/>
                <w:szCs w:val="20"/>
                <w:color w:val="auto"/>
              </w:rPr>
            </w:pPr>
            <w:r>
              <w:rPr>
                <w:rFonts w:ascii="Arial" w:cs="Arial" w:eastAsia="Arial" w:hAnsi="Arial"/>
                <w:sz w:val="16"/>
                <w:szCs w:val="16"/>
                <w:color w:val="auto"/>
                <w:w w:val="96"/>
              </w:rPr>
              <w:t>average</w:t>
            </w:r>
          </w:p>
        </w:tc>
      </w:tr>
      <w:tr>
        <w:trPr>
          <w:trHeight w:val="219"/>
        </w:trPr>
        <w:tc>
          <w:tcPr>
            <w:tcW w:w="6060" w:type="dxa"/>
            <w:vAlign w:val="bottom"/>
          </w:tcPr>
          <w:p>
            <w:pPr>
              <w:spacing w:after="0"/>
              <w:rPr>
                <w:sz w:val="20"/>
                <w:szCs w:val="20"/>
                <w:color w:val="auto"/>
              </w:rPr>
            </w:pPr>
            <w:r>
              <w:rPr>
                <w:rFonts w:ascii="Arial" w:cs="Arial" w:eastAsia="Arial" w:hAnsi="Arial"/>
                <w:sz w:val="16"/>
                <w:szCs w:val="16"/>
                <w:color w:val="auto"/>
              </w:rPr>
              <w:t>% of free cash flow returned to shareholders</w:t>
            </w:r>
          </w:p>
        </w:tc>
        <w:tc>
          <w:tcPr>
            <w:tcW w:w="3780" w:type="dxa"/>
            <w:vAlign w:val="bottom"/>
          </w:tcPr>
          <w:p>
            <w:pPr>
              <w:jc w:val="right"/>
              <w:ind w:right="281"/>
              <w:spacing w:after="0"/>
              <w:rPr>
                <w:sz w:val="20"/>
                <w:szCs w:val="20"/>
                <w:color w:val="auto"/>
              </w:rPr>
            </w:pPr>
            <w:r>
              <w:rPr>
                <w:rFonts w:ascii="Arial" w:cs="Arial" w:eastAsia="Arial" w:hAnsi="Arial"/>
                <w:sz w:val="16"/>
                <w:szCs w:val="16"/>
                <w:color w:val="auto"/>
              </w:rPr>
              <w:t>136.0%</w:t>
            </w:r>
          </w:p>
        </w:tc>
        <w:tc>
          <w:tcPr>
            <w:tcW w:w="960" w:type="dxa"/>
            <w:vAlign w:val="bottom"/>
          </w:tcPr>
          <w:p>
            <w:pPr>
              <w:jc w:val="right"/>
              <w:spacing w:after="0"/>
              <w:rPr>
                <w:sz w:val="20"/>
                <w:szCs w:val="20"/>
                <w:color w:val="auto"/>
              </w:rPr>
            </w:pPr>
            <w:r>
              <w:rPr>
                <w:rFonts w:ascii="Arial" w:cs="Arial" w:eastAsia="Arial" w:hAnsi="Arial"/>
                <w:sz w:val="16"/>
                <w:szCs w:val="16"/>
                <w:color w:val="auto"/>
              </w:rPr>
              <w:t>111.4%</w:t>
            </w:r>
          </w:p>
        </w:tc>
        <w:tc>
          <w:tcPr>
            <w:tcW w:w="620" w:type="dxa"/>
            <w:vAlign w:val="bottom"/>
          </w:tcPr>
          <w:p>
            <w:pPr>
              <w:ind w:left="40"/>
              <w:spacing w:after="0"/>
              <w:rPr>
                <w:sz w:val="20"/>
                <w:szCs w:val="20"/>
                <w:color w:val="auto"/>
              </w:rPr>
            </w:pPr>
            <w:r>
              <w:rPr>
                <w:rFonts w:ascii="Arial" w:cs="Arial" w:eastAsia="Arial" w:hAnsi="Arial"/>
                <w:sz w:val="16"/>
                <w:szCs w:val="16"/>
                <w:color w:val="auto"/>
                <w:w w:val="96"/>
              </w:rPr>
              <w:t>average</w:t>
            </w:r>
          </w:p>
        </w:tc>
      </w:tr>
      <w:tr>
        <w:trPr>
          <w:trHeight w:val="231"/>
        </w:trPr>
        <w:tc>
          <w:tcPr>
            <w:tcW w:w="6060" w:type="dxa"/>
            <w:vAlign w:val="bottom"/>
            <w:shd w:val="clear" w:color="auto" w:fill="E9E9E9"/>
          </w:tcPr>
          <w:p>
            <w:pPr>
              <w:spacing w:after="0"/>
              <w:rPr>
                <w:sz w:val="20"/>
                <w:szCs w:val="20"/>
                <w:color w:val="auto"/>
              </w:rPr>
            </w:pPr>
            <w:r>
              <w:rPr>
                <w:rFonts w:ascii="Arial" w:cs="Arial" w:eastAsia="Arial" w:hAnsi="Arial"/>
                <w:sz w:val="16"/>
                <w:szCs w:val="16"/>
                <w:color w:val="auto"/>
              </w:rPr>
              <w:t>Increase in quarterly dividend rate</w:t>
            </w:r>
          </w:p>
        </w:tc>
        <w:tc>
          <w:tcPr>
            <w:tcW w:w="378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42.9%</w:t>
            </w:r>
          </w:p>
        </w:tc>
        <w:tc>
          <w:tcPr>
            <w:tcW w:w="9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130.8%</w:t>
            </w:r>
          </w:p>
        </w:tc>
        <w:tc>
          <w:tcPr>
            <w:tcW w:w="620" w:type="dxa"/>
            <w:vAlign w:val="bottom"/>
            <w:shd w:val="clear" w:color="auto" w:fill="E9E9E9"/>
          </w:tcPr>
          <w:p>
            <w:pPr>
              <w:spacing w:after="0"/>
              <w:rPr>
                <w:sz w:val="20"/>
                <w:szCs w:val="20"/>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6"/>
                <w:szCs w:val="16"/>
                <w:color w:val="auto"/>
              </w:rPr>
              <w:t>Total shareholder return (TSR)</w:t>
            </w:r>
          </w:p>
        </w:tc>
        <w:tc>
          <w:tcPr>
            <w:tcW w:w="3780" w:type="dxa"/>
            <w:vAlign w:val="bottom"/>
          </w:tcPr>
          <w:p>
            <w:pPr>
              <w:jc w:val="right"/>
              <w:ind w:right="281"/>
              <w:spacing w:after="0"/>
              <w:rPr>
                <w:sz w:val="20"/>
                <w:szCs w:val="20"/>
                <w:color w:val="auto"/>
              </w:rPr>
            </w:pPr>
            <w:r>
              <w:rPr>
                <w:rFonts w:ascii="Arial" w:cs="Arial" w:eastAsia="Arial" w:hAnsi="Arial"/>
                <w:sz w:val="16"/>
                <w:szCs w:val="16"/>
                <w:color w:val="auto"/>
              </w:rPr>
              <w:t>46.3%</w:t>
            </w: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c>
          <w:tcPr>
            <w:tcW w:w="620" w:type="dxa"/>
            <w:vAlign w:val="bottom"/>
          </w:tcPr>
          <w:p>
            <w:pPr>
              <w:ind w:left="40"/>
              <w:spacing w:after="0"/>
              <w:rPr>
                <w:sz w:val="20"/>
                <w:szCs w:val="20"/>
                <w:color w:val="auto"/>
              </w:rPr>
            </w:pPr>
            <w:r>
              <w:rPr>
                <w:rFonts w:ascii="Arial" w:cs="Arial" w:eastAsia="Arial" w:hAnsi="Arial"/>
                <w:sz w:val="16"/>
                <w:szCs w:val="16"/>
                <w:color w:val="auto"/>
              </w:rPr>
              <w:t>CAGR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CAGR (compound annual growth rate) is calculated using the formula (Ending Value/Beginning Value)</w:t>
      </w:r>
      <w:r>
        <w:rPr>
          <w:rFonts w:ascii="Arial" w:cs="Arial" w:eastAsia="Arial" w:hAnsi="Arial"/>
          <w:sz w:val="27"/>
          <w:szCs w:val="27"/>
          <w:color w:val="auto"/>
          <w:vertAlign w:val="superscript"/>
        </w:rPr>
        <w:t>1/number of years</w:t>
      </w:r>
      <w:r>
        <w:rPr>
          <w:rFonts w:ascii="Arial" w:cs="Arial" w:eastAsia="Arial" w:hAnsi="Arial"/>
          <w:sz w:val="16"/>
          <w:szCs w:val="16"/>
          <w:color w:val="auto"/>
        </w:rPr>
        <w:t>-1.</w:t>
      </w:r>
    </w:p>
    <w:p>
      <w:pPr>
        <w:spacing w:after="0" w:line="124" w:lineRule="exact"/>
        <w:rPr>
          <w:sz w:val="20"/>
          <w:szCs w:val="20"/>
          <w:color w:val="auto"/>
        </w:rPr>
      </w:pPr>
    </w:p>
    <w:p>
      <w:pPr>
        <w:jc w:val="both"/>
        <w:ind w:left="1420" w:right="180" w:hanging="1424"/>
        <w:spacing w:after="0" w:line="316" w:lineRule="auto"/>
        <w:rPr>
          <w:sz w:val="20"/>
          <w:szCs w:val="20"/>
          <w:color w:val="auto"/>
        </w:rPr>
      </w:pPr>
      <w:r>
        <w:rPr>
          <w:rFonts w:ascii="Arial" w:cs="Arial" w:eastAsia="Arial" w:hAnsi="Arial"/>
          <w:sz w:val="16"/>
          <w:szCs w:val="16"/>
          <w:color w:val="auto"/>
        </w:rPr>
        <w:t>One-year TSR % = (adjusted closing price of the company’s stock at year-end 2013, divided by 2012 year-end adjusted closing price) minus 1. The adjusted closing price is as shown under Historical Prices for the company’s stock on Yahoo Finance and reflects stock splits and reinvestment of dividends.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Three-year TSR CAGR % = (adjusted closing price of the company’s stock at year-end 2013, divided by 2010 year-end adjusted closing price) ⅓ minus 1.</w:t>
      </w:r>
    </w:p>
    <w:p>
      <w:pPr>
        <w:spacing w:after="0" w:line="4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Adjusted closing price is as described above.</w:t>
      </w:r>
    </w:p>
    <w:p>
      <w:pPr>
        <w:spacing w:after="0" w:line="200" w:lineRule="exact"/>
        <w:rPr>
          <w:sz w:val="20"/>
          <w:szCs w:val="20"/>
          <w:color w:val="auto"/>
        </w:rPr>
      </w:pPr>
    </w:p>
    <w:p>
      <w:pPr>
        <w:spacing w:after="0" w:line="25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March is the chief financial officer. The committee noted the financial management of the company.</w:t>
      </w:r>
    </w:p>
    <w:p>
      <w:pPr>
        <w:spacing w:after="0" w:line="4" w:lineRule="exact"/>
        <w:rPr>
          <w:sz w:val="20"/>
          <w:szCs w:val="20"/>
          <w:color w:val="auto"/>
        </w:rPr>
      </w:pPr>
    </w:p>
    <w:p>
      <w:pPr>
        <w:ind w:right="80" w:firstLine="226"/>
        <w:spacing w:after="0" w:line="244" w:lineRule="auto"/>
        <w:rPr>
          <w:sz w:val="20"/>
          <w:szCs w:val="20"/>
          <w:color w:val="auto"/>
        </w:rPr>
      </w:pPr>
      <w:r>
        <w:rPr>
          <w:rFonts w:ascii="Arial" w:cs="Arial" w:eastAsia="Arial" w:hAnsi="Arial"/>
          <w:sz w:val="16"/>
          <w:szCs w:val="16"/>
          <w:color w:val="auto"/>
        </w:rPr>
        <w:t>Mr. Crutcher is responsible for the company’s analog semiconductor product lines. The committee noted the financial performance and strategic position of the product lines.</w:t>
      </w:r>
    </w:p>
    <w:p>
      <w:pPr>
        <w:spacing w:after="0" w:line="1" w:lineRule="exact"/>
        <w:rPr>
          <w:sz w:val="20"/>
          <w:szCs w:val="20"/>
          <w:color w:val="auto"/>
        </w:rPr>
      </w:pPr>
    </w:p>
    <w:p>
      <w:pPr>
        <w:ind w:right="80" w:firstLine="226"/>
        <w:spacing w:after="0" w:line="244" w:lineRule="auto"/>
        <w:rPr>
          <w:sz w:val="20"/>
          <w:szCs w:val="20"/>
          <w:color w:val="auto"/>
        </w:rPr>
      </w:pPr>
      <w:r>
        <w:rPr>
          <w:rFonts w:ascii="Arial" w:cs="Arial" w:eastAsia="Arial" w:hAnsi="Arial"/>
          <w:sz w:val="16"/>
          <w:szCs w:val="16"/>
          <w:color w:val="auto"/>
        </w:rPr>
        <w:t>Mr. Ritchie is responsible for the company’s semiconductor manufacturing operations. The committee noted the performance of those operations, including their cost-competitiveness and inventory management.</w:t>
      </w:r>
    </w:p>
    <w:p>
      <w:pPr>
        <w:spacing w:after="0" w:line="1" w:lineRule="exact"/>
        <w:rPr>
          <w:sz w:val="20"/>
          <w:szCs w:val="20"/>
          <w:color w:val="auto"/>
        </w:rPr>
      </w:pPr>
    </w:p>
    <w:p>
      <w:pPr>
        <w:ind w:right="140" w:firstLine="226"/>
        <w:spacing w:after="0" w:line="244" w:lineRule="auto"/>
        <w:rPr>
          <w:sz w:val="20"/>
          <w:szCs w:val="20"/>
          <w:color w:val="auto"/>
        </w:rPr>
      </w:pPr>
      <w:r>
        <w:rPr>
          <w:rFonts w:ascii="Arial" w:cs="Arial" w:eastAsia="Arial" w:hAnsi="Arial"/>
          <w:sz w:val="16"/>
          <w:szCs w:val="16"/>
          <w:color w:val="auto"/>
        </w:rPr>
        <w:t>Mr. Delagi is responsible for the company’s embedded processing and custom product lines. The committee noted the financial performance and strategic position of these product lines.</w:t>
      </w:r>
    </w:p>
    <w:p>
      <w:pPr>
        <w:spacing w:after="0" w:line="1" w:lineRule="exact"/>
        <w:rPr>
          <w:sz w:val="20"/>
          <w:szCs w:val="20"/>
          <w:color w:val="auto"/>
        </w:rPr>
      </w:pPr>
    </w:p>
    <w:p>
      <w:pPr>
        <w:ind w:right="180" w:firstLine="226"/>
        <w:spacing w:after="0" w:line="251" w:lineRule="auto"/>
        <w:rPr>
          <w:sz w:val="20"/>
          <w:szCs w:val="20"/>
          <w:color w:val="auto"/>
        </w:rPr>
      </w:pPr>
      <w:r>
        <w:rPr>
          <w:rFonts w:ascii="Arial" w:cs="Arial" w:eastAsia="Arial" w:hAnsi="Arial"/>
          <w:sz w:val="16"/>
          <w:szCs w:val="16"/>
          <w:color w:val="auto"/>
        </w:rPr>
        <w:t>The bonuses awarded for 2013 performance are shown in the table on page 77. The differences in the amounts awarded to the named executive officers were primarily the result of differences in the officers’ level of responsibility and the applicable market level of total cash compensation expected to be paid to similarly situated officers in the Comparator Group. The bonus of each named executive officer was paid under the Executive Officer Performance Plan described on pages 80 and 83.</w:t>
      </w:r>
    </w:p>
    <w:p>
      <w:pPr>
        <w:spacing w:after="0" w:line="199"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76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3" w:name="page24"/>
    <w:bookmarkEnd w:id="23"/>
    <w:p>
      <w:pPr>
        <w:ind w:right="140"/>
        <w:spacing w:after="0" w:line="259" w:lineRule="auto"/>
        <w:rPr>
          <w:sz w:val="20"/>
          <w:szCs w:val="20"/>
          <w:color w:val="auto"/>
        </w:rPr>
      </w:pPr>
      <w:r>
        <w:rPr>
          <w:rFonts w:ascii="Arial" w:cs="Arial" w:eastAsia="Arial" w:hAnsi="Arial"/>
          <w:sz w:val="16"/>
          <w:szCs w:val="16"/>
          <w:i w:val="1"/>
          <w:iCs w:val="1"/>
          <w:color w:val="auto"/>
        </w:rPr>
        <w:t xml:space="preserve">Results of the compensation decisions </w:t>
      </w:r>
      <w:r>
        <w:rPr>
          <w:rFonts w:ascii="Arial" w:cs="Arial" w:eastAsia="Arial" w:hAnsi="Arial"/>
          <w:sz w:val="16"/>
          <w:szCs w:val="16"/>
          <w:color w:val="auto"/>
        </w:rPr>
        <w:t>– Results of the compensation decisions made by the committee relating to the named executive officers for 2013 are</w:t>
      </w:r>
      <w:r>
        <w:rPr>
          <w:rFonts w:ascii="Arial" w:cs="Arial" w:eastAsia="Arial" w:hAnsi="Arial"/>
          <w:sz w:val="16"/>
          <w:szCs w:val="16"/>
          <w:i w:val="1"/>
          <w:iCs w:val="1"/>
          <w:color w:val="auto"/>
        </w:rPr>
        <w:t xml:space="preserve"> </w:t>
      </w:r>
      <w:r>
        <w:rPr>
          <w:rFonts w:ascii="Arial" w:cs="Arial" w:eastAsia="Arial" w:hAnsi="Arial"/>
          <w:sz w:val="16"/>
          <w:szCs w:val="16"/>
          <w:color w:val="auto"/>
        </w:rPr>
        <w:t>summarized in the following table. This table is provided as a supplement to the summary compensation table on page 81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5 below.</w:t>
      </w:r>
      <w:r>
        <w:rPr>
          <w:rFonts w:ascii="Arial" w:cs="Arial" w:eastAsia="Arial" w:hAnsi="Arial"/>
          <w:sz w:val="27"/>
          <w:szCs w:val="27"/>
          <w:color w:val="auto"/>
          <w:vertAlign w:val="superscript"/>
        </w:rPr>
        <w:t>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7"/>
              </w:rPr>
              <w:t>Equity Compensation</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40"/>
              <w:spacing w:after="0"/>
              <w:rPr>
                <w:sz w:val="20"/>
                <w:szCs w:val="20"/>
                <w:color w:val="auto"/>
              </w:rPr>
            </w:pPr>
            <w:r>
              <w:rPr>
                <w:rFonts w:ascii="Arial" w:cs="Arial" w:eastAsia="Arial" w:hAnsi="Arial"/>
                <w:sz w:val="13"/>
                <w:szCs w:val="13"/>
                <w:b w:val="1"/>
                <w:bCs w:val="1"/>
                <w:color w:val="auto"/>
              </w:rPr>
              <w:t>Salary</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5"/>
              </w:rPr>
              <w:t>(Grant Date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Officer</w:t>
            </w:r>
          </w:p>
        </w:tc>
        <w:tc>
          <w:tcPr>
            <w:tcW w:w="840" w:type="dxa"/>
            <w:vAlign w:val="bottom"/>
          </w:tcPr>
          <w:p>
            <w:pPr>
              <w:jc w:val="center"/>
              <w:ind w:left="60"/>
              <w:spacing w:after="0"/>
              <w:rPr>
                <w:sz w:val="20"/>
                <w:szCs w:val="20"/>
                <w:color w:val="auto"/>
              </w:rPr>
            </w:pPr>
            <w:r>
              <w:rPr>
                <w:rFonts w:ascii="Arial" w:cs="Arial" w:eastAsia="Arial" w:hAnsi="Arial"/>
                <w:sz w:val="13"/>
                <w:szCs w:val="13"/>
                <w:b w:val="1"/>
                <w:bCs w:val="1"/>
                <w:color w:val="auto"/>
                <w:w w:val="92"/>
              </w:rPr>
              <w:t>Year</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(Annual Rate)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Profit Sharing</w:t>
            </w:r>
          </w:p>
        </w:tc>
        <w:tc>
          <w:tcPr>
            <w:tcW w:w="260" w:type="dxa"/>
            <w:vAlign w:val="bottom"/>
          </w:tcPr>
          <w:p>
            <w:pPr>
              <w:spacing w:after="0"/>
              <w:rPr>
                <w:sz w:val="19"/>
                <w:szCs w:val="19"/>
                <w:color w:val="auto"/>
              </w:rPr>
            </w:pPr>
          </w:p>
        </w:tc>
        <w:tc>
          <w:tcPr>
            <w:tcW w:w="840" w:type="dxa"/>
            <w:vAlign w:val="bottom"/>
          </w:tcPr>
          <w:p>
            <w:pPr>
              <w:jc w:val="right"/>
              <w:ind w:right="260"/>
              <w:spacing w:after="0"/>
              <w:rPr>
                <w:sz w:val="20"/>
                <w:szCs w:val="20"/>
                <w:color w:val="auto"/>
              </w:rPr>
            </w:pPr>
            <w:r>
              <w:rPr>
                <w:rFonts w:ascii="Arial" w:cs="Arial" w:eastAsia="Arial" w:hAnsi="Arial"/>
                <w:sz w:val="13"/>
                <w:szCs w:val="13"/>
                <w:b w:val="1"/>
                <w:bCs w:val="1"/>
                <w:color w:val="auto"/>
              </w:rPr>
              <w:t>Bonus</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20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45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 K. Templeton</w:t>
            </w:r>
          </w:p>
        </w:tc>
        <w:tc>
          <w:tcPr>
            <w:tcW w:w="840" w:type="dxa"/>
            <w:vAlign w:val="bottom"/>
            <w:tcBorders>
              <w:top w:val="single" w:sz="8" w:color="auto"/>
            </w:tcBorders>
            <w:shd w:val="clear" w:color="auto" w:fill="E9E9E9"/>
          </w:tcPr>
          <w:p>
            <w:pPr>
              <w:jc w:val="center"/>
              <w:ind w:left="80"/>
              <w:spacing w:after="0"/>
              <w:rPr>
                <w:sz w:val="20"/>
                <w:szCs w:val="20"/>
                <w:color w:val="auto"/>
              </w:rPr>
            </w:pPr>
            <w:r>
              <w:rPr>
                <w:rFonts w:ascii="Arial" w:cs="Arial" w:eastAsia="Arial" w:hAnsi="Arial"/>
                <w:sz w:val="16"/>
                <w:szCs w:val="16"/>
                <w:color w:val="auto"/>
              </w:rPr>
              <w:t>2013</w:t>
            </w:r>
          </w:p>
        </w:tc>
        <w:tc>
          <w:tcPr>
            <w:tcW w:w="26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E9E9E9"/>
          </w:tcPr>
          <w:p>
            <w:pPr>
              <w:jc w:val="right"/>
              <w:ind w:right="160"/>
              <w:spacing w:after="0"/>
              <w:rPr>
                <w:sz w:val="20"/>
                <w:szCs w:val="20"/>
                <w:color w:val="auto"/>
              </w:rPr>
            </w:pPr>
            <w:r>
              <w:rPr>
                <w:rFonts w:ascii="Arial" w:cs="Arial" w:eastAsia="Arial" w:hAnsi="Arial"/>
                <w:sz w:val="16"/>
                <w:szCs w:val="16"/>
                <w:color w:val="auto"/>
                <w:w w:val="98"/>
              </w:rPr>
              <w:t>1,075,000</w:t>
            </w:r>
          </w:p>
        </w:tc>
        <w:tc>
          <w:tcPr>
            <w:tcW w:w="114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rPr>
              <w:t>$92,199</w:t>
            </w:r>
          </w:p>
        </w:tc>
        <w:tc>
          <w:tcPr>
            <w:tcW w:w="26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E9E9E9"/>
          </w:tcPr>
          <w:p>
            <w:pPr>
              <w:jc w:val="right"/>
              <w:ind w:right="40"/>
              <w:spacing w:after="0"/>
              <w:rPr>
                <w:sz w:val="20"/>
                <w:szCs w:val="20"/>
                <w:color w:val="auto"/>
              </w:rPr>
            </w:pPr>
            <w:r>
              <w:rPr>
                <w:rFonts w:ascii="Arial" w:cs="Arial" w:eastAsia="Arial" w:hAnsi="Arial"/>
                <w:sz w:val="16"/>
                <w:szCs w:val="16"/>
                <w:color w:val="auto"/>
                <w:w w:val="98"/>
              </w:rPr>
              <w:t>3,000,000</w:t>
            </w:r>
          </w:p>
        </w:tc>
        <w:tc>
          <w:tcPr>
            <w:tcW w:w="1540" w:type="dxa"/>
            <w:vAlign w:val="bottom"/>
            <w:tcBorders>
              <w:top w:val="single" w:sz="8" w:color="auto"/>
            </w:tcBorders>
            <w:shd w:val="clear" w:color="auto" w:fill="E9E9E9"/>
          </w:tcPr>
          <w:p>
            <w:pPr>
              <w:jc w:val="right"/>
              <w:ind w:right="262"/>
              <w:spacing w:after="0"/>
              <w:rPr>
                <w:sz w:val="20"/>
                <w:szCs w:val="20"/>
                <w:color w:val="auto"/>
              </w:rPr>
            </w:pPr>
            <w:r>
              <w:rPr>
                <w:rFonts w:ascii="Arial" w:cs="Arial" w:eastAsia="Arial" w:hAnsi="Arial"/>
                <w:sz w:val="16"/>
                <w:szCs w:val="16"/>
                <w:color w:val="auto"/>
              </w:rPr>
              <w:t>$9,299,374</w:t>
            </w:r>
          </w:p>
        </w:tc>
        <w:tc>
          <w:tcPr>
            <w:tcW w:w="20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w w:val="99"/>
              </w:rPr>
              <w:t>13,466,573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E9E9E9"/>
          </w:tcPr>
          <w:p>
            <w:pPr>
              <w:spacing w:after="0"/>
              <w:rPr>
                <w:sz w:val="19"/>
                <w:szCs w:val="19"/>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w w:val="98"/>
              </w:rPr>
              <w:t>1,040,000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$48,581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2,700,000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$9,074,035</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12,862,616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shd w:val="clear" w:color="auto" w:fill="E9E9E9"/>
          </w:tcPr>
          <w:p>
            <w:pPr>
              <w:spacing w:after="0"/>
              <w:rPr>
                <w:sz w:val="20"/>
                <w:szCs w:val="20"/>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990,087</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$ 78,118</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2,700,000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$9,883,575</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13,651,780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610,000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$52,317</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965,000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$2,656,964</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4,284,281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shd w:val="clear" w:color="auto" w:fill="E9E9E9"/>
          </w:tcPr>
          <w:p>
            <w:pPr>
              <w:spacing w:after="0"/>
              <w:rPr>
                <w:sz w:val="19"/>
                <w:szCs w:val="19"/>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590,000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$27,573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875,000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$2,865,478</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4,358,051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shd w:val="clear" w:color="auto" w:fill="E9E9E9"/>
          </w:tcPr>
          <w:p>
            <w:pPr>
              <w:spacing w:after="0"/>
              <w:rPr>
                <w:sz w:val="20"/>
                <w:szCs w:val="20"/>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565,008</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$44,349</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875,000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$3,020,004</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4,504,361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675,000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$57,728</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1,210,000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$3,985,446</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5,928,174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shd w:val="clear" w:color="auto" w:fill="E9E9E9"/>
          </w:tcPr>
          <w:p>
            <w:pPr>
              <w:spacing w:after="0"/>
              <w:rPr>
                <w:sz w:val="19"/>
                <w:szCs w:val="19"/>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630,000*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$27,573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1,100,000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$6,341,848</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8,099,421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shd w:val="clear" w:color="auto" w:fill="E9E9E9"/>
          </w:tcPr>
          <w:p>
            <w:pPr>
              <w:spacing w:after="0"/>
              <w:rPr>
                <w:sz w:val="20"/>
                <w:szCs w:val="20"/>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485,004</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$37,873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925,000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$3,569,080</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5,016,957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625,000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$53,571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1,100,000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$3,542,630</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5,321,201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shd w:val="clear" w:color="auto" w:fill="E9E9E9"/>
          </w:tcPr>
          <w:p>
            <w:pPr>
              <w:spacing w:after="0"/>
              <w:rPr>
                <w:sz w:val="19"/>
                <w:szCs w:val="19"/>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600,000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$27,945</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1,000,000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$3,343,079</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4,971,024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shd w:val="clear" w:color="auto" w:fill="E9E9E9"/>
          </w:tcPr>
          <w:p>
            <w:pPr>
              <w:spacing w:after="0"/>
              <w:rPr>
                <w:sz w:val="20"/>
                <w:szCs w:val="20"/>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550,020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$42,873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w w:val="98"/>
              </w:rPr>
              <w:t>1,000,000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$3,569,080</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5,161,973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160"/>
              <w:spacing w:after="0"/>
              <w:rPr>
                <w:sz w:val="20"/>
                <w:szCs w:val="20"/>
                <w:color w:val="auto"/>
              </w:rPr>
            </w:pPr>
            <w:r>
              <w:rPr>
                <w:rFonts w:ascii="Arial" w:cs="Arial" w:eastAsia="Arial" w:hAnsi="Arial"/>
                <w:sz w:val="16"/>
                <w:szCs w:val="16"/>
                <w:color w:val="auto"/>
              </w:rPr>
              <w:t>625,000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$53,571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865,000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$3,542,630</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5,086,201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shd w:val="clear" w:color="auto" w:fill="E9E9E9"/>
          </w:tcPr>
          <w:p>
            <w:pPr>
              <w:spacing w:after="0"/>
              <w:rPr>
                <w:sz w:val="20"/>
                <w:szCs w:val="20"/>
                <w:color w:val="auto"/>
              </w:rPr>
            </w:pPr>
          </w:p>
        </w:tc>
        <w:tc>
          <w:tcPr>
            <w:tcW w:w="840" w:type="dxa"/>
            <w:vAlign w:val="bottom"/>
            <w:shd w:val="clear" w:color="auto" w:fill="E9E9E9"/>
          </w:tcPr>
          <w:p>
            <w:pPr>
              <w:jc w:val="center"/>
              <w:ind w:left="8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600,000*</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$26,645</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825,000</w:t>
            </w:r>
          </w:p>
        </w:tc>
        <w:tc>
          <w:tcPr>
            <w:tcW w:w="154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$4,723,079</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6,174,724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60"/>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 rate effective June 2012.</w:t>
      </w:r>
    </w:p>
    <w:p>
      <w:pPr>
        <w:spacing w:after="0" w:line="204"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For Messrs. Templeton and Ritchie, the “Total” was higher for 2013 than for 2012 primarily due to the combination of higher bonus levels and the higher grant date fair value of their equity compensation. For Mr. March, the “Total” was essentially unchanged for 2013 as compared to 2012. For the other officers, the ”Total” was lower for 2013 due to the lower grant date fair value of their equity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4" w:lineRule="exact"/>
        <w:rPr>
          <w:sz w:val="20"/>
          <w:szCs w:val="20"/>
          <w:color w:val="auto"/>
        </w:rPr>
      </w:pPr>
    </w:p>
    <w:p>
      <w:pPr>
        <w:ind w:left="320" w:hanging="320"/>
        <w:spacing w:after="0" w:line="25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table shows the annual rate of base salary as set by the committee.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pacing w:after="0" w:line="219"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4" w:name="page25"/>
    <w:bookmarkEnd w:id="24"/>
    <w:p>
      <w:pPr>
        <w:ind w:left="220"/>
        <w:spacing w:after="0"/>
        <w:rPr>
          <w:sz w:val="20"/>
          <w:szCs w:val="20"/>
          <w:color w:val="auto"/>
        </w:rPr>
      </w:pPr>
      <w:r>
        <w:rPr>
          <w:rFonts w:ascii="Arial" w:cs="Arial" w:eastAsia="Arial" w:hAnsi="Arial"/>
          <w:sz w:val="16"/>
          <w:szCs w:val="16"/>
          <w:color w:val="auto"/>
        </w:rPr>
        <w:t>The compensation decisions shown above resulted in the following 2013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140335</wp:posOffset>
            </wp:positionV>
            <wp:extent cx="4017645" cy="20085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17645" cy="200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Average data for the named executive officers other than Mr. Templeton.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dilution</w:t>
      </w:r>
    </w:p>
    <w:p>
      <w:pPr>
        <w:spacing w:after="0" w:line="24"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2013 under the company’s equity-compensation program resulted in 1.3 percent net annual dilution.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Process for equity grants</w:t>
      </w:r>
    </w:p>
    <w:p>
      <w:pPr>
        <w:spacing w:after="0" w:line="2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 w:lineRule="exact"/>
        <w:rPr>
          <w:sz w:val="20"/>
          <w:szCs w:val="20"/>
          <w:color w:val="auto"/>
        </w:rPr>
      </w:pPr>
    </w:p>
    <w:p>
      <w:pPr>
        <w:ind w:right="440" w:firstLine="226"/>
        <w:spacing w:after="0" w:line="244" w:lineRule="auto"/>
        <w:rPr>
          <w:sz w:val="20"/>
          <w:szCs w:val="20"/>
          <w:color w:val="auto"/>
        </w:rPr>
      </w:pPr>
      <w:r>
        <w:rPr>
          <w:rFonts w:ascii="Arial" w:cs="Arial" w:eastAsia="Arial" w:hAnsi="Arial"/>
          <w:sz w:val="16"/>
          <w:szCs w:val="16"/>
          <w:color w:val="auto"/>
        </w:rPr>
        <w:t>On occasion, the committee may grant stock options or restricted stock units to executives at times other than January. For example, it has done so in connection with job promotions and for purposes of retention.</w:t>
      </w:r>
    </w:p>
    <w:p>
      <w:pPr>
        <w:spacing w:after="0" w:line="1" w:lineRule="exact"/>
        <w:rPr>
          <w:sz w:val="20"/>
          <w:szCs w:val="20"/>
          <w:color w:val="auto"/>
        </w:rPr>
      </w:pPr>
    </w:p>
    <w:p>
      <w:pPr>
        <w:ind w:left="220" w:right="100"/>
        <w:spacing w:after="0" w:line="244" w:lineRule="auto"/>
        <w:rPr>
          <w:sz w:val="20"/>
          <w:szCs w:val="20"/>
          <w:color w:val="auto"/>
        </w:rPr>
      </w:pPr>
      <w:r>
        <w:rPr>
          <w:rFonts w:ascii="Arial" w:cs="Arial" w:eastAsia="Arial" w:hAnsi="Arial"/>
          <w:sz w:val="16"/>
          <w:szCs w:val="16"/>
          <w:color w:val="auto"/>
        </w:rPr>
        <w:t>We do not back-date stock options or restricted stock units. We do not accelerate or delay the release of information due to plans for making equity grants. If the committee meeting falls in the same month as the release of the company’s financial results, the committee’s practice is to make grants effective (i)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after the results have been released or (ii) on the meeting day if later. In other months, its practice is to make them effective on the day of committee action.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stock options is the closing price of TI stock on the effective date of the grant.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Recoupment policy</w:t>
      </w:r>
    </w:p>
    <w:p>
      <w:pPr>
        <w:spacing w:after="0" w:line="2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w:t>
      </w:r>
    </w:p>
    <w:p>
      <w:pPr>
        <w:spacing w:after="0" w:line="1" w:lineRule="exact"/>
        <w:rPr>
          <w:sz w:val="20"/>
          <w:szCs w:val="20"/>
          <w:color w:val="auto"/>
        </w:rPr>
      </w:pPr>
    </w:p>
    <w:p>
      <w:pPr>
        <w:jc w:val="both"/>
        <w:ind w:right="360"/>
        <w:spacing w:after="0" w:line="254" w:lineRule="auto"/>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seeking reimbursement of any bonus paid to such officer exceeding the amount that, in the judgment of the committee, would have been paid had the financial 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Most recent stockholder advisory vote on executive compensation</w:t>
      </w:r>
    </w:p>
    <w:p>
      <w:pPr>
        <w:spacing w:after="0" w:line="2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In April 2013, our shareholders cast an advisory vote on the company’s executive compensation decisions and policies as disclosed in the proxy statement issued by the company in March 2013. Approximately 95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99"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78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auto"/>
        </w:rPr>
        <w:t>Benefits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Retirement plans</w:t>
      </w:r>
    </w:p>
    <w:p>
      <w:pPr>
        <w:spacing w:after="0" w:line="4" w:lineRule="exact"/>
        <w:rPr>
          <w:sz w:val="20"/>
          <w:szCs w:val="20"/>
          <w:color w:val="auto"/>
        </w:rPr>
      </w:pPr>
    </w:p>
    <w:p>
      <w:pPr>
        <w:ind w:right="700"/>
        <w:spacing w:after="0" w:line="252" w:lineRule="auto"/>
        <w:rPr>
          <w:sz w:val="20"/>
          <w:szCs w:val="20"/>
          <w:color w:val="auto"/>
        </w:rPr>
      </w:pPr>
      <w:r>
        <w:rPr>
          <w:rFonts w:ascii="Arial" w:cs="Arial" w:eastAsia="Arial" w:hAnsi="Arial"/>
          <w:sz w:val="16"/>
          <w:szCs w:val="16"/>
          <w:color w:val="auto"/>
        </w:rPr>
        <w:t>The executive officers participate in our retirement plans under the same rules that apply to other U.S. employees. We maintain these plans to have a competitive benefits program and for retention.</w:t>
      </w:r>
    </w:p>
    <w:p>
      <w:pPr>
        <w:ind w:firstLine="250"/>
        <w:spacing w:after="0" w:line="251" w:lineRule="auto"/>
        <w:rPr>
          <w:sz w:val="20"/>
          <w:szCs w:val="20"/>
          <w:color w:val="auto"/>
        </w:rPr>
      </w:pPr>
      <w:r>
        <w:rPr>
          <w:rFonts w:ascii="Arial" w:cs="Arial" w:eastAsia="Arial" w:hAnsi="Arial"/>
          <w:sz w:val="16"/>
          <w:szCs w:val="16"/>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The other named executive officers have continued their participation in the defined benefit pension plan.</w:t>
      </w:r>
    </w:p>
    <w:p>
      <w:pPr>
        <w:spacing w:after="0" w:line="3" w:lineRule="exact"/>
        <w:rPr>
          <w:sz w:val="20"/>
          <w:szCs w:val="20"/>
          <w:color w:val="auto"/>
        </w:rPr>
      </w:pPr>
    </w:p>
    <w:p>
      <w:pPr>
        <w:ind w:right="40" w:firstLine="250"/>
        <w:spacing w:after="0" w:line="256" w:lineRule="auto"/>
        <w:rPr>
          <w:sz w:val="20"/>
          <w:szCs w:val="20"/>
          <w:color w:val="auto"/>
        </w:rPr>
      </w:pPr>
      <w:r>
        <w:rPr>
          <w:rFonts w:ascii="Arial" w:cs="Arial" w:eastAsia="Arial" w:hAnsi="Arial"/>
          <w:sz w:val="16"/>
          <w:szCs w:val="16"/>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86-90.</w:t>
      </w:r>
    </w:p>
    <w:p>
      <w:pPr>
        <w:spacing w:after="0" w:line="3" w:lineRule="exact"/>
        <w:rPr>
          <w:sz w:val="20"/>
          <w:szCs w:val="20"/>
          <w:color w:val="auto"/>
        </w:rPr>
      </w:pPr>
    </w:p>
    <w:p>
      <w:pPr>
        <w:ind w:right="180" w:firstLine="250"/>
        <w:spacing w:after="0" w:line="260" w:lineRule="auto"/>
        <w:rPr>
          <w:sz w:val="20"/>
          <w:szCs w:val="20"/>
          <w:color w:val="auto"/>
        </w:rPr>
      </w:pPr>
      <w:r>
        <w:rPr>
          <w:rFonts w:ascii="Arial" w:cs="Arial" w:eastAsia="Arial" w:hAnsi="Arial"/>
          <w:sz w:val="16"/>
          <w:szCs w:val="16"/>
          <w:color w:val="auto"/>
        </w:rPr>
        <w:t>Employees accruing benefits in the qualified pension plan, including the named executive officers other than Mr. Templeton and Mr. Crutcher, also are eligible to participate in a qualified defined contribution plan that provides employer matching contributions. The enhanced defined contribution plan, in which Mr. Templeton and Mr. Crutcher participate, provides for a fixed employer contribution plus an employer matching contribution.</w:t>
      </w:r>
    </w:p>
    <w:p>
      <w:pPr>
        <w:spacing w:after="0" w:line="2" w:lineRule="exact"/>
        <w:rPr>
          <w:sz w:val="20"/>
          <w:szCs w:val="20"/>
          <w:color w:val="auto"/>
        </w:rPr>
      </w:pPr>
    </w:p>
    <w:p>
      <w:pPr>
        <w:ind w:right="140" w:firstLine="250"/>
        <w:spacing w:after="0" w:line="256" w:lineRule="auto"/>
        <w:rPr>
          <w:sz w:val="20"/>
          <w:szCs w:val="20"/>
          <w:color w:val="auto"/>
        </w:rPr>
      </w:pPr>
      <w:r>
        <w:rPr>
          <w:rFonts w:ascii="Arial" w:cs="Arial" w:eastAsia="Arial" w:hAnsi="Arial"/>
          <w:sz w:val="16"/>
          <w:szCs w:val="16"/>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In 2013, having reached the age of 55 with at least 20 years of employment, Mr. Templeton, Mr. March and Mr. Ritchie were eligible for early retirement under the pension plans.</w:t>
      </w:r>
    </w:p>
    <w:p>
      <w:pPr>
        <w:spacing w:after="0" w:line="3" w:lineRule="exact"/>
        <w:rPr>
          <w:sz w:val="20"/>
          <w:szCs w:val="20"/>
          <w:color w:val="auto"/>
        </w:rPr>
      </w:pPr>
    </w:p>
    <w:p>
      <w:pPr>
        <w:ind w:right="40" w:firstLine="250"/>
        <w:spacing w:after="0" w:line="262" w:lineRule="auto"/>
        <w:rPr>
          <w:sz w:val="20"/>
          <w:szCs w:val="20"/>
          <w:color w:val="auto"/>
        </w:rPr>
      </w:pPr>
      <w:r>
        <w:rPr>
          <w:rFonts w:ascii="Arial" w:cs="Arial" w:eastAsia="Arial" w:hAnsi="Arial"/>
          <w:sz w:val="16"/>
          <w:szCs w:val="16"/>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The committee considers the potential effect on the executives’ retirement benefits when it sets salary and performance bonus levels.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w:t>
      </w:r>
    </w:p>
    <w:p>
      <w:pPr>
        <w:spacing w:after="0" w:line="2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 w:lineRule="exact"/>
        <w:rPr>
          <w:sz w:val="20"/>
          <w:szCs w:val="20"/>
          <w:color w:val="auto"/>
        </w:rPr>
      </w:pPr>
    </w:p>
    <w:p>
      <w:pPr>
        <w:ind w:right="80" w:firstLine="250"/>
        <w:spacing w:after="0" w:line="258" w:lineRule="auto"/>
        <w:rPr>
          <w:sz w:val="20"/>
          <w:szCs w:val="20"/>
          <w:color w:val="auto"/>
        </w:rPr>
      </w:pPr>
      <w:r>
        <w:rPr>
          <w:rFonts w:ascii="Arial" w:cs="Arial" w:eastAsia="Arial" w:hAnsi="Arial"/>
          <w:sz w:val="16"/>
          <w:szCs w:val="16"/>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summary compensation table on page 81 for 2013 because no “above market” rates were earned on deferred amounts in that year.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22"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Our shareholders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99"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color w:val="auto"/>
        </w:rPr>
        <w:t>Health-related benefits</w:t>
      </w:r>
    </w:p>
    <w:p>
      <w:pPr>
        <w:spacing w:after="0" w:line="22"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benefits</w:t>
      </w:r>
    </w:p>
    <w:p>
      <w:pPr>
        <w:spacing w:after="0" w:line="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Executive officers receive only a few benefits that are not available to all other U.S. employees. The CEO is eligible for a company-paid physical and financial counseling. In addition, the board of directors has determined that for security reasons, it is in the company’s interest to require the CEO to use company aircraft for personal air travel. Please see pages 82 (footnote 6) and 90 for further details. The company provides no tax gross-ups for perquisites to any of the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following employment termination or change in control</w:t>
      </w:r>
    </w:p>
    <w:p>
      <w:pPr>
        <w:spacing w:after="0" w:line="2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90. None of the few additional benefits that the executive officers receive continue after termination of employment, except the amount for financial counseling is provided in the following year in the event of retirement. The committee reviews the potential impact of these programs before finalizing the annual compensation for the named executive officers. The committee did not raise or lower compensation for 2013 based on this review.</w:t>
      </w:r>
    </w:p>
    <w:p>
      <w:pPr>
        <w:spacing w:after="0" w:line="1" w:lineRule="exact"/>
        <w:rPr>
          <w:sz w:val="20"/>
          <w:szCs w:val="20"/>
          <w:color w:val="auto"/>
        </w:rPr>
      </w:pPr>
    </w:p>
    <w:p>
      <w:pPr>
        <w:ind w:right="100" w:firstLine="250"/>
        <w:spacing w:after="0" w:line="262" w:lineRule="auto"/>
        <w:rPr>
          <w:sz w:val="20"/>
          <w:szCs w:val="20"/>
          <w:color w:val="auto"/>
        </w:rPr>
      </w:pPr>
      <w:r>
        <w:rPr>
          <w:rFonts w:ascii="Arial" w:cs="Arial" w:eastAsia="Arial" w:hAnsi="Arial"/>
          <w:sz w:val="16"/>
          <w:szCs w:val="16"/>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ownership guidelines and policy against hedging</w:t>
      </w:r>
    </w:p>
    <w:p>
      <w:pPr>
        <w:spacing w:after="0" w:line="2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2" w:lineRule="exact"/>
        <w:rPr>
          <w:sz w:val="20"/>
          <w:szCs w:val="20"/>
          <w:color w:val="auto"/>
        </w:rPr>
      </w:pPr>
    </w:p>
    <w:p>
      <w:pPr>
        <w:ind w:firstLine="250"/>
        <w:spacing w:after="0" w:line="298" w:lineRule="auto"/>
        <w:rPr>
          <w:sz w:val="20"/>
          <w:szCs w:val="20"/>
          <w:color w:val="auto"/>
        </w:rPr>
      </w:pPr>
      <w:r>
        <w:rPr>
          <w:rFonts w:ascii="Arial" w:cs="Arial" w:eastAsia="Arial" w:hAnsi="Arial"/>
          <w:sz w:val="16"/>
          <w:szCs w:val="16"/>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Consideration of tax and accounting treatment of compensation</w:t>
      </w:r>
    </w:p>
    <w:p>
      <w:pPr>
        <w:spacing w:after="0" w:line="2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Section 162(m) of the IRC generally denies a deduction to any publicly held corporation for compensation paid in a taxable year to the company’s CEO and three other highest compensated officers excluding the CFO,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our shareholders that restricted stock unit awards provide for the retention of our executive officers in all market conditions.</w:t>
      </w:r>
    </w:p>
    <w:p>
      <w:pPr>
        <w:spacing w:after="0" w:line="3" w:lineRule="exact"/>
        <w:rPr>
          <w:sz w:val="20"/>
          <w:szCs w:val="20"/>
          <w:color w:val="auto"/>
        </w:rPr>
      </w:pPr>
    </w:p>
    <w:p>
      <w:pPr>
        <w:ind w:right="60" w:firstLine="250"/>
        <w:spacing w:after="0" w:line="254" w:lineRule="auto"/>
        <w:rPr>
          <w:sz w:val="20"/>
          <w:szCs w:val="20"/>
          <w:color w:val="auto"/>
        </w:rPr>
      </w:pPr>
      <w:r>
        <w:rPr>
          <w:rFonts w:ascii="Arial" w:cs="Arial" w:eastAsia="Arial" w:hAnsi="Arial"/>
          <w:sz w:val="16"/>
          <w:szCs w:val="16"/>
          <w:color w:val="auto"/>
        </w:rPr>
        <w:t>The Texas Instruments Executive Officer Performance Plan is intended to ensure that performance bonuses under the plan are fully tax deductible under Section 162(m). The plan, which shareholders approved in 2002, is further described on page 83. The committee’s general policy is to award bonuses within the plan, although the committee reserves the discretion to pay a bonus outside the plan if it determines that it is in the best interest of the company and our shareholders to do so. The committee set the bonuses of the named executive officers for 2013 performance at the levels described on page 77. The bonuses were awarded within the plan.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When setting equity compensation, the committee considers the estimated cost for financial reporting purposes of equity compensation it intends to grant.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Its consideration of the estimated cost of grants made in 2013 is discussed on pages 73-74.</w:t>
      </w:r>
    </w:p>
    <w:p>
      <w:pPr>
        <w:spacing w:after="0" w:line="223"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80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of the board of directors has furnished the following report:</w:t>
      </w:r>
    </w:p>
    <w:p>
      <w:pPr>
        <w:spacing w:after="0" w:line="35" w:lineRule="exact"/>
        <w:rPr>
          <w:sz w:val="20"/>
          <w:szCs w:val="20"/>
          <w:color w:val="auto"/>
        </w:rPr>
      </w:pPr>
    </w:p>
    <w:p>
      <w:pPr>
        <w:jc w:val="both"/>
        <w:ind w:right="180" w:firstLine="250"/>
        <w:spacing w:after="0" w:line="271" w:lineRule="auto"/>
        <w:rPr>
          <w:sz w:val="20"/>
          <w:szCs w:val="20"/>
          <w:color w:val="auto"/>
        </w:rPr>
      </w:pPr>
      <w:r>
        <w:rPr>
          <w:rFonts w:ascii="Arial" w:cs="Arial" w:eastAsia="Arial" w:hAnsi="Arial"/>
          <w:sz w:val="16"/>
          <w:szCs w:val="16"/>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2013 and the company’s proxy statement for the 2014 annual meeting of stockholders.</w:t>
      </w:r>
    </w:p>
    <w:p>
      <w:pPr>
        <w:spacing w:after="0" w:line="158" w:lineRule="exact"/>
        <w:rPr>
          <w:sz w:val="20"/>
          <w:szCs w:val="20"/>
          <w:color w:val="auto"/>
        </w:rPr>
      </w:pPr>
    </w:p>
    <w:p>
      <w:pPr>
        <w:ind w:left="1400"/>
        <w:spacing w:after="0"/>
        <w:tabs>
          <w:tab w:leader="none" w:pos="5080" w:val="left"/>
          <w:tab w:leader="none" w:pos="8640" w:val="left"/>
        </w:tabs>
        <w:rPr>
          <w:sz w:val="20"/>
          <w:szCs w:val="20"/>
          <w:color w:val="auto"/>
        </w:rPr>
      </w:pPr>
      <w:r>
        <w:rPr>
          <w:rFonts w:ascii="Arial" w:cs="Arial" w:eastAsia="Arial" w:hAnsi="Arial"/>
          <w:sz w:val="16"/>
          <w:szCs w:val="16"/>
          <w:color w:val="auto"/>
        </w:rPr>
        <w:t>Carrie S. Cox, Chair</w:t>
      </w:r>
      <w:r>
        <w:rPr>
          <w:sz w:val="20"/>
          <w:szCs w:val="20"/>
          <w:color w:val="auto"/>
        </w:rPr>
        <w:tab/>
      </w:r>
      <w:r>
        <w:rPr>
          <w:rFonts w:ascii="Arial" w:cs="Arial" w:eastAsia="Arial" w:hAnsi="Arial"/>
          <w:sz w:val="16"/>
          <w:szCs w:val="16"/>
          <w:color w:val="auto"/>
        </w:rPr>
        <w:t>Pamela H. Patsley</w:t>
      </w:r>
      <w:r>
        <w:rPr>
          <w:sz w:val="20"/>
          <w:szCs w:val="20"/>
          <w:color w:val="auto"/>
        </w:rPr>
        <w:tab/>
      </w:r>
      <w:r>
        <w:rPr>
          <w:rFonts w:ascii="Arial" w:cs="Arial" w:eastAsia="Arial" w:hAnsi="Arial"/>
          <w:sz w:val="16"/>
          <w:szCs w:val="16"/>
          <w:color w:val="auto"/>
        </w:rPr>
        <w:t>Robert E. Sanchez</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summary compensation table</w:t>
      </w:r>
    </w:p>
    <w:p>
      <w:pPr>
        <w:spacing w:after="0" w:line="206"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The table below shows the compensation of the company’s CEO, CFO and each of the other three most highly compensated individuals who were executive officers during 2013 (collectively called the “named executive officers”) for services in all capacities to the company in 2013. For a discussion of the amount of a named executive officer’s salary and bonus in proportion to his total compensation, please see the CD&amp;A on pages 69-78.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183"/>
              <w:spacing w:after="0"/>
              <w:rPr>
                <w:sz w:val="20"/>
                <w:szCs w:val="20"/>
                <w:color w:val="auto"/>
              </w:rPr>
            </w:pPr>
            <w:r>
              <w:rPr>
                <w:rFonts w:ascii="Arial" w:cs="Arial" w:eastAsia="Arial" w:hAnsi="Arial"/>
                <w:sz w:val="13"/>
                <w:szCs w:val="13"/>
                <w:b w:val="1"/>
                <w:bCs w:val="1"/>
                <w:color w:val="auto"/>
                <w:w w:val="95"/>
              </w:rPr>
              <w:t>Change in</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Pension Value</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right="163"/>
              <w:spacing w:after="0"/>
              <w:rPr>
                <w:sz w:val="20"/>
                <w:szCs w:val="20"/>
                <w:color w:val="auto"/>
              </w:rPr>
            </w:pPr>
            <w:r>
              <w:rPr>
                <w:rFonts w:ascii="Arial" w:cs="Arial" w:eastAsia="Arial" w:hAnsi="Arial"/>
                <w:sz w:val="13"/>
                <w:szCs w:val="13"/>
                <w:b w:val="1"/>
                <w:bCs w:val="1"/>
                <w:color w:val="auto"/>
                <w:w w:val="94"/>
              </w:rPr>
              <w:t>and</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41"/>
              <w:spacing w:after="0"/>
              <w:rPr>
                <w:sz w:val="20"/>
                <w:szCs w:val="20"/>
                <w:color w:val="auto"/>
              </w:rPr>
            </w:pPr>
            <w:r>
              <w:rPr>
                <w:rFonts w:ascii="Arial" w:cs="Arial" w:eastAsia="Arial" w:hAnsi="Arial"/>
                <w:sz w:val="13"/>
                <w:szCs w:val="13"/>
                <w:b w:val="1"/>
                <w:bCs w:val="1"/>
                <w:color w:val="auto"/>
                <w:w w:val="92"/>
              </w:rPr>
              <w:t>Non-Equity</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Non-qualified</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Incentive Plan</w:t>
            </w:r>
          </w:p>
        </w:tc>
        <w:tc>
          <w:tcPr>
            <w:tcW w:w="260" w:type="dxa"/>
            <w:vAlign w:val="bottom"/>
          </w:tcPr>
          <w:p>
            <w:pPr>
              <w:spacing w:after="0"/>
              <w:rPr>
                <w:sz w:val="19"/>
                <w:szCs w:val="19"/>
                <w:color w:val="auto"/>
              </w:rPr>
            </w:pPr>
          </w:p>
        </w:tc>
        <w:tc>
          <w:tcPr>
            <w:tcW w:w="860" w:type="dxa"/>
            <w:vAlign w:val="bottom"/>
          </w:tcPr>
          <w:p>
            <w:pPr>
              <w:jc w:val="center"/>
              <w:ind w:right="183"/>
              <w:spacing w:after="0"/>
              <w:rPr>
                <w:sz w:val="20"/>
                <w:szCs w:val="20"/>
                <w:color w:val="auto"/>
              </w:rPr>
            </w:pPr>
            <w:r>
              <w:rPr>
                <w:rFonts w:ascii="Arial" w:cs="Arial" w:eastAsia="Arial" w:hAnsi="Arial"/>
                <w:sz w:val="13"/>
                <w:szCs w:val="13"/>
                <w:b w:val="1"/>
                <w:bCs w:val="1"/>
                <w:color w:val="auto"/>
                <w:w w:val="97"/>
              </w:rPr>
              <w:t>Deferred</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1"/>
              <w:spacing w:after="0"/>
              <w:rPr>
                <w:sz w:val="20"/>
                <w:szCs w:val="20"/>
                <w:color w:val="auto"/>
              </w:rPr>
            </w:pPr>
            <w:r>
              <w:rPr>
                <w:rFonts w:ascii="Arial" w:cs="Arial" w:eastAsia="Arial" w:hAnsi="Arial"/>
                <w:sz w:val="13"/>
                <w:szCs w:val="13"/>
                <w:b w:val="1"/>
                <w:bCs w:val="1"/>
                <w:color w:val="auto"/>
              </w:rPr>
              <w:t>Salary</w:t>
            </w:r>
          </w:p>
        </w:tc>
        <w:tc>
          <w:tcPr>
            <w:tcW w:w="640" w:type="dxa"/>
            <w:vAlign w:val="bottom"/>
          </w:tcPr>
          <w:p>
            <w:pPr>
              <w:ind w:left="100"/>
              <w:spacing w:after="0"/>
              <w:rPr>
                <w:sz w:val="20"/>
                <w:szCs w:val="20"/>
                <w:color w:val="auto"/>
              </w:rPr>
            </w:pPr>
            <w:r>
              <w:rPr>
                <w:rFonts w:ascii="Arial" w:cs="Arial" w:eastAsia="Arial" w:hAnsi="Arial"/>
                <w:sz w:val="13"/>
                <w:szCs w:val="13"/>
                <w:b w:val="1"/>
                <w:bCs w:val="1"/>
                <w:color w:val="auto"/>
              </w:rPr>
              <w:t>Bonus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Compensation</w:t>
            </w: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Compensation</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9"/>
                <w:szCs w:val="19"/>
                <w:color w:val="auto"/>
              </w:rPr>
            </w:pPr>
          </w:p>
        </w:tc>
        <w:tc>
          <w:tcPr>
            <w:tcW w:w="840" w:type="dxa"/>
            <w:vAlign w:val="bottom"/>
          </w:tcPr>
          <w:p>
            <w:pPr>
              <w:jc w:val="right"/>
              <w:ind w:right="421"/>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($)(3)</w:t>
            </w:r>
          </w:p>
        </w:tc>
        <w:tc>
          <w:tcPr>
            <w:tcW w:w="240" w:type="dxa"/>
            <w:vAlign w:val="bottom"/>
          </w:tcPr>
          <w:p>
            <w:pPr>
              <w:spacing w:after="0"/>
              <w:rPr>
                <w:sz w:val="19"/>
                <w:szCs w:val="19"/>
                <w:color w:val="auto"/>
              </w:rPr>
            </w:pPr>
          </w:p>
        </w:tc>
        <w:tc>
          <w:tcPr>
            <w:tcW w:w="880" w:type="dxa"/>
            <w:vAlign w:val="bottom"/>
          </w:tcPr>
          <w:p>
            <w:pPr>
              <w:jc w:val="right"/>
              <w:ind w:right="321"/>
              <w:spacing w:after="0"/>
              <w:rPr>
                <w:sz w:val="20"/>
                <w:szCs w:val="20"/>
                <w:color w:val="auto"/>
              </w:rPr>
            </w:pPr>
            <w:r>
              <w:rPr>
                <w:rFonts w:ascii="Arial" w:cs="Arial" w:eastAsia="Arial" w:hAnsi="Arial"/>
                <w:sz w:val="13"/>
                <w:szCs w:val="13"/>
                <w:b w:val="1"/>
                <w:bCs w:val="1"/>
                <w:color w:val="auto"/>
              </w:rPr>
              <w:t>($)(4)</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 ($)(5)</w:t>
            </w:r>
          </w:p>
        </w:tc>
        <w:tc>
          <w:tcPr>
            <w:tcW w:w="360" w:type="dxa"/>
            <w:vAlign w:val="bottom"/>
          </w:tcPr>
          <w:p>
            <w:pPr>
              <w:spacing w:after="0"/>
              <w:rPr>
                <w:sz w:val="19"/>
                <w:szCs w:val="19"/>
                <w:color w:val="auto"/>
              </w:rPr>
            </w:pPr>
          </w:p>
        </w:tc>
        <w:tc>
          <w:tcPr>
            <w:tcW w:w="740" w:type="dxa"/>
            <w:vAlign w:val="bottom"/>
          </w:tcPr>
          <w:p>
            <w:pPr>
              <w:jc w:val="center"/>
              <w:ind w:right="283"/>
              <w:spacing w:after="0"/>
              <w:rPr>
                <w:sz w:val="20"/>
                <w:szCs w:val="20"/>
                <w:color w:val="auto"/>
              </w:rPr>
            </w:pPr>
            <w:r>
              <w:rPr>
                <w:rFonts w:ascii="Arial" w:cs="Arial" w:eastAsia="Arial" w:hAnsi="Arial"/>
                <w:sz w:val="13"/>
                <w:szCs w:val="13"/>
                <w:b w:val="1"/>
                <w:bCs w:val="1"/>
                <w:color w:val="auto"/>
                <w:w w:val="94"/>
              </w:rPr>
              <w:t>($)(6)</w:t>
            </w: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9"/>
        </w:trPr>
        <w:tc>
          <w:tcPr>
            <w:tcW w:w="24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Richard K. Templeton</w:t>
            </w:r>
          </w:p>
        </w:tc>
        <w:tc>
          <w:tcPr>
            <w:tcW w:w="70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rPr>
              <w:t>2013</w:t>
            </w:r>
          </w:p>
        </w:tc>
        <w:tc>
          <w:tcPr>
            <w:tcW w:w="24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E9E9E9"/>
          </w:tcPr>
          <w:p>
            <w:pPr>
              <w:jc w:val="right"/>
              <w:ind w:right="41"/>
              <w:spacing w:after="0"/>
              <w:rPr>
                <w:sz w:val="20"/>
                <w:szCs w:val="20"/>
                <w:color w:val="auto"/>
              </w:rPr>
            </w:pPr>
            <w:r>
              <w:rPr>
                <w:rFonts w:ascii="Arial" w:cs="Arial" w:eastAsia="Arial" w:hAnsi="Arial"/>
                <w:sz w:val="16"/>
                <w:szCs w:val="16"/>
                <w:color w:val="auto"/>
                <w:w w:val="98"/>
              </w:rPr>
              <w:t>1,072,083</w:t>
            </w:r>
          </w:p>
        </w:tc>
        <w:tc>
          <w:tcPr>
            <w:tcW w:w="64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top w:val="single" w:sz="8" w:color="auto"/>
            </w:tcBorders>
            <w:shd w:val="clear" w:color="auto" w:fill="E9E9E9"/>
          </w:tcPr>
          <w:p>
            <w:pPr>
              <w:jc w:val="right"/>
              <w:ind w:right="62"/>
              <w:spacing w:after="0"/>
              <w:rPr>
                <w:sz w:val="20"/>
                <w:szCs w:val="20"/>
                <w:color w:val="auto"/>
              </w:rPr>
            </w:pPr>
            <w:r>
              <w:rPr>
                <w:rFonts w:ascii="Arial" w:cs="Arial" w:eastAsia="Arial" w:hAnsi="Arial"/>
                <w:sz w:val="16"/>
                <w:szCs w:val="16"/>
                <w:color w:val="auto"/>
              </w:rPr>
              <w:t>$5,740,000</w:t>
            </w:r>
          </w:p>
        </w:tc>
        <w:tc>
          <w:tcPr>
            <w:tcW w:w="110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9"/>
              </w:rPr>
              <w:t>$3,559,374</w:t>
            </w:r>
          </w:p>
        </w:tc>
        <w:tc>
          <w:tcPr>
            <w:tcW w:w="240" w:type="dxa"/>
            <w:vAlign w:val="bottom"/>
            <w:tcBorders>
              <w:top w:val="single" w:sz="8" w:color="auto"/>
            </w:tcBorders>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E9E9E9"/>
          </w:tcPr>
          <w:p>
            <w:pPr>
              <w:jc w:val="right"/>
              <w:ind w:right="61"/>
              <w:spacing w:after="0"/>
              <w:rPr>
                <w:sz w:val="20"/>
                <w:szCs w:val="20"/>
                <w:color w:val="auto"/>
              </w:rPr>
            </w:pPr>
            <w:r>
              <w:rPr>
                <w:rFonts w:ascii="Arial" w:cs="Arial" w:eastAsia="Arial" w:hAnsi="Arial"/>
                <w:sz w:val="16"/>
                <w:szCs w:val="16"/>
                <w:color w:val="auto"/>
              </w:rPr>
              <w:t>3,092,199</w:t>
            </w:r>
          </w:p>
        </w:tc>
        <w:tc>
          <w:tcPr>
            <w:tcW w:w="260" w:type="dxa"/>
            <w:vAlign w:val="bottom"/>
            <w:tcBorders>
              <w:top w:val="single" w:sz="8" w:color="auto"/>
            </w:tcBorders>
            <w:shd w:val="clear" w:color="auto" w:fill="E9E9E9"/>
          </w:tcPr>
          <w:p>
            <w:pPr>
              <w:spacing w:after="0"/>
              <w:rPr>
                <w:sz w:val="20"/>
                <w:szCs w:val="20"/>
                <w:color w:val="auto"/>
              </w:rPr>
            </w:pPr>
          </w:p>
        </w:tc>
        <w:tc>
          <w:tcPr>
            <w:tcW w:w="860" w:type="dxa"/>
            <w:vAlign w:val="bottom"/>
            <w:tcBorders>
              <w:top w:val="single" w:sz="8" w:color="auto"/>
            </w:tcBorders>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$249,203</w:t>
            </w:r>
          </w:p>
        </w:tc>
        <w:tc>
          <w:tcPr>
            <w:tcW w:w="20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w w:val="99"/>
              </w:rPr>
              <w:t>13,712,859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Chairman, President &amp;</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w w:val="98"/>
              </w:rPr>
              <w:t>1,035,841</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$5,123,688</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$3,950,347</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2,748,581</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185,472</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$272,710</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13,316,639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Chief Executive Officer</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shd w:val="clear" w:color="auto" w:fill="E9E9E9"/>
              </w:rPr>
              <w:t>2011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shd w:val="clear" w:color="auto" w:fill="E9E9E9"/>
              </w:rPr>
              <w:t>990,087</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shd w:val="clear" w:color="auto" w:fill="E9E9E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shd w:val="clear" w:color="auto" w:fill="E9E9E9"/>
              </w:rPr>
              <w:t>$5,194,500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shd w:val="clear" w:color="auto" w:fill="E9E9E9"/>
              </w:rPr>
              <w:t>$4,689,075</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shd w:val="clear" w:color="auto" w:fill="E9E9E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shd w:val="clear" w:color="auto" w:fill="E9E9E9"/>
              </w:rPr>
              <w:t>2,778,118</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shd w:val="clear" w:color="auto" w:fill="E9E9E9"/>
              </w:rPr>
              <w:t>$</w:t>
            </w: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shd w:val="clear" w:color="auto" w:fill="E9E9E9"/>
              </w:rPr>
              <w:t>149,704</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shd w:val="clear" w:color="auto" w:fill="E9E9E9"/>
              </w:rPr>
              <w:t>$254,283</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shd w:val="clear" w:color="auto" w:fill="E9E9E9"/>
              </w:rPr>
              <w:t>14,055,767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Kevin P. March</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608,333</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$1,640,000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$1,016,964</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1,017,317</w:t>
            </w:r>
          </w:p>
        </w:tc>
        <w:tc>
          <w:tcPr>
            <w:tcW w:w="260" w:type="dxa"/>
            <w:vAlign w:val="bottom"/>
            <w:shd w:val="clear" w:color="auto" w:fill="E9E9E9"/>
          </w:tcPr>
          <w:p>
            <w:pPr>
              <w:spacing w:after="0"/>
              <w:rPr>
                <w:sz w:val="19"/>
                <w:szCs w:val="19"/>
                <w:color w:val="auto"/>
              </w:rPr>
            </w:pP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ind w:right="123"/>
              <w:spacing w:after="0"/>
              <w:rPr>
                <w:sz w:val="20"/>
                <w:szCs w:val="20"/>
                <w:color w:val="auto"/>
              </w:rPr>
            </w:pPr>
            <w:r>
              <w:rPr>
                <w:rFonts w:ascii="Arial" w:cs="Arial" w:eastAsia="Arial" w:hAnsi="Arial"/>
                <w:sz w:val="16"/>
                <w:szCs w:val="16"/>
                <w:color w:val="auto"/>
              </w:rPr>
              <w:t>8,243</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4,290,857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Senior Vice President &amp;</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587,917</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$1,618,000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$1,247,478</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902,573</w:t>
            </w:r>
          </w:p>
        </w:tc>
        <w:tc>
          <w:tcPr>
            <w:tcW w:w="1120" w:type="dxa"/>
            <w:vAlign w:val="bottom"/>
            <w:gridSpan w:val="2"/>
            <w:shd w:val="clear" w:color="auto" w:fill="E9E9E9"/>
          </w:tcPr>
          <w:p>
            <w:pPr>
              <w:jc w:val="right"/>
              <w:ind w:right="63"/>
              <w:spacing w:after="0"/>
              <w:rPr>
                <w:sz w:val="20"/>
                <w:szCs w:val="20"/>
                <w:color w:val="auto"/>
              </w:rPr>
            </w:pPr>
            <w:r>
              <w:rPr>
                <w:rFonts w:ascii="Arial" w:cs="Arial" w:eastAsia="Arial" w:hAnsi="Arial"/>
                <w:sz w:val="16"/>
                <w:szCs w:val="16"/>
                <w:color w:val="auto"/>
              </w:rPr>
              <w:t>$1,065,717</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$ 20,244</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5,441,929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Chief Financial Officer</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shd w:val="clear" w:color="auto" w:fill="E9E9E9"/>
              </w:rPr>
              <w:t>2011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shd w:val="clear" w:color="auto" w:fill="E9E9E9"/>
              </w:rPr>
              <w:t>562,091</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shd w:val="clear" w:color="auto" w:fill="E9E9E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shd w:val="clear" w:color="auto" w:fill="E9E9E9"/>
              </w:rPr>
              <w:t>$1,587,231</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shd w:val="clear" w:color="auto" w:fill="E9E9E9"/>
              </w:rPr>
              <w:t>$1,432,773</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shd w:val="clear" w:color="auto" w:fill="E9E9E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shd w:val="clear" w:color="auto" w:fill="E9E9E9"/>
              </w:rPr>
              <w:t>919,349</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shd w:val="clear" w:color="auto" w:fill="E9E9E9"/>
              </w:rPr>
              <w:t>$</w:t>
            </w: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shd w:val="clear" w:color="auto" w:fill="E9E9E9"/>
              </w:rPr>
              <w:t>896,326</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740" w:type="dxa"/>
            <w:vAlign w:val="bottom"/>
            <w:shd w:val="clear" w:color="auto" w:fill="E9E9E9"/>
          </w:tcPr>
          <w:p>
            <w:pPr>
              <w:jc w:val="right"/>
              <w:ind w:right="123"/>
              <w:spacing w:after="0"/>
              <w:rPr>
                <w:sz w:val="20"/>
                <w:szCs w:val="20"/>
                <w:color w:val="auto"/>
              </w:rPr>
            </w:pPr>
            <w:r>
              <w:rPr>
                <w:rFonts w:ascii="Arial" w:cs="Arial" w:eastAsia="Arial" w:hAnsi="Arial"/>
                <w:sz w:val="16"/>
                <w:szCs w:val="16"/>
                <w:color w:val="auto"/>
                <w:shd w:val="clear" w:color="auto" w:fill="E9E9E9"/>
              </w:rPr>
              <w:t>39,925</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5,437,695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Brian T. Crutcher</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671,250</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$2,460,000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$1,525,446</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1,267,728</w:t>
            </w:r>
          </w:p>
        </w:tc>
        <w:tc>
          <w:tcPr>
            <w:tcW w:w="260" w:type="dxa"/>
            <w:vAlign w:val="bottom"/>
            <w:shd w:val="clear" w:color="auto" w:fill="E9E9E9"/>
          </w:tcPr>
          <w:p>
            <w:pPr>
              <w:spacing w:after="0"/>
              <w:rPr>
                <w:sz w:val="19"/>
                <w:szCs w:val="19"/>
                <w:color w:val="auto"/>
              </w:rPr>
            </w:pP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$106,655</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6,031,079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Senior Vice President</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587,917</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$4,782,500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$1,559,348</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1,127,573</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1,005</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$ 95,375</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8,153,718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480,007</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$1,875,803</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$1,693,277</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962,873</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696</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$ 49,540</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5,062,196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Kevin J. Ritchie</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622,917</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$2,186,678</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$1,355,952</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1,153,571</w:t>
            </w:r>
          </w:p>
        </w:tc>
        <w:tc>
          <w:tcPr>
            <w:tcW w:w="260" w:type="dxa"/>
            <w:vAlign w:val="bottom"/>
            <w:shd w:val="clear" w:color="auto" w:fill="E9E9E9"/>
          </w:tcPr>
          <w:p>
            <w:pPr>
              <w:spacing w:after="0"/>
              <w:rPr>
                <w:sz w:val="19"/>
                <w:szCs w:val="19"/>
                <w:color w:val="auto"/>
              </w:rPr>
            </w:pP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ind w:right="123"/>
              <w:spacing w:after="0"/>
              <w:rPr>
                <w:sz w:val="20"/>
                <w:szCs w:val="20"/>
                <w:color w:val="auto"/>
              </w:rPr>
            </w:pPr>
            <w:r>
              <w:rPr>
                <w:rFonts w:ascii="Arial" w:cs="Arial" w:eastAsia="Arial" w:hAnsi="Arial"/>
                <w:sz w:val="16"/>
                <w:szCs w:val="16"/>
                <w:color w:val="auto"/>
              </w:rPr>
              <w:t>7,427</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5,326,545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Senior Vice President</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595,835</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$1,887,688</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$1,455,391</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1,027,945</w:t>
            </w:r>
          </w:p>
        </w:tc>
        <w:tc>
          <w:tcPr>
            <w:tcW w:w="1120" w:type="dxa"/>
            <w:vAlign w:val="bottom"/>
            <w:gridSpan w:val="2"/>
            <w:shd w:val="clear" w:color="auto" w:fill="E9E9E9"/>
          </w:tcPr>
          <w:p>
            <w:pPr>
              <w:jc w:val="right"/>
              <w:ind w:right="63"/>
              <w:spacing w:after="0"/>
              <w:rPr>
                <w:sz w:val="20"/>
                <w:szCs w:val="20"/>
                <w:color w:val="auto"/>
              </w:rPr>
            </w:pPr>
            <w:r>
              <w:rPr>
                <w:rFonts w:ascii="Arial" w:cs="Arial" w:eastAsia="Arial" w:hAnsi="Arial"/>
                <w:sz w:val="16"/>
                <w:szCs w:val="16"/>
                <w:color w:val="auto"/>
              </w:rPr>
              <w:t>$1,371,918</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$ 19,847</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6,358,624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shd w:val="clear" w:color="auto" w:fill="E9E9E9"/>
              </w:rPr>
              <w:t>2011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shd w:val="clear" w:color="auto" w:fill="E9E9E9"/>
              </w:rPr>
              <w:t>543,385</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shd w:val="clear" w:color="auto" w:fill="E9E9E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shd w:val="clear" w:color="auto" w:fill="E9E9E9"/>
              </w:rPr>
              <w:t>$1,875,803</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shd w:val="clear" w:color="auto" w:fill="E9E9E9"/>
              </w:rPr>
              <w:t>$1,693,277</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shd w:val="clear" w:color="auto" w:fill="E9E9E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shd w:val="clear" w:color="auto" w:fill="E9E9E9"/>
              </w:rPr>
              <w:t>1,042,873</w:t>
            </w:r>
          </w:p>
        </w:tc>
        <w:tc>
          <w:tcPr>
            <w:tcW w:w="1120" w:type="dxa"/>
            <w:vAlign w:val="bottom"/>
            <w:gridSpan w:val="2"/>
            <w:shd w:val="clear" w:color="auto" w:fill="E9E9E9"/>
          </w:tcPr>
          <w:p>
            <w:pPr>
              <w:jc w:val="right"/>
              <w:ind w:right="63"/>
              <w:spacing w:after="0"/>
              <w:rPr>
                <w:sz w:val="20"/>
                <w:szCs w:val="20"/>
                <w:color w:val="auto"/>
              </w:rPr>
            </w:pPr>
            <w:r>
              <w:rPr>
                <w:rFonts w:ascii="Arial" w:cs="Arial" w:eastAsia="Arial" w:hAnsi="Arial"/>
                <w:sz w:val="16"/>
                <w:szCs w:val="16"/>
                <w:color w:val="auto"/>
                <w:shd w:val="clear" w:color="auto" w:fill="E9E9E9"/>
              </w:rPr>
              <w:t>$1,143,408</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shd w:val="clear" w:color="auto" w:fill="E9E9E9"/>
              </w:rPr>
              <w:t>$ 13,855</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6,312,601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R. Gregory Delagi</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622,917</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$2,186,678</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$1,355,952</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918,571</w:t>
            </w:r>
          </w:p>
        </w:tc>
        <w:tc>
          <w:tcPr>
            <w:tcW w:w="260" w:type="dxa"/>
            <w:vAlign w:val="bottom"/>
            <w:shd w:val="clear" w:color="auto" w:fill="E9E9E9"/>
          </w:tcPr>
          <w:p>
            <w:pPr>
              <w:spacing w:after="0"/>
              <w:rPr>
                <w:sz w:val="19"/>
                <w:szCs w:val="19"/>
                <w:color w:val="auto"/>
              </w:rPr>
            </w:pP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$ 54,158</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5,138,276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shd w:val="clear" w:color="auto" w:fill="E9E9E9"/>
          </w:tcPr>
          <w:p>
            <w:pPr>
              <w:ind w:left="200"/>
              <w:spacing w:after="0"/>
              <w:rPr>
                <w:sz w:val="20"/>
                <w:szCs w:val="20"/>
                <w:color w:val="auto"/>
              </w:rPr>
            </w:pPr>
            <w:r>
              <w:rPr>
                <w:rFonts w:ascii="Arial" w:cs="Arial" w:eastAsia="Arial" w:hAnsi="Arial"/>
                <w:sz w:val="16"/>
                <w:szCs w:val="16"/>
                <w:color w:val="auto"/>
              </w:rPr>
              <w:t>Senior Vice President</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1"/>
              <w:spacing w:after="0"/>
              <w:rPr>
                <w:sz w:val="20"/>
                <w:szCs w:val="20"/>
                <w:color w:val="auto"/>
              </w:rPr>
            </w:pPr>
            <w:r>
              <w:rPr>
                <w:rFonts w:ascii="Arial" w:cs="Arial" w:eastAsia="Arial" w:hAnsi="Arial"/>
                <w:sz w:val="16"/>
                <w:szCs w:val="16"/>
                <w:color w:val="auto"/>
              </w:rPr>
              <w:t>568,125</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$3,267,688</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$1,455,391</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851,645</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990,491</w:t>
            </w:r>
          </w:p>
        </w:tc>
        <w:tc>
          <w:tcPr>
            <w:tcW w:w="1100" w:type="dxa"/>
            <w:vAlign w:val="bottom"/>
            <w:gridSpan w:val="2"/>
            <w:shd w:val="clear" w:color="auto" w:fill="E9E9E9"/>
          </w:tcPr>
          <w:p>
            <w:pPr>
              <w:jc w:val="right"/>
              <w:ind w:right="123"/>
              <w:spacing w:after="0"/>
              <w:rPr>
                <w:sz w:val="20"/>
                <w:szCs w:val="20"/>
                <w:color w:val="auto"/>
              </w:rPr>
            </w:pPr>
            <w:r>
              <w:rPr>
                <w:rFonts w:ascii="Arial" w:cs="Arial" w:eastAsia="Arial" w:hAnsi="Arial"/>
                <w:sz w:val="16"/>
                <w:szCs w:val="16"/>
                <w:color w:val="auto"/>
              </w:rPr>
              <w:t>$ 23,282</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7,156,622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0" w:right="40" w:hanging="380"/>
        <w:spacing w:after="0" w:line="290"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Performance bonuses for 2013 were paid under the Texas Instruments Executive Officer Performance Plan. In accordance with SEC requirements, these amounts are reported in the Non-Equity Incentive Plan Compensation column.</w:t>
      </w:r>
    </w:p>
    <w:p>
      <w:pPr>
        <w:spacing w:after="0" w:line="155" w:lineRule="exact"/>
        <w:rPr>
          <w:rFonts w:ascii="Arial" w:cs="Arial" w:eastAsia="Arial" w:hAnsi="Arial"/>
          <w:sz w:val="16"/>
          <w:szCs w:val="16"/>
          <w:color w:val="auto"/>
        </w:rPr>
      </w:pPr>
    </w:p>
    <w:p>
      <w:pPr>
        <w:ind w:left="380" w:right="120" w:hanging="380"/>
        <w:spacing w:after="0" w:line="256"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Shown is the aggregate grant date fair value of restricted stock unit (RSU) awards calculated in accordance with ASC 718. The discussion of the assumptions used for purposes of the valuation of the awards granted in 2013 appears in Note 5 of Exhibit 13 to TI’s annual report on Form 10-K for the year ended December 31, 2013. For a description of the grant terms, please see page 86. The discussion of the assumptions used for purposes of the valuation of the awards granted in 2012 and 2011 appears in Exhibit 13 to, respectively, TI’s annual report on Form 10-K for the year ended December 31, 2012 (pages 14-16) and to TI’s annual report on Form 10-K for the year ended December 31, 2011 (pages 14-16).</w:t>
      </w:r>
    </w:p>
    <w:p>
      <w:pPr>
        <w:spacing w:after="0" w:line="181" w:lineRule="exact"/>
        <w:rPr>
          <w:rFonts w:ascii="Arial" w:cs="Arial" w:eastAsia="Arial" w:hAnsi="Arial"/>
          <w:sz w:val="16"/>
          <w:szCs w:val="16"/>
          <w:color w:val="auto"/>
        </w:rPr>
      </w:pPr>
    </w:p>
    <w:p>
      <w:pPr>
        <w:jc w:val="both"/>
        <w:ind w:left="380" w:right="60" w:hanging="380"/>
        <w:spacing w:after="0" w:line="256"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Shown is the aggregate grant date fair value of options calculated in accordance with ASC 718. The discussion of the assumptions used for purposes of the valuation of options granted in 2013 appears in Note 5 of Exhibit 13 to TI’s annual report on Form 10-K for the year ended December 31, 2013. For a description of the grant terms, please see page 85. The discussion of the assumptions used for purposes of the valuation of the awards granted in 2012 and 2011 appears in Exhibit 13 to, respectively, TI’s annual report on Form 10-K for the year ended December 31, 2012 (pages 14-16) and to TI’s annual report on Form 10-K for the year ended December 31, 2011 (pages 14-16).</w:t>
      </w:r>
    </w:p>
    <w:p>
      <w:pPr>
        <w:spacing w:after="0" w:line="219"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8" w:name="page29"/>
    <w:bookmarkEnd w:id="28"/>
    <w:p>
      <w:pPr>
        <w:ind w:left="400" w:right="240" w:hanging="400"/>
        <w:spacing w:after="0" w:line="290"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performance bonus and profit sharing for 2013. Please see page 77 for the amounts of bonus and profit sharing paid to each of the named executive officers for 2013.</w:t>
      </w:r>
    </w:p>
    <w:p>
      <w:pPr>
        <w:spacing w:after="0" w:line="155" w:lineRule="exact"/>
        <w:rPr>
          <w:rFonts w:ascii="Arial" w:cs="Arial" w:eastAsia="Arial" w:hAnsi="Arial"/>
          <w:sz w:val="16"/>
          <w:szCs w:val="16"/>
          <w:color w:val="auto"/>
        </w:rPr>
      </w:pPr>
    </w:p>
    <w:p>
      <w:pPr>
        <w:ind w:left="400" w:right="100" w:hanging="400"/>
        <w:spacing w:after="0" w:line="250"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2012, through December 31, 2013. This “change in the actuarial value” is the difference between the 2012 and 2013 present value of the pension benefit accumulated as of year-end by the named executive officer, assuming that benefit is not paid until age 65. Mr. Templeton’s and Mr. Crutcher’s benefits under the company’s pension plans were frozen as of December 31, 1997. The actuarial value of the named executive officers’ benefits decreased by the following amounts: Mr. Templeton, $112,912; Mr. March, $41,748; Mr. Crutcher, $825; Mr. Ritchie, $36,892; and Mr. Delagi, $217,125. In accordance with SEC rules, these amounts have not been included in their total 2013 compensation shown in this table.</w:t>
      </w:r>
    </w:p>
    <w:p>
      <w:pPr>
        <w:spacing w:after="0" w:line="188" w:lineRule="exact"/>
        <w:rPr>
          <w:rFonts w:ascii="Arial" w:cs="Arial" w:eastAsia="Arial" w:hAnsi="Arial"/>
          <w:sz w:val="16"/>
          <w:szCs w:val="16"/>
          <w:color w:val="auto"/>
        </w:rPr>
      </w:pPr>
    </w:p>
    <w:p>
      <w:pPr>
        <w:ind w:left="400" w:right="180" w:hanging="400"/>
        <w:spacing w:after="0" w:line="290"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(i) the amounts in the table below and (ii) perquisites and personal benefits that meet the disclosure thresholds established by the SEC and are detailed in the paragraph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center"/>
              <w:ind w:right="244"/>
              <w:spacing w:after="0"/>
              <w:rPr>
                <w:sz w:val="20"/>
                <w:szCs w:val="20"/>
                <w:color w:val="auto"/>
              </w:rPr>
            </w:pPr>
            <w:r>
              <w:rPr>
                <w:rFonts w:ascii="Arial" w:cs="Arial" w:eastAsia="Arial" w:hAnsi="Arial"/>
                <w:sz w:val="13"/>
                <w:szCs w:val="13"/>
                <w:b w:val="1"/>
                <w:bCs w:val="1"/>
                <w:color w:val="auto"/>
                <w:w w:val="96"/>
              </w:rPr>
              <w:t>Defined</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5"/>
        </w:trPr>
        <w:tc>
          <w:tcPr>
            <w:tcW w:w="4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Contribution</w:t>
            </w:r>
          </w:p>
        </w:tc>
        <w:tc>
          <w:tcPr>
            <w:tcW w:w="760" w:type="dxa"/>
            <w:vAlign w:val="bottom"/>
            <w:gridSpan w:val="2"/>
          </w:tcPr>
          <w:p>
            <w:pPr>
              <w:jc w:val="center"/>
              <w:ind w:left="107"/>
              <w:spacing w:after="0"/>
              <w:rPr>
                <w:sz w:val="20"/>
                <w:szCs w:val="20"/>
                <w:color w:val="auto"/>
              </w:rPr>
            </w:pPr>
            <w:r>
              <w:rPr>
                <w:rFonts w:ascii="Arial" w:cs="Arial" w:eastAsia="Arial" w:hAnsi="Arial"/>
                <w:sz w:val="13"/>
                <w:szCs w:val="13"/>
                <w:b w:val="1"/>
                <w:bCs w:val="1"/>
                <w:color w:val="auto"/>
                <w:w w:val="96"/>
              </w:rPr>
              <w:t>Unused</w:t>
            </w:r>
          </w:p>
        </w:tc>
      </w:tr>
      <w:tr>
        <w:trPr>
          <w:trHeight w:val="225"/>
        </w:trPr>
        <w:tc>
          <w:tcPr>
            <w:tcW w:w="4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02"/>
              <w:spacing w:after="0"/>
              <w:rPr>
                <w:sz w:val="20"/>
                <w:szCs w:val="20"/>
                <w:color w:val="auto"/>
              </w:rPr>
            </w:pPr>
            <w:r>
              <w:rPr>
                <w:rFonts w:ascii="Arial" w:cs="Arial" w:eastAsia="Arial" w:hAnsi="Arial"/>
                <w:sz w:val="13"/>
                <w:szCs w:val="13"/>
                <w:b w:val="1"/>
                <w:bCs w:val="1"/>
                <w:color w:val="auto"/>
                <w:w w:val="95"/>
              </w:rPr>
              <w:t>401(k)</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Retirement</w:t>
            </w:r>
          </w:p>
        </w:tc>
        <w:tc>
          <w:tcPr>
            <w:tcW w:w="760" w:type="dxa"/>
            <w:vAlign w:val="bottom"/>
            <w:gridSpan w:val="2"/>
          </w:tcPr>
          <w:p>
            <w:pPr>
              <w:jc w:val="center"/>
              <w:ind w:left="87"/>
              <w:spacing w:after="0"/>
              <w:rPr>
                <w:sz w:val="20"/>
                <w:szCs w:val="20"/>
                <w:color w:val="auto"/>
              </w:rPr>
            </w:pPr>
            <w:r>
              <w:rPr>
                <w:rFonts w:ascii="Arial" w:cs="Arial" w:eastAsia="Arial" w:hAnsi="Arial"/>
                <w:sz w:val="13"/>
                <w:szCs w:val="13"/>
                <w:b w:val="1"/>
                <w:bCs w:val="1"/>
                <w:color w:val="auto"/>
                <w:w w:val="95"/>
              </w:rPr>
              <w:t>Vacation</w:t>
            </w:r>
          </w:p>
        </w:tc>
      </w:tr>
      <w:tr>
        <w:trPr>
          <w:trHeight w:val="225"/>
        </w:trPr>
        <w:tc>
          <w:tcPr>
            <w:tcW w:w="4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020" w:type="dxa"/>
            <w:vAlign w:val="bottom"/>
          </w:tcPr>
          <w:p>
            <w:pPr>
              <w:jc w:val="center"/>
              <w:ind w:left="3062"/>
              <w:spacing w:after="0"/>
              <w:rPr>
                <w:sz w:val="20"/>
                <w:szCs w:val="20"/>
                <w:color w:val="auto"/>
              </w:rPr>
            </w:pPr>
            <w:r>
              <w:rPr>
                <w:rFonts w:ascii="Arial" w:cs="Arial" w:eastAsia="Arial" w:hAnsi="Arial"/>
                <w:sz w:val="13"/>
                <w:szCs w:val="13"/>
                <w:b w:val="1"/>
                <w:bCs w:val="1"/>
                <w:color w:val="auto"/>
                <w:w w:val="97"/>
              </w:rPr>
              <w:t>Insurance</w:t>
            </w:r>
          </w:p>
        </w:tc>
        <w:tc>
          <w:tcPr>
            <w:tcW w:w="110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Contribution</w:t>
            </w:r>
          </w:p>
        </w:tc>
        <w:tc>
          <w:tcPr>
            <w:tcW w:w="320" w:type="dxa"/>
            <w:vAlign w:val="bottom"/>
          </w:tcPr>
          <w:p>
            <w:pPr>
              <w:spacing w:after="0"/>
              <w:rPr>
                <w:sz w:val="19"/>
                <w:szCs w:val="19"/>
                <w:color w:val="auto"/>
              </w:rPr>
            </w:pPr>
          </w:p>
        </w:tc>
        <w:tc>
          <w:tcPr>
            <w:tcW w:w="780" w:type="dxa"/>
            <w:vAlign w:val="bottom"/>
          </w:tcPr>
          <w:p>
            <w:pPr>
              <w:jc w:val="center"/>
              <w:ind w:right="244"/>
              <w:spacing w:after="0"/>
              <w:rPr>
                <w:sz w:val="20"/>
                <w:szCs w:val="20"/>
                <w:color w:val="auto"/>
              </w:rPr>
            </w:pPr>
            <w:r>
              <w:rPr>
                <w:rFonts w:ascii="Arial" w:cs="Arial" w:eastAsia="Arial" w:hAnsi="Arial"/>
                <w:sz w:val="13"/>
                <w:szCs w:val="13"/>
                <w:b w:val="1"/>
                <w:bCs w:val="1"/>
                <w:color w:val="auto"/>
                <w:w w:val="97"/>
              </w:rPr>
              <w:t>Plan (a)</w:t>
            </w:r>
          </w:p>
        </w:tc>
        <w:tc>
          <w:tcPr>
            <w:tcW w:w="760" w:type="dxa"/>
            <w:vAlign w:val="bottom"/>
            <w:gridSpan w:val="2"/>
          </w:tcPr>
          <w:p>
            <w:pPr>
              <w:jc w:val="center"/>
              <w:ind w:left="87"/>
              <w:spacing w:after="0"/>
              <w:rPr>
                <w:sz w:val="20"/>
                <w:szCs w:val="20"/>
                <w:color w:val="auto"/>
              </w:rPr>
            </w:pPr>
            <w:r>
              <w:rPr>
                <w:rFonts w:ascii="Arial" w:cs="Arial" w:eastAsia="Arial" w:hAnsi="Arial"/>
                <w:sz w:val="13"/>
                <w:szCs w:val="13"/>
                <w:b w:val="1"/>
                <w:bCs w:val="1"/>
                <w:color w:val="auto"/>
                <w:w w:val="94"/>
              </w:rPr>
              <w:t>Time (b)</w:t>
            </w:r>
          </w:p>
        </w:tc>
      </w:tr>
      <w:tr>
        <w:trPr>
          <w:trHeight w:val="29"/>
        </w:trPr>
        <w:tc>
          <w:tcPr>
            <w:tcW w:w="44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444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4020" w:type="dxa"/>
            <w:vAlign w:val="bottom"/>
            <w:shd w:val="clear" w:color="auto" w:fill="E9E9E9"/>
          </w:tcPr>
          <w:p>
            <w:pPr>
              <w:jc w:val="center"/>
              <w:ind w:left="3082"/>
              <w:spacing w:after="0"/>
              <w:rPr>
                <w:sz w:val="20"/>
                <w:szCs w:val="20"/>
                <w:color w:val="auto"/>
              </w:rPr>
            </w:pPr>
            <w:r>
              <w:rPr>
                <w:rFonts w:ascii="Arial" w:cs="Arial" w:eastAsia="Arial" w:hAnsi="Arial"/>
                <w:sz w:val="16"/>
                <w:szCs w:val="16"/>
                <w:color w:val="auto"/>
              </w:rPr>
              <w:t>$250</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ind w:right="182"/>
              <w:spacing w:after="0"/>
              <w:rPr>
                <w:sz w:val="20"/>
                <w:szCs w:val="20"/>
                <w:color w:val="auto"/>
              </w:rPr>
            </w:pPr>
            <w:r>
              <w:rPr>
                <w:rFonts w:ascii="Arial" w:cs="Arial" w:eastAsia="Arial" w:hAnsi="Arial"/>
                <w:sz w:val="16"/>
                <w:szCs w:val="16"/>
                <w:color w:val="auto"/>
                <w:w w:val="98"/>
              </w:rPr>
              <w:t>10,200</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6"/>
              </w:rPr>
              <w:t>126,875</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12,600</w:t>
            </w: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K. P. March</w:t>
            </w:r>
          </w:p>
        </w:tc>
        <w:tc>
          <w:tcPr>
            <w:tcW w:w="4020" w:type="dxa"/>
            <w:vAlign w:val="bottom"/>
          </w:tcPr>
          <w:p>
            <w:pPr>
              <w:jc w:val="center"/>
              <w:ind w:left="3082"/>
              <w:spacing w:after="0"/>
              <w:rPr>
                <w:sz w:val="20"/>
                <w:szCs w:val="20"/>
                <w:color w:val="auto"/>
              </w:rPr>
            </w:pPr>
            <w:r>
              <w:rPr>
                <w:rFonts w:ascii="Arial" w:cs="Arial" w:eastAsia="Arial" w:hAnsi="Arial"/>
                <w:sz w:val="16"/>
                <w:szCs w:val="16"/>
                <w:color w:val="auto"/>
              </w:rPr>
              <w:t>$250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2"/>
              <w:spacing w:after="0"/>
              <w:rPr>
                <w:sz w:val="20"/>
                <w:szCs w:val="20"/>
                <w:color w:val="auto"/>
              </w:rPr>
            </w:pPr>
            <w:r>
              <w:rPr>
                <w:rFonts w:ascii="Arial" w:cs="Arial" w:eastAsia="Arial" w:hAnsi="Arial"/>
                <w:sz w:val="16"/>
                <w:szCs w:val="16"/>
                <w:color w:val="auto"/>
              </w:rPr>
              <w:t>5,100</w:t>
            </w:r>
          </w:p>
        </w:tc>
        <w:tc>
          <w:tcPr>
            <w:tcW w:w="320" w:type="dxa"/>
            <w:vAlign w:val="bottom"/>
          </w:tcPr>
          <w:p>
            <w:pPr>
              <w:spacing w:after="0"/>
              <w:rPr>
                <w:sz w:val="19"/>
                <w:szCs w:val="19"/>
                <w:color w:val="auto"/>
              </w:rPr>
            </w:pPr>
          </w:p>
        </w:tc>
        <w:tc>
          <w:tcPr>
            <w:tcW w:w="780" w:type="dxa"/>
            <w:vAlign w:val="bottom"/>
          </w:tcPr>
          <w:p>
            <w:pPr>
              <w:jc w:val="right"/>
              <w:ind w:right="124"/>
              <w:spacing w:after="0"/>
              <w:rPr>
                <w:sz w:val="20"/>
                <w:szCs w:val="20"/>
                <w:color w:val="auto"/>
              </w:rPr>
            </w:pPr>
            <w:r>
              <w:rPr>
                <w:rFonts w:ascii="Arial" w:cs="Arial" w:eastAsia="Arial" w:hAnsi="Arial"/>
                <w:sz w:val="16"/>
                <w:szCs w:val="16"/>
                <w:color w:val="auto"/>
              </w:rPr>
              <w:t>N/A</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2,893</w:t>
            </w:r>
          </w:p>
        </w:tc>
      </w:tr>
      <w:tr>
        <w:trPr>
          <w:trHeight w:val="231"/>
        </w:trPr>
        <w:tc>
          <w:tcPr>
            <w:tcW w:w="444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4020" w:type="dxa"/>
            <w:vAlign w:val="bottom"/>
            <w:shd w:val="clear" w:color="auto" w:fill="E9E9E9"/>
          </w:tcPr>
          <w:p>
            <w:pPr>
              <w:jc w:val="center"/>
              <w:ind w:left="3082"/>
              <w:spacing w:after="0"/>
              <w:rPr>
                <w:sz w:val="20"/>
                <w:szCs w:val="20"/>
                <w:color w:val="auto"/>
              </w:rPr>
            </w:pPr>
            <w:r>
              <w:rPr>
                <w:rFonts w:ascii="Arial" w:cs="Arial" w:eastAsia="Arial" w:hAnsi="Arial"/>
                <w:sz w:val="16"/>
                <w:szCs w:val="16"/>
                <w:color w:val="auto"/>
              </w:rPr>
              <w:t>$250</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ind w:right="182"/>
              <w:spacing w:after="0"/>
              <w:rPr>
                <w:sz w:val="20"/>
                <w:szCs w:val="20"/>
                <w:color w:val="auto"/>
              </w:rPr>
            </w:pPr>
            <w:r>
              <w:rPr>
                <w:rFonts w:ascii="Arial" w:cs="Arial" w:eastAsia="Arial" w:hAnsi="Arial"/>
                <w:sz w:val="16"/>
                <w:szCs w:val="16"/>
                <w:color w:val="auto"/>
                <w:w w:val="98"/>
              </w:rPr>
              <w:t>10,200</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85,986</w:t>
            </w:r>
          </w:p>
        </w:tc>
        <w:tc>
          <w:tcPr>
            <w:tcW w:w="260" w:type="dxa"/>
            <w:vAlign w:val="bottom"/>
            <w:shd w:val="clear" w:color="auto" w:fill="E9E9E9"/>
          </w:tcPr>
          <w:p>
            <w:pPr>
              <w:spacing w:after="0"/>
              <w:rPr>
                <w:sz w:val="20"/>
                <w:szCs w:val="20"/>
                <w:color w:val="auto"/>
              </w:rPr>
            </w:pPr>
          </w:p>
        </w:tc>
        <w:tc>
          <w:tcPr>
            <w:tcW w:w="5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K. J. Ritchie</w:t>
            </w:r>
          </w:p>
        </w:tc>
        <w:tc>
          <w:tcPr>
            <w:tcW w:w="4020" w:type="dxa"/>
            <w:vAlign w:val="bottom"/>
          </w:tcPr>
          <w:p>
            <w:pPr>
              <w:jc w:val="center"/>
              <w:ind w:left="3082"/>
              <w:spacing w:after="0"/>
              <w:rPr>
                <w:sz w:val="20"/>
                <w:szCs w:val="20"/>
                <w:color w:val="auto"/>
              </w:rPr>
            </w:pPr>
            <w:r>
              <w:rPr>
                <w:rFonts w:ascii="Arial" w:cs="Arial" w:eastAsia="Arial" w:hAnsi="Arial"/>
                <w:sz w:val="16"/>
                <w:szCs w:val="16"/>
                <w:color w:val="auto"/>
              </w:rPr>
              <w:t>$250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2"/>
              <w:spacing w:after="0"/>
              <w:rPr>
                <w:sz w:val="20"/>
                <w:szCs w:val="20"/>
                <w:color w:val="auto"/>
              </w:rPr>
            </w:pPr>
            <w:r>
              <w:rPr>
                <w:rFonts w:ascii="Arial" w:cs="Arial" w:eastAsia="Arial" w:hAnsi="Arial"/>
                <w:sz w:val="16"/>
                <w:szCs w:val="16"/>
                <w:color w:val="auto"/>
              </w:rPr>
              <w:t>5,100</w:t>
            </w:r>
          </w:p>
        </w:tc>
        <w:tc>
          <w:tcPr>
            <w:tcW w:w="320" w:type="dxa"/>
            <w:vAlign w:val="bottom"/>
          </w:tcPr>
          <w:p>
            <w:pPr>
              <w:spacing w:after="0"/>
              <w:rPr>
                <w:sz w:val="19"/>
                <w:szCs w:val="19"/>
                <w:color w:val="auto"/>
              </w:rPr>
            </w:pPr>
          </w:p>
        </w:tc>
        <w:tc>
          <w:tcPr>
            <w:tcW w:w="780" w:type="dxa"/>
            <w:vAlign w:val="bottom"/>
          </w:tcPr>
          <w:p>
            <w:pPr>
              <w:jc w:val="right"/>
              <w:ind w:right="124"/>
              <w:spacing w:after="0"/>
              <w:rPr>
                <w:sz w:val="20"/>
                <w:szCs w:val="20"/>
                <w:color w:val="auto"/>
              </w:rPr>
            </w:pPr>
            <w:r>
              <w:rPr>
                <w:rFonts w:ascii="Arial" w:cs="Arial" w:eastAsia="Arial" w:hAnsi="Arial"/>
                <w:sz w:val="16"/>
                <w:szCs w:val="16"/>
                <w:color w:val="auto"/>
              </w:rPr>
              <w:t>N/A</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2,077</w:t>
            </w:r>
          </w:p>
        </w:tc>
      </w:tr>
      <w:tr>
        <w:trPr>
          <w:trHeight w:val="231"/>
        </w:trPr>
        <w:tc>
          <w:tcPr>
            <w:tcW w:w="444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4020" w:type="dxa"/>
            <w:vAlign w:val="bottom"/>
            <w:shd w:val="clear" w:color="auto" w:fill="E9E9E9"/>
          </w:tcPr>
          <w:p>
            <w:pPr>
              <w:jc w:val="center"/>
              <w:ind w:left="3082"/>
              <w:spacing w:after="0"/>
              <w:rPr>
                <w:sz w:val="20"/>
                <w:szCs w:val="20"/>
                <w:color w:val="auto"/>
              </w:rPr>
            </w:pPr>
            <w:r>
              <w:rPr>
                <w:rFonts w:ascii="Arial" w:cs="Arial" w:eastAsia="Arial" w:hAnsi="Arial"/>
                <w:sz w:val="16"/>
                <w:szCs w:val="16"/>
                <w:color w:val="auto"/>
              </w:rPr>
              <w:t>$250</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ind w:right="182"/>
              <w:spacing w:after="0"/>
              <w:rPr>
                <w:sz w:val="20"/>
                <w:szCs w:val="20"/>
                <w:color w:val="auto"/>
              </w:rPr>
            </w:pPr>
            <w:r>
              <w:rPr>
                <w:rFonts w:ascii="Arial" w:cs="Arial" w:eastAsia="Arial" w:hAnsi="Arial"/>
                <w:sz w:val="16"/>
                <w:szCs w:val="16"/>
                <w:color w:val="auto"/>
              </w:rPr>
              <w:t>5,100</w:t>
            </w:r>
          </w:p>
        </w:tc>
        <w:tc>
          <w:tcPr>
            <w:tcW w:w="320" w:type="dxa"/>
            <w:vAlign w:val="bottom"/>
            <w:shd w:val="clear" w:color="auto" w:fill="E9E9E9"/>
          </w:tcPr>
          <w:p>
            <w:pPr>
              <w:spacing w:after="0"/>
              <w:rPr>
                <w:sz w:val="20"/>
                <w:szCs w:val="20"/>
                <w:color w:val="auto"/>
              </w:rPr>
            </w:pPr>
          </w:p>
        </w:tc>
        <w:tc>
          <w:tcPr>
            <w:tcW w:w="78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N/A</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48,808</w:t>
            </w:r>
          </w:p>
        </w:tc>
      </w:tr>
    </w:tbl>
    <w:p>
      <w:pPr>
        <w:spacing w:after="0" w:line="208" w:lineRule="exact"/>
        <w:rPr>
          <w:sz w:val="20"/>
          <w:szCs w:val="20"/>
          <w:color w:val="auto"/>
        </w:rPr>
      </w:pPr>
    </w:p>
    <w:p>
      <w:pPr>
        <w:ind w:left="400" w:right="200" w:hanging="400"/>
        <w:spacing w:after="0" w:line="267" w:lineRule="auto"/>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(i) contributions under the company’s enhanced defined contribution retirement plan of $5,100 and (ii) an additional amount of $121,775 for Mr. Templeton and $80,886 for Mr. Crutcher accrued by TI to offset IRC limitations on amounts that could be contributed to the enhanced defined contribution retirement plan, which amount is also shown in the Non-qualified Deferred Compensation table on page 89.</w:t>
      </w:r>
    </w:p>
    <w:p>
      <w:pPr>
        <w:spacing w:after="0" w:line="173" w:lineRule="exact"/>
        <w:rPr>
          <w:rFonts w:ascii="Arial" w:cs="Arial" w:eastAsia="Arial" w:hAnsi="Arial"/>
          <w:sz w:val="16"/>
          <w:szCs w:val="16"/>
          <w:color w:val="auto"/>
        </w:rPr>
      </w:pPr>
    </w:p>
    <w:p>
      <w:pPr>
        <w:ind w:left="400" w:hanging="400"/>
        <w:spacing w:after="0"/>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payments for unused vacation time that could not be carried forward.</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perquisites and personal benefits are as follows: $99,278 for Mr. Templeton, consisting of personal use of company aircraft ($88,261), financial counseling and an executive physical; and $10,219 for Mr. Crutcher, consisting of financial counseling and an executive physical. Financial counseling and an executive physical were made available to the other named executive officers, but the amounts attributable to those officers were below the disclosure thresholds. The amount shown for personal use of aircraft is the incremental cost, which we valued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or purchase cost of the company-owned aircraft.</w:t>
      </w:r>
    </w:p>
    <w:p>
      <w:pPr>
        <w:spacing w:after="0" w:line="199"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82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Grants of plan-based awards in 2013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grants of plan-based awards to the named executive officers in 2013.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5"/>
        </w:trPr>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940" w:type="dxa"/>
            <w:vAlign w:val="bottom"/>
          </w:tcPr>
          <w:p>
            <w:pPr>
              <w:spacing w:after="0"/>
              <w:rPr>
                <w:sz w:val="19"/>
                <w:szCs w:val="19"/>
                <w:color w:val="auto"/>
              </w:rPr>
            </w:pPr>
          </w:p>
        </w:tc>
      </w:tr>
      <w:tr>
        <w:trPr>
          <w:trHeight w:val="225"/>
        </w:trPr>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or Base</w:t>
            </w:r>
          </w:p>
        </w:tc>
        <w:tc>
          <w:tcPr>
            <w:tcW w:w="940" w:type="dxa"/>
            <w:vAlign w:val="bottom"/>
          </w:tcPr>
          <w:p>
            <w:pPr>
              <w:spacing w:after="0"/>
              <w:rPr>
                <w:sz w:val="19"/>
                <w:szCs w:val="19"/>
                <w:color w:val="auto"/>
              </w:rPr>
            </w:pPr>
          </w:p>
        </w:tc>
      </w:tr>
      <w:tr>
        <w:trPr>
          <w:trHeight w:val="225"/>
        </w:trPr>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Estimated Possible Payouts</w:t>
            </w:r>
          </w:p>
        </w:tc>
        <w:tc>
          <w:tcPr>
            <w:tcW w:w="2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Price of</w:t>
            </w:r>
          </w:p>
        </w:tc>
        <w:tc>
          <w:tcPr>
            <w:tcW w:w="940" w:type="dxa"/>
            <w:vAlign w:val="bottom"/>
          </w:tcPr>
          <w:p>
            <w:pPr>
              <w:jc w:val="center"/>
              <w:ind w:left="25"/>
              <w:spacing w:after="0"/>
              <w:rPr>
                <w:sz w:val="20"/>
                <w:szCs w:val="20"/>
                <w:color w:val="auto"/>
              </w:rPr>
            </w:pPr>
            <w:r>
              <w:rPr>
                <w:rFonts w:ascii="Arial" w:cs="Arial" w:eastAsia="Arial" w:hAnsi="Arial"/>
                <w:sz w:val="13"/>
                <w:szCs w:val="13"/>
                <w:b w:val="1"/>
                <w:bCs w:val="1"/>
                <w:color w:val="auto"/>
                <w:w w:val="96"/>
              </w:rPr>
              <w:t>Grant Date</w:t>
            </w:r>
          </w:p>
        </w:tc>
      </w:tr>
      <w:tr>
        <w:trPr>
          <w:trHeight w:val="225"/>
        </w:trPr>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under Non-Equity Incentive</w:t>
            </w:r>
          </w:p>
        </w:tc>
        <w:tc>
          <w:tcPr>
            <w:tcW w:w="2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under Equity Incentive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Shares of</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940" w:type="dxa"/>
            <w:vAlign w:val="bottom"/>
          </w:tcPr>
          <w:p>
            <w:pPr>
              <w:jc w:val="center"/>
              <w:ind w:left="45"/>
              <w:spacing w:after="0"/>
              <w:rPr>
                <w:sz w:val="20"/>
                <w:szCs w:val="20"/>
                <w:color w:val="auto"/>
              </w:rPr>
            </w:pPr>
            <w:r>
              <w:rPr>
                <w:rFonts w:ascii="Arial" w:cs="Arial" w:eastAsia="Arial" w:hAnsi="Arial"/>
                <w:sz w:val="13"/>
                <w:szCs w:val="13"/>
                <w:b w:val="1"/>
                <w:bCs w:val="1"/>
                <w:color w:val="auto"/>
                <w:w w:val="93"/>
              </w:rPr>
              <w:t>Fair Value</w:t>
            </w:r>
          </w:p>
        </w:tc>
      </w:tr>
      <w:tr>
        <w:trPr>
          <w:trHeight w:val="225"/>
        </w:trPr>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1480" w:type="dxa"/>
            <w:vAlign w:val="bottom"/>
            <w:gridSpan w:val="2"/>
          </w:tcPr>
          <w:p>
            <w:pPr>
              <w:jc w:val="center"/>
              <w:ind w:left="468"/>
              <w:spacing w:after="0"/>
              <w:rPr>
                <w:sz w:val="20"/>
                <w:szCs w:val="20"/>
                <w:color w:val="auto"/>
              </w:rPr>
            </w:pPr>
            <w:r>
              <w:rPr>
                <w:rFonts w:ascii="Arial" w:cs="Arial" w:eastAsia="Arial" w:hAnsi="Arial"/>
                <w:sz w:val="13"/>
                <w:szCs w:val="13"/>
                <w:b w:val="1"/>
                <w:bCs w:val="1"/>
                <w:color w:val="auto"/>
                <w:w w:val="94"/>
              </w:rPr>
              <w:t>Plan Awards</w:t>
            </w:r>
          </w:p>
        </w:tc>
        <w:tc>
          <w:tcPr>
            <w:tcW w:w="5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Stock or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940" w:type="dxa"/>
            <w:vAlign w:val="bottom"/>
          </w:tcPr>
          <w:p>
            <w:pPr>
              <w:jc w:val="center"/>
              <w:ind w:left="45"/>
              <w:spacing w:after="0"/>
              <w:rPr>
                <w:sz w:val="20"/>
                <w:szCs w:val="20"/>
                <w:color w:val="auto"/>
              </w:rPr>
            </w:pPr>
            <w:r>
              <w:rPr>
                <w:rFonts w:ascii="Arial" w:cs="Arial" w:eastAsia="Arial" w:hAnsi="Arial"/>
                <w:sz w:val="13"/>
                <w:szCs w:val="13"/>
                <w:b w:val="1"/>
                <w:bCs w:val="1"/>
                <w:color w:val="auto"/>
                <w:w w:val="97"/>
              </w:rPr>
              <w:t>of Stock</w:t>
            </w:r>
          </w:p>
        </w:tc>
      </w:tr>
      <w:tr>
        <w:trPr>
          <w:trHeight w:val="225"/>
        </w:trPr>
        <w:tc>
          <w:tcPr>
            <w:tcW w:w="1960" w:type="dxa"/>
            <w:vAlign w:val="bottom"/>
          </w:tcPr>
          <w:p>
            <w:pPr>
              <w:spacing w:after="0"/>
              <w:rPr>
                <w:sz w:val="19"/>
                <w:szCs w:val="19"/>
                <w:color w:val="auto"/>
              </w:rPr>
            </w:pPr>
          </w:p>
        </w:tc>
        <w:tc>
          <w:tcPr>
            <w:tcW w:w="1020" w:type="dxa"/>
            <w:vAlign w:val="bottom"/>
          </w:tcPr>
          <w:p>
            <w:pPr>
              <w:jc w:val="center"/>
              <w:ind w:left="2"/>
              <w:spacing w:after="0"/>
              <w:rPr>
                <w:sz w:val="20"/>
                <w:szCs w:val="20"/>
                <w:color w:val="auto"/>
              </w:rPr>
            </w:pPr>
            <w:r>
              <w:rPr>
                <w:rFonts w:ascii="Arial" w:cs="Arial" w:eastAsia="Arial" w:hAnsi="Arial"/>
                <w:sz w:val="13"/>
                <w:szCs w:val="13"/>
                <w:b w:val="1"/>
                <w:bCs w:val="1"/>
                <w:color w:val="auto"/>
                <w:w w:val="97"/>
              </w:rPr>
              <w:t>Grant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760" w:type="dxa"/>
            <w:vAlign w:val="bottom"/>
          </w:tcPr>
          <w:p>
            <w:pPr>
              <w:ind w:left="80"/>
              <w:spacing w:after="0"/>
              <w:rPr>
                <w:sz w:val="20"/>
                <w:szCs w:val="20"/>
                <w:color w:val="auto"/>
              </w:rPr>
            </w:pPr>
            <w:r>
              <w:rPr>
                <w:rFonts w:ascii="Arial" w:cs="Arial" w:eastAsia="Arial" w:hAnsi="Arial"/>
                <w:sz w:val="13"/>
                <w:szCs w:val="13"/>
                <w:b w:val="1"/>
                <w:bCs w:val="1"/>
                <w:color w:val="auto"/>
              </w:rPr>
              <w:t>Threshold</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Maximum</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Threshold</w:t>
            </w:r>
          </w:p>
        </w:tc>
        <w:tc>
          <w:tcPr>
            <w:tcW w:w="130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Target  Maximum</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($/Sh)</w:t>
            </w:r>
          </w:p>
        </w:tc>
        <w:tc>
          <w:tcPr>
            <w:tcW w:w="940" w:type="dxa"/>
            <w:vAlign w:val="bottom"/>
          </w:tcPr>
          <w:p>
            <w:pPr>
              <w:jc w:val="center"/>
              <w:ind w:left="45"/>
              <w:spacing w:after="0"/>
              <w:rPr>
                <w:sz w:val="20"/>
                <w:szCs w:val="20"/>
                <w:color w:val="auto"/>
              </w:rPr>
            </w:pPr>
            <w:r>
              <w:rPr>
                <w:rFonts w:ascii="Arial" w:cs="Arial" w:eastAsia="Arial" w:hAnsi="Arial"/>
                <w:sz w:val="13"/>
                <w:szCs w:val="13"/>
                <w:b w:val="1"/>
                <w:bCs w:val="1"/>
                <w:color w:val="auto"/>
                <w:w w:val="96"/>
              </w:rPr>
              <w:t>and Option</w:t>
            </w:r>
          </w:p>
        </w:tc>
      </w:tr>
      <w:tr>
        <w:trPr>
          <w:trHeight w:val="225"/>
        </w:trPr>
        <w:tc>
          <w:tcPr>
            <w:tcW w:w="19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tcPr>
          <w:p>
            <w:pPr>
              <w:jc w:val="center"/>
              <w:ind w:left="2"/>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Action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ind w:right="124"/>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262"/>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(#)(3)</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(4)</w:t>
            </w:r>
          </w:p>
        </w:tc>
        <w:tc>
          <w:tcPr>
            <w:tcW w:w="940" w:type="dxa"/>
            <w:vAlign w:val="bottom"/>
          </w:tcPr>
          <w:p>
            <w:pPr>
              <w:jc w:val="center"/>
              <w:ind w:left="45"/>
              <w:spacing w:after="0"/>
              <w:rPr>
                <w:sz w:val="20"/>
                <w:szCs w:val="20"/>
                <w:color w:val="auto"/>
              </w:rPr>
            </w:pPr>
            <w:r>
              <w:rPr>
                <w:rFonts w:ascii="Arial" w:cs="Arial" w:eastAsia="Arial" w:hAnsi="Arial"/>
                <w:sz w:val="13"/>
                <w:szCs w:val="13"/>
                <w:b w:val="1"/>
                <w:bCs w:val="1"/>
                <w:color w:val="auto"/>
                <w:w w:val="93"/>
              </w:rPr>
              <w:t>Awards (5)</w:t>
            </w:r>
          </w:p>
        </w:tc>
      </w:tr>
      <w:tr>
        <w:trPr>
          <w:trHeight w:val="29"/>
        </w:trPr>
        <w:tc>
          <w:tcPr>
            <w:tcW w:w="1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2"/>
        </w:trPr>
        <w:tc>
          <w:tcPr>
            <w:tcW w:w="196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1020" w:type="dxa"/>
            <w:vAlign w:val="bottom"/>
            <w:shd w:val="clear" w:color="auto" w:fill="E9E9E9"/>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E9E9E9"/>
          </w:tcPr>
          <w:p>
            <w:pPr>
              <w:jc w:val="center"/>
              <w:ind w:right="12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E9E9E9"/>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spacing w:after="0"/>
              <w:rPr>
                <w:sz w:val="18"/>
                <w:szCs w:val="18"/>
                <w:color w:val="auto"/>
              </w:rPr>
            </w:pP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525,000</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940" w:type="dxa"/>
            <w:vAlign w:val="bottom"/>
            <w:shd w:val="clear" w:color="auto" w:fill="E9E9E9"/>
          </w:tcPr>
          <w:p>
            <w:pPr>
              <w:jc w:val="center"/>
              <w:ind w:left="65"/>
              <w:spacing w:after="0"/>
              <w:rPr>
                <w:sz w:val="20"/>
                <w:szCs w:val="20"/>
                <w:color w:val="auto"/>
              </w:rPr>
            </w:pPr>
            <w:r>
              <w:rPr>
                <w:rFonts w:ascii="Arial" w:cs="Arial" w:eastAsia="Arial" w:hAnsi="Arial"/>
                <w:sz w:val="16"/>
                <w:szCs w:val="16"/>
                <w:color w:val="auto"/>
                <w:w w:val="99"/>
              </w:rPr>
              <w:t>$3,559,374</w:t>
            </w:r>
          </w:p>
        </w:tc>
      </w:tr>
      <w:tr>
        <w:trPr>
          <w:trHeight w:val="231"/>
        </w:trPr>
        <w:tc>
          <w:tcPr>
            <w:tcW w:w="1960" w:type="dxa"/>
            <w:vAlign w:val="bottom"/>
            <w:shd w:val="clear" w:color="auto" w:fill="E9E9E9"/>
          </w:tcPr>
          <w:p>
            <w:pPr>
              <w:spacing w:after="0"/>
              <w:rPr>
                <w:sz w:val="20"/>
                <w:szCs w:val="20"/>
                <w:color w:val="auto"/>
              </w:rPr>
            </w:pPr>
          </w:p>
        </w:tc>
        <w:tc>
          <w:tcPr>
            <w:tcW w:w="1020" w:type="dxa"/>
            <w:vAlign w:val="bottom"/>
            <w:shd w:val="clear" w:color="auto" w:fill="E9E9E9"/>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860" w:type="dxa"/>
            <w:vAlign w:val="bottom"/>
            <w:shd w:val="clear" w:color="auto" w:fill="E9E9E9"/>
          </w:tcPr>
          <w:p>
            <w:pPr>
              <w:jc w:val="right"/>
              <w:ind w:right="90"/>
              <w:spacing w:after="0"/>
              <w:rPr>
                <w:sz w:val="20"/>
                <w:szCs w:val="20"/>
                <w:color w:val="auto"/>
              </w:rPr>
            </w:pPr>
            <w:r>
              <w:rPr>
                <w:rFonts w:ascii="Arial" w:cs="Arial" w:eastAsia="Arial" w:hAnsi="Arial"/>
                <w:sz w:val="16"/>
                <w:szCs w:val="16"/>
                <w:color w:val="auto"/>
              </w:rPr>
              <w:t>175,000</w:t>
            </w:r>
          </w:p>
        </w:tc>
        <w:tc>
          <w:tcPr>
            <w:tcW w:w="94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940" w:type="dxa"/>
            <w:vAlign w:val="bottom"/>
            <w:shd w:val="clear" w:color="auto" w:fill="E9E9E9"/>
          </w:tcPr>
          <w:p>
            <w:pPr>
              <w:jc w:val="center"/>
              <w:ind w:left="65"/>
              <w:spacing w:after="0"/>
              <w:rPr>
                <w:sz w:val="20"/>
                <w:szCs w:val="20"/>
                <w:color w:val="auto"/>
              </w:rPr>
            </w:pPr>
            <w:r>
              <w:rPr>
                <w:rFonts w:ascii="Arial" w:cs="Arial" w:eastAsia="Arial" w:hAnsi="Arial"/>
                <w:sz w:val="16"/>
                <w:szCs w:val="16"/>
                <w:color w:val="auto"/>
                <w:w w:val="99"/>
              </w:rPr>
              <w:t>$5,740,000</w:t>
            </w:r>
          </w:p>
        </w:tc>
      </w:tr>
      <w:tr>
        <w:trPr>
          <w:trHeight w:val="219"/>
        </w:trPr>
        <w:tc>
          <w:tcPr>
            <w:tcW w:w="1960" w:type="dxa"/>
            <w:vAlign w:val="bottom"/>
          </w:tcPr>
          <w:p>
            <w:pPr>
              <w:spacing w:after="0"/>
              <w:rPr>
                <w:sz w:val="20"/>
                <w:szCs w:val="20"/>
                <w:color w:val="auto"/>
              </w:rPr>
            </w:pPr>
            <w:r>
              <w:rPr>
                <w:rFonts w:ascii="Arial" w:cs="Arial" w:eastAsia="Arial" w:hAnsi="Arial"/>
                <w:sz w:val="16"/>
                <w:szCs w:val="16"/>
                <w:color w:val="auto"/>
              </w:rPr>
              <w:t>K. P. March</w:t>
            </w:r>
          </w:p>
        </w:tc>
        <w:tc>
          <w:tcPr>
            <w:tcW w:w="1020" w:type="dxa"/>
            <w:vAlign w:val="bottom"/>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ind w:right="124"/>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150,000</w:t>
            </w:r>
          </w:p>
        </w:tc>
        <w:tc>
          <w:tcPr>
            <w:tcW w:w="800" w:type="dxa"/>
            <w:vAlign w:val="bottom"/>
          </w:tcPr>
          <w:p>
            <w:pPr>
              <w:jc w:val="center"/>
              <w:spacing w:after="0"/>
              <w:rPr>
                <w:sz w:val="20"/>
                <w:szCs w:val="20"/>
                <w:color w:val="auto"/>
              </w:rPr>
            </w:pPr>
            <w:r>
              <w:rPr>
                <w:rFonts w:ascii="Arial" w:cs="Arial" w:eastAsia="Arial" w:hAnsi="Arial"/>
                <w:sz w:val="16"/>
                <w:szCs w:val="16"/>
                <w:color w:val="auto"/>
              </w:rPr>
              <w:t>$32.80</w:t>
            </w:r>
          </w:p>
        </w:tc>
        <w:tc>
          <w:tcPr>
            <w:tcW w:w="940" w:type="dxa"/>
            <w:vAlign w:val="bottom"/>
          </w:tcPr>
          <w:p>
            <w:pPr>
              <w:jc w:val="center"/>
              <w:ind w:left="65"/>
              <w:spacing w:after="0"/>
              <w:rPr>
                <w:sz w:val="20"/>
                <w:szCs w:val="20"/>
                <w:color w:val="auto"/>
              </w:rPr>
            </w:pPr>
            <w:r>
              <w:rPr>
                <w:rFonts w:ascii="Arial" w:cs="Arial" w:eastAsia="Arial" w:hAnsi="Arial"/>
                <w:sz w:val="16"/>
                <w:szCs w:val="16"/>
                <w:color w:val="auto"/>
                <w:w w:val="99"/>
              </w:rPr>
              <w:t>$1,016,964</w:t>
            </w:r>
          </w:p>
        </w:tc>
      </w:tr>
      <w:tr>
        <w:trPr>
          <w:trHeight w:val="221"/>
        </w:trPr>
        <w:tc>
          <w:tcPr>
            <w:tcW w:w="1960" w:type="dxa"/>
            <w:vAlign w:val="bottom"/>
          </w:tcPr>
          <w:p>
            <w:pPr>
              <w:spacing w:after="0"/>
              <w:rPr>
                <w:sz w:val="19"/>
                <w:szCs w:val="19"/>
                <w:color w:val="auto"/>
              </w:rPr>
            </w:pPr>
          </w:p>
        </w:tc>
        <w:tc>
          <w:tcPr>
            <w:tcW w:w="1020" w:type="dxa"/>
            <w:vAlign w:val="bottom"/>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6"/>
                <w:szCs w:val="16"/>
                <w:color w:val="auto"/>
              </w:rPr>
              <w:t>50,000</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jc w:val="center"/>
              <w:ind w:left="65"/>
              <w:spacing w:after="0"/>
              <w:rPr>
                <w:sz w:val="20"/>
                <w:szCs w:val="20"/>
                <w:color w:val="auto"/>
              </w:rPr>
            </w:pPr>
            <w:r>
              <w:rPr>
                <w:rFonts w:ascii="Arial" w:cs="Arial" w:eastAsia="Arial" w:hAnsi="Arial"/>
                <w:sz w:val="16"/>
                <w:szCs w:val="16"/>
                <w:color w:val="auto"/>
                <w:w w:val="99"/>
              </w:rPr>
              <w:t>$1,640,000</w:t>
            </w:r>
          </w:p>
        </w:tc>
      </w:tr>
      <w:tr>
        <w:trPr>
          <w:trHeight w:val="230"/>
        </w:trPr>
        <w:tc>
          <w:tcPr>
            <w:tcW w:w="196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1020" w:type="dxa"/>
            <w:vAlign w:val="bottom"/>
            <w:shd w:val="clear" w:color="auto" w:fill="E9E9E9"/>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E9E9E9"/>
          </w:tcPr>
          <w:p>
            <w:pPr>
              <w:jc w:val="center"/>
              <w:ind w:right="12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E9E9E9"/>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spacing w:after="0"/>
              <w:rPr>
                <w:sz w:val="19"/>
                <w:szCs w:val="19"/>
                <w:color w:val="auto"/>
              </w:rPr>
            </w:pP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225,000</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940" w:type="dxa"/>
            <w:vAlign w:val="bottom"/>
            <w:shd w:val="clear" w:color="auto" w:fill="E9E9E9"/>
          </w:tcPr>
          <w:p>
            <w:pPr>
              <w:jc w:val="center"/>
              <w:ind w:left="65"/>
              <w:spacing w:after="0"/>
              <w:rPr>
                <w:sz w:val="20"/>
                <w:szCs w:val="20"/>
                <w:color w:val="auto"/>
              </w:rPr>
            </w:pPr>
            <w:r>
              <w:rPr>
                <w:rFonts w:ascii="Arial" w:cs="Arial" w:eastAsia="Arial" w:hAnsi="Arial"/>
                <w:sz w:val="16"/>
                <w:szCs w:val="16"/>
                <w:color w:val="auto"/>
                <w:w w:val="99"/>
              </w:rPr>
              <w:t>$1,525,446</w:t>
            </w:r>
          </w:p>
        </w:tc>
      </w:tr>
      <w:tr>
        <w:trPr>
          <w:trHeight w:val="231"/>
        </w:trPr>
        <w:tc>
          <w:tcPr>
            <w:tcW w:w="1960" w:type="dxa"/>
            <w:vAlign w:val="bottom"/>
            <w:shd w:val="clear" w:color="auto" w:fill="E9E9E9"/>
          </w:tcPr>
          <w:p>
            <w:pPr>
              <w:spacing w:after="0"/>
              <w:rPr>
                <w:sz w:val="20"/>
                <w:szCs w:val="20"/>
                <w:color w:val="auto"/>
              </w:rPr>
            </w:pPr>
          </w:p>
        </w:tc>
        <w:tc>
          <w:tcPr>
            <w:tcW w:w="1020" w:type="dxa"/>
            <w:vAlign w:val="bottom"/>
            <w:shd w:val="clear" w:color="auto" w:fill="E9E9E9"/>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860" w:type="dxa"/>
            <w:vAlign w:val="bottom"/>
            <w:shd w:val="clear" w:color="auto" w:fill="E9E9E9"/>
          </w:tcPr>
          <w:p>
            <w:pPr>
              <w:jc w:val="right"/>
              <w:ind w:right="90"/>
              <w:spacing w:after="0"/>
              <w:rPr>
                <w:sz w:val="20"/>
                <w:szCs w:val="20"/>
                <w:color w:val="auto"/>
              </w:rPr>
            </w:pPr>
            <w:r>
              <w:rPr>
                <w:rFonts w:ascii="Arial" w:cs="Arial" w:eastAsia="Arial" w:hAnsi="Arial"/>
                <w:sz w:val="16"/>
                <w:szCs w:val="16"/>
                <w:color w:val="auto"/>
              </w:rPr>
              <w:t>75,000</w:t>
            </w:r>
          </w:p>
        </w:tc>
        <w:tc>
          <w:tcPr>
            <w:tcW w:w="94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940" w:type="dxa"/>
            <w:vAlign w:val="bottom"/>
            <w:shd w:val="clear" w:color="auto" w:fill="E9E9E9"/>
          </w:tcPr>
          <w:p>
            <w:pPr>
              <w:jc w:val="center"/>
              <w:ind w:left="65"/>
              <w:spacing w:after="0"/>
              <w:rPr>
                <w:sz w:val="20"/>
                <w:szCs w:val="20"/>
                <w:color w:val="auto"/>
              </w:rPr>
            </w:pPr>
            <w:r>
              <w:rPr>
                <w:rFonts w:ascii="Arial" w:cs="Arial" w:eastAsia="Arial" w:hAnsi="Arial"/>
                <w:sz w:val="16"/>
                <w:szCs w:val="16"/>
                <w:color w:val="auto"/>
                <w:w w:val="99"/>
              </w:rPr>
              <w:t>$2,460,000</w:t>
            </w:r>
          </w:p>
        </w:tc>
      </w:tr>
      <w:tr>
        <w:trPr>
          <w:trHeight w:val="219"/>
        </w:trPr>
        <w:tc>
          <w:tcPr>
            <w:tcW w:w="1960" w:type="dxa"/>
            <w:vAlign w:val="bottom"/>
          </w:tcPr>
          <w:p>
            <w:pPr>
              <w:spacing w:after="0"/>
              <w:rPr>
                <w:sz w:val="20"/>
                <w:szCs w:val="20"/>
                <w:color w:val="auto"/>
              </w:rPr>
            </w:pPr>
            <w:r>
              <w:rPr>
                <w:rFonts w:ascii="Arial" w:cs="Arial" w:eastAsia="Arial" w:hAnsi="Arial"/>
                <w:sz w:val="16"/>
                <w:szCs w:val="16"/>
                <w:color w:val="auto"/>
              </w:rPr>
              <w:t>K. J. Ritchie</w:t>
            </w:r>
          </w:p>
        </w:tc>
        <w:tc>
          <w:tcPr>
            <w:tcW w:w="1020" w:type="dxa"/>
            <w:vAlign w:val="bottom"/>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ind w:right="124"/>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200,000</w:t>
            </w:r>
          </w:p>
        </w:tc>
        <w:tc>
          <w:tcPr>
            <w:tcW w:w="800" w:type="dxa"/>
            <w:vAlign w:val="bottom"/>
          </w:tcPr>
          <w:p>
            <w:pPr>
              <w:jc w:val="center"/>
              <w:spacing w:after="0"/>
              <w:rPr>
                <w:sz w:val="20"/>
                <w:szCs w:val="20"/>
                <w:color w:val="auto"/>
              </w:rPr>
            </w:pPr>
            <w:r>
              <w:rPr>
                <w:rFonts w:ascii="Arial" w:cs="Arial" w:eastAsia="Arial" w:hAnsi="Arial"/>
                <w:sz w:val="16"/>
                <w:szCs w:val="16"/>
                <w:color w:val="auto"/>
              </w:rPr>
              <w:t>$32.80</w:t>
            </w:r>
          </w:p>
        </w:tc>
        <w:tc>
          <w:tcPr>
            <w:tcW w:w="940" w:type="dxa"/>
            <w:vAlign w:val="bottom"/>
          </w:tcPr>
          <w:p>
            <w:pPr>
              <w:jc w:val="center"/>
              <w:ind w:left="65"/>
              <w:spacing w:after="0"/>
              <w:rPr>
                <w:sz w:val="20"/>
                <w:szCs w:val="20"/>
                <w:color w:val="auto"/>
              </w:rPr>
            </w:pPr>
            <w:r>
              <w:rPr>
                <w:rFonts w:ascii="Arial" w:cs="Arial" w:eastAsia="Arial" w:hAnsi="Arial"/>
                <w:sz w:val="16"/>
                <w:szCs w:val="16"/>
                <w:color w:val="auto"/>
                <w:w w:val="99"/>
              </w:rPr>
              <w:t>$1,355,952</w:t>
            </w:r>
          </w:p>
        </w:tc>
      </w:tr>
      <w:tr>
        <w:trPr>
          <w:trHeight w:val="220"/>
        </w:trPr>
        <w:tc>
          <w:tcPr>
            <w:tcW w:w="1960" w:type="dxa"/>
            <w:vAlign w:val="bottom"/>
          </w:tcPr>
          <w:p>
            <w:pPr>
              <w:spacing w:after="0"/>
              <w:rPr>
                <w:sz w:val="19"/>
                <w:szCs w:val="19"/>
                <w:color w:val="auto"/>
              </w:rPr>
            </w:pPr>
          </w:p>
        </w:tc>
        <w:tc>
          <w:tcPr>
            <w:tcW w:w="1020" w:type="dxa"/>
            <w:vAlign w:val="bottom"/>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6"/>
                <w:szCs w:val="16"/>
                <w:color w:val="auto"/>
              </w:rPr>
              <w:t>66,667</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jc w:val="center"/>
              <w:ind w:left="65"/>
              <w:spacing w:after="0"/>
              <w:rPr>
                <w:sz w:val="20"/>
                <w:szCs w:val="20"/>
                <w:color w:val="auto"/>
              </w:rPr>
            </w:pPr>
            <w:r>
              <w:rPr>
                <w:rFonts w:ascii="Arial" w:cs="Arial" w:eastAsia="Arial" w:hAnsi="Arial"/>
                <w:sz w:val="16"/>
                <w:szCs w:val="16"/>
                <w:color w:val="auto"/>
                <w:w w:val="99"/>
              </w:rPr>
              <w:t>$2,186,678</w:t>
            </w:r>
          </w:p>
        </w:tc>
      </w:tr>
      <w:tr>
        <w:trPr>
          <w:trHeight w:val="230"/>
        </w:trPr>
        <w:tc>
          <w:tcPr>
            <w:tcW w:w="196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1020" w:type="dxa"/>
            <w:vAlign w:val="bottom"/>
            <w:shd w:val="clear" w:color="auto" w:fill="E9E9E9"/>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E9E9E9"/>
          </w:tcPr>
          <w:p>
            <w:pPr>
              <w:jc w:val="center"/>
              <w:ind w:right="12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E9E9E9"/>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spacing w:after="0"/>
              <w:rPr>
                <w:sz w:val="19"/>
                <w:szCs w:val="19"/>
                <w:color w:val="auto"/>
              </w:rPr>
            </w:pP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200,000</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940" w:type="dxa"/>
            <w:vAlign w:val="bottom"/>
            <w:shd w:val="clear" w:color="auto" w:fill="E9E9E9"/>
          </w:tcPr>
          <w:p>
            <w:pPr>
              <w:jc w:val="center"/>
              <w:ind w:left="65"/>
              <w:spacing w:after="0"/>
              <w:rPr>
                <w:sz w:val="20"/>
                <w:szCs w:val="20"/>
                <w:color w:val="auto"/>
              </w:rPr>
            </w:pPr>
            <w:r>
              <w:rPr>
                <w:rFonts w:ascii="Arial" w:cs="Arial" w:eastAsia="Arial" w:hAnsi="Arial"/>
                <w:sz w:val="16"/>
                <w:szCs w:val="16"/>
                <w:color w:val="auto"/>
                <w:w w:val="99"/>
              </w:rPr>
              <w:t>$1,355,952</w:t>
            </w:r>
          </w:p>
        </w:tc>
      </w:tr>
      <w:tr>
        <w:trPr>
          <w:trHeight w:val="231"/>
        </w:trPr>
        <w:tc>
          <w:tcPr>
            <w:tcW w:w="1960" w:type="dxa"/>
            <w:vAlign w:val="bottom"/>
            <w:shd w:val="clear" w:color="auto" w:fill="E9E9E9"/>
          </w:tcPr>
          <w:p>
            <w:pPr>
              <w:spacing w:after="0"/>
              <w:rPr>
                <w:sz w:val="20"/>
                <w:szCs w:val="20"/>
                <w:color w:val="auto"/>
              </w:rPr>
            </w:pPr>
          </w:p>
        </w:tc>
        <w:tc>
          <w:tcPr>
            <w:tcW w:w="1020" w:type="dxa"/>
            <w:vAlign w:val="bottom"/>
            <w:shd w:val="clear" w:color="auto" w:fill="E9E9E9"/>
          </w:tcPr>
          <w:p>
            <w:pPr>
              <w:jc w:val="center"/>
              <w:ind w:left="2"/>
              <w:spacing w:after="0"/>
              <w:rPr>
                <w:sz w:val="20"/>
                <w:szCs w:val="20"/>
                <w:color w:val="auto"/>
              </w:rPr>
            </w:pPr>
            <w:r>
              <w:rPr>
                <w:rFonts w:ascii="Arial" w:cs="Arial" w:eastAsia="Arial" w:hAnsi="Arial"/>
                <w:sz w:val="16"/>
                <w:szCs w:val="16"/>
                <w:color w:val="auto"/>
              </w:rPr>
              <w:t>1/25/13 (1)</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1/17/13</w:t>
            </w:r>
          </w:p>
        </w:tc>
        <w:tc>
          <w:tcPr>
            <w:tcW w:w="76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860" w:type="dxa"/>
            <w:vAlign w:val="bottom"/>
            <w:shd w:val="clear" w:color="auto" w:fill="E9E9E9"/>
          </w:tcPr>
          <w:p>
            <w:pPr>
              <w:jc w:val="right"/>
              <w:ind w:right="90"/>
              <w:spacing w:after="0"/>
              <w:rPr>
                <w:sz w:val="20"/>
                <w:szCs w:val="20"/>
                <w:color w:val="auto"/>
              </w:rPr>
            </w:pPr>
            <w:r>
              <w:rPr>
                <w:rFonts w:ascii="Arial" w:cs="Arial" w:eastAsia="Arial" w:hAnsi="Arial"/>
                <w:sz w:val="16"/>
                <w:szCs w:val="16"/>
                <w:color w:val="auto"/>
              </w:rPr>
              <w:t>66,667</w:t>
            </w:r>
          </w:p>
        </w:tc>
        <w:tc>
          <w:tcPr>
            <w:tcW w:w="94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940" w:type="dxa"/>
            <w:vAlign w:val="bottom"/>
            <w:shd w:val="clear" w:color="auto" w:fill="E9E9E9"/>
          </w:tcPr>
          <w:p>
            <w:pPr>
              <w:jc w:val="center"/>
              <w:ind w:left="65"/>
              <w:spacing w:after="0"/>
              <w:rPr>
                <w:sz w:val="20"/>
                <w:szCs w:val="20"/>
                <w:color w:val="auto"/>
              </w:rPr>
            </w:pPr>
            <w:r>
              <w:rPr>
                <w:rFonts w:ascii="Arial" w:cs="Arial" w:eastAsia="Arial" w:hAnsi="Arial"/>
                <w:sz w:val="16"/>
                <w:szCs w:val="16"/>
                <w:color w:val="auto"/>
                <w:w w:val="99"/>
              </w:rPr>
              <w:t>$2,186,678</w:t>
            </w:r>
          </w:p>
        </w:tc>
      </w:tr>
    </w:tbl>
    <w:p>
      <w:pPr>
        <w:spacing w:after="0" w:line="208" w:lineRule="exact"/>
        <w:rPr>
          <w:sz w:val="20"/>
          <w:szCs w:val="20"/>
          <w:color w:val="auto"/>
        </w:rPr>
      </w:pPr>
    </w:p>
    <w:p>
      <w:pPr>
        <w:ind w:left="400" w:hanging="400"/>
        <w:spacing w:after="0" w:line="259" w:lineRule="auto"/>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2013.</w:t>
      </w:r>
    </w:p>
    <w:p>
      <w:pPr>
        <w:spacing w:after="0" w:line="181" w:lineRule="exact"/>
        <w:rPr>
          <w:sz w:val="20"/>
          <w:szCs w:val="20"/>
          <w:color w:val="auto"/>
        </w:rPr>
      </w:pPr>
    </w:p>
    <w:p>
      <w:pPr>
        <w:ind w:left="400" w:right="20" w:hanging="400"/>
        <w:spacing w:after="0" w:line="290"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accordance with the grant policy of the Compensation Committee of the board (described on page 78), the grants became effective on the third trading day after the company released its financial results for the fourth quarter and year 2012. The company released these results on January 22, 2013.</w:t>
      </w:r>
    </w:p>
    <w:p>
      <w:pPr>
        <w:spacing w:after="0" w:line="155" w:lineRule="exact"/>
        <w:rPr>
          <w:rFonts w:ascii="Arial" w:cs="Arial" w:eastAsia="Arial" w:hAnsi="Arial"/>
          <w:sz w:val="16"/>
          <w:szCs w:val="16"/>
          <w:color w:val="auto"/>
        </w:rPr>
      </w:pPr>
    </w:p>
    <w:p>
      <w:pPr>
        <w:ind w:left="400" w:right="180" w:hanging="400"/>
        <w:spacing w:after="0" w:line="290"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stock awards granted to the named executive officers in 2013 were RSU awards. These awards were made under the company’s 2009 Long-Term Incentive Plan. For information on the terms and conditions of these RSU awards, please see the discussion on page 86.</w:t>
      </w:r>
    </w:p>
    <w:p>
      <w:pPr>
        <w:spacing w:after="0" w:line="155" w:lineRule="exact"/>
        <w:rPr>
          <w:rFonts w:ascii="Arial" w:cs="Arial" w:eastAsia="Arial" w:hAnsi="Arial"/>
          <w:sz w:val="16"/>
          <w:szCs w:val="16"/>
          <w:color w:val="auto"/>
        </w:rPr>
      </w:pPr>
    </w:p>
    <w:p>
      <w:pPr>
        <w:ind w:left="400" w:right="40" w:hanging="400"/>
        <w:spacing w:after="0" w:line="290"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options were granted under the company’s 2009 Long-Term Incentive Plan. For information on the terms and conditions of these options, please see the discussion on page 85.</w:t>
      </w:r>
    </w:p>
    <w:p>
      <w:pPr>
        <w:spacing w:after="0" w:line="155" w:lineRule="exact"/>
        <w:rPr>
          <w:rFonts w:ascii="Arial" w:cs="Arial" w:eastAsia="Arial" w:hAnsi="Arial"/>
          <w:sz w:val="16"/>
          <w:szCs w:val="16"/>
          <w:color w:val="auto"/>
        </w:rPr>
      </w:pPr>
    </w:p>
    <w:p>
      <w:pPr>
        <w:ind w:left="400" w:hanging="400"/>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exercise price of the options is the closing price of TI common stock on January 25, 2013.</w:t>
      </w:r>
    </w:p>
    <w:p>
      <w:pPr>
        <w:spacing w:after="0" w:line="228" w:lineRule="exact"/>
        <w:rPr>
          <w:rFonts w:ascii="Arial" w:cs="Arial" w:eastAsia="Arial" w:hAnsi="Arial"/>
          <w:sz w:val="16"/>
          <w:szCs w:val="16"/>
          <w:color w:val="auto"/>
        </w:rPr>
      </w:pPr>
    </w:p>
    <w:p>
      <w:pPr>
        <w:ind w:left="400" w:right="380" w:hanging="400"/>
        <w:spacing w:after="0" w:line="267"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Shown is the aggregate grant date fair value computed in accordance with ASC 718 for stock and option awards in 2013. The discussion of the assumptions used for purposes of the valuation appears in Note 5 of Exhibit 13 to TI’s annual report on Form 10-K for the year ended December 31, 2013.</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 of the options or other equity awards granted to the named executive officers was repriced or modified by the company.</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additional information regarding TI’s equity compensation grant practices, please see pages 71, 73-74, 78, 80 and 85-86.</w:t>
      </w:r>
    </w:p>
    <w:p>
      <w:pPr>
        <w:spacing w:after="0" w:line="267"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Outstanding equity awards at fiscal year-end 2013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outstanding equity awards for each of the named executive officers as of December 31, 2013.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75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2"/>
          </w:tcPr>
          <w:p>
            <w:pPr>
              <w:ind w:left="440"/>
              <w:spacing w:after="0"/>
              <w:rPr>
                <w:sz w:val="20"/>
                <w:szCs w:val="20"/>
                <w:color w:val="auto"/>
              </w:rPr>
            </w:pPr>
            <w:r>
              <w:rPr>
                <w:rFonts w:ascii="Arial" w:cs="Arial" w:eastAsia="Arial" w:hAnsi="Arial"/>
                <w:sz w:val="13"/>
                <w:szCs w:val="13"/>
                <w:b w:val="1"/>
                <w:bCs w:val="1"/>
                <w:color w:val="auto"/>
              </w:rPr>
              <w:t>Stock Awards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50" w:type="dxa"/>
            <w:vAlign w:val="bottom"/>
          </w:tcPr>
          <w:p>
            <w:pPr>
              <w:spacing w:after="0"/>
              <w:rPr>
                <w:sz w:val="2"/>
                <w:szCs w:val="2"/>
                <w:color w:val="auto"/>
              </w:rPr>
            </w:pPr>
          </w:p>
        </w:tc>
        <w:tc>
          <w:tcPr>
            <w:tcW w:w="19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50" w:type="dxa"/>
            <w:vAlign w:val="bottom"/>
          </w:tcPr>
          <w:p>
            <w:pPr>
              <w:spacing w:after="0"/>
              <w:rPr>
                <w:sz w:val="16"/>
                <w:szCs w:val="16"/>
                <w:color w:val="auto"/>
              </w:rPr>
            </w:pPr>
          </w:p>
        </w:tc>
        <w:tc>
          <w:tcPr>
            <w:tcW w:w="19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Unearned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Payout Value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91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10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5"/>
              </w:rPr>
              <w:t>Number of</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Market Value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Shares,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of Unearned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91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110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3"/>
              </w:rPr>
              <w:t>Securities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center"/>
              <w:ind w:right="59"/>
              <w:spacing w:after="0"/>
              <w:rPr>
                <w:sz w:val="20"/>
                <w:szCs w:val="20"/>
                <w:color w:val="auto"/>
              </w:rPr>
            </w:pPr>
            <w:r>
              <w:rPr>
                <w:rFonts w:ascii="Arial" w:cs="Arial" w:eastAsia="Arial" w:hAnsi="Arial"/>
                <w:sz w:val="13"/>
                <w:szCs w:val="13"/>
                <w:b w:val="1"/>
                <w:bCs w:val="1"/>
                <w:color w:val="auto"/>
                <w:w w:val="95"/>
              </w:rPr>
              <w:t>Number of</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of Shares or</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Shares, Units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91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10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7"/>
              </w:rPr>
              <w:t>Underlying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center"/>
              <w:ind w:right="59"/>
              <w:spacing w:after="0"/>
              <w:rPr>
                <w:sz w:val="20"/>
                <w:szCs w:val="20"/>
                <w:color w:val="auto"/>
              </w:rPr>
            </w:pPr>
            <w:r>
              <w:rPr>
                <w:rFonts w:ascii="Arial" w:cs="Arial" w:eastAsia="Arial" w:hAnsi="Arial"/>
                <w:sz w:val="13"/>
                <w:szCs w:val="13"/>
                <w:b w:val="1"/>
                <w:bCs w:val="1"/>
                <w:color w:val="auto"/>
                <w:w w:val="96"/>
              </w:rPr>
              <w:t>Shares or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Units of Stock</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91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Unexercised</w:t>
            </w:r>
          </w:p>
        </w:tc>
        <w:tc>
          <w:tcPr>
            <w:tcW w:w="110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5"/>
              </w:rPr>
              <w:t>Unexercised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Unexercised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1080" w:type="dxa"/>
            <w:vAlign w:val="bottom"/>
            <w:gridSpan w:val="2"/>
          </w:tcPr>
          <w:p>
            <w:pPr>
              <w:jc w:val="center"/>
              <w:ind w:right="79"/>
              <w:spacing w:after="0"/>
              <w:rPr>
                <w:sz w:val="20"/>
                <w:szCs w:val="20"/>
                <w:color w:val="auto"/>
              </w:rPr>
            </w:pPr>
            <w:r>
              <w:rPr>
                <w:rFonts w:ascii="Arial" w:cs="Arial" w:eastAsia="Arial" w:hAnsi="Arial"/>
                <w:sz w:val="13"/>
                <w:szCs w:val="13"/>
                <w:b w:val="1"/>
                <w:bCs w:val="1"/>
                <w:color w:val="auto"/>
                <w:w w:val="96"/>
              </w:rPr>
              <w:t>Units of Stock</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That Have Not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tcPr>
          <w:p>
            <w:pPr>
              <w:spacing w:after="0"/>
              <w:rPr>
                <w:sz w:val="19"/>
                <w:szCs w:val="19"/>
                <w:color w:val="auto"/>
              </w:rPr>
            </w:pPr>
          </w:p>
        </w:tc>
        <w:tc>
          <w:tcPr>
            <w:tcW w:w="91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110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6"/>
              </w:rPr>
              <w:t>Options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Unearned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Expiration</w:t>
            </w:r>
          </w:p>
        </w:tc>
        <w:tc>
          <w:tcPr>
            <w:tcW w:w="1080" w:type="dxa"/>
            <w:vAlign w:val="bottom"/>
            <w:gridSpan w:val="2"/>
          </w:tcPr>
          <w:p>
            <w:pPr>
              <w:jc w:val="center"/>
              <w:ind w:right="79"/>
              <w:spacing w:after="0"/>
              <w:rPr>
                <w:sz w:val="20"/>
                <w:szCs w:val="20"/>
                <w:color w:val="auto"/>
              </w:rPr>
            </w:pPr>
            <w:r>
              <w:rPr>
                <w:rFonts w:ascii="Arial" w:cs="Arial" w:eastAsia="Arial" w:hAnsi="Arial"/>
                <w:sz w:val="13"/>
                <w:szCs w:val="13"/>
                <w:b w:val="1"/>
                <w:bCs w:val="1"/>
                <w:color w:val="auto"/>
                <w:w w:val="96"/>
              </w:rPr>
              <w:t>That Have Not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3"/>
              </w:rPr>
              <w:t>Vested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225"/>
        </w:trPr>
        <w:tc>
          <w:tcPr>
            <w:tcW w:w="277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1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10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7"/>
              </w:rPr>
              <w:t>Unexercisable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Price ($)</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Date</w:t>
            </w:r>
          </w:p>
        </w:tc>
        <w:tc>
          <w:tcPr>
            <w:tcW w:w="1080" w:type="dxa"/>
            <w:vAlign w:val="bottom"/>
            <w:gridSpan w:val="2"/>
          </w:tcPr>
          <w:p>
            <w:pPr>
              <w:jc w:val="center"/>
              <w:ind w:right="59"/>
              <w:spacing w:after="0"/>
              <w:rPr>
                <w:sz w:val="20"/>
                <w:szCs w:val="20"/>
                <w:color w:val="auto"/>
              </w:rPr>
            </w:pPr>
            <w:r>
              <w:rPr>
                <w:rFonts w:ascii="Arial" w:cs="Arial" w:eastAsia="Arial" w:hAnsi="Arial"/>
                <w:sz w:val="13"/>
                <w:szCs w:val="13"/>
                <w:b w:val="1"/>
                <w:bCs w:val="1"/>
                <w:color w:val="auto"/>
                <w:w w:val="93"/>
              </w:rPr>
              <w:t>Vested (#)</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($)(1)</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Vested (#)</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Vested ($)</w:t>
            </w:r>
          </w:p>
        </w:tc>
        <w:tc>
          <w:tcPr>
            <w:tcW w:w="0" w:type="dxa"/>
            <w:vAlign w:val="bottom"/>
          </w:tcPr>
          <w:p>
            <w:pPr>
              <w:spacing w:after="0"/>
              <w:rPr>
                <w:sz w:val="1"/>
                <w:szCs w:val="1"/>
                <w:color w:val="auto"/>
              </w:rPr>
            </w:pPr>
          </w:p>
        </w:tc>
      </w:tr>
      <w:tr>
        <w:trPr>
          <w:trHeight w:val="29"/>
        </w:trPr>
        <w:tc>
          <w:tcPr>
            <w:tcW w:w="2770" w:type="dxa"/>
            <w:vAlign w:val="bottom"/>
            <w:gridSpan w:val="2"/>
          </w:tcPr>
          <w:p>
            <w:pPr>
              <w:spacing w:after="0"/>
              <w:rPr>
                <w:sz w:val="2"/>
                <w:szCs w:val="2"/>
                <w:color w:val="auto"/>
              </w:rPr>
            </w:pPr>
          </w:p>
        </w:tc>
        <w:tc>
          <w:tcPr>
            <w:tcW w:w="19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5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 K. Templeton</w:t>
            </w:r>
          </w:p>
        </w:tc>
        <w:tc>
          <w:tcPr>
            <w:tcW w:w="190" w:type="dxa"/>
            <w:vAlign w:val="bottom"/>
            <w:tcBorders>
              <w:top w:val="single" w:sz="8" w:color="auto"/>
            </w:tcBorders>
            <w:shd w:val="clear" w:color="auto" w:fill="E9E9E9"/>
          </w:tcPr>
          <w:p>
            <w:pPr>
              <w:spacing w:after="0"/>
              <w:rPr>
                <w:sz w:val="18"/>
                <w:szCs w:val="18"/>
                <w:color w:val="auto"/>
              </w:rPr>
            </w:pPr>
          </w:p>
        </w:tc>
        <w:tc>
          <w:tcPr>
            <w:tcW w:w="720" w:type="dxa"/>
            <w:vAlign w:val="bottom"/>
            <w:tcBorders>
              <w:top w:val="single" w:sz="8" w:color="auto"/>
            </w:tcBorders>
            <w:shd w:val="clear" w:color="auto" w:fill="E9E9E9"/>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525,000</w:t>
            </w:r>
          </w:p>
        </w:tc>
        <w:tc>
          <w:tcPr>
            <w:tcW w:w="320" w:type="dxa"/>
            <w:vAlign w:val="bottom"/>
            <w:tcBorders>
              <w:top w:val="single" w:sz="8" w:color="auto"/>
            </w:tcBorders>
            <w:shd w:val="clear" w:color="auto" w:fill="E9E9E9"/>
          </w:tcPr>
          <w:p>
            <w:pPr>
              <w:jc w:val="right"/>
              <w:ind w:right="20"/>
              <w:spacing w:after="0"/>
              <w:rPr>
                <w:sz w:val="20"/>
                <w:szCs w:val="20"/>
                <w:color w:val="auto"/>
              </w:rPr>
            </w:pPr>
            <w:r>
              <w:rPr>
                <w:rFonts w:ascii="Arial" w:cs="Arial" w:eastAsia="Arial" w:hAnsi="Arial"/>
                <w:sz w:val="16"/>
                <w:szCs w:val="16"/>
                <w:color w:val="auto"/>
              </w:rPr>
              <w:t>(2)</w:t>
            </w:r>
          </w:p>
        </w:tc>
        <w:tc>
          <w:tcPr>
            <w:tcW w:w="92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860" w:type="dxa"/>
            <w:vAlign w:val="bottom"/>
            <w:tcBorders>
              <w:top w:val="single" w:sz="8" w:color="auto"/>
            </w:tcBorders>
            <w:shd w:val="clear" w:color="auto" w:fill="E9E9E9"/>
          </w:tcPr>
          <w:p>
            <w:pPr>
              <w:jc w:val="center"/>
              <w:ind w:left="60"/>
              <w:spacing w:after="0"/>
              <w:rPr>
                <w:sz w:val="20"/>
                <w:szCs w:val="20"/>
                <w:color w:val="auto"/>
              </w:rPr>
            </w:pPr>
            <w:r>
              <w:rPr>
                <w:rFonts w:ascii="Arial" w:cs="Arial" w:eastAsia="Arial" w:hAnsi="Arial"/>
                <w:sz w:val="16"/>
                <w:szCs w:val="16"/>
                <w:color w:val="auto"/>
              </w:rPr>
              <w:t>1/25/2023</w:t>
            </w:r>
          </w:p>
        </w:tc>
        <w:tc>
          <w:tcPr>
            <w:tcW w:w="260" w:type="dxa"/>
            <w:vAlign w:val="bottom"/>
            <w:tcBorders>
              <w:top w:val="single" w:sz="8" w:color="auto"/>
            </w:tcBorders>
            <w:shd w:val="clear" w:color="auto" w:fill="E9E9E9"/>
          </w:tcPr>
          <w:p>
            <w:pPr>
              <w:spacing w:after="0"/>
              <w:rPr>
                <w:sz w:val="18"/>
                <w:szCs w:val="18"/>
                <w:color w:val="auto"/>
              </w:rPr>
            </w:pPr>
          </w:p>
        </w:tc>
        <w:tc>
          <w:tcPr>
            <w:tcW w:w="62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175,000</w:t>
            </w:r>
          </w:p>
        </w:tc>
        <w:tc>
          <w:tcPr>
            <w:tcW w:w="460" w:type="dxa"/>
            <w:vAlign w:val="bottom"/>
            <w:tcBorders>
              <w:top w:val="single" w:sz="8" w:color="auto"/>
            </w:tcBorders>
            <w:shd w:val="clear" w:color="auto" w:fill="E9E9E9"/>
          </w:tcPr>
          <w:p>
            <w:pPr>
              <w:ind w:left="20"/>
              <w:spacing w:after="0"/>
              <w:rPr>
                <w:sz w:val="20"/>
                <w:szCs w:val="20"/>
                <w:color w:val="auto"/>
              </w:rPr>
            </w:pPr>
            <w:r>
              <w:rPr>
                <w:rFonts w:ascii="Arial" w:cs="Arial" w:eastAsia="Arial" w:hAnsi="Arial"/>
                <w:sz w:val="16"/>
                <w:szCs w:val="16"/>
                <w:color w:val="auto"/>
              </w:rPr>
              <w:t>(6)</w:t>
            </w:r>
          </w:p>
        </w:tc>
        <w:tc>
          <w:tcPr>
            <w:tcW w:w="1080" w:type="dxa"/>
            <w:vAlign w:val="bottom"/>
            <w:tcBorders>
              <w:top w:val="single" w:sz="8" w:color="auto"/>
            </w:tcBorders>
            <w:shd w:val="clear" w:color="auto" w:fill="E9E9E9"/>
          </w:tcPr>
          <w:p>
            <w:pPr>
              <w:jc w:val="right"/>
              <w:ind w:right="22"/>
              <w:spacing w:after="0"/>
              <w:rPr>
                <w:sz w:val="20"/>
                <w:szCs w:val="20"/>
                <w:color w:val="auto"/>
              </w:rPr>
            </w:pPr>
            <w:r>
              <w:rPr>
                <w:rFonts w:ascii="Arial" w:cs="Arial" w:eastAsia="Arial" w:hAnsi="Arial"/>
                <w:sz w:val="16"/>
                <w:szCs w:val="16"/>
                <w:color w:val="auto"/>
              </w:rPr>
              <w:t>$7,684,250</w:t>
            </w:r>
          </w:p>
        </w:tc>
        <w:tc>
          <w:tcPr>
            <w:tcW w:w="86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Borders>
              <w:top w:val="single" w:sz="8" w:color="auto"/>
            </w:tcBorders>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910" w:type="dxa"/>
            <w:vAlign w:val="bottom"/>
            <w:gridSpan w:val="2"/>
            <w:shd w:val="clear" w:color="auto" w:fill="E9E9E9"/>
          </w:tcPr>
          <w:p>
            <w:pPr>
              <w:jc w:val="right"/>
              <w:ind w:right="39"/>
              <w:spacing w:after="0"/>
              <w:rPr>
                <w:sz w:val="20"/>
                <w:szCs w:val="20"/>
                <w:color w:val="auto"/>
              </w:rPr>
            </w:pPr>
            <w:r>
              <w:rPr>
                <w:rFonts w:ascii="Arial" w:cs="Arial" w:eastAsia="Arial" w:hAnsi="Arial"/>
                <w:sz w:val="16"/>
                <w:szCs w:val="16"/>
                <w:color w:val="auto"/>
              </w:rPr>
              <w:t>118,750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356,250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$32.36</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1/26/2022</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158,334</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(7)</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$6,952,446</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225,000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(4)</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$34.63</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1/27/2021</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$6,586,500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405,000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135,000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(5)</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$23.05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1/28/2020</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(9)</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$7,903,800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664,461</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$14.95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1/29/2019</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270,000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$29.79</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1/25/2018</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270,000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$28.32</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1/18/2017</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350,000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$32.55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1/19/2016</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50" w:type="dxa"/>
            <w:vAlign w:val="bottom"/>
            <w:shd w:val="clear" w:color="auto" w:fill="E9E9E9"/>
          </w:tcPr>
          <w:p>
            <w:pPr>
              <w:spacing w:after="0"/>
              <w:rPr>
                <w:sz w:val="20"/>
                <w:szCs w:val="20"/>
                <w:color w:val="auto"/>
              </w:rPr>
            </w:pPr>
          </w:p>
        </w:tc>
        <w:tc>
          <w:tcPr>
            <w:tcW w:w="190" w:type="dxa"/>
            <w:vAlign w:val="bottom"/>
            <w:shd w:val="clear" w:color="auto" w:fill="E9E9E9"/>
          </w:tcPr>
          <w:p>
            <w:pPr>
              <w:spacing w:after="0"/>
              <w:rPr>
                <w:sz w:val="20"/>
                <w:szCs w:val="20"/>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500,000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20"/>
                <w:szCs w:val="20"/>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$21.55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1/20/2015</w:t>
            </w:r>
          </w:p>
        </w:tc>
        <w:tc>
          <w:tcPr>
            <w:tcW w:w="26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20"/>
                <w:szCs w:val="20"/>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5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(2)</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1/25/2023</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(6)</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$2,195,500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910" w:type="dxa"/>
            <w:vAlign w:val="bottom"/>
            <w:gridSpan w:val="2"/>
            <w:shd w:val="clear" w:color="auto" w:fill="E9E9E9"/>
          </w:tcPr>
          <w:p>
            <w:pPr>
              <w:jc w:val="right"/>
              <w:ind w:right="39"/>
              <w:spacing w:after="0"/>
              <w:rPr>
                <w:sz w:val="20"/>
                <w:szCs w:val="20"/>
                <w:color w:val="auto"/>
              </w:rPr>
            </w:pPr>
            <w:r>
              <w:rPr>
                <w:rFonts w:ascii="Arial" w:cs="Arial" w:eastAsia="Arial" w:hAnsi="Arial"/>
                <w:sz w:val="16"/>
                <w:szCs w:val="16"/>
                <w:color w:val="auto"/>
              </w:rPr>
              <w:t>37,500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112,500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$32.36</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1/26/2022</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(7)</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$2,195,500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68,750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68,750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(4)</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$34.63</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1/27/2021</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45,834</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$2,012,571</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120,937</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40,313</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(5)</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$23.05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1/28/2020</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53,751</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(9)</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$2,360,206</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95,000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$14.95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1/29/2019</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85,000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$29.79</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1/25/2018</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50" w:type="dxa"/>
            <w:vAlign w:val="bottom"/>
            <w:shd w:val="clear" w:color="auto" w:fill="E9E9E9"/>
          </w:tcPr>
          <w:p>
            <w:pPr>
              <w:spacing w:after="0"/>
              <w:rPr>
                <w:sz w:val="20"/>
                <w:szCs w:val="20"/>
                <w:color w:val="auto"/>
              </w:rPr>
            </w:pPr>
          </w:p>
        </w:tc>
        <w:tc>
          <w:tcPr>
            <w:tcW w:w="190" w:type="dxa"/>
            <w:vAlign w:val="bottom"/>
            <w:shd w:val="clear" w:color="auto" w:fill="E9E9E9"/>
          </w:tcPr>
          <w:p>
            <w:pPr>
              <w:spacing w:after="0"/>
              <w:rPr>
                <w:sz w:val="20"/>
                <w:szCs w:val="20"/>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85,000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20"/>
                <w:szCs w:val="20"/>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$32.55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1/19/2016</w:t>
            </w:r>
          </w:p>
        </w:tc>
        <w:tc>
          <w:tcPr>
            <w:tcW w:w="26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20"/>
                <w:szCs w:val="20"/>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5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(2)</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1/25/2023</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75,000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(6)</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$3,293,250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910" w:type="dxa"/>
            <w:vAlign w:val="bottom"/>
            <w:gridSpan w:val="2"/>
            <w:shd w:val="clear" w:color="auto" w:fill="E9E9E9"/>
          </w:tcPr>
          <w:p>
            <w:pPr>
              <w:jc w:val="right"/>
              <w:ind w:right="39"/>
              <w:spacing w:after="0"/>
              <w:rPr>
                <w:sz w:val="20"/>
                <w:szCs w:val="20"/>
                <w:color w:val="auto"/>
              </w:rPr>
            </w:pPr>
            <w:r>
              <w:rPr>
                <w:rFonts w:ascii="Arial" w:cs="Arial" w:eastAsia="Arial" w:hAnsi="Arial"/>
                <w:sz w:val="16"/>
                <w:szCs w:val="16"/>
                <w:color w:val="auto"/>
              </w:rPr>
              <w:t>46,875</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140,625</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$32.36</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1/26/2022</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62,500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(7)</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$2,744,375</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31,250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81,250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(4)</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$34.63</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1/27/2021</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54,167</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$2,378,473</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12,500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37,500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(5)</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$23.05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1/28/2020</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(9)</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$2,195,500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78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$4,391,000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50" w:type="dxa"/>
            <w:vAlign w:val="bottom"/>
            <w:shd w:val="clear" w:color="auto" w:fill="E9E9E9"/>
          </w:tcPr>
          <w:p>
            <w:pPr>
              <w:spacing w:after="0"/>
              <w:rPr>
                <w:sz w:val="20"/>
                <w:szCs w:val="20"/>
                <w:color w:val="auto"/>
              </w:rPr>
            </w:pPr>
          </w:p>
        </w:tc>
        <w:tc>
          <w:tcPr>
            <w:tcW w:w="19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(11)</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$4,391,000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5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(2)</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1/25/2023</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66,667</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(6)</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$2,927,348</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910" w:type="dxa"/>
            <w:vAlign w:val="bottom"/>
            <w:gridSpan w:val="2"/>
            <w:shd w:val="clear" w:color="auto" w:fill="E9E9E9"/>
          </w:tcPr>
          <w:p>
            <w:pPr>
              <w:jc w:val="right"/>
              <w:ind w:right="39"/>
              <w:spacing w:after="0"/>
              <w:rPr>
                <w:sz w:val="20"/>
                <w:szCs w:val="20"/>
                <w:color w:val="auto"/>
              </w:rPr>
            </w:pPr>
            <w:r>
              <w:rPr>
                <w:rFonts w:ascii="Arial" w:cs="Arial" w:eastAsia="Arial" w:hAnsi="Arial"/>
                <w:sz w:val="16"/>
                <w:szCs w:val="16"/>
                <w:color w:val="auto"/>
              </w:rPr>
              <w:t>43,750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131,250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$32.36</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1/26/2022</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58,334</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(7)</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$2,561,446</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81,250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81,250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(4)</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$34.63</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1/27/2021</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54,167</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$2,378,473</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46,875</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(5)</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$23.05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1/28/2020</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62,501</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(9)</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$2,744,419</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100,000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$29.79</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1/25/2018</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100,000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$28.32</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1/18/2017</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9"/>
                <w:szCs w:val="19"/>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50" w:type="dxa"/>
            <w:vAlign w:val="bottom"/>
            <w:shd w:val="clear" w:color="auto" w:fill="E9E9E9"/>
          </w:tcPr>
          <w:p>
            <w:pPr>
              <w:spacing w:after="0"/>
              <w:rPr>
                <w:sz w:val="20"/>
                <w:szCs w:val="20"/>
                <w:color w:val="auto"/>
              </w:rPr>
            </w:pPr>
          </w:p>
        </w:tc>
        <w:tc>
          <w:tcPr>
            <w:tcW w:w="190" w:type="dxa"/>
            <w:vAlign w:val="bottom"/>
            <w:shd w:val="clear" w:color="auto" w:fill="E9E9E9"/>
          </w:tcPr>
          <w:p>
            <w:pPr>
              <w:spacing w:after="0"/>
              <w:rPr>
                <w:sz w:val="20"/>
                <w:szCs w:val="20"/>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100,000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20"/>
                <w:szCs w:val="20"/>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$32.55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1/19/2016</w:t>
            </w:r>
          </w:p>
        </w:tc>
        <w:tc>
          <w:tcPr>
            <w:tcW w:w="26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20"/>
                <w:szCs w:val="20"/>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7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5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(2)</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$32.80</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1/25/2023</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66,667</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(6)</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$2,927,348</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910" w:type="dxa"/>
            <w:vAlign w:val="bottom"/>
            <w:gridSpan w:val="2"/>
            <w:shd w:val="clear" w:color="auto" w:fill="E9E9E9"/>
          </w:tcPr>
          <w:p>
            <w:pPr>
              <w:jc w:val="right"/>
              <w:ind w:right="39"/>
              <w:spacing w:after="0"/>
              <w:rPr>
                <w:sz w:val="20"/>
                <w:szCs w:val="20"/>
                <w:color w:val="auto"/>
              </w:rPr>
            </w:pPr>
            <w:r>
              <w:rPr>
                <w:rFonts w:ascii="Arial" w:cs="Arial" w:eastAsia="Arial" w:hAnsi="Arial"/>
                <w:sz w:val="16"/>
                <w:szCs w:val="16"/>
                <w:color w:val="auto"/>
              </w:rPr>
              <w:t>43,750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131,250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$32.36</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1/26/2022</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58,334</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(7)</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$2,561,446</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81,250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81,250</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(4)</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$34.63</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1/27/2021</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54,167</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$2,378,473</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137,812</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45,938</w:t>
            </w:r>
          </w:p>
        </w:tc>
        <w:tc>
          <w:tcPr>
            <w:tcW w:w="320" w:type="dxa"/>
            <w:vAlign w:val="bottom"/>
            <w:shd w:val="clear" w:color="auto" w:fill="E9E9E9"/>
          </w:tcPr>
          <w:p>
            <w:pPr>
              <w:jc w:val="right"/>
              <w:ind w:right="20"/>
              <w:spacing w:after="0"/>
              <w:rPr>
                <w:sz w:val="20"/>
                <w:szCs w:val="20"/>
                <w:color w:val="auto"/>
              </w:rPr>
            </w:pPr>
            <w:r>
              <w:rPr>
                <w:rFonts w:ascii="Arial" w:cs="Arial" w:eastAsia="Arial" w:hAnsi="Arial"/>
                <w:sz w:val="16"/>
                <w:szCs w:val="16"/>
                <w:color w:val="auto"/>
              </w:rPr>
              <w:t>(5)</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$23.05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1/28/2020</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61,251</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(9)</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$2,689,531</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50" w:type="dxa"/>
            <w:vAlign w:val="bottom"/>
            <w:shd w:val="clear" w:color="auto" w:fill="E9E9E9"/>
          </w:tcPr>
          <w:p>
            <w:pPr>
              <w:spacing w:after="0"/>
              <w:rPr>
                <w:sz w:val="19"/>
                <w:szCs w:val="19"/>
                <w:color w:val="auto"/>
              </w:rPr>
            </w:pPr>
          </w:p>
        </w:tc>
        <w:tc>
          <w:tcPr>
            <w:tcW w:w="190" w:type="dxa"/>
            <w:vAlign w:val="bottom"/>
            <w:shd w:val="clear" w:color="auto" w:fill="E9E9E9"/>
          </w:tcPr>
          <w:p>
            <w:pPr>
              <w:spacing w:after="0"/>
              <w:rPr>
                <w:sz w:val="19"/>
                <w:szCs w:val="19"/>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135,000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19"/>
                <w:szCs w:val="19"/>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$14.95</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1/29/2019</w:t>
            </w:r>
          </w:p>
        </w:tc>
        <w:tc>
          <w:tcPr>
            <w:tcW w:w="26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60" w:type="dxa"/>
            <w:vAlign w:val="bottom"/>
            <w:shd w:val="clear" w:color="auto" w:fill="E9E9E9"/>
          </w:tcPr>
          <w:p>
            <w:pPr>
              <w:ind w:left="20"/>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$2,195,500</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50" w:type="dxa"/>
            <w:vAlign w:val="bottom"/>
            <w:shd w:val="clear" w:color="auto" w:fill="E9E9E9"/>
          </w:tcPr>
          <w:p>
            <w:pPr>
              <w:spacing w:after="0"/>
              <w:rPr>
                <w:sz w:val="20"/>
                <w:szCs w:val="20"/>
                <w:color w:val="auto"/>
              </w:rPr>
            </w:pPr>
          </w:p>
        </w:tc>
        <w:tc>
          <w:tcPr>
            <w:tcW w:w="190" w:type="dxa"/>
            <w:vAlign w:val="bottom"/>
            <w:shd w:val="clear" w:color="auto" w:fill="E9E9E9"/>
          </w:tcPr>
          <w:p>
            <w:pPr>
              <w:spacing w:after="0"/>
              <w:rPr>
                <w:sz w:val="20"/>
                <w:szCs w:val="20"/>
                <w:color w:val="auto"/>
              </w:rPr>
            </w:pPr>
          </w:p>
        </w:tc>
        <w:tc>
          <w:tcPr>
            <w:tcW w:w="720" w:type="dxa"/>
            <w:vAlign w:val="bottom"/>
            <w:shd w:val="clear" w:color="auto" w:fill="E9E9E9"/>
          </w:tcPr>
          <w:p>
            <w:pPr>
              <w:jc w:val="right"/>
              <w:ind w:right="39"/>
              <w:spacing w:after="0"/>
              <w:rPr>
                <w:sz w:val="20"/>
                <w:szCs w:val="20"/>
                <w:color w:val="auto"/>
              </w:rPr>
            </w:pPr>
            <w:r>
              <w:rPr>
                <w:rFonts w:ascii="Arial" w:cs="Arial" w:eastAsia="Arial" w:hAnsi="Arial"/>
                <w:sz w:val="16"/>
                <w:szCs w:val="16"/>
                <w:color w:val="auto"/>
              </w:rPr>
              <w:t>20,000</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spacing w:after="0"/>
              <w:rPr>
                <w:sz w:val="20"/>
                <w:szCs w:val="20"/>
                <w:color w:val="auto"/>
              </w:rPr>
            </w:pP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$29.79</w:t>
            </w:r>
          </w:p>
        </w:tc>
        <w:tc>
          <w:tcPr>
            <w:tcW w:w="860" w:type="dxa"/>
            <w:vAlign w:val="bottom"/>
            <w:shd w:val="clear" w:color="auto" w:fill="E9E9E9"/>
          </w:tcPr>
          <w:p>
            <w:pPr>
              <w:jc w:val="center"/>
              <w:ind w:left="60"/>
              <w:spacing w:after="0"/>
              <w:rPr>
                <w:sz w:val="20"/>
                <w:szCs w:val="20"/>
                <w:color w:val="auto"/>
              </w:rPr>
            </w:pPr>
            <w:r>
              <w:rPr>
                <w:rFonts w:ascii="Arial" w:cs="Arial" w:eastAsia="Arial" w:hAnsi="Arial"/>
                <w:sz w:val="16"/>
                <w:szCs w:val="16"/>
                <w:color w:val="auto"/>
              </w:rPr>
              <w:t>1/25/2018</w:t>
            </w:r>
          </w:p>
        </w:tc>
        <w:tc>
          <w:tcPr>
            <w:tcW w:w="26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20"/>
                <w:szCs w:val="20"/>
                <w:color w:val="auto"/>
              </w:rPr>
            </w:pPr>
          </w:p>
        </w:tc>
        <w:tc>
          <w:tcPr>
            <w:tcW w:w="1080" w:type="dxa"/>
            <w:vAlign w:val="bottom"/>
            <w:shd w:val="clear" w:color="auto" w:fill="E9E9E9"/>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0" w:hanging="400"/>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by multiplying the number of RSUs by the closing price of TI common stock on December 31, 2013 ($43.91).</w:t>
      </w:r>
    </w:p>
    <w:p>
      <w:pPr>
        <w:spacing w:after="0" w:line="253" w:lineRule="exact"/>
        <w:rPr>
          <w:rFonts w:ascii="Arial" w:cs="Arial" w:eastAsia="Arial" w:hAnsi="Arial"/>
          <w:sz w:val="16"/>
          <w:szCs w:val="16"/>
          <w:color w:val="auto"/>
        </w:rPr>
      </w:pPr>
    </w:p>
    <w:p>
      <w:pPr>
        <w:ind w:left="400" w:right="160" w:hanging="400"/>
        <w:spacing w:after="0" w:line="290"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One-quarter of the shares became exercisable on January 25, 2014, and one-third of the remaining shares become exercisable on each of January 25, 2015, January 25, 2016, and January 25, 2017.</w:t>
      </w:r>
    </w:p>
    <w:p>
      <w:pPr>
        <w:sectPr>
          <w:pgSz w:w="11900" w:h="16838" w:orient="portrait"/>
          <w:cols w:equalWidth="0" w:num="1">
            <w:col w:w="11420"/>
          </w:cols>
          <w:pgMar w:left="240" w:top="546" w:right="239" w:bottom="1440" w:gutter="0" w:footer="0" w:header="0"/>
        </w:sectPr>
      </w:pPr>
    </w:p>
    <w:p>
      <w:pPr>
        <w:spacing w:after="0" w:line="193"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84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type w:val="continuous"/>
        </w:sectPr>
      </w:pPr>
    </w:p>
    <w:bookmarkStart w:id="31" w:name="page32"/>
    <w:bookmarkEnd w:id="31"/>
    <w:p>
      <w:pPr>
        <w:ind w:left="500" w:right="320" w:hanging="500"/>
        <w:spacing w:after="0" w:line="290"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One-third of the shares became exercisable on January 26, 2014, and one-half of the remaining shares become exercisable on each of January 26, 2015, and January 26, 2016.</w:t>
      </w:r>
    </w:p>
    <w:p>
      <w:pPr>
        <w:spacing w:after="0" w:line="155"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One-half of the shares became exercisable on January 27, 2014, and the remaining one-half become exercisable on January 27, 2015.</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Became fully exercisable on January 28, 2014.</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January 31, 2017.</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January 29, 2016.</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January 30, 2015.</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Vested on January 31, 2014.</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July 29, 2016.</w:t>
      </w:r>
    </w:p>
    <w:p>
      <w:pPr>
        <w:spacing w:after="0" w:line="228" w:lineRule="exact"/>
        <w:rPr>
          <w:rFonts w:ascii="Arial" w:cs="Arial" w:eastAsia="Arial" w:hAnsi="Arial"/>
          <w:sz w:val="16"/>
          <w:szCs w:val="16"/>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October 31, 2014.</w:t>
      </w:r>
    </w:p>
    <w:p>
      <w:pPr>
        <w:spacing w:after="0" w:line="20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Option Awards</w:t>
      </w:r>
      <w:r>
        <w:rPr>
          <w:rFonts w:ascii="Arial" w:cs="Arial" w:eastAsia="Arial" w:hAnsi="Arial"/>
          <w:sz w:val="16"/>
          <w:szCs w:val="16"/>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ten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2013. The Compensation Committee of the board of directors established these termination provisions to promote employee retention while offering competitive terms. As noted below, certain terms have been changed for grants made after 2012. Those changes apply to all U.S. and most non-U.S. grants made in that time period. The committee adopted the changes in January 2013 to align with current market practices and simplify the terms.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20" w:type="dxa"/>
            <w:vAlign w:val="bottom"/>
          </w:tcPr>
          <w:p>
            <w:pPr>
              <w:jc w:val="center"/>
              <w:ind w:left="170"/>
              <w:spacing w:after="0"/>
              <w:rPr>
                <w:sz w:val="20"/>
                <w:szCs w:val="20"/>
                <w:color w:val="auto"/>
              </w:rPr>
            </w:pPr>
            <w:r>
              <w:rPr>
                <w:rFonts w:ascii="Arial" w:cs="Arial" w:eastAsia="Arial" w:hAnsi="Arial"/>
                <w:sz w:val="13"/>
                <w:szCs w:val="13"/>
                <w:b w:val="1"/>
                <w:bCs w:val="1"/>
                <w:color w:val="auto"/>
                <w:w w:val="97"/>
              </w:rPr>
              <w:t>Employment</w:t>
            </w:r>
          </w:p>
        </w:tc>
        <w:tc>
          <w:tcPr>
            <w:tcW w:w="2400" w:type="dxa"/>
            <w:vAlign w:val="bottom"/>
          </w:tcPr>
          <w:p>
            <w:pPr>
              <w:jc w:val="center"/>
              <w:ind w:left="149"/>
              <w:spacing w:after="0"/>
              <w:rPr>
                <w:sz w:val="20"/>
                <w:szCs w:val="20"/>
                <w:color w:val="auto"/>
              </w:rPr>
            </w:pPr>
            <w:r>
              <w:rPr>
                <w:rFonts w:ascii="Arial" w:cs="Arial" w:eastAsia="Arial" w:hAnsi="Arial"/>
                <w:sz w:val="13"/>
                <w:szCs w:val="13"/>
                <w:b w:val="1"/>
                <w:bCs w:val="1"/>
                <w:color w:val="auto"/>
                <w:w w:val="96"/>
              </w:rPr>
              <w:t>Employment Termination</w:t>
            </w:r>
          </w:p>
        </w:tc>
        <w:tc>
          <w:tcPr>
            <w:tcW w:w="210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Employment</w:t>
            </w:r>
          </w:p>
        </w:tc>
        <w:tc>
          <w:tcPr>
            <w:tcW w:w="2320" w:type="dxa"/>
            <w:vAlign w:val="bottom"/>
          </w:tcPr>
          <w:p>
            <w:pPr>
              <w:jc w:val="center"/>
              <w:ind w:left="170"/>
              <w:spacing w:after="0"/>
              <w:rPr>
                <w:sz w:val="20"/>
                <w:szCs w:val="20"/>
                <w:color w:val="auto"/>
              </w:rPr>
            </w:pPr>
            <w:r>
              <w:rPr>
                <w:rFonts w:ascii="Arial" w:cs="Arial" w:eastAsia="Arial" w:hAnsi="Arial"/>
                <w:sz w:val="13"/>
                <w:szCs w:val="13"/>
                <w:b w:val="1"/>
                <w:bCs w:val="1"/>
                <w:color w:val="auto"/>
                <w:w w:val="94"/>
              </w:rPr>
              <w:t>Termination (at Least</w:t>
            </w:r>
          </w:p>
        </w:tc>
        <w:tc>
          <w:tcPr>
            <w:tcW w:w="2400" w:type="dxa"/>
            <w:vAlign w:val="bottom"/>
          </w:tcPr>
          <w:p>
            <w:pPr>
              <w:jc w:val="center"/>
              <w:ind w:left="149"/>
              <w:spacing w:after="0"/>
              <w:rPr>
                <w:sz w:val="20"/>
                <w:szCs w:val="20"/>
                <w:color w:val="auto"/>
              </w:rPr>
            </w:pPr>
            <w:r>
              <w:rPr>
                <w:rFonts w:ascii="Arial" w:cs="Arial" w:eastAsia="Arial" w:hAnsi="Arial"/>
                <w:sz w:val="13"/>
                <w:szCs w:val="13"/>
                <w:b w:val="1"/>
                <w:bCs w:val="1"/>
                <w:color w:val="auto"/>
                <w:w w:val="96"/>
              </w:rPr>
              <w:t>(at Least 6 Months after Grant)</w:t>
            </w:r>
          </w:p>
        </w:tc>
        <w:tc>
          <w:tcPr>
            <w:tcW w:w="2100" w:type="dxa"/>
            <w:vAlign w:val="bottom"/>
          </w:tcPr>
          <w:p>
            <w:pPr>
              <w:spacing w:after="0"/>
              <w:rPr>
                <w:sz w:val="19"/>
                <w:szCs w:val="19"/>
                <w:color w:val="auto"/>
              </w:rPr>
            </w:pPr>
          </w:p>
        </w:tc>
        <w:tc>
          <w:tcPr>
            <w:tcW w:w="2500" w:type="dxa"/>
            <w:vAlign w:val="bottom"/>
          </w:tcPr>
          <w:p>
            <w:pPr>
              <w:jc w:val="center"/>
              <w:ind w:left="331"/>
              <w:spacing w:after="0"/>
              <w:rPr>
                <w:sz w:val="20"/>
                <w:szCs w:val="20"/>
                <w:color w:val="auto"/>
              </w:rPr>
            </w:pPr>
            <w:r>
              <w:rPr>
                <w:rFonts w:ascii="Arial" w:cs="Arial" w:eastAsia="Arial" w:hAnsi="Arial"/>
                <w:sz w:val="13"/>
                <w:szCs w:val="13"/>
                <w:b w:val="1"/>
                <w:bCs w:val="1"/>
                <w:color w:val="auto"/>
                <w:w w:val="97"/>
              </w:rPr>
              <w:t>Other</w:t>
            </w:r>
          </w:p>
        </w:tc>
      </w:tr>
      <w:tr>
        <w:trPr>
          <w:trHeight w:val="225"/>
        </w:trPr>
        <w:tc>
          <w:tcPr>
            <w:tcW w:w="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Termination Due to</w:t>
            </w:r>
          </w:p>
        </w:tc>
        <w:tc>
          <w:tcPr>
            <w:tcW w:w="2320" w:type="dxa"/>
            <w:vAlign w:val="bottom"/>
          </w:tcPr>
          <w:p>
            <w:pPr>
              <w:jc w:val="center"/>
              <w:ind w:left="190"/>
              <w:spacing w:after="0"/>
              <w:rPr>
                <w:sz w:val="20"/>
                <w:szCs w:val="20"/>
                <w:color w:val="auto"/>
              </w:rPr>
            </w:pPr>
            <w:r>
              <w:rPr>
                <w:rFonts w:ascii="Arial" w:cs="Arial" w:eastAsia="Arial" w:hAnsi="Arial"/>
                <w:sz w:val="13"/>
                <w:szCs w:val="13"/>
                <w:b w:val="1"/>
                <w:bCs w:val="1"/>
                <w:color w:val="auto"/>
                <w:w w:val="95"/>
              </w:rPr>
              <w:t>6 Months after Grant)</w:t>
            </w:r>
          </w:p>
        </w:tc>
        <w:tc>
          <w:tcPr>
            <w:tcW w:w="2400" w:type="dxa"/>
            <w:vAlign w:val="bottom"/>
          </w:tcPr>
          <w:p>
            <w:pPr>
              <w:jc w:val="center"/>
              <w:ind w:left="129"/>
              <w:spacing w:after="0"/>
              <w:rPr>
                <w:sz w:val="20"/>
                <w:szCs w:val="20"/>
                <w:color w:val="auto"/>
              </w:rPr>
            </w:pPr>
            <w:r>
              <w:rPr>
                <w:rFonts w:ascii="Arial" w:cs="Arial" w:eastAsia="Arial" w:hAnsi="Arial"/>
                <w:sz w:val="13"/>
                <w:szCs w:val="13"/>
                <w:b w:val="1"/>
                <w:bCs w:val="1"/>
                <w:color w:val="auto"/>
                <w:w w:val="95"/>
              </w:rPr>
              <w:t>with 20 Years of Credited</w:t>
            </w:r>
          </w:p>
        </w:tc>
        <w:tc>
          <w:tcPr>
            <w:tcW w:w="2100" w:type="dxa"/>
            <w:vAlign w:val="bottom"/>
          </w:tcPr>
          <w:p>
            <w:pPr>
              <w:jc w:val="center"/>
              <w:ind w:left="313"/>
              <w:spacing w:after="0"/>
              <w:rPr>
                <w:sz w:val="20"/>
                <w:szCs w:val="20"/>
                <w:color w:val="auto"/>
              </w:rPr>
            </w:pPr>
            <w:r>
              <w:rPr>
                <w:rFonts w:ascii="Arial" w:cs="Arial" w:eastAsia="Arial" w:hAnsi="Arial"/>
                <w:sz w:val="13"/>
                <w:szCs w:val="13"/>
                <w:b w:val="1"/>
                <w:bCs w:val="1"/>
                <w:color w:val="auto"/>
                <w:w w:val="97"/>
              </w:rPr>
              <w:t>Employment</w:t>
            </w:r>
          </w:p>
        </w:tc>
        <w:tc>
          <w:tcPr>
            <w:tcW w:w="2500" w:type="dxa"/>
            <w:vAlign w:val="bottom"/>
          </w:tcPr>
          <w:p>
            <w:pPr>
              <w:jc w:val="center"/>
              <w:ind w:left="331"/>
              <w:spacing w:after="0"/>
              <w:rPr>
                <w:sz w:val="20"/>
                <w:szCs w:val="20"/>
                <w:color w:val="auto"/>
              </w:rPr>
            </w:pPr>
            <w:r>
              <w:rPr>
                <w:rFonts w:ascii="Arial" w:cs="Arial" w:eastAsia="Arial" w:hAnsi="Arial"/>
                <w:sz w:val="13"/>
                <w:szCs w:val="13"/>
                <w:b w:val="1"/>
                <w:bCs w:val="1"/>
                <w:color w:val="auto"/>
                <w:w w:val="96"/>
              </w:rPr>
              <w:t>Circumstances</w:t>
            </w:r>
          </w:p>
        </w:tc>
      </w:tr>
      <w:tr>
        <w:trPr>
          <w:trHeight w:val="225"/>
        </w:trPr>
        <w:tc>
          <w:tcPr>
            <w:tcW w:w="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Death or Permanent</w:t>
            </w:r>
          </w:p>
        </w:tc>
        <w:tc>
          <w:tcPr>
            <w:tcW w:w="2320" w:type="dxa"/>
            <w:vAlign w:val="bottom"/>
          </w:tcPr>
          <w:p>
            <w:pPr>
              <w:jc w:val="center"/>
              <w:ind w:left="170"/>
              <w:spacing w:after="0"/>
              <w:rPr>
                <w:sz w:val="20"/>
                <w:szCs w:val="20"/>
                <w:color w:val="auto"/>
              </w:rPr>
            </w:pPr>
            <w:r>
              <w:rPr>
                <w:rFonts w:ascii="Arial" w:cs="Arial" w:eastAsia="Arial" w:hAnsi="Arial"/>
                <w:sz w:val="13"/>
                <w:szCs w:val="13"/>
                <w:b w:val="1"/>
                <w:bCs w:val="1"/>
                <w:color w:val="auto"/>
                <w:w w:val="97"/>
              </w:rPr>
              <w:t>When Retirement</w:t>
            </w:r>
          </w:p>
        </w:tc>
        <w:tc>
          <w:tcPr>
            <w:tcW w:w="2400" w:type="dxa"/>
            <w:vAlign w:val="bottom"/>
          </w:tcPr>
          <w:p>
            <w:pPr>
              <w:jc w:val="center"/>
              <w:ind w:left="129"/>
              <w:spacing w:after="0"/>
              <w:rPr>
                <w:sz w:val="20"/>
                <w:szCs w:val="20"/>
                <w:color w:val="auto"/>
              </w:rPr>
            </w:pPr>
            <w:r>
              <w:rPr>
                <w:rFonts w:ascii="Arial" w:cs="Arial" w:eastAsia="Arial" w:hAnsi="Arial"/>
                <w:sz w:val="13"/>
                <w:szCs w:val="13"/>
                <w:b w:val="1"/>
                <w:bCs w:val="1"/>
                <w:color w:val="auto"/>
                <w:w w:val="96"/>
              </w:rPr>
              <w:t>Service, but Not Retirement</w:t>
            </w:r>
          </w:p>
        </w:tc>
        <w:tc>
          <w:tcPr>
            <w:tcW w:w="2100" w:type="dxa"/>
            <w:vAlign w:val="bottom"/>
          </w:tcPr>
          <w:p>
            <w:pPr>
              <w:jc w:val="center"/>
              <w:ind w:left="313"/>
              <w:spacing w:after="0"/>
              <w:rPr>
                <w:sz w:val="20"/>
                <w:szCs w:val="20"/>
                <w:color w:val="auto"/>
              </w:rPr>
            </w:pPr>
            <w:r>
              <w:rPr>
                <w:rFonts w:ascii="Arial" w:cs="Arial" w:eastAsia="Arial" w:hAnsi="Arial"/>
                <w:sz w:val="13"/>
                <w:szCs w:val="13"/>
                <w:b w:val="1"/>
                <w:bCs w:val="1"/>
                <w:color w:val="auto"/>
                <w:w w:val="96"/>
              </w:rPr>
              <w:t>Termination for</w:t>
            </w:r>
          </w:p>
        </w:tc>
        <w:tc>
          <w:tcPr>
            <w:tcW w:w="2500" w:type="dxa"/>
            <w:vAlign w:val="bottom"/>
          </w:tcPr>
          <w:p>
            <w:pPr>
              <w:jc w:val="center"/>
              <w:ind w:left="331"/>
              <w:spacing w:after="0"/>
              <w:rPr>
                <w:sz w:val="20"/>
                <w:szCs w:val="20"/>
                <w:color w:val="auto"/>
              </w:rPr>
            </w:pPr>
            <w:r>
              <w:rPr>
                <w:rFonts w:ascii="Arial" w:cs="Arial" w:eastAsia="Arial" w:hAnsi="Arial"/>
                <w:sz w:val="13"/>
                <w:szCs w:val="13"/>
                <w:b w:val="1"/>
                <w:bCs w:val="1"/>
                <w:color w:val="auto"/>
                <w:w w:val="95"/>
              </w:rPr>
              <w:t>of Employment</w:t>
            </w:r>
          </w:p>
        </w:tc>
      </w:tr>
      <w:tr>
        <w:trPr>
          <w:trHeight w:val="225"/>
        </w:trPr>
        <w:tc>
          <w:tcPr>
            <w:tcW w:w="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6"/>
              </w:rPr>
              <w:t>Disability</w:t>
            </w:r>
          </w:p>
        </w:tc>
        <w:tc>
          <w:tcPr>
            <w:tcW w:w="2320" w:type="dxa"/>
            <w:vAlign w:val="bottom"/>
          </w:tcPr>
          <w:p>
            <w:pPr>
              <w:jc w:val="center"/>
              <w:ind w:left="170"/>
              <w:spacing w:after="0"/>
              <w:rPr>
                <w:sz w:val="20"/>
                <w:szCs w:val="20"/>
                <w:color w:val="auto"/>
              </w:rPr>
            </w:pPr>
            <w:r>
              <w:rPr>
                <w:rFonts w:ascii="Arial" w:cs="Arial" w:eastAsia="Arial" w:hAnsi="Arial"/>
                <w:sz w:val="13"/>
                <w:szCs w:val="13"/>
                <w:b w:val="1"/>
                <w:bCs w:val="1"/>
                <w:color w:val="auto"/>
                <w:w w:val="93"/>
              </w:rPr>
              <w:t>Eligible*</w:t>
            </w:r>
          </w:p>
        </w:tc>
        <w:tc>
          <w:tcPr>
            <w:tcW w:w="2400" w:type="dxa"/>
            <w:vAlign w:val="bottom"/>
          </w:tcPr>
          <w:p>
            <w:pPr>
              <w:jc w:val="center"/>
              <w:ind w:left="149"/>
              <w:spacing w:after="0"/>
              <w:rPr>
                <w:sz w:val="20"/>
                <w:szCs w:val="20"/>
                <w:color w:val="auto"/>
              </w:rPr>
            </w:pPr>
            <w:r>
              <w:rPr>
                <w:rFonts w:ascii="Arial" w:cs="Arial" w:eastAsia="Arial" w:hAnsi="Arial"/>
                <w:sz w:val="13"/>
                <w:szCs w:val="13"/>
                <w:b w:val="1"/>
                <w:bCs w:val="1"/>
                <w:color w:val="auto"/>
                <w:w w:val="95"/>
              </w:rPr>
              <w:t>Eligible**</w:t>
            </w:r>
          </w:p>
        </w:tc>
        <w:tc>
          <w:tcPr>
            <w:tcW w:w="210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Cause</w:t>
            </w:r>
          </w:p>
        </w:tc>
        <w:tc>
          <w:tcPr>
            <w:tcW w:w="2500" w:type="dxa"/>
            <w:vAlign w:val="bottom"/>
          </w:tcPr>
          <w:p>
            <w:pPr>
              <w:jc w:val="center"/>
              <w:ind w:left="331"/>
              <w:spacing w:after="0"/>
              <w:rPr>
                <w:sz w:val="20"/>
                <w:szCs w:val="20"/>
                <w:color w:val="auto"/>
              </w:rPr>
            </w:pPr>
            <w:r>
              <w:rPr>
                <w:rFonts w:ascii="Arial" w:cs="Arial" w:eastAsia="Arial" w:hAnsi="Arial"/>
                <w:sz w:val="13"/>
                <w:szCs w:val="13"/>
                <w:b w:val="1"/>
                <w:bCs w:val="1"/>
                <w:color w:val="auto"/>
                <w:w w:val="94"/>
              </w:rPr>
              <w:t>Termination</w:t>
            </w:r>
          </w:p>
        </w:tc>
      </w:tr>
      <w:tr>
        <w:trPr>
          <w:trHeight w:val="29"/>
        </w:trPr>
        <w:tc>
          <w:tcPr>
            <w:tcW w:w="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2080" w:type="dxa"/>
            <w:vAlign w:val="bottom"/>
            <w:shd w:val="clear" w:color="auto" w:fill="E9E9E9"/>
          </w:tcPr>
          <w:p>
            <w:pPr>
              <w:spacing w:after="0" w:line="163" w:lineRule="exact"/>
              <w:rPr>
                <w:sz w:val="20"/>
                <w:szCs w:val="20"/>
                <w:color w:val="auto"/>
              </w:rPr>
            </w:pPr>
            <w:r>
              <w:rPr>
                <w:rFonts w:ascii="Arial" w:cs="Arial" w:eastAsia="Arial" w:hAnsi="Arial"/>
                <w:sz w:val="16"/>
                <w:szCs w:val="16"/>
                <w:color w:val="auto"/>
              </w:rPr>
              <w:t>Vesting continues; option</w:t>
            </w:r>
          </w:p>
        </w:tc>
        <w:tc>
          <w:tcPr>
            <w:tcW w:w="2320" w:type="dxa"/>
            <w:vAlign w:val="bottom"/>
            <w:shd w:val="clear" w:color="auto" w:fill="E9E9E9"/>
          </w:tcPr>
          <w:p>
            <w:pPr>
              <w:ind w:left="220"/>
              <w:spacing w:after="0" w:line="163" w:lineRule="exact"/>
              <w:rPr>
                <w:sz w:val="20"/>
                <w:szCs w:val="20"/>
                <w:color w:val="auto"/>
              </w:rPr>
            </w:pPr>
            <w:r>
              <w:rPr>
                <w:rFonts w:ascii="Arial" w:cs="Arial" w:eastAsia="Arial" w:hAnsi="Arial"/>
                <w:sz w:val="16"/>
                <w:szCs w:val="16"/>
                <w:color w:val="auto"/>
              </w:rPr>
              <w:t>Vesting continues; option</w:t>
            </w:r>
          </w:p>
        </w:tc>
        <w:tc>
          <w:tcPr>
            <w:tcW w:w="2400" w:type="dxa"/>
            <w:vAlign w:val="bottom"/>
            <w:shd w:val="clear" w:color="auto" w:fill="E9E9E9"/>
          </w:tcPr>
          <w:p>
            <w:pPr>
              <w:ind w:left="240"/>
              <w:spacing w:after="0" w:line="163" w:lineRule="exact"/>
              <w:rPr>
                <w:sz w:val="20"/>
                <w:szCs w:val="20"/>
                <w:color w:val="auto"/>
              </w:rPr>
            </w:pPr>
            <w:r>
              <w:rPr>
                <w:rFonts w:ascii="Arial" w:cs="Arial" w:eastAsia="Arial" w:hAnsi="Arial"/>
                <w:sz w:val="16"/>
                <w:szCs w:val="16"/>
                <w:color w:val="auto"/>
              </w:rPr>
              <w:t>Option remains in effect to</w:t>
            </w:r>
          </w:p>
        </w:tc>
        <w:tc>
          <w:tcPr>
            <w:tcW w:w="2100" w:type="dxa"/>
            <w:vAlign w:val="bottom"/>
            <w:shd w:val="clear" w:color="auto" w:fill="E9E9E9"/>
          </w:tcPr>
          <w:p>
            <w:pPr>
              <w:ind w:left="180"/>
              <w:spacing w:after="0" w:line="163" w:lineRule="exact"/>
              <w:rPr>
                <w:sz w:val="20"/>
                <w:szCs w:val="20"/>
                <w:color w:val="auto"/>
              </w:rPr>
            </w:pPr>
            <w:r>
              <w:rPr>
                <w:rFonts w:ascii="Arial" w:cs="Arial" w:eastAsia="Arial" w:hAnsi="Arial"/>
                <w:sz w:val="16"/>
                <w:szCs w:val="16"/>
                <w:color w:val="auto"/>
              </w:rPr>
              <w:t>Option cancels</w:t>
            </w:r>
          </w:p>
        </w:tc>
        <w:tc>
          <w:tcPr>
            <w:tcW w:w="2500" w:type="dxa"/>
            <w:vAlign w:val="bottom"/>
            <w:shd w:val="clear" w:color="auto" w:fill="E9E9E9"/>
          </w:tcPr>
          <w:p>
            <w:pPr>
              <w:ind w:left="400"/>
              <w:spacing w:after="0" w:line="163" w:lineRule="exact"/>
              <w:rPr>
                <w:sz w:val="20"/>
                <w:szCs w:val="20"/>
                <w:color w:val="auto"/>
              </w:rPr>
            </w:pPr>
            <w:r>
              <w:rPr>
                <w:rFonts w:ascii="Arial" w:cs="Arial" w:eastAsia="Arial" w:hAnsi="Arial"/>
                <w:sz w:val="16"/>
                <w:szCs w:val="16"/>
                <w:color w:val="auto"/>
              </w:rPr>
              <w:t>Option remains exercisable</w:t>
            </w:r>
          </w:p>
        </w:tc>
      </w:tr>
      <w:tr>
        <w:trPr>
          <w:trHeight w:val="188"/>
        </w:trPr>
        <w:tc>
          <w:tcPr>
            <w:tcW w:w="20" w:type="dxa"/>
            <w:vAlign w:val="bottom"/>
          </w:tcPr>
          <w:p>
            <w:pPr>
              <w:spacing w:after="0"/>
              <w:rPr>
                <w:sz w:val="16"/>
                <w:szCs w:val="16"/>
                <w:color w:val="auto"/>
              </w:rPr>
            </w:pPr>
          </w:p>
        </w:tc>
        <w:tc>
          <w:tcPr>
            <w:tcW w:w="2080" w:type="dxa"/>
            <w:vAlign w:val="bottom"/>
            <w:shd w:val="clear" w:color="auto" w:fill="E9E9E9"/>
          </w:tcPr>
          <w:p>
            <w:pPr>
              <w:spacing w:after="0"/>
              <w:rPr>
                <w:sz w:val="20"/>
                <w:szCs w:val="20"/>
                <w:color w:val="auto"/>
              </w:rPr>
            </w:pPr>
            <w:r>
              <w:rPr>
                <w:rFonts w:ascii="Arial" w:cs="Arial" w:eastAsia="Arial" w:hAnsi="Arial"/>
                <w:sz w:val="16"/>
                <w:szCs w:val="16"/>
                <w:color w:val="auto"/>
              </w:rPr>
              <w:t>remains in effect to end of</w:t>
            </w:r>
          </w:p>
        </w:tc>
        <w:tc>
          <w:tcPr>
            <w:tcW w:w="2320" w:type="dxa"/>
            <w:vAlign w:val="bottom"/>
            <w:shd w:val="clear" w:color="auto" w:fill="E9E9E9"/>
          </w:tcPr>
          <w:p>
            <w:pPr>
              <w:ind w:left="220"/>
              <w:spacing w:after="0"/>
              <w:rPr>
                <w:sz w:val="20"/>
                <w:szCs w:val="20"/>
                <w:color w:val="auto"/>
              </w:rPr>
            </w:pPr>
            <w:r>
              <w:rPr>
                <w:rFonts w:ascii="Arial" w:cs="Arial" w:eastAsia="Arial" w:hAnsi="Arial"/>
                <w:sz w:val="16"/>
                <w:szCs w:val="16"/>
                <w:color w:val="auto"/>
              </w:rPr>
              <w:t>remains in effect to end of</w:t>
            </w:r>
          </w:p>
        </w:tc>
        <w:tc>
          <w:tcPr>
            <w:tcW w:w="240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the end of the term; vesting</w:t>
            </w:r>
          </w:p>
        </w:tc>
        <w:tc>
          <w:tcPr>
            <w:tcW w:w="2100" w:type="dxa"/>
            <w:vAlign w:val="bottom"/>
            <w:shd w:val="clear" w:color="auto" w:fill="E9E9E9"/>
          </w:tcPr>
          <w:p>
            <w:pPr>
              <w:spacing w:after="0"/>
              <w:rPr>
                <w:sz w:val="16"/>
                <w:szCs w:val="16"/>
                <w:color w:val="auto"/>
              </w:rPr>
            </w:pPr>
          </w:p>
        </w:tc>
        <w:tc>
          <w:tcPr>
            <w:tcW w:w="2500" w:type="dxa"/>
            <w:vAlign w:val="bottom"/>
            <w:shd w:val="clear" w:color="auto" w:fill="E9E9E9"/>
          </w:tcPr>
          <w:p>
            <w:pPr>
              <w:ind w:left="400"/>
              <w:spacing w:after="0"/>
              <w:rPr>
                <w:sz w:val="20"/>
                <w:szCs w:val="20"/>
                <w:color w:val="auto"/>
              </w:rPr>
            </w:pPr>
            <w:r>
              <w:rPr>
                <w:rFonts w:ascii="Arial" w:cs="Arial" w:eastAsia="Arial" w:hAnsi="Arial"/>
                <w:sz w:val="16"/>
                <w:szCs w:val="16"/>
                <w:color w:val="auto"/>
              </w:rPr>
              <w:t>for 30 days</w:t>
            </w:r>
          </w:p>
        </w:tc>
      </w:tr>
      <w:tr>
        <w:trPr>
          <w:trHeight w:val="188"/>
        </w:trPr>
        <w:tc>
          <w:tcPr>
            <w:tcW w:w="20" w:type="dxa"/>
            <w:vAlign w:val="bottom"/>
          </w:tcPr>
          <w:p>
            <w:pPr>
              <w:spacing w:after="0"/>
              <w:rPr>
                <w:sz w:val="16"/>
                <w:szCs w:val="16"/>
                <w:color w:val="auto"/>
              </w:rPr>
            </w:pPr>
          </w:p>
        </w:tc>
        <w:tc>
          <w:tcPr>
            <w:tcW w:w="2080" w:type="dxa"/>
            <w:vAlign w:val="bottom"/>
            <w:shd w:val="clear" w:color="auto" w:fill="E9E9E9"/>
          </w:tcPr>
          <w:p>
            <w:pPr>
              <w:spacing w:after="0"/>
              <w:rPr>
                <w:sz w:val="20"/>
                <w:szCs w:val="20"/>
                <w:color w:val="auto"/>
              </w:rPr>
            </w:pPr>
            <w:r>
              <w:rPr>
                <w:rFonts w:ascii="Arial" w:cs="Arial" w:eastAsia="Arial" w:hAnsi="Arial"/>
                <w:sz w:val="16"/>
                <w:szCs w:val="16"/>
                <w:color w:val="auto"/>
              </w:rPr>
              <w:t>term</w:t>
            </w:r>
          </w:p>
        </w:tc>
        <w:tc>
          <w:tcPr>
            <w:tcW w:w="2320" w:type="dxa"/>
            <w:vAlign w:val="bottom"/>
            <w:shd w:val="clear" w:color="auto" w:fill="E9E9E9"/>
          </w:tcPr>
          <w:p>
            <w:pPr>
              <w:ind w:left="220"/>
              <w:spacing w:after="0"/>
              <w:rPr>
                <w:sz w:val="20"/>
                <w:szCs w:val="20"/>
                <w:color w:val="auto"/>
              </w:rPr>
            </w:pPr>
            <w:r>
              <w:rPr>
                <w:rFonts w:ascii="Arial" w:cs="Arial" w:eastAsia="Arial" w:hAnsi="Arial"/>
                <w:sz w:val="16"/>
                <w:szCs w:val="16"/>
                <w:color w:val="auto"/>
              </w:rPr>
              <w:t>term</w:t>
            </w:r>
          </w:p>
        </w:tc>
        <w:tc>
          <w:tcPr>
            <w:tcW w:w="2400" w:type="dxa"/>
            <w:vAlign w:val="bottom"/>
            <w:shd w:val="clear" w:color="auto" w:fill="E9E9E9"/>
          </w:tcPr>
          <w:p>
            <w:pPr>
              <w:ind w:left="240"/>
              <w:spacing w:after="0"/>
              <w:rPr>
                <w:sz w:val="20"/>
                <w:szCs w:val="20"/>
                <w:color w:val="auto"/>
              </w:rPr>
            </w:pPr>
            <w:r>
              <w:rPr>
                <w:rFonts w:ascii="Arial" w:cs="Arial" w:eastAsia="Arial" w:hAnsi="Arial"/>
                <w:sz w:val="16"/>
                <w:szCs w:val="16"/>
                <w:color w:val="auto"/>
              </w:rPr>
              <w:t>does not continue after</w:t>
            </w:r>
          </w:p>
        </w:tc>
        <w:tc>
          <w:tcPr>
            <w:tcW w:w="2100" w:type="dxa"/>
            <w:vAlign w:val="bottom"/>
            <w:shd w:val="clear" w:color="auto" w:fill="E9E9E9"/>
          </w:tcPr>
          <w:p>
            <w:pPr>
              <w:spacing w:after="0"/>
              <w:rPr>
                <w:sz w:val="16"/>
                <w:szCs w:val="16"/>
                <w:color w:val="auto"/>
              </w:rPr>
            </w:pPr>
          </w:p>
        </w:tc>
        <w:tc>
          <w:tcPr>
            <w:tcW w:w="2500" w:type="dxa"/>
            <w:vAlign w:val="bottom"/>
            <w:shd w:val="clear" w:color="auto" w:fill="E9E9E9"/>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080" w:type="dxa"/>
            <w:vAlign w:val="bottom"/>
            <w:shd w:val="clear" w:color="auto" w:fill="E9E9E9"/>
          </w:tcPr>
          <w:p>
            <w:pPr>
              <w:spacing w:after="0"/>
              <w:rPr>
                <w:sz w:val="17"/>
                <w:szCs w:val="17"/>
                <w:color w:val="auto"/>
              </w:rPr>
            </w:pPr>
          </w:p>
        </w:tc>
        <w:tc>
          <w:tcPr>
            <w:tcW w:w="2320" w:type="dxa"/>
            <w:vAlign w:val="bottom"/>
            <w:shd w:val="clear" w:color="auto" w:fill="E9E9E9"/>
          </w:tcPr>
          <w:p>
            <w:pPr>
              <w:spacing w:after="0"/>
              <w:rPr>
                <w:sz w:val="17"/>
                <w:szCs w:val="17"/>
                <w:color w:val="auto"/>
              </w:rPr>
            </w:pPr>
          </w:p>
        </w:tc>
        <w:tc>
          <w:tcPr>
            <w:tcW w:w="2400" w:type="dxa"/>
            <w:vAlign w:val="bottom"/>
            <w:shd w:val="clear" w:color="auto" w:fill="E9E9E9"/>
          </w:tcPr>
          <w:p>
            <w:pPr>
              <w:ind w:left="240"/>
              <w:spacing w:after="0"/>
              <w:rPr>
                <w:sz w:val="20"/>
                <w:szCs w:val="20"/>
                <w:color w:val="auto"/>
              </w:rPr>
            </w:pPr>
            <w:r>
              <w:rPr>
                <w:rFonts w:ascii="Arial" w:cs="Arial" w:eastAsia="Arial" w:hAnsi="Arial"/>
                <w:sz w:val="16"/>
                <w:szCs w:val="16"/>
                <w:color w:val="auto"/>
              </w:rPr>
              <w:t>employment termination</w:t>
            </w:r>
          </w:p>
        </w:tc>
        <w:tc>
          <w:tcPr>
            <w:tcW w:w="2100" w:type="dxa"/>
            <w:vAlign w:val="bottom"/>
            <w:shd w:val="clear" w:color="auto" w:fill="E9E9E9"/>
          </w:tcPr>
          <w:p>
            <w:pPr>
              <w:spacing w:after="0"/>
              <w:rPr>
                <w:sz w:val="17"/>
                <w:szCs w:val="17"/>
                <w:color w:val="auto"/>
              </w:rPr>
            </w:pPr>
          </w:p>
        </w:tc>
        <w:tc>
          <w:tcPr>
            <w:tcW w:w="2500" w:type="dxa"/>
            <w:vAlign w:val="bottom"/>
            <w:shd w:val="clear" w:color="auto" w:fill="E9E9E9"/>
          </w:tcPr>
          <w:p>
            <w:pPr>
              <w:spacing w:after="0"/>
              <w:rPr>
                <w:sz w:val="17"/>
                <w:szCs w:val="17"/>
                <w:color w:val="auto"/>
              </w:rPr>
            </w:pPr>
          </w:p>
        </w:tc>
      </w:tr>
    </w:tbl>
    <w:p>
      <w:pPr>
        <w:spacing w:after="0" w:line="208" w:lineRule="exact"/>
        <w:rPr>
          <w:sz w:val="20"/>
          <w:szCs w:val="20"/>
          <w:color w:val="auto"/>
        </w:rPr>
      </w:pPr>
    </w:p>
    <w:p>
      <w:pPr>
        <w:ind w:left="340" w:right="80" w:hanging="340"/>
        <w:spacing w:after="0" w:line="290"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Defined for purposes of equity awards made after 2012 as at least age 55 with 10 or more years of TI service or at least age 65. For awards made before 2013, the definition of normal or early retirement eligibility in the relevant pension plan applies (see page 87).</w:t>
      </w:r>
    </w:p>
    <w:p>
      <w:pPr>
        <w:spacing w:after="0" w:line="156" w:lineRule="exact"/>
        <w:rPr>
          <w:sz w:val="20"/>
          <w:szCs w:val="20"/>
          <w:color w:val="auto"/>
        </w:rPr>
      </w:pPr>
    </w:p>
    <w:p>
      <w:pPr>
        <w:ind w:left="340" w:hanging="340"/>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provision is not applicable to grants made after 2012.</w:t>
      </w:r>
    </w:p>
    <w:p>
      <w:pPr>
        <w:spacing w:after="0" w:line="204"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color w:val="auto"/>
        </w:rPr>
        <w:t>Options may be cancelled if the grantee competes with TI during the two years after employment termination or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or disclosure of our confidential information.</w:t>
      </w:r>
    </w:p>
    <w:p>
      <w:pPr>
        <w:spacing w:after="0" w:line="3" w:lineRule="exact"/>
        <w:rPr>
          <w:sz w:val="20"/>
          <w:szCs w:val="20"/>
          <w:color w:val="auto"/>
        </w:rPr>
      </w:pPr>
    </w:p>
    <w:p>
      <w:pPr>
        <w:ind w:right="120" w:firstLine="250"/>
        <w:spacing w:after="0" w:line="250" w:lineRule="auto"/>
        <w:rPr>
          <w:sz w:val="20"/>
          <w:szCs w:val="20"/>
          <w:color w:val="auto"/>
        </w:rPr>
      </w:pPr>
      <w:r>
        <w:rPr>
          <w:rFonts w:ascii="Arial" w:cs="Arial" w:eastAsia="Arial" w:hAnsi="Arial"/>
          <w:sz w:val="16"/>
          <w:szCs w:val="16"/>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203"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2" w:name="page33"/>
    <w:bookmarkEnd w:id="32"/>
    <w:p>
      <w:pPr>
        <w:ind w:right="120"/>
        <w:spacing w:after="0" w:line="259"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Stock Awards</w:t>
      </w:r>
      <w:r>
        <w:rPr>
          <w:rFonts w:ascii="Arial" w:cs="Arial" w:eastAsia="Arial" w:hAnsi="Arial"/>
          <w:sz w:val="16"/>
          <w:szCs w:val="16"/>
          <w:color w:val="auto"/>
        </w:rPr>
        <w:t>” in the table of outstanding equity awards at fiscal year-end 2013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 The table below shows the termination provisions of RSUs outstanding as of December 31,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3"/>
                <w:szCs w:val="13"/>
                <w:b w:val="1"/>
                <w:bCs w:val="1"/>
                <w:color w:val="auto"/>
                <w:w w:val="96"/>
              </w:rPr>
              <w:t>Employment Termination</w:t>
            </w:r>
          </w:p>
        </w:tc>
        <w:tc>
          <w:tcPr>
            <w:tcW w:w="1700" w:type="dxa"/>
            <w:vAlign w:val="bottom"/>
          </w:tcPr>
          <w:p>
            <w:pPr>
              <w:jc w:val="right"/>
              <w:ind w:right="290"/>
              <w:spacing w:after="0"/>
              <w:rPr>
                <w:sz w:val="20"/>
                <w:szCs w:val="20"/>
                <w:color w:val="auto"/>
              </w:rPr>
            </w:pPr>
            <w:r>
              <w:rPr>
                <w:rFonts w:ascii="Arial" w:cs="Arial" w:eastAsia="Arial" w:hAnsi="Arial"/>
                <w:sz w:val="13"/>
                <w:szCs w:val="13"/>
                <w:b w:val="1"/>
                <w:bCs w:val="1"/>
                <w:color w:val="auto"/>
              </w:rPr>
              <w:t>Employment</w:t>
            </w:r>
          </w:p>
        </w:tc>
        <w:tc>
          <w:tcPr>
            <w:tcW w:w="1840" w:type="dxa"/>
            <w:vAlign w:val="bottom"/>
          </w:tcPr>
          <w:p>
            <w:pPr>
              <w:ind w:left="280"/>
              <w:spacing w:after="0"/>
              <w:rPr>
                <w:sz w:val="20"/>
                <w:szCs w:val="20"/>
                <w:color w:val="auto"/>
              </w:rPr>
            </w:pPr>
            <w:r>
              <w:rPr>
                <w:rFonts w:ascii="Arial" w:cs="Arial" w:eastAsia="Arial" w:hAnsi="Arial"/>
                <w:sz w:val="13"/>
                <w:szCs w:val="13"/>
                <w:b w:val="1"/>
                <w:bCs w:val="1"/>
                <w:color w:val="auto"/>
              </w:rPr>
              <w:t>Other Circumstances</w:t>
            </w:r>
          </w:p>
        </w:tc>
      </w:tr>
      <w:tr>
        <w:trPr>
          <w:trHeight w:val="225"/>
        </w:trPr>
        <w:tc>
          <w:tcPr>
            <w:tcW w:w="20" w:type="dxa"/>
            <w:vAlign w:val="bottom"/>
          </w:tcPr>
          <w:p>
            <w:pPr>
              <w:spacing w:after="0"/>
              <w:rPr>
                <w:sz w:val="19"/>
                <w:szCs w:val="19"/>
                <w:color w:val="auto"/>
              </w:rPr>
            </w:pPr>
          </w:p>
        </w:tc>
        <w:tc>
          <w:tcPr>
            <w:tcW w:w="2300" w:type="dxa"/>
            <w:vAlign w:val="bottom"/>
          </w:tcPr>
          <w:p>
            <w:pPr>
              <w:ind w:left="340"/>
              <w:spacing w:after="0"/>
              <w:rPr>
                <w:sz w:val="20"/>
                <w:szCs w:val="20"/>
                <w:color w:val="auto"/>
              </w:rPr>
            </w:pPr>
            <w:r>
              <w:rPr>
                <w:rFonts w:ascii="Arial" w:cs="Arial" w:eastAsia="Arial" w:hAnsi="Arial"/>
                <w:sz w:val="13"/>
                <w:szCs w:val="13"/>
                <w:b w:val="1"/>
                <w:bCs w:val="1"/>
                <w:color w:val="auto"/>
              </w:rPr>
              <w:t>Employment Termination</w:t>
            </w:r>
          </w:p>
        </w:tc>
        <w:tc>
          <w:tcPr>
            <w:tcW w:w="5560" w:type="dxa"/>
            <w:vAlign w:val="bottom"/>
          </w:tcPr>
          <w:p>
            <w:pPr>
              <w:jc w:val="center"/>
              <w:spacing w:after="0"/>
              <w:rPr>
                <w:sz w:val="20"/>
                <w:szCs w:val="20"/>
                <w:color w:val="auto"/>
              </w:rPr>
            </w:pPr>
            <w:r>
              <w:rPr>
                <w:rFonts w:ascii="Arial" w:cs="Arial" w:eastAsia="Arial" w:hAnsi="Arial"/>
                <w:sz w:val="13"/>
                <w:szCs w:val="13"/>
                <w:b w:val="1"/>
                <w:bCs w:val="1"/>
                <w:color w:val="auto"/>
                <w:w w:val="96"/>
              </w:rPr>
              <w:t>(at Least 6 Months after Grant)</w:t>
            </w:r>
          </w:p>
        </w:tc>
        <w:tc>
          <w:tcPr>
            <w:tcW w:w="1700" w:type="dxa"/>
            <w:vAlign w:val="bottom"/>
          </w:tcPr>
          <w:p>
            <w:pPr>
              <w:jc w:val="right"/>
              <w:ind w:right="210"/>
              <w:spacing w:after="0"/>
              <w:rPr>
                <w:sz w:val="20"/>
                <w:szCs w:val="20"/>
                <w:color w:val="auto"/>
              </w:rPr>
            </w:pPr>
            <w:r>
              <w:rPr>
                <w:rFonts w:ascii="Arial" w:cs="Arial" w:eastAsia="Arial" w:hAnsi="Arial"/>
                <w:sz w:val="13"/>
                <w:szCs w:val="13"/>
                <w:b w:val="1"/>
                <w:bCs w:val="1"/>
                <w:color w:val="auto"/>
              </w:rPr>
              <w:t>Termination for</w:t>
            </w:r>
          </w:p>
        </w:tc>
        <w:tc>
          <w:tcPr>
            <w:tcW w:w="1840" w:type="dxa"/>
            <w:vAlign w:val="bottom"/>
          </w:tcPr>
          <w:p>
            <w:pPr>
              <w:jc w:val="center"/>
              <w:ind w:left="230"/>
              <w:spacing w:after="0"/>
              <w:rPr>
                <w:sz w:val="20"/>
                <w:szCs w:val="20"/>
                <w:color w:val="auto"/>
              </w:rPr>
            </w:pPr>
            <w:r>
              <w:rPr>
                <w:rFonts w:ascii="Arial" w:cs="Arial" w:eastAsia="Arial" w:hAnsi="Arial"/>
                <w:sz w:val="13"/>
                <w:szCs w:val="13"/>
                <w:b w:val="1"/>
                <w:bCs w:val="1"/>
                <w:color w:val="auto"/>
                <w:w w:val="95"/>
              </w:rPr>
              <w:t>of Employment</w:t>
            </w:r>
          </w:p>
        </w:tc>
      </w:tr>
      <w:tr>
        <w:trPr>
          <w:trHeight w:val="225"/>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3"/>
                <w:szCs w:val="13"/>
                <w:b w:val="1"/>
                <w:bCs w:val="1"/>
                <w:color w:val="auto"/>
                <w:w w:val="99"/>
              </w:rPr>
              <w:t>Due to Death or Permanent Disability</w:t>
            </w:r>
          </w:p>
        </w:tc>
        <w:tc>
          <w:tcPr>
            <w:tcW w:w="5560" w:type="dxa"/>
            <w:vAlign w:val="bottom"/>
          </w:tcPr>
          <w:p>
            <w:pPr>
              <w:jc w:val="center"/>
              <w:spacing w:after="0"/>
              <w:rPr>
                <w:sz w:val="20"/>
                <w:szCs w:val="20"/>
                <w:color w:val="auto"/>
              </w:rPr>
            </w:pPr>
            <w:r>
              <w:rPr>
                <w:rFonts w:ascii="Arial" w:cs="Arial" w:eastAsia="Arial" w:hAnsi="Arial"/>
                <w:sz w:val="13"/>
                <w:szCs w:val="13"/>
                <w:b w:val="1"/>
                <w:bCs w:val="1"/>
                <w:color w:val="auto"/>
                <w:w w:val="95"/>
              </w:rPr>
              <w:t>When Retirement Eligible</w:t>
            </w:r>
          </w:p>
        </w:tc>
        <w:tc>
          <w:tcPr>
            <w:tcW w:w="1700" w:type="dxa"/>
            <w:vAlign w:val="bottom"/>
          </w:tcPr>
          <w:p>
            <w:pPr>
              <w:jc w:val="right"/>
              <w:ind w:right="490"/>
              <w:spacing w:after="0"/>
              <w:rPr>
                <w:sz w:val="20"/>
                <w:szCs w:val="20"/>
                <w:color w:val="auto"/>
              </w:rPr>
            </w:pPr>
            <w:r>
              <w:rPr>
                <w:rFonts w:ascii="Arial" w:cs="Arial" w:eastAsia="Arial" w:hAnsi="Arial"/>
                <w:sz w:val="13"/>
                <w:szCs w:val="13"/>
                <w:b w:val="1"/>
                <w:bCs w:val="1"/>
                <w:color w:val="auto"/>
              </w:rPr>
              <w:t>Cause</w:t>
            </w:r>
          </w:p>
        </w:tc>
        <w:tc>
          <w:tcPr>
            <w:tcW w:w="1840" w:type="dxa"/>
            <w:vAlign w:val="bottom"/>
          </w:tcPr>
          <w:p>
            <w:pPr>
              <w:jc w:val="center"/>
              <w:ind w:left="230"/>
              <w:spacing w:after="0"/>
              <w:rPr>
                <w:sz w:val="20"/>
                <w:szCs w:val="20"/>
                <w:color w:val="auto"/>
              </w:rPr>
            </w:pPr>
            <w:r>
              <w:rPr>
                <w:rFonts w:ascii="Arial" w:cs="Arial" w:eastAsia="Arial" w:hAnsi="Arial"/>
                <w:sz w:val="13"/>
                <w:szCs w:val="13"/>
                <w:b w:val="1"/>
                <w:bCs w:val="1"/>
                <w:color w:val="auto"/>
                <w:w w:val="94"/>
              </w:rPr>
              <w:t>Termination</w:t>
            </w:r>
          </w:p>
        </w:tc>
      </w:tr>
      <w:tr>
        <w:trPr>
          <w:trHeight w:val="29"/>
        </w:trPr>
        <w:tc>
          <w:tcPr>
            <w:tcW w:w="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2300" w:type="dxa"/>
            <w:vAlign w:val="bottom"/>
            <w:shd w:val="clear" w:color="auto" w:fill="E9E9E9"/>
          </w:tcPr>
          <w:p>
            <w:pPr>
              <w:spacing w:after="0" w:line="163" w:lineRule="exact"/>
              <w:rPr>
                <w:sz w:val="20"/>
                <w:szCs w:val="20"/>
                <w:color w:val="auto"/>
              </w:rPr>
            </w:pPr>
            <w:r>
              <w:rPr>
                <w:rFonts w:ascii="Arial" w:cs="Arial" w:eastAsia="Arial" w:hAnsi="Arial"/>
                <w:sz w:val="16"/>
                <w:szCs w:val="16"/>
                <w:color w:val="auto"/>
              </w:rPr>
              <w:t>Vesting continues; shares are</w:t>
            </w:r>
          </w:p>
        </w:tc>
        <w:tc>
          <w:tcPr>
            <w:tcW w:w="5560" w:type="dxa"/>
            <w:vAlign w:val="bottom"/>
            <w:shd w:val="clear" w:color="auto" w:fill="E9E9E9"/>
          </w:tcPr>
          <w:p>
            <w:pPr>
              <w:ind w:left="100"/>
              <w:spacing w:after="0" w:line="163" w:lineRule="exact"/>
              <w:rPr>
                <w:sz w:val="20"/>
                <w:szCs w:val="20"/>
                <w:color w:val="auto"/>
              </w:rPr>
            </w:pPr>
            <w:r>
              <w:rPr>
                <w:rFonts w:ascii="Arial" w:cs="Arial" w:eastAsia="Arial" w:hAnsi="Arial"/>
                <w:sz w:val="16"/>
                <w:szCs w:val="16"/>
                <w:color w:val="auto"/>
              </w:rPr>
              <w:t>For grants made after 2012: Grant stays in effect and pays out shares at</w:t>
            </w:r>
          </w:p>
        </w:tc>
        <w:tc>
          <w:tcPr>
            <w:tcW w:w="1700" w:type="dxa"/>
            <w:vAlign w:val="bottom"/>
            <w:shd w:val="clear" w:color="auto" w:fill="E9E9E9"/>
          </w:tcPr>
          <w:p>
            <w:pPr>
              <w:jc w:val="right"/>
              <w:ind w:right="230"/>
              <w:spacing w:after="0" w:line="163" w:lineRule="exact"/>
              <w:rPr>
                <w:sz w:val="20"/>
                <w:szCs w:val="20"/>
                <w:color w:val="auto"/>
              </w:rPr>
            </w:pPr>
            <w:r>
              <w:rPr>
                <w:rFonts w:ascii="Arial" w:cs="Arial" w:eastAsia="Arial" w:hAnsi="Arial"/>
                <w:sz w:val="16"/>
                <w:szCs w:val="16"/>
                <w:color w:val="auto"/>
              </w:rPr>
              <w:t>Grant cancels; no</w:t>
            </w:r>
          </w:p>
        </w:tc>
        <w:tc>
          <w:tcPr>
            <w:tcW w:w="1840" w:type="dxa"/>
            <w:vAlign w:val="bottom"/>
            <w:shd w:val="clear" w:color="auto" w:fill="E9E9E9"/>
          </w:tcPr>
          <w:p>
            <w:pPr>
              <w:ind w:left="280"/>
              <w:spacing w:after="0" w:line="163" w:lineRule="exact"/>
              <w:rPr>
                <w:sz w:val="20"/>
                <w:szCs w:val="20"/>
                <w:color w:val="auto"/>
              </w:rPr>
            </w:pPr>
            <w:r>
              <w:rPr>
                <w:rFonts w:ascii="Arial" w:cs="Arial" w:eastAsia="Arial" w:hAnsi="Arial"/>
                <w:sz w:val="16"/>
                <w:szCs w:val="16"/>
                <w:color w:val="auto"/>
              </w:rPr>
              <w:t>Grant cancels; no</w:t>
            </w:r>
          </w:p>
        </w:tc>
      </w:tr>
      <w:tr>
        <w:trPr>
          <w:trHeight w:val="188"/>
        </w:trPr>
        <w:tc>
          <w:tcPr>
            <w:tcW w:w="20" w:type="dxa"/>
            <w:vAlign w:val="bottom"/>
          </w:tcPr>
          <w:p>
            <w:pPr>
              <w:spacing w:after="0"/>
              <w:rPr>
                <w:sz w:val="16"/>
                <w:szCs w:val="16"/>
                <w:color w:val="auto"/>
              </w:rPr>
            </w:pPr>
          </w:p>
        </w:tc>
        <w:tc>
          <w:tcPr>
            <w:tcW w:w="2300" w:type="dxa"/>
            <w:vAlign w:val="bottom"/>
            <w:shd w:val="clear" w:color="auto" w:fill="E9E9E9"/>
          </w:tcPr>
          <w:p>
            <w:pPr>
              <w:spacing w:after="0"/>
              <w:rPr>
                <w:sz w:val="20"/>
                <w:szCs w:val="20"/>
                <w:color w:val="auto"/>
              </w:rPr>
            </w:pPr>
            <w:r>
              <w:rPr>
                <w:rFonts w:ascii="Arial" w:cs="Arial" w:eastAsia="Arial" w:hAnsi="Arial"/>
                <w:sz w:val="16"/>
                <w:szCs w:val="16"/>
                <w:color w:val="auto"/>
              </w:rPr>
              <w:t>paid at the scheduled vesting</w:t>
            </w:r>
          </w:p>
        </w:tc>
        <w:tc>
          <w:tcPr>
            <w:tcW w:w="5560" w:type="dxa"/>
            <w:vAlign w:val="bottom"/>
            <w:shd w:val="clear" w:color="auto" w:fill="E9E9E9"/>
          </w:tcPr>
          <w:p>
            <w:pPr>
              <w:ind w:left="100"/>
              <w:spacing w:after="0"/>
              <w:rPr>
                <w:sz w:val="20"/>
                <w:szCs w:val="20"/>
                <w:color w:val="auto"/>
              </w:rPr>
            </w:pPr>
            <w:r>
              <w:rPr>
                <w:rFonts w:ascii="Arial" w:cs="Arial" w:eastAsia="Arial" w:hAnsi="Arial"/>
                <w:sz w:val="16"/>
                <w:szCs w:val="16"/>
                <w:color w:val="auto"/>
              </w:rPr>
              <w:t>the scheduled vesting date.</w:t>
            </w:r>
          </w:p>
        </w:tc>
        <w:tc>
          <w:tcPr>
            <w:tcW w:w="1700" w:type="dxa"/>
            <w:vAlign w:val="bottom"/>
            <w:shd w:val="clear" w:color="auto" w:fill="E9E9E9"/>
          </w:tcPr>
          <w:p>
            <w:pPr>
              <w:jc w:val="right"/>
              <w:ind w:right="210"/>
              <w:spacing w:after="0"/>
              <w:rPr>
                <w:sz w:val="20"/>
                <w:szCs w:val="20"/>
                <w:color w:val="auto"/>
              </w:rPr>
            </w:pPr>
            <w:r>
              <w:rPr>
                <w:rFonts w:ascii="Arial" w:cs="Arial" w:eastAsia="Arial" w:hAnsi="Arial"/>
                <w:sz w:val="16"/>
                <w:szCs w:val="16"/>
                <w:color w:val="auto"/>
              </w:rPr>
              <w:t>shares are issued</w:t>
            </w:r>
          </w:p>
        </w:tc>
        <w:tc>
          <w:tcPr>
            <w:tcW w:w="1840" w:type="dxa"/>
            <w:vAlign w:val="bottom"/>
            <w:shd w:val="clear" w:color="auto" w:fill="E9E9E9"/>
          </w:tcPr>
          <w:p>
            <w:pPr>
              <w:ind w:left="280"/>
              <w:spacing w:after="0"/>
              <w:rPr>
                <w:sz w:val="20"/>
                <w:szCs w:val="20"/>
                <w:color w:val="auto"/>
              </w:rPr>
            </w:pPr>
            <w:r>
              <w:rPr>
                <w:rFonts w:ascii="Arial" w:cs="Arial" w:eastAsia="Arial" w:hAnsi="Arial"/>
                <w:sz w:val="16"/>
                <w:szCs w:val="16"/>
                <w:color w:val="auto"/>
              </w:rPr>
              <w:t>shares are issued</w:t>
            </w:r>
          </w:p>
        </w:tc>
      </w:tr>
      <w:tr>
        <w:trPr>
          <w:trHeight w:val="205"/>
        </w:trPr>
        <w:tc>
          <w:tcPr>
            <w:tcW w:w="20" w:type="dxa"/>
            <w:vAlign w:val="bottom"/>
          </w:tcPr>
          <w:p>
            <w:pPr>
              <w:spacing w:after="0"/>
              <w:rPr>
                <w:sz w:val="17"/>
                <w:szCs w:val="17"/>
                <w:color w:val="auto"/>
              </w:rPr>
            </w:pPr>
          </w:p>
        </w:tc>
        <w:tc>
          <w:tcPr>
            <w:tcW w:w="2300" w:type="dxa"/>
            <w:vAlign w:val="bottom"/>
            <w:shd w:val="clear" w:color="auto" w:fill="E9E9E9"/>
          </w:tcPr>
          <w:p>
            <w:pPr>
              <w:spacing w:after="0"/>
              <w:rPr>
                <w:sz w:val="20"/>
                <w:szCs w:val="20"/>
                <w:color w:val="auto"/>
              </w:rPr>
            </w:pPr>
            <w:r>
              <w:rPr>
                <w:rFonts w:ascii="Arial" w:cs="Arial" w:eastAsia="Arial" w:hAnsi="Arial"/>
                <w:sz w:val="16"/>
                <w:szCs w:val="16"/>
                <w:color w:val="auto"/>
              </w:rPr>
              <w:t>date</w:t>
            </w:r>
          </w:p>
        </w:tc>
        <w:tc>
          <w:tcPr>
            <w:tcW w:w="5560" w:type="dxa"/>
            <w:vAlign w:val="bottom"/>
            <w:shd w:val="clear" w:color="auto" w:fill="E9E9E9"/>
          </w:tcPr>
          <w:p>
            <w:pPr>
              <w:spacing w:after="0"/>
              <w:rPr>
                <w:sz w:val="17"/>
                <w:szCs w:val="17"/>
                <w:color w:val="auto"/>
              </w:rPr>
            </w:pPr>
          </w:p>
        </w:tc>
        <w:tc>
          <w:tcPr>
            <w:tcW w:w="1700" w:type="dxa"/>
            <w:vAlign w:val="bottom"/>
            <w:shd w:val="clear" w:color="auto" w:fill="E9E9E9"/>
          </w:tcPr>
          <w:p>
            <w:pPr>
              <w:spacing w:after="0"/>
              <w:rPr>
                <w:sz w:val="17"/>
                <w:szCs w:val="17"/>
                <w:color w:val="auto"/>
              </w:rPr>
            </w:pPr>
          </w:p>
        </w:tc>
        <w:tc>
          <w:tcPr>
            <w:tcW w:w="1840" w:type="dxa"/>
            <w:vAlign w:val="bottom"/>
            <w:shd w:val="clear" w:color="auto" w:fill="E9E9E9"/>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2300" w:type="dxa"/>
            <w:vAlign w:val="bottom"/>
            <w:shd w:val="clear" w:color="auto" w:fill="E9E9E9"/>
          </w:tcPr>
          <w:p>
            <w:pPr>
              <w:spacing w:after="0"/>
              <w:rPr>
                <w:sz w:val="14"/>
                <w:szCs w:val="14"/>
                <w:color w:val="auto"/>
              </w:rPr>
            </w:pPr>
          </w:p>
        </w:tc>
        <w:tc>
          <w:tcPr>
            <w:tcW w:w="5560" w:type="dxa"/>
            <w:vAlign w:val="bottom"/>
            <w:shd w:val="clear" w:color="auto" w:fill="E9E9E9"/>
          </w:tcPr>
          <w:p>
            <w:pPr>
              <w:ind w:left="100"/>
              <w:spacing w:after="0" w:line="171" w:lineRule="exact"/>
              <w:rPr>
                <w:sz w:val="20"/>
                <w:szCs w:val="20"/>
                <w:color w:val="auto"/>
              </w:rPr>
            </w:pPr>
            <w:r>
              <w:rPr>
                <w:rFonts w:ascii="Arial" w:cs="Arial" w:eastAsia="Arial" w:hAnsi="Arial"/>
                <w:sz w:val="16"/>
                <w:szCs w:val="16"/>
                <w:color w:val="auto"/>
              </w:rPr>
              <w:t>For grants made before 2013: Grant stays in effect and pays out shares at</w:t>
            </w:r>
          </w:p>
        </w:tc>
        <w:tc>
          <w:tcPr>
            <w:tcW w:w="1700" w:type="dxa"/>
            <w:vAlign w:val="bottom"/>
            <w:shd w:val="clear" w:color="auto" w:fill="E9E9E9"/>
          </w:tcPr>
          <w:p>
            <w:pPr>
              <w:spacing w:after="0"/>
              <w:rPr>
                <w:sz w:val="14"/>
                <w:szCs w:val="14"/>
                <w:color w:val="auto"/>
              </w:rPr>
            </w:pPr>
          </w:p>
        </w:tc>
        <w:tc>
          <w:tcPr>
            <w:tcW w:w="1840" w:type="dxa"/>
            <w:vAlign w:val="bottom"/>
            <w:shd w:val="clear" w:color="auto" w:fill="E9E9E9"/>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2300" w:type="dxa"/>
            <w:vAlign w:val="bottom"/>
            <w:shd w:val="clear" w:color="auto" w:fill="E9E9E9"/>
          </w:tcPr>
          <w:p>
            <w:pPr>
              <w:spacing w:after="0"/>
              <w:rPr>
                <w:sz w:val="16"/>
                <w:szCs w:val="16"/>
                <w:color w:val="auto"/>
              </w:rPr>
            </w:pPr>
          </w:p>
        </w:tc>
        <w:tc>
          <w:tcPr>
            <w:tcW w:w="5560" w:type="dxa"/>
            <w:vAlign w:val="bottom"/>
            <w:shd w:val="clear" w:color="auto" w:fill="E9E9E9"/>
          </w:tcPr>
          <w:p>
            <w:pPr>
              <w:ind w:left="100"/>
              <w:spacing w:after="0"/>
              <w:rPr>
                <w:sz w:val="20"/>
                <w:szCs w:val="20"/>
                <w:color w:val="auto"/>
              </w:rPr>
            </w:pPr>
            <w:r>
              <w:rPr>
                <w:rFonts w:ascii="Arial" w:cs="Arial" w:eastAsia="Arial" w:hAnsi="Arial"/>
                <w:sz w:val="16"/>
                <w:szCs w:val="16"/>
                <w:color w:val="auto"/>
              </w:rPr>
              <w:t>the scheduled vesting date. Number of shares reduced according to the</w:t>
            </w:r>
          </w:p>
        </w:tc>
        <w:tc>
          <w:tcPr>
            <w:tcW w:w="1700" w:type="dxa"/>
            <w:vAlign w:val="bottom"/>
            <w:shd w:val="clear" w:color="auto" w:fill="E9E9E9"/>
          </w:tcPr>
          <w:p>
            <w:pPr>
              <w:spacing w:after="0"/>
              <w:rPr>
                <w:sz w:val="16"/>
                <w:szCs w:val="16"/>
                <w:color w:val="auto"/>
              </w:rPr>
            </w:pPr>
          </w:p>
        </w:tc>
        <w:tc>
          <w:tcPr>
            <w:tcW w:w="1840" w:type="dxa"/>
            <w:vAlign w:val="bottom"/>
            <w:shd w:val="clear" w:color="auto" w:fill="E9E9E9"/>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300" w:type="dxa"/>
            <w:vAlign w:val="bottom"/>
            <w:shd w:val="clear" w:color="auto" w:fill="E9E9E9"/>
          </w:tcPr>
          <w:p>
            <w:pPr>
              <w:spacing w:after="0"/>
              <w:rPr>
                <w:sz w:val="17"/>
                <w:szCs w:val="17"/>
                <w:color w:val="auto"/>
              </w:rPr>
            </w:pPr>
          </w:p>
        </w:tc>
        <w:tc>
          <w:tcPr>
            <w:tcW w:w="5560" w:type="dxa"/>
            <w:vAlign w:val="bottom"/>
            <w:shd w:val="clear" w:color="auto" w:fill="E9E9E9"/>
          </w:tcPr>
          <w:p>
            <w:pPr>
              <w:ind w:left="100"/>
              <w:spacing w:after="0"/>
              <w:rPr>
                <w:sz w:val="20"/>
                <w:szCs w:val="20"/>
                <w:color w:val="auto"/>
              </w:rPr>
            </w:pPr>
            <w:r>
              <w:rPr>
                <w:rFonts w:ascii="Arial" w:cs="Arial" w:eastAsia="Arial" w:hAnsi="Arial"/>
                <w:sz w:val="16"/>
                <w:szCs w:val="16"/>
                <w:color w:val="auto"/>
              </w:rPr>
              <w:t>duration of employment over the vesting period*</w:t>
            </w:r>
          </w:p>
        </w:tc>
        <w:tc>
          <w:tcPr>
            <w:tcW w:w="1700" w:type="dxa"/>
            <w:vAlign w:val="bottom"/>
            <w:shd w:val="clear" w:color="auto" w:fill="E9E9E9"/>
          </w:tcPr>
          <w:p>
            <w:pPr>
              <w:spacing w:after="0"/>
              <w:rPr>
                <w:sz w:val="17"/>
                <w:szCs w:val="17"/>
                <w:color w:val="auto"/>
              </w:rPr>
            </w:pPr>
          </w:p>
        </w:tc>
        <w:tc>
          <w:tcPr>
            <w:tcW w:w="1840" w:type="dxa"/>
            <w:vAlign w:val="bottom"/>
            <w:shd w:val="clear" w:color="auto" w:fill="E9E9E9"/>
          </w:tcPr>
          <w:p>
            <w:pPr>
              <w:spacing w:after="0"/>
              <w:rPr>
                <w:sz w:val="17"/>
                <w:szCs w:val="17"/>
                <w:color w:val="auto"/>
              </w:rPr>
            </w:pPr>
          </w:p>
        </w:tc>
      </w:tr>
    </w:tbl>
    <w:p>
      <w:pPr>
        <w:spacing w:after="0" w:line="208" w:lineRule="exact"/>
        <w:rPr>
          <w:sz w:val="20"/>
          <w:szCs w:val="20"/>
          <w:color w:val="auto"/>
        </w:rPr>
      </w:pPr>
    </w:p>
    <w:p>
      <w:pPr>
        <w:ind w:left="280" w:right="740" w:hanging="280"/>
        <w:spacing w:after="0" w:line="290" w:lineRule="auto"/>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Calculated by multiplying the number of RSUs by a fraction equal to the number of whole 365-day periods from the grant date to the employment termination date (or first day of any bridge leave of absence leading to retirement), divided by the number of years in the vesting period.</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181" w:lineRule="exact"/>
        <w:rPr>
          <w:sz w:val="20"/>
          <w:szCs w:val="20"/>
          <w:color w:val="auto"/>
        </w:rPr>
      </w:pPr>
    </w:p>
    <w:p>
      <w:pPr>
        <w:ind w:right="20" w:firstLine="250"/>
        <w:spacing w:after="0" w:line="258" w:lineRule="auto"/>
        <w:rPr>
          <w:sz w:val="20"/>
          <w:szCs w:val="20"/>
          <w:color w:val="auto"/>
        </w:rPr>
      </w:pPr>
      <w:r>
        <w:rPr>
          <w:rFonts w:ascii="Arial" w:cs="Arial" w:eastAsia="Arial" w:hAnsi="Arial"/>
          <w:sz w:val="16"/>
          <w:szCs w:val="16"/>
          <w:color w:val="auto"/>
        </w:rPr>
        <w:t>In addition to the “Stock Awards” shown in the outstanding equity awards at fiscal year-end 2013 table on pages 84 and 85,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2013 non-qualified deferred compensation table on page 89.</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option exercises and stock vested</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following table lists the number of shares acquired and the value realized as a result of option exercises by the named executive officers in 2013 and the value of any RSUs that vested in 2013.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2600" w:type="dxa"/>
            <w:vAlign w:val="bottom"/>
            <w:gridSpan w:val="3"/>
          </w:tcPr>
          <w:p>
            <w:pPr>
              <w:ind w:left="740"/>
              <w:spacing w:after="0"/>
              <w:rPr>
                <w:sz w:val="20"/>
                <w:szCs w:val="20"/>
                <w:color w:val="auto"/>
              </w:rPr>
            </w:pPr>
            <w:r>
              <w:rPr>
                <w:rFonts w:ascii="Arial" w:cs="Arial" w:eastAsia="Arial" w:hAnsi="Arial"/>
                <w:sz w:val="13"/>
                <w:szCs w:val="13"/>
                <w:b w:val="1"/>
                <w:bCs w:val="1"/>
                <w:color w:val="auto"/>
              </w:rPr>
              <w:t>Option Awards</w:t>
            </w:r>
          </w:p>
        </w:tc>
        <w:tc>
          <w:tcPr>
            <w:tcW w:w="2240" w:type="dxa"/>
            <w:vAlign w:val="bottom"/>
            <w:gridSpan w:val="2"/>
          </w:tcPr>
          <w:p>
            <w:pPr>
              <w:ind w:left="720"/>
              <w:spacing w:after="0"/>
              <w:rPr>
                <w:sz w:val="20"/>
                <w:szCs w:val="20"/>
                <w:color w:val="auto"/>
              </w:rPr>
            </w:pPr>
            <w:r>
              <w:rPr>
                <w:rFonts w:ascii="Arial" w:cs="Arial" w:eastAsia="Arial" w:hAnsi="Arial"/>
                <w:sz w:val="13"/>
                <w:szCs w:val="13"/>
                <w:b w:val="1"/>
                <w:bCs w:val="1"/>
                <w:color w:val="auto"/>
              </w:rPr>
              <w:t>Stock Awards</w:t>
            </w:r>
          </w:p>
        </w:tc>
      </w:tr>
      <w:tr>
        <w:trPr>
          <w:trHeight w:val="29"/>
        </w:trPr>
        <w:tc>
          <w:tcPr>
            <w:tcW w:w="6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580" w:type="dxa"/>
            <w:vAlign w:val="bottom"/>
          </w:tcPr>
          <w:p>
            <w:pPr>
              <w:spacing w:after="0"/>
              <w:rPr>
                <w:sz w:val="16"/>
                <w:szCs w:val="16"/>
                <w:color w:val="auto"/>
              </w:rPr>
            </w:pPr>
          </w:p>
        </w:tc>
        <w:tc>
          <w:tcPr>
            <w:tcW w:w="1180" w:type="dxa"/>
            <w:vAlign w:val="bottom"/>
          </w:tcPr>
          <w:p>
            <w:pPr>
              <w:jc w:val="center"/>
              <w:ind w:right="127"/>
              <w:spacing w:after="0"/>
              <w:rPr>
                <w:sz w:val="20"/>
                <w:szCs w:val="20"/>
                <w:color w:val="auto"/>
              </w:rPr>
            </w:pPr>
            <w:r>
              <w:rPr>
                <w:rFonts w:ascii="Arial" w:cs="Arial" w:eastAsia="Arial" w:hAnsi="Arial"/>
                <w:sz w:val="13"/>
                <w:szCs w:val="13"/>
                <w:b w:val="1"/>
                <w:bCs w:val="1"/>
                <w:color w:val="auto"/>
                <w:w w:val="95"/>
              </w:rPr>
              <w:t>Number of</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67"/>
              <w:spacing w:after="0"/>
              <w:rPr>
                <w:sz w:val="20"/>
                <w:szCs w:val="20"/>
                <w:color w:val="auto"/>
              </w:rPr>
            </w:pPr>
            <w:r>
              <w:rPr>
                <w:rFonts w:ascii="Arial" w:cs="Arial" w:eastAsia="Arial" w:hAnsi="Arial"/>
                <w:sz w:val="13"/>
                <w:szCs w:val="13"/>
                <w:b w:val="1"/>
                <w:bCs w:val="1"/>
                <w:color w:val="auto"/>
                <w:w w:val="98"/>
              </w:rPr>
              <w:t>Number of</w:t>
            </w:r>
          </w:p>
        </w:tc>
        <w:tc>
          <w:tcPr>
            <w:tcW w:w="1100" w:type="dxa"/>
            <w:vAlign w:val="bottom"/>
          </w:tcPr>
          <w:p>
            <w:pPr>
              <w:spacing w:after="0"/>
              <w:rPr>
                <w:sz w:val="16"/>
                <w:szCs w:val="16"/>
                <w:color w:val="auto"/>
              </w:rPr>
            </w:pPr>
          </w:p>
        </w:tc>
      </w:tr>
      <w:tr>
        <w:trPr>
          <w:trHeight w:val="225"/>
        </w:trPr>
        <w:tc>
          <w:tcPr>
            <w:tcW w:w="6580" w:type="dxa"/>
            <w:vAlign w:val="bottom"/>
          </w:tcPr>
          <w:p>
            <w:pPr>
              <w:spacing w:after="0"/>
              <w:rPr>
                <w:sz w:val="19"/>
                <w:szCs w:val="19"/>
                <w:color w:val="auto"/>
              </w:rPr>
            </w:pPr>
          </w:p>
        </w:tc>
        <w:tc>
          <w:tcPr>
            <w:tcW w:w="1180" w:type="dxa"/>
            <w:vAlign w:val="bottom"/>
          </w:tcPr>
          <w:p>
            <w:pPr>
              <w:jc w:val="center"/>
              <w:ind w:right="107"/>
              <w:spacing w:after="0"/>
              <w:rPr>
                <w:sz w:val="20"/>
                <w:szCs w:val="20"/>
                <w:color w:val="auto"/>
              </w:rPr>
            </w:pPr>
            <w:r>
              <w:rPr>
                <w:rFonts w:ascii="Arial" w:cs="Arial" w:eastAsia="Arial" w:hAnsi="Arial"/>
                <w:sz w:val="13"/>
                <w:szCs w:val="13"/>
                <w:b w:val="1"/>
                <w:bCs w:val="1"/>
                <w:color w:val="auto"/>
                <w:w w:val="96"/>
              </w:rPr>
              <w:t>Shares Acquired</w:t>
            </w: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Value Realized</w:t>
            </w:r>
          </w:p>
        </w:tc>
        <w:tc>
          <w:tcPr>
            <w:tcW w:w="114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Shares Acquired</w:t>
            </w:r>
          </w:p>
        </w:tc>
        <w:tc>
          <w:tcPr>
            <w:tcW w:w="1100" w:type="dxa"/>
            <w:vAlign w:val="bottom"/>
          </w:tcPr>
          <w:p>
            <w:pPr>
              <w:jc w:val="center"/>
              <w:ind w:left="4"/>
              <w:spacing w:after="0"/>
              <w:rPr>
                <w:sz w:val="20"/>
                <w:szCs w:val="20"/>
                <w:color w:val="auto"/>
              </w:rPr>
            </w:pPr>
            <w:r>
              <w:rPr>
                <w:rFonts w:ascii="Arial" w:cs="Arial" w:eastAsia="Arial" w:hAnsi="Arial"/>
                <w:sz w:val="13"/>
                <w:szCs w:val="13"/>
                <w:b w:val="1"/>
                <w:bCs w:val="1"/>
                <w:color w:val="auto"/>
                <w:w w:val="94"/>
              </w:rPr>
              <w:t>Value Realized</w:t>
            </w:r>
          </w:p>
        </w:tc>
      </w:tr>
      <w:tr>
        <w:trPr>
          <w:trHeight w:val="250"/>
        </w:trPr>
        <w:tc>
          <w:tcPr>
            <w:tcW w:w="65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180" w:type="dxa"/>
            <w:vAlign w:val="bottom"/>
          </w:tcPr>
          <w:p>
            <w:pPr>
              <w:jc w:val="center"/>
              <w:ind w:right="107"/>
              <w:spacing w:after="0"/>
              <w:rPr>
                <w:sz w:val="20"/>
                <w:szCs w:val="20"/>
                <w:color w:val="auto"/>
              </w:rPr>
            </w:pPr>
            <w:r>
              <w:rPr>
                <w:rFonts w:ascii="Arial" w:cs="Arial" w:eastAsia="Arial" w:hAnsi="Arial"/>
                <w:sz w:val="13"/>
                <w:szCs w:val="13"/>
                <w:b w:val="1"/>
                <w:bCs w:val="1"/>
                <w:color w:val="auto"/>
                <w:w w:val="95"/>
              </w:rPr>
              <w:t>on Exercise (#)</w:t>
            </w: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on Exercise ($)</w:t>
            </w:r>
          </w:p>
        </w:tc>
        <w:tc>
          <w:tcPr>
            <w:tcW w:w="1140" w:type="dxa"/>
            <w:vAlign w:val="bottom"/>
          </w:tcPr>
          <w:p>
            <w:pPr>
              <w:jc w:val="center"/>
              <w:ind w:right="87"/>
              <w:spacing w:after="0"/>
              <w:rPr>
                <w:sz w:val="20"/>
                <w:szCs w:val="20"/>
                <w:color w:val="auto"/>
              </w:rPr>
            </w:pPr>
            <w:r>
              <w:rPr>
                <w:rFonts w:ascii="Arial" w:cs="Arial" w:eastAsia="Arial" w:hAnsi="Arial"/>
                <w:sz w:val="13"/>
                <w:szCs w:val="13"/>
                <w:b w:val="1"/>
                <w:bCs w:val="1"/>
                <w:color w:val="auto"/>
                <w:w w:val="95"/>
              </w:rPr>
              <w:t>on Vesting (#)</w:t>
            </w:r>
          </w:p>
        </w:tc>
        <w:tc>
          <w:tcPr>
            <w:tcW w:w="1100" w:type="dxa"/>
            <w:vAlign w:val="bottom"/>
          </w:tcPr>
          <w:p>
            <w:pPr>
              <w:jc w:val="center"/>
              <w:ind w:left="4"/>
              <w:spacing w:after="0"/>
              <w:rPr>
                <w:sz w:val="20"/>
                <w:szCs w:val="20"/>
                <w:color w:val="auto"/>
              </w:rPr>
            </w:pPr>
            <w:r>
              <w:rPr>
                <w:rFonts w:ascii="Arial" w:cs="Arial" w:eastAsia="Arial" w:hAnsi="Arial"/>
                <w:sz w:val="13"/>
                <w:szCs w:val="13"/>
                <w:b w:val="1"/>
                <w:bCs w:val="1"/>
                <w:color w:val="auto"/>
                <w:w w:val="95"/>
              </w:rPr>
              <w:t>on Vesting ($)</w:t>
            </w:r>
          </w:p>
        </w:tc>
      </w:tr>
      <w:tr>
        <w:trPr>
          <w:trHeight w:val="29"/>
        </w:trPr>
        <w:tc>
          <w:tcPr>
            <w:tcW w:w="6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58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1180" w:type="dxa"/>
            <w:vAlign w:val="bottom"/>
            <w:shd w:val="clear" w:color="auto" w:fill="E9E9E9"/>
          </w:tcPr>
          <w:p>
            <w:pPr>
              <w:jc w:val="right"/>
              <w:ind w:right="307"/>
              <w:spacing w:after="0"/>
              <w:rPr>
                <w:sz w:val="20"/>
                <w:szCs w:val="20"/>
                <w:color w:val="auto"/>
              </w:rPr>
            </w:pPr>
            <w:r>
              <w:rPr>
                <w:rFonts w:ascii="Arial" w:cs="Arial" w:eastAsia="Arial" w:hAnsi="Arial"/>
                <w:sz w:val="16"/>
                <w:szCs w:val="16"/>
                <w:color w:val="auto"/>
              </w:rPr>
              <w:t>700,000</w:t>
            </w:r>
          </w:p>
        </w:tc>
        <w:tc>
          <w:tcPr>
            <w:tcW w:w="1200" w:type="dxa"/>
            <w:vAlign w:val="bottom"/>
            <w:shd w:val="clear" w:color="auto" w:fill="E9E9E9"/>
          </w:tcPr>
          <w:p>
            <w:pPr>
              <w:jc w:val="right"/>
              <w:ind w:right="64"/>
              <w:spacing w:after="0"/>
              <w:rPr>
                <w:sz w:val="20"/>
                <w:szCs w:val="20"/>
                <w:color w:val="auto"/>
              </w:rPr>
            </w:pPr>
            <w:r>
              <w:rPr>
                <w:rFonts w:ascii="Arial" w:cs="Arial" w:eastAsia="Arial" w:hAnsi="Arial"/>
                <w:sz w:val="16"/>
                <w:szCs w:val="16"/>
                <w:color w:val="auto"/>
              </w:rPr>
              <w:t>$4,340,000</w:t>
            </w:r>
          </w:p>
        </w:tc>
        <w:tc>
          <w:tcPr>
            <w:tcW w:w="22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267"/>
              <w:spacing w:after="0"/>
              <w:rPr>
                <w:sz w:val="20"/>
                <w:szCs w:val="20"/>
                <w:color w:val="auto"/>
              </w:rPr>
            </w:pPr>
            <w:r>
              <w:rPr>
                <w:rFonts w:ascii="Arial" w:cs="Arial" w:eastAsia="Arial" w:hAnsi="Arial"/>
                <w:sz w:val="16"/>
                <w:szCs w:val="16"/>
                <w:color w:val="auto"/>
              </w:rPr>
              <w:t>221,487</w:t>
            </w:r>
          </w:p>
        </w:tc>
        <w:tc>
          <w:tcPr>
            <w:tcW w:w="1100" w:type="dxa"/>
            <w:vAlign w:val="bottom"/>
            <w:shd w:val="clear" w:color="auto" w:fill="E9E9E9"/>
          </w:tcPr>
          <w:p>
            <w:pPr>
              <w:jc w:val="center"/>
              <w:ind w:left="24"/>
              <w:spacing w:after="0"/>
              <w:rPr>
                <w:sz w:val="20"/>
                <w:szCs w:val="20"/>
                <w:color w:val="auto"/>
              </w:rPr>
            </w:pPr>
            <w:r>
              <w:rPr>
                <w:rFonts w:ascii="Arial" w:cs="Arial" w:eastAsia="Arial" w:hAnsi="Arial"/>
                <w:sz w:val="16"/>
                <w:szCs w:val="16"/>
                <w:color w:val="auto"/>
                <w:w w:val="99"/>
              </w:rPr>
              <w:t>$7,269,203</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K. P. March</w:t>
            </w:r>
          </w:p>
        </w:tc>
        <w:tc>
          <w:tcPr>
            <w:tcW w:w="1180" w:type="dxa"/>
            <w:vAlign w:val="bottom"/>
          </w:tcPr>
          <w:p>
            <w:pPr>
              <w:jc w:val="right"/>
              <w:ind w:right="307"/>
              <w:spacing w:after="0"/>
              <w:rPr>
                <w:sz w:val="20"/>
                <w:szCs w:val="20"/>
                <w:color w:val="auto"/>
              </w:rPr>
            </w:pPr>
            <w:r>
              <w:rPr>
                <w:rFonts w:ascii="Arial" w:cs="Arial" w:eastAsia="Arial" w:hAnsi="Arial"/>
                <w:sz w:val="16"/>
                <w:szCs w:val="16"/>
                <w:color w:val="auto"/>
              </w:rPr>
              <w:t>380,000</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$5,167,600</w:t>
            </w:r>
          </w:p>
        </w:tc>
        <w:tc>
          <w:tcPr>
            <w:tcW w:w="220" w:type="dxa"/>
            <w:vAlign w:val="bottom"/>
          </w:tcPr>
          <w:p>
            <w:pPr>
              <w:spacing w:after="0"/>
              <w:rPr>
                <w:sz w:val="19"/>
                <w:szCs w:val="19"/>
                <w:color w:val="auto"/>
              </w:rPr>
            </w:pPr>
          </w:p>
        </w:tc>
        <w:tc>
          <w:tcPr>
            <w:tcW w:w="1140" w:type="dxa"/>
            <w:vAlign w:val="bottom"/>
          </w:tcPr>
          <w:p>
            <w:pPr>
              <w:jc w:val="right"/>
              <w:ind w:right="267"/>
              <w:spacing w:after="0"/>
              <w:rPr>
                <w:sz w:val="20"/>
                <w:szCs w:val="20"/>
                <w:color w:val="auto"/>
              </w:rPr>
            </w:pPr>
            <w:r>
              <w:rPr>
                <w:rFonts w:ascii="Arial" w:cs="Arial" w:eastAsia="Arial" w:hAnsi="Arial"/>
                <w:sz w:val="16"/>
                <w:szCs w:val="16"/>
                <w:color w:val="auto"/>
              </w:rPr>
              <w:t>63,334</w:t>
            </w:r>
          </w:p>
        </w:tc>
        <w:tc>
          <w:tcPr>
            <w:tcW w:w="1100" w:type="dxa"/>
            <w:vAlign w:val="bottom"/>
          </w:tcPr>
          <w:p>
            <w:pPr>
              <w:jc w:val="center"/>
              <w:ind w:left="24"/>
              <w:spacing w:after="0"/>
              <w:rPr>
                <w:sz w:val="20"/>
                <w:szCs w:val="20"/>
                <w:color w:val="auto"/>
              </w:rPr>
            </w:pPr>
            <w:r>
              <w:rPr>
                <w:rFonts w:ascii="Arial" w:cs="Arial" w:eastAsia="Arial" w:hAnsi="Arial"/>
                <w:sz w:val="16"/>
                <w:szCs w:val="16"/>
                <w:color w:val="auto"/>
                <w:w w:val="99"/>
              </w:rPr>
              <w:t>$2,078,622</w:t>
            </w:r>
          </w:p>
        </w:tc>
      </w:tr>
      <w:tr>
        <w:trPr>
          <w:trHeight w:val="231"/>
        </w:trPr>
        <w:tc>
          <w:tcPr>
            <w:tcW w:w="658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1180" w:type="dxa"/>
            <w:vAlign w:val="bottom"/>
            <w:shd w:val="clear" w:color="auto" w:fill="E9E9E9"/>
          </w:tcPr>
          <w:p>
            <w:pPr>
              <w:jc w:val="right"/>
              <w:ind w:right="307"/>
              <w:spacing w:after="0"/>
              <w:rPr>
                <w:sz w:val="20"/>
                <w:szCs w:val="20"/>
                <w:color w:val="auto"/>
              </w:rPr>
            </w:pPr>
            <w:r>
              <w:rPr>
                <w:rFonts w:ascii="Arial" w:cs="Arial" w:eastAsia="Arial" w:hAnsi="Arial"/>
                <w:sz w:val="16"/>
                <w:szCs w:val="16"/>
                <w:color w:val="auto"/>
              </w:rPr>
              <w:t>243,000</w:t>
            </w:r>
          </w:p>
        </w:tc>
        <w:tc>
          <w:tcPr>
            <w:tcW w:w="1200" w:type="dxa"/>
            <w:vAlign w:val="bottom"/>
            <w:shd w:val="clear" w:color="auto" w:fill="E9E9E9"/>
          </w:tcPr>
          <w:p>
            <w:pPr>
              <w:jc w:val="right"/>
              <w:ind w:right="64"/>
              <w:spacing w:after="0"/>
              <w:rPr>
                <w:sz w:val="20"/>
                <w:szCs w:val="20"/>
                <w:color w:val="auto"/>
              </w:rPr>
            </w:pPr>
            <w:r>
              <w:rPr>
                <w:rFonts w:ascii="Arial" w:cs="Arial" w:eastAsia="Arial" w:hAnsi="Arial"/>
                <w:sz w:val="16"/>
                <w:szCs w:val="16"/>
                <w:color w:val="auto"/>
              </w:rPr>
              <w:t>$2,485,710</w:t>
            </w:r>
          </w:p>
        </w:tc>
        <w:tc>
          <w:tcPr>
            <w:tcW w:w="220" w:type="dxa"/>
            <w:vAlign w:val="bottom"/>
            <w:shd w:val="clear" w:color="auto" w:fill="E9E9E9"/>
          </w:tcPr>
          <w:p>
            <w:pPr>
              <w:spacing w:after="0"/>
              <w:rPr>
                <w:sz w:val="20"/>
                <w:szCs w:val="20"/>
                <w:color w:val="auto"/>
              </w:rPr>
            </w:pPr>
          </w:p>
        </w:tc>
        <w:tc>
          <w:tcPr>
            <w:tcW w:w="1140" w:type="dxa"/>
            <w:vAlign w:val="bottom"/>
            <w:shd w:val="clear" w:color="auto" w:fill="E9E9E9"/>
          </w:tcPr>
          <w:p>
            <w:pPr>
              <w:jc w:val="right"/>
              <w:ind w:right="267"/>
              <w:spacing w:after="0"/>
              <w:rPr>
                <w:sz w:val="20"/>
                <w:szCs w:val="20"/>
                <w:color w:val="auto"/>
              </w:rPr>
            </w:pPr>
            <w:r>
              <w:rPr>
                <w:rFonts w:ascii="Arial" w:cs="Arial" w:eastAsia="Arial" w:hAnsi="Arial"/>
                <w:sz w:val="16"/>
                <w:szCs w:val="16"/>
                <w:color w:val="auto"/>
              </w:rPr>
              <w:t>33,334</w:t>
            </w:r>
          </w:p>
        </w:tc>
        <w:tc>
          <w:tcPr>
            <w:tcW w:w="1100" w:type="dxa"/>
            <w:vAlign w:val="bottom"/>
            <w:shd w:val="clear" w:color="auto" w:fill="E9E9E9"/>
          </w:tcPr>
          <w:p>
            <w:pPr>
              <w:jc w:val="center"/>
              <w:ind w:left="24"/>
              <w:spacing w:after="0"/>
              <w:rPr>
                <w:sz w:val="20"/>
                <w:szCs w:val="20"/>
                <w:color w:val="auto"/>
              </w:rPr>
            </w:pPr>
            <w:r>
              <w:rPr>
                <w:rFonts w:ascii="Arial" w:cs="Arial" w:eastAsia="Arial" w:hAnsi="Arial"/>
                <w:sz w:val="16"/>
                <w:szCs w:val="16"/>
                <w:color w:val="auto"/>
                <w:w w:val="99"/>
              </w:rPr>
              <w:t>$1,094,022</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K. J. Ritchie</w:t>
            </w:r>
          </w:p>
        </w:tc>
        <w:tc>
          <w:tcPr>
            <w:tcW w:w="1180" w:type="dxa"/>
            <w:vAlign w:val="bottom"/>
          </w:tcPr>
          <w:p>
            <w:pPr>
              <w:jc w:val="right"/>
              <w:ind w:right="307"/>
              <w:spacing w:after="0"/>
              <w:rPr>
                <w:sz w:val="20"/>
                <w:szCs w:val="20"/>
                <w:color w:val="auto"/>
              </w:rPr>
            </w:pPr>
            <w:r>
              <w:rPr>
                <w:rFonts w:ascii="Arial" w:cs="Arial" w:eastAsia="Arial" w:hAnsi="Arial"/>
                <w:sz w:val="16"/>
                <w:szCs w:val="16"/>
                <w:color w:val="auto"/>
              </w:rPr>
              <w:t>640,625</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$8,561,250</w:t>
            </w:r>
          </w:p>
        </w:tc>
        <w:tc>
          <w:tcPr>
            <w:tcW w:w="220" w:type="dxa"/>
            <w:vAlign w:val="bottom"/>
          </w:tcPr>
          <w:p>
            <w:pPr>
              <w:spacing w:after="0"/>
              <w:rPr>
                <w:sz w:val="19"/>
                <w:szCs w:val="19"/>
                <w:color w:val="auto"/>
              </w:rPr>
            </w:pPr>
          </w:p>
        </w:tc>
        <w:tc>
          <w:tcPr>
            <w:tcW w:w="1140" w:type="dxa"/>
            <w:vAlign w:val="bottom"/>
          </w:tcPr>
          <w:p>
            <w:pPr>
              <w:jc w:val="right"/>
              <w:ind w:right="267"/>
              <w:spacing w:after="0"/>
              <w:rPr>
                <w:sz w:val="20"/>
                <w:szCs w:val="20"/>
                <w:color w:val="auto"/>
              </w:rPr>
            </w:pPr>
            <w:r>
              <w:rPr>
                <w:rFonts w:ascii="Arial" w:cs="Arial" w:eastAsia="Arial" w:hAnsi="Arial"/>
                <w:sz w:val="16"/>
                <w:szCs w:val="16"/>
                <w:color w:val="auto"/>
              </w:rPr>
              <w:t>83,334</w:t>
            </w:r>
          </w:p>
        </w:tc>
        <w:tc>
          <w:tcPr>
            <w:tcW w:w="1100" w:type="dxa"/>
            <w:vAlign w:val="bottom"/>
          </w:tcPr>
          <w:p>
            <w:pPr>
              <w:jc w:val="center"/>
              <w:ind w:left="24"/>
              <w:spacing w:after="0"/>
              <w:rPr>
                <w:sz w:val="20"/>
                <w:szCs w:val="20"/>
                <w:color w:val="auto"/>
              </w:rPr>
            </w:pPr>
            <w:r>
              <w:rPr>
                <w:rFonts w:ascii="Arial" w:cs="Arial" w:eastAsia="Arial" w:hAnsi="Arial"/>
                <w:sz w:val="16"/>
                <w:szCs w:val="16"/>
                <w:color w:val="auto"/>
                <w:w w:val="99"/>
              </w:rPr>
              <w:t>$2,735,022</w:t>
            </w:r>
          </w:p>
        </w:tc>
      </w:tr>
      <w:tr>
        <w:trPr>
          <w:trHeight w:val="231"/>
        </w:trPr>
        <w:tc>
          <w:tcPr>
            <w:tcW w:w="658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1180" w:type="dxa"/>
            <w:vAlign w:val="bottom"/>
            <w:shd w:val="clear" w:color="auto" w:fill="E9E9E9"/>
          </w:tcPr>
          <w:p>
            <w:pPr>
              <w:jc w:val="right"/>
              <w:ind w:right="307"/>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9E9E9"/>
          </w:tcPr>
          <w:p>
            <w:pPr>
              <w:jc w:val="right"/>
              <w:ind w:right="3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9E9E9"/>
          </w:tcPr>
          <w:p>
            <w:pPr>
              <w:jc w:val="right"/>
              <w:ind w:right="267"/>
              <w:spacing w:after="0"/>
              <w:rPr>
                <w:sz w:val="20"/>
                <w:szCs w:val="20"/>
                <w:color w:val="auto"/>
              </w:rPr>
            </w:pPr>
            <w:r>
              <w:rPr>
                <w:rFonts w:ascii="Arial" w:cs="Arial" w:eastAsia="Arial" w:hAnsi="Arial"/>
                <w:sz w:val="16"/>
                <w:szCs w:val="16"/>
                <w:color w:val="auto"/>
              </w:rPr>
              <w:t>73,334</w:t>
            </w:r>
          </w:p>
        </w:tc>
        <w:tc>
          <w:tcPr>
            <w:tcW w:w="1100" w:type="dxa"/>
            <w:vAlign w:val="bottom"/>
            <w:shd w:val="clear" w:color="auto" w:fill="E9E9E9"/>
          </w:tcPr>
          <w:p>
            <w:pPr>
              <w:jc w:val="center"/>
              <w:ind w:left="24"/>
              <w:spacing w:after="0"/>
              <w:rPr>
                <w:sz w:val="20"/>
                <w:szCs w:val="20"/>
                <w:color w:val="auto"/>
              </w:rPr>
            </w:pPr>
            <w:r>
              <w:rPr>
                <w:rFonts w:ascii="Arial" w:cs="Arial" w:eastAsia="Arial" w:hAnsi="Arial"/>
                <w:sz w:val="16"/>
                <w:szCs w:val="16"/>
                <w:color w:val="auto"/>
                <w:w w:val="99"/>
              </w:rPr>
              <w:t>$2,406,822</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pension benefits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table shows the present value as of December 31, 2013,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2013.</w:t>
      </w:r>
    </w:p>
    <w:p>
      <w:pPr>
        <w:spacing w:after="0" w:line="194"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86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center"/>
              <w:ind w:left="64"/>
              <w:spacing w:after="0"/>
              <w:rPr>
                <w:sz w:val="20"/>
                <w:szCs w:val="20"/>
                <w:color w:val="auto"/>
              </w:rPr>
            </w:pPr>
            <w:r>
              <w:rPr>
                <w:rFonts w:ascii="Arial" w:cs="Arial" w:eastAsia="Arial" w:hAnsi="Arial"/>
                <w:sz w:val="13"/>
                <w:szCs w:val="13"/>
                <w:b w:val="1"/>
                <w:bCs w:val="1"/>
                <w:color w:val="auto"/>
                <w:w w:val="94"/>
              </w:rPr>
              <w:t>Payments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42"/>
              <w:spacing w:after="0"/>
              <w:rPr>
                <w:sz w:val="20"/>
                <w:szCs w:val="20"/>
                <w:color w:val="auto"/>
              </w:rPr>
            </w:pPr>
            <w:r>
              <w:rPr>
                <w:rFonts w:ascii="Arial" w:cs="Arial" w:eastAsia="Arial" w:hAnsi="Arial"/>
                <w:sz w:val="13"/>
                <w:szCs w:val="13"/>
                <w:b w:val="1"/>
                <w:bCs w:val="1"/>
                <w:color w:val="auto"/>
              </w:rPr>
              <w:t>Present</w:t>
            </w:r>
          </w:p>
        </w:tc>
        <w:tc>
          <w:tcPr>
            <w:tcW w:w="720" w:type="dxa"/>
            <w:vAlign w:val="bottom"/>
          </w:tcPr>
          <w:p>
            <w:pPr>
              <w:jc w:val="center"/>
              <w:ind w:left="44"/>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60" w:type="dxa"/>
            <w:vAlign w:val="bottom"/>
          </w:tcPr>
          <w:p>
            <w:pPr>
              <w:spacing w:after="0"/>
              <w:rPr>
                <w:sz w:val="19"/>
                <w:szCs w:val="19"/>
                <w:color w:val="auto"/>
              </w:rPr>
            </w:pPr>
          </w:p>
        </w:tc>
        <w:tc>
          <w:tcPr>
            <w:tcW w:w="820" w:type="dxa"/>
            <w:vAlign w:val="bottom"/>
          </w:tcPr>
          <w:p>
            <w:pPr>
              <w:jc w:val="right"/>
              <w:ind w:right="222"/>
              <w:spacing w:after="0"/>
              <w:rPr>
                <w:sz w:val="20"/>
                <w:szCs w:val="20"/>
                <w:color w:val="auto"/>
              </w:rPr>
            </w:pPr>
            <w:r>
              <w:rPr>
                <w:rFonts w:ascii="Arial" w:cs="Arial" w:eastAsia="Arial" w:hAnsi="Arial"/>
                <w:sz w:val="13"/>
                <w:szCs w:val="13"/>
                <w:b w:val="1"/>
                <w:bCs w:val="1"/>
                <w:color w:val="auto"/>
                <w:w w:val="98"/>
              </w:rPr>
              <w:t>Value of</w:t>
            </w:r>
          </w:p>
        </w:tc>
        <w:tc>
          <w:tcPr>
            <w:tcW w:w="720" w:type="dxa"/>
            <w:vAlign w:val="bottom"/>
          </w:tcPr>
          <w:p>
            <w:pPr>
              <w:jc w:val="center"/>
              <w:ind w:left="64"/>
              <w:spacing w:after="0"/>
              <w:rPr>
                <w:sz w:val="20"/>
                <w:szCs w:val="20"/>
                <w:color w:val="auto"/>
              </w:rPr>
            </w:pPr>
            <w:r>
              <w:rPr>
                <w:rFonts w:ascii="Arial" w:cs="Arial" w:eastAsia="Arial" w:hAnsi="Arial"/>
                <w:sz w:val="13"/>
                <w:szCs w:val="13"/>
                <w:b w:val="1"/>
                <w:bCs w:val="1"/>
                <w:color w:val="auto"/>
                <w:w w:val="97"/>
              </w:rPr>
              <w:t>Last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Years Credited</w:t>
            </w: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Accumulated</w:t>
            </w:r>
          </w:p>
        </w:tc>
        <w:tc>
          <w:tcPr>
            <w:tcW w:w="720" w:type="dxa"/>
            <w:vAlign w:val="bottom"/>
          </w:tcPr>
          <w:p>
            <w:pPr>
              <w:jc w:val="center"/>
              <w:ind w:left="64"/>
              <w:spacing w:after="0"/>
              <w:rPr>
                <w:sz w:val="20"/>
                <w:szCs w:val="20"/>
                <w:color w:val="auto"/>
              </w:rPr>
            </w:pPr>
            <w:r>
              <w:rPr>
                <w:rFonts w:ascii="Arial" w:cs="Arial" w:eastAsia="Arial" w:hAnsi="Arial"/>
                <w:sz w:val="13"/>
                <w:szCs w:val="13"/>
                <w:b w:val="1"/>
                <w:bCs w:val="1"/>
                <w:color w:val="auto"/>
                <w:w w:val="92"/>
              </w:rPr>
              <w:t>Fiscal</w:t>
            </w: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540" w:type="dxa"/>
            <w:vAlign w:val="bottom"/>
          </w:tcPr>
          <w:p>
            <w:pPr>
              <w:ind w:left="1520"/>
              <w:spacing w:after="0"/>
              <w:rPr>
                <w:sz w:val="20"/>
                <w:szCs w:val="20"/>
                <w:color w:val="auto"/>
              </w:rPr>
            </w:pPr>
            <w:r>
              <w:rPr>
                <w:rFonts w:ascii="Arial" w:cs="Arial" w:eastAsia="Arial" w:hAnsi="Arial"/>
                <w:sz w:val="13"/>
                <w:szCs w:val="13"/>
                <w:b w:val="1"/>
                <w:bCs w:val="1"/>
                <w:color w:val="auto"/>
              </w:rPr>
              <w:t>Plan Name</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Service (#)</w:t>
            </w: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Benefit ($)(5)</w:t>
            </w:r>
          </w:p>
        </w:tc>
        <w:tc>
          <w:tcPr>
            <w:tcW w:w="720" w:type="dxa"/>
            <w:vAlign w:val="bottom"/>
          </w:tcPr>
          <w:p>
            <w:pPr>
              <w:jc w:val="center"/>
              <w:ind w:left="64"/>
              <w:spacing w:after="0"/>
              <w:rPr>
                <w:sz w:val="20"/>
                <w:szCs w:val="20"/>
                <w:color w:val="auto"/>
              </w:rPr>
            </w:pPr>
            <w:r>
              <w:rPr>
                <w:rFonts w:ascii="Arial" w:cs="Arial" w:eastAsia="Arial" w:hAnsi="Arial"/>
                <w:sz w:val="13"/>
                <w:szCs w:val="13"/>
                <w:b w:val="1"/>
                <w:bCs w:val="1"/>
                <w:color w:val="auto"/>
                <w:w w:val="96"/>
              </w:rPr>
              <w:t>Year ($)</w:t>
            </w:r>
          </w:p>
        </w:tc>
        <w:tc>
          <w:tcPr>
            <w:tcW w:w="0" w:type="dxa"/>
            <w:vAlign w:val="bottom"/>
          </w:tcPr>
          <w:p>
            <w:pPr>
              <w:spacing w:after="0"/>
              <w:rPr>
                <w:sz w:val="1"/>
                <w:szCs w:val="1"/>
                <w:color w:val="auto"/>
              </w:rPr>
            </w:pPr>
          </w:p>
        </w:tc>
      </w:tr>
      <w:tr>
        <w:trPr>
          <w:trHeight w:val="29"/>
        </w:trPr>
        <w:tc>
          <w:tcPr>
            <w:tcW w:w="4940" w:type="dxa"/>
            <w:vAlign w:val="bottom"/>
            <w:gridSpan w:val="2"/>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R. K. Templeton (1)</w:t>
            </w:r>
          </w:p>
        </w:tc>
        <w:tc>
          <w:tcPr>
            <w:tcW w:w="3540" w:type="dxa"/>
            <w:vAlign w:val="bottom"/>
            <w:tcBorders>
              <w:top w:val="single" w:sz="8" w:color="auto"/>
            </w:tcBorders>
            <w:shd w:val="clear" w:color="auto" w:fill="E9E9E9"/>
          </w:tcPr>
          <w:p>
            <w:pPr>
              <w:ind w:left="240"/>
              <w:spacing w:after="0"/>
              <w:rPr>
                <w:sz w:val="20"/>
                <w:szCs w:val="20"/>
                <w:color w:val="auto"/>
              </w:rPr>
            </w:pPr>
            <w:r>
              <w:rPr>
                <w:rFonts w:ascii="Arial" w:cs="Arial" w:eastAsia="Arial" w:hAnsi="Arial"/>
                <w:sz w:val="16"/>
                <w:szCs w:val="16"/>
                <w:color w:val="auto"/>
              </w:rPr>
              <w:t>TI Employees Pension Plan</w:t>
            </w:r>
          </w:p>
        </w:tc>
        <w:tc>
          <w:tcPr>
            <w:tcW w:w="60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16</w:t>
            </w:r>
          </w:p>
        </w:tc>
        <w:tc>
          <w:tcPr>
            <w:tcW w:w="540" w:type="dxa"/>
            <w:vAlign w:val="bottom"/>
            <w:tcBorders>
              <w:top w:val="single" w:sz="8" w:color="auto"/>
            </w:tcBorders>
            <w:shd w:val="clear" w:color="auto" w:fill="E9E9E9"/>
          </w:tcPr>
          <w:p>
            <w:pPr>
              <w:jc w:val="right"/>
              <w:ind w:right="239"/>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tcBorders>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E9E9E9"/>
          </w:tcPr>
          <w:p>
            <w:pPr>
              <w:jc w:val="right"/>
              <w:ind w:right="42"/>
              <w:spacing w:after="0"/>
              <w:rPr>
                <w:sz w:val="20"/>
                <w:szCs w:val="20"/>
                <w:color w:val="auto"/>
              </w:rPr>
            </w:pPr>
            <w:r>
              <w:rPr>
                <w:rFonts w:ascii="Arial" w:cs="Arial" w:eastAsia="Arial" w:hAnsi="Arial"/>
                <w:sz w:val="16"/>
                <w:szCs w:val="16"/>
                <w:color w:val="auto"/>
              </w:rPr>
              <w:t>540,470</w:t>
            </w:r>
          </w:p>
        </w:tc>
        <w:tc>
          <w:tcPr>
            <w:tcW w:w="720" w:type="dxa"/>
            <w:vAlign w:val="bottom"/>
            <w:tcBorders>
              <w:top w:val="single" w:sz="8" w:color="auto"/>
            </w:tcBorders>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shd w:val="clear" w:color="auto" w:fill="E9E9E9"/>
          </w:tcPr>
          <w:p>
            <w:pPr>
              <w:spacing w:after="0"/>
              <w:rPr>
                <w:sz w:val="19"/>
                <w:szCs w:val="19"/>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229,223</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shd w:val="clear" w:color="auto" w:fill="E9E9E9"/>
          </w:tcPr>
          <w:p>
            <w:pPr>
              <w:spacing w:after="0"/>
              <w:rPr>
                <w:sz w:val="20"/>
                <w:szCs w:val="20"/>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 II</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(4)</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167,510</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92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702,965</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shd w:val="clear" w:color="auto" w:fill="E9E9E9"/>
          </w:tcPr>
          <w:p>
            <w:pPr>
              <w:spacing w:after="0"/>
              <w:rPr>
                <w:sz w:val="19"/>
                <w:szCs w:val="19"/>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(3)</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140,998</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shd w:val="clear" w:color="auto" w:fill="E9E9E9"/>
          </w:tcPr>
          <w:p>
            <w:pPr>
              <w:spacing w:after="0"/>
              <w:rPr>
                <w:sz w:val="20"/>
                <w:szCs w:val="20"/>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 II</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(4)</w:t>
            </w:r>
          </w:p>
        </w:tc>
        <w:tc>
          <w:tcPr>
            <w:tcW w:w="1080" w:type="dxa"/>
            <w:vAlign w:val="bottom"/>
            <w:gridSpan w:val="2"/>
            <w:shd w:val="clear" w:color="auto" w:fill="E9E9E9"/>
          </w:tcPr>
          <w:p>
            <w:pPr>
              <w:jc w:val="right"/>
              <w:ind w:right="42"/>
              <w:spacing w:after="0"/>
              <w:rPr>
                <w:sz w:val="20"/>
                <w:szCs w:val="20"/>
                <w:color w:val="auto"/>
              </w:rPr>
            </w:pPr>
            <w:r>
              <w:rPr>
                <w:rFonts w:ascii="Arial" w:cs="Arial" w:eastAsia="Arial" w:hAnsi="Arial"/>
                <w:sz w:val="16"/>
                <w:szCs w:val="16"/>
                <w:color w:val="auto"/>
              </w:rPr>
              <w:t>$3,344,087</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920" w:type="dxa"/>
            <w:vAlign w:val="bottom"/>
            <w:shd w:val="clear" w:color="auto" w:fill="E9E9E9"/>
          </w:tcPr>
          <w:p>
            <w:pPr>
              <w:spacing w:after="0"/>
              <w:rPr>
                <w:sz w:val="20"/>
                <w:szCs w:val="20"/>
                <w:color w:val="auto"/>
              </w:rPr>
            </w:pPr>
            <w:r>
              <w:rPr>
                <w:rFonts w:ascii="Arial" w:cs="Arial" w:eastAsia="Arial" w:hAnsi="Arial"/>
                <w:sz w:val="16"/>
                <w:szCs w:val="16"/>
                <w:color w:val="auto"/>
              </w:rPr>
              <w:t>B. T. Crutcher (1)</w:t>
            </w: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0.9</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3,109</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92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(2)</w:t>
            </w:r>
          </w:p>
        </w:tc>
        <w:tc>
          <w:tcPr>
            <w:tcW w:w="1080" w:type="dxa"/>
            <w:vAlign w:val="bottom"/>
            <w:gridSpan w:val="2"/>
            <w:shd w:val="clear" w:color="auto" w:fill="E9E9E9"/>
          </w:tcPr>
          <w:p>
            <w:pPr>
              <w:jc w:val="right"/>
              <w:ind w:right="42"/>
              <w:spacing w:after="0"/>
              <w:rPr>
                <w:sz w:val="20"/>
                <w:szCs w:val="20"/>
                <w:color w:val="auto"/>
              </w:rPr>
            </w:pPr>
            <w:r>
              <w:rPr>
                <w:rFonts w:ascii="Arial" w:cs="Arial" w:eastAsia="Arial" w:hAnsi="Arial"/>
                <w:sz w:val="16"/>
                <w:szCs w:val="16"/>
                <w:color w:val="auto"/>
              </w:rPr>
              <w:t>$1,082,813</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shd w:val="clear" w:color="auto" w:fill="E9E9E9"/>
          </w:tcPr>
          <w:p>
            <w:pPr>
              <w:spacing w:after="0"/>
              <w:rPr>
                <w:sz w:val="19"/>
                <w:szCs w:val="19"/>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(3)</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417,994</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shd w:val="clear" w:color="auto" w:fill="E9E9E9"/>
          </w:tcPr>
          <w:p>
            <w:pPr>
              <w:spacing w:after="0"/>
              <w:rPr>
                <w:sz w:val="20"/>
                <w:szCs w:val="20"/>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 II</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(4)</w:t>
            </w:r>
          </w:p>
        </w:tc>
        <w:tc>
          <w:tcPr>
            <w:tcW w:w="1080" w:type="dxa"/>
            <w:vAlign w:val="bottom"/>
            <w:gridSpan w:val="2"/>
            <w:shd w:val="clear" w:color="auto" w:fill="E9E9E9"/>
          </w:tcPr>
          <w:p>
            <w:pPr>
              <w:jc w:val="right"/>
              <w:ind w:right="42"/>
              <w:spacing w:after="0"/>
              <w:rPr>
                <w:sz w:val="20"/>
                <w:szCs w:val="20"/>
                <w:color w:val="auto"/>
              </w:rPr>
            </w:pPr>
            <w:r>
              <w:rPr>
                <w:rFonts w:ascii="Arial" w:cs="Arial" w:eastAsia="Arial" w:hAnsi="Arial"/>
                <w:sz w:val="16"/>
                <w:szCs w:val="16"/>
                <w:color w:val="auto"/>
              </w:rPr>
              <w:t>$4,350,840</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92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628,390</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shd w:val="clear" w:color="auto" w:fill="E9E9E9"/>
          </w:tcPr>
          <w:p>
            <w:pPr>
              <w:spacing w:after="0"/>
              <w:rPr>
                <w:sz w:val="19"/>
                <w:szCs w:val="19"/>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(3)</w:t>
            </w:r>
          </w:p>
        </w:tc>
        <w:tc>
          <w:tcPr>
            <w:tcW w:w="260" w:type="dxa"/>
            <w:vAlign w:val="bottom"/>
            <w:shd w:val="clear" w:color="auto" w:fill="E9E9E9"/>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2"/>
              <w:spacing w:after="0"/>
              <w:rPr>
                <w:sz w:val="20"/>
                <w:szCs w:val="20"/>
                <w:color w:val="auto"/>
              </w:rPr>
            </w:pPr>
            <w:r>
              <w:rPr>
                <w:rFonts w:ascii="Arial" w:cs="Arial" w:eastAsia="Arial" w:hAnsi="Arial"/>
                <w:sz w:val="16"/>
                <w:szCs w:val="16"/>
                <w:color w:val="auto"/>
              </w:rPr>
              <w:t>236,145</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shd w:val="clear" w:color="auto" w:fill="E9E9E9"/>
          </w:tcPr>
          <w:p>
            <w:pPr>
              <w:spacing w:after="0"/>
              <w:rPr>
                <w:sz w:val="20"/>
                <w:szCs w:val="20"/>
                <w:color w:val="auto"/>
              </w:rPr>
            </w:pPr>
          </w:p>
        </w:tc>
        <w:tc>
          <w:tcPr>
            <w:tcW w:w="3540" w:type="dxa"/>
            <w:vAlign w:val="bottom"/>
            <w:shd w:val="clear" w:color="auto" w:fill="E9E9E9"/>
          </w:tcPr>
          <w:p>
            <w:pPr>
              <w:ind w:left="240"/>
              <w:spacing w:after="0"/>
              <w:rPr>
                <w:sz w:val="20"/>
                <w:szCs w:val="20"/>
                <w:color w:val="auto"/>
              </w:rPr>
            </w:pPr>
            <w:r>
              <w:rPr>
                <w:rFonts w:ascii="Arial" w:cs="Arial" w:eastAsia="Arial" w:hAnsi="Arial"/>
                <w:sz w:val="16"/>
                <w:szCs w:val="16"/>
                <w:color w:val="auto"/>
              </w:rPr>
              <w:t>TI Employees Non-Qualified Pension Plan II</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w:t>
            </w:r>
          </w:p>
        </w:tc>
        <w:tc>
          <w:tcPr>
            <w:tcW w:w="540" w:type="dxa"/>
            <w:vAlign w:val="bottom"/>
            <w:shd w:val="clear" w:color="auto" w:fill="E9E9E9"/>
          </w:tcPr>
          <w:p>
            <w:pPr>
              <w:jc w:val="right"/>
              <w:ind w:right="239"/>
              <w:spacing w:after="0"/>
              <w:rPr>
                <w:sz w:val="20"/>
                <w:szCs w:val="20"/>
                <w:color w:val="auto"/>
              </w:rPr>
            </w:pPr>
            <w:r>
              <w:rPr>
                <w:rFonts w:ascii="Arial" w:cs="Arial" w:eastAsia="Arial" w:hAnsi="Arial"/>
                <w:sz w:val="16"/>
                <w:szCs w:val="16"/>
                <w:color w:val="auto"/>
              </w:rPr>
              <w:t>(4)</w:t>
            </w:r>
          </w:p>
        </w:tc>
        <w:tc>
          <w:tcPr>
            <w:tcW w:w="1080" w:type="dxa"/>
            <w:vAlign w:val="bottom"/>
            <w:gridSpan w:val="2"/>
            <w:shd w:val="clear" w:color="auto" w:fill="E9E9E9"/>
          </w:tcPr>
          <w:p>
            <w:pPr>
              <w:jc w:val="right"/>
              <w:ind w:right="42"/>
              <w:spacing w:after="0"/>
              <w:rPr>
                <w:sz w:val="20"/>
                <w:szCs w:val="20"/>
                <w:color w:val="auto"/>
              </w:rPr>
            </w:pPr>
            <w:r>
              <w:rPr>
                <w:rFonts w:ascii="Arial" w:cs="Arial" w:eastAsia="Arial" w:hAnsi="Arial"/>
                <w:sz w:val="16"/>
                <w:szCs w:val="16"/>
                <w:color w:val="auto"/>
              </w:rPr>
              <w:t>$2,320,381</w:t>
            </w:r>
          </w:p>
        </w:tc>
        <w:tc>
          <w:tcPr>
            <w:tcW w:w="720" w:type="dxa"/>
            <w:vAlign w:val="bottom"/>
            <w:shd w:val="clear" w:color="auto" w:fill="E9E9E9"/>
          </w:tcPr>
          <w:p>
            <w:pPr>
              <w:jc w:val="center"/>
              <w:ind w:left="44"/>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0" w:right="60" w:hanging="440"/>
        <w:spacing w:after="0" w:line="25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Crutcher’s benefits are included in the 2013 summary compensation table.</w:t>
      </w:r>
    </w:p>
    <w:p>
      <w:pPr>
        <w:spacing w:after="0" w:line="181" w:lineRule="exact"/>
        <w:rPr>
          <w:rFonts w:ascii="Arial" w:cs="Arial" w:eastAsia="Arial" w:hAnsi="Arial"/>
          <w:sz w:val="16"/>
          <w:szCs w:val="16"/>
          <w:color w:val="auto"/>
        </w:rPr>
      </w:pPr>
    </w:p>
    <w:p>
      <w:pPr>
        <w:jc w:val="both"/>
        <w:ind w:left="440" w:right="400" w:hanging="440"/>
        <w:spacing w:after="0" w:line="259"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181" w:lineRule="exact"/>
        <w:rPr>
          <w:rFonts w:ascii="Arial" w:cs="Arial" w:eastAsia="Arial" w:hAnsi="Arial"/>
          <w:sz w:val="16"/>
          <w:szCs w:val="16"/>
          <w:color w:val="auto"/>
        </w:rPr>
      </w:pPr>
    </w:p>
    <w:p>
      <w:pPr>
        <w:ind w:left="440" w:right="160" w:hanging="440"/>
        <w:spacing w:after="0" w:line="290"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Credited service began on the date the named executive officer became eligible to participate in the TI Employees Pension Plan as described in note 2 above and ceased at December 31, 2004.</w:t>
      </w:r>
    </w:p>
    <w:p>
      <w:pPr>
        <w:spacing w:after="0" w:line="155" w:lineRule="exact"/>
        <w:rPr>
          <w:rFonts w:ascii="Arial" w:cs="Arial" w:eastAsia="Arial" w:hAnsi="Arial"/>
          <w:sz w:val="16"/>
          <w:szCs w:val="16"/>
          <w:color w:val="auto"/>
        </w:rPr>
      </w:pPr>
    </w:p>
    <w:p>
      <w:pPr>
        <w:ind w:left="440" w:right="160" w:hanging="440"/>
        <w:spacing w:after="0" w:line="290"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Credited service began on the date the named executive officer became eligible to participate in the TI Employees Pension Plan as described in note 2 above.</w:t>
      </w:r>
    </w:p>
    <w:p>
      <w:pPr>
        <w:spacing w:after="0" w:line="155" w:lineRule="exact"/>
        <w:rPr>
          <w:rFonts w:ascii="Arial" w:cs="Arial" w:eastAsia="Arial" w:hAnsi="Arial"/>
          <w:sz w:val="16"/>
          <w:szCs w:val="16"/>
          <w:color w:val="auto"/>
        </w:rPr>
      </w:pPr>
    </w:p>
    <w:p>
      <w:pPr>
        <w:ind w:left="440" w:right="20" w:hanging="440"/>
        <w:spacing w:after="0" w:line="251"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assumptions and valuation methods used to calculate the present value of the accumulated pension benefits shown are the same as those used by TI for financial reporting purposes and are described in Note 11 in Exhibit 13 to TI’s annual report on Form 10-K for the year ended December 31, 2013, except that a named executive officer’s retirement is assumed (in accordance with SEC rules) for purposes of this table to occur at age 65 and no assumption for termination prior to that date is used. The amount of the lump-sum benefit earned as of December 31, 2013, is determined using either (i) the Pension Benefit Guaranty Corporation (PBGC) interest assumption of 2.25 percent or (ii) the Pension Protection Act of 2006 (PPA) corporate bond yield interest assumption of 5.11 percent for the TI Employees Pension Plan and 5.18 percent for the TI Employees Non-Qualified Pension Plans, whichever rate produces the higher lump sum amount. A discount rate assumption of 5.11 percent for the TI Employees Pension Plan and 5.18 percent for the non-qualified pension plans was used to determine the present value of each lump sum.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 Employees Pension Plan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TI Employees Pension Plan is a qualified defined benefit pension plan. Please see page 79 for a discussion of the origin and purpose of the plan.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Employees who joined the U.S. payroll after November 30, 1997, are not eligible to participate in this plan.</w:t>
      </w:r>
    </w:p>
    <w:p>
      <w:pPr>
        <w:spacing w:after="0" w:line="15" w:lineRule="exact"/>
        <w:rPr>
          <w:sz w:val="20"/>
          <w:szCs w:val="20"/>
          <w:color w:val="auto"/>
        </w:rPr>
      </w:pPr>
    </w:p>
    <w:p>
      <w:pPr>
        <w:jc w:val="both"/>
        <w:ind w:right="60" w:firstLine="231"/>
        <w:spacing w:after="0" w:line="271" w:lineRule="auto"/>
        <w:rPr>
          <w:sz w:val="20"/>
          <w:szCs w:val="20"/>
          <w:color w:val="auto"/>
        </w:rPr>
      </w:pPr>
      <w:r>
        <w:rPr>
          <w:rFonts w:ascii="Arial" w:cs="Arial" w:eastAsia="Arial" w:hAnsi="Arial"/>
          <w:sz w:val="16"/>
          <w:szCs w:val="16"/>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As of December 31, 2013, Mr. Templeton, Mr. March and Mr. Ritchie were eligible for early or normal retirement.</w:t>
      </w:r>
    </w:p>
    <w:p>
      <w:pPr>
        <w:spacing w:after="0" w:line="183"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27710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34" w:name="page35"/>
    <w:bookmarkEnd w:id="34"/>
    <w:p>
      <w:pPr>
        <w:ind w:right="140" w:firstLine="226"/>
        <w:spacing w:after="0" w:line="249" w:lineRule="auto"/>
        <w:rPr>
          <w:sz w:val="20"/>
          <w:szCs w:val="20"/>
          <w:color w:val="auto"/>
        </w:rPr>
      </w:pPr>
      <w:r>
        <w:rPr>
          <w:rFonts w:ascii="Arial" w:cs="Arial" w:eastAsia="Arial" w:hAnsi="Arial"/>
          <w:sz w:val="16"/>
          <w:szCs w:val="16"/>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 (iii) 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3" w:lineRule="exact"/>
        <w:rPr>
          <w:sz w:val="20"/>
          <w:szCs w:val="20"/>
          <w:color w:val="auto"/>
        </w:rPr>
      </w:pPr>
    </w:p>
    <w:p>
      <w:pPr>
        <w:ind w:right="60" w:firstLine="226"/>
        <w:spacing w:after="0" w:line="244" w:lineRule="auto"/>
        <w:rPr>
          <w:sz w:val="20"/>
          <w:szCs w:val="20"/>
          <w:color w:val="auto"/>
        </w:rPr>
      </w:pPr>
      <w:r>
        <w:rPr>
          <w:rFonts w:ascii="Arial" w:cs="Arial" w:eastAsia="Arial" w:hAnsi="Arial"/>
          <w:sz w:val="16"/>
          <w:szCs w:val="16"/>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2" w:lineRule="exact"/>
        <w:rPr>
          <w:sz w:val="20"/>
          <w:szCs w:val="20"/>
          <w:color w:val="auto"/>
        </w:rPr>
      </w:pPr>
    </w:p>
    <w:p>
      <w:pPr>
        <w:ind w:right="720" w:firstLine="226"/>
        <w:spacing w:after="0" w:line="244" w:lineRule="auto"/>
        <w:rPr>
          <w:sz w:val="20"/>
          <w:szCs w:val="20"/>
          <w:color w:val="auto"/>
        </w:rPr>
      </w:pPr>
      <w:r>
        <w:rPr>
          <w:rFonts w:ascii="Arial" w:cs="Arial" w:eastAsia="Arial" w:hAnsi="Arial"/>
          <w:sz w:val="16"/>
          <w:szCs w:val="16"/>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 w:lineRule="exact"/>
        <w:rPr>
          <w:sz w:val="20"/>
          <w:szCs w:val="20"/>
          <w:color w:val="auto"/>
        </w:rPr>
      </w:pPr>
    </w:p>
    <w:p>
      <w:pPr>
        <w:ind w:right="40" w:firstLine="226"/>
        <w:spacing w:after="0" w:line="246" w:lineRule="auto"/>
        <w:rPr>
          <w:sz w:val="20"/>
          <w:szCs w:val="20"/>
          <w:color w:val="auto"/>
        </w:rPr>
      </w:pPr>
      <w:r>
        <w:rPr>
          <w:rFonts w:ascii="Arial" w:cs="Arial" w:eastAsia="Arial" w:hAnsi="Arial"/>
          <w:sz w:val="16"/>
          <w:szCs w:val="16"/>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184" w:lineRule="exact"/>
        <w:rPr>
          <w:sz w:val="20"/>
          <w:szCs w:val="20"/>
          <w:color w:val="auto"/>
        </w:rPr>
      </w:pPr>
    </w:p>
    <w:p>
      <w:pPr>
        <w:jc w:val="both"/>
        <w:ind w:right="100" w:firstLine="226"/>
        <w:spacing w:after="0" w:line="244" w:lineRule="auto"/>
        <w:rPr>
          <w:sz w:val="20"/>
          <w:szCs w:val="20"/>
          <w:color w:val="auto"/>
        </w:rPr>
      </w:pPr>
      <w:r>
        <w:rPr>
          <w:rFonts w:ascii="Arial" w:cs="Arial" w:eastAsia="Arial" w:hAnsi="Arial"/>
          <w:sz w:val="16"/>
          <w:szCs w:val="16"/>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 w:lineRule="exact"/>
        <w:rPr>
          <w:sz w:val="20"/>
          <w:szCs w:val="20"/>
          <w:color w:val="auto"/>
        </w:rPr>
      </w:pPr>
    </w:p>
    <w:p>
      <w:pPr>
        <w:ind w:firstLine="226"/>
        <w:spacing w:after="0" w:line="264" w:lineRule="auto"/>
        <w:rPr>
          <w:sz w:val="20"/>
          <w:szCs w:val="20"/>
          <w:color w:val="auto"/>
        </w:rPr>
      </w:pPr>
      <w:r>
        <w:rPr>
          <w:rFonts w:ascii="Arial" w:cs="Arial" w:eastAsia="Arial" w:hAnsi="Arial"/>
          <w:sz w:val="16"/>
          <w:szCs w:val="16"/>
          <w:color w:val="auto"/>
        </w:rPr>
        <w:t>Leaves of absence, including a bridge to retirement, are credited to years of service under the qualified pension plan. Please see the discussion of leaves of absence on page 90.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 Employees Non-Qualified Pension Plans</w:t>
      </w:r>
    </w:p>
    <w:p>
      <w:pPr>
        <w:spacing w:after="0" w:line="24"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 79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 w:lineRule="exact"/>
        <w:rPr>
          <w:sz w:val="20"/>
          <w:szCs w:val="20"/>
          <w:color w:val="auto"/>
        </w:rPr>
      </w:pPr>
    </w:p>
    <w:p>
      <w:pPr>
        <w:ind w:right="20" w:firstLine="226"/>
        <w:spacing w:after="0" w:line="244" w:lineRule="auto"/>
        <w:rPr>
          <w:sz w:val="20"/>
          <w:szCs w:val="20"/>
          <w:color w:val="auto"/>
        </w:rPr>
      </w:pPr>
      <w:r>
        <w:rPr>
          <w:rFonts w:ascii="Arial" w:cs="Arial" w:eastAsia="Arial" w:hAnsi="Arial"/>
          <w:sz w:val="16"/>
          <w:szCs w:val="16"/>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 w:lineRule="exact"/>
        <w:rPr>
          <w:sz w:val="20"/>
          <w:szCs w:val="20"/>
          <w:color w:val="auto"/>
        </w:rPr>
      </w:pPr>
    </w:p>
    <w:p>
      <w:pPr>
        <w:ind w:right="100" w:firstLine="226"/>
        <w:spacing w:after="0" w:line="244" w:lineRule="auto"/>
        <w:rPr>
          <w:sz w:val="20"/>
          <w:szCs w:val="20"/>
          <w:color w:val="auto"/>
        </w:rPr>
      </w:pPr>
      <w:r>
        <w:rPr>
          <w:rFonts w:ascii="Arial" w:cs="Arial" w:eastAsia="Arial" w:hAnsi="Arial"/>
          <w:sz w:val="16"/>
          <w:szCs w:val="16"/>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2" w:lineRule="exact"/>
        <w:rPr>
          <w:sz w:val="20"/>
          <w:szCs w:val="20"/>
          <w:color w:val="auto"/>
        </w:rPr>
      </w:pPr>
    </w:p>
    <w:p>
      <w:pPr>
        <w:ind w:right="120" w:firstLine="226"/>
        <w:spacing w:after="0" w:line="244" w:lineRule="auto"/>
        <w:rPr>
          <w:sz w:val="20"/>
          <w:szCs w:val="20"/>
          <w:color w:val="auto"/>
        </w:rPr>
      </w:pPr>
      <w:r>
        <w:rPr>
          <w:rFonts w:ascii="Arial" w:cs="Arial" w:eastAsia="Arial" w:hAnsi="Arial"/>
          <w:sz w:val="16"/>
          <w:szCs w:val="16"/>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 w:lineRule="exact"/>
        <w:rPr>
          <w:sz w:val="20"/>
          <w:szCs w:val="20"/>
          <w:color w:val="auto"/>
        </w:rPr>
      </w:pPr>
    </w:p>
    <w:p>
      <w:pPr>
        <w:ind w:right="360" w:firstLine="226"/>
        <w:spacing w:after="0" w:line="244" w:lineRule="auto"/>
        <w:rPr>
          <w:sz w:val="20"/>
          <w:szCs w:val="20"/>
          <w:color w:val="auto"/>
        </w:rPr>
      </w:pPr>
      <w:r>
        <w:rPr>
          <w:rFonts w:ascii="Arial" w:cs="Arial" w:eastAsia="Arial" w:hAnsi="Arial"/>
          <w:sz w:val="16"/>
          <w:szCs w:val="16"/>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page 85)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 w:lineRule="exact"/>
        <w:rPr>
          <w:sz w:val="20"/>
          <w:szCs w:val="20"/>
          <w:color w:val="auto"/>
        </w:rPr>
      </w:pPr>
    </w:p>
    <w:p>
      <w:pPr>
        <w:ind w:right="280" w:firstLine="226"/>
        <w:spacing w:after="0" w:line="264" w:lineRule="auto"/>
        <w:rPr>
          <w:sz w:val="20"/>
          <w:szCs w:val="20"/>
          <w:color w:val="auto"/>
        </w:rPr>
      </w:pPr>
      <w:r>
        <w:rPr>
          <w:rFonts w:ascii="Arial" w:cs="Arial" w:eastAsia="Arial" w:hAnsi="Arial"/>
          <w:sz w:val="16"/>
          <w:szCs w:val="16"/>
          <w:color w:val="auto"/>
        </w:rPr>
        <w:t>Leaves of absence, including a bridge to retirement, are credited to years of service under the non-qualified pension plans. For a discussion of leaves of absence, please see pages 90-91.</w:t>
      </w:r>
    </w:p>
    <w:p>
      <w:pPr>
        <w:spacing w:after="0" w:line="188"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88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auto"/>
        </w:rPr>
        <w:t>TI Employees Survivor Benefit Plan</w:t>
      </w:r>
    </w:p>
    <w:p>
      <w:pPr>
        <w:spacing w:after="0" w:line="2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Messers. Templeton, March and Ritchie were eligible for early retirement in 2013, their beneficiaries would be eligible for benefits under the survivor benefit plan if they were to die.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non-qualified deferred compensation</w:t>
      </w:r>
    </w:p>
    <w:p>
      <w:pPr>
        <w:spacing w:after="0" w:line="206"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The following table shows contributions to the named executive officer’s deferred compensation account in 2013 and the aggregate amount of his deferred compensation as of December 31,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20" w:type="dxa"/>
            <w:vAlign w:val="bottom"/>
          </w:tcPr>
          <w:p>
            <w:pPr>
              <w:spacing w:after="0"/>
              <w:rPr>
                <w:sz w:val="15"/>
                <w:szCs w:val="15"/>
                <w:color w:val="auto"/>
              </w:rPr>
            </w:pPr>
          </w:p>
        </w:tc>
        <w:tc>
          <w:tcPr>
            <w:tcW w:w="2940" w:type="dxa"/>
            <w:vAlign w:val="bottom"/>
          </w:tcPr>
          <w:p>
            <w:pPr>
              <w:jc w:val="center"/>
              <w:ind w:left="1626"/>
              <w:spacing w:after="0"/>
              <w:rPr>
                <w:sz w:val="20"/>
                <w:szCs w:val="20"/>
                <w:color w:val="auto"/>
              </w:rPr>
            </w:pPr>
            <w:r>
              <w:rPr>
                <w:rFonts w:ascii="Arial" w:cs="Arial" w:eastAsia="Arial" w:hAnsi="Arial"/>
                <w:sz w:val="13"/>
                <w:szCs w:val="13"/>
                <w:b w:val="1"/>
                <w:bCs w:val="1"/>
                <w:color w:val="auto"/>
                <w:w w:val="98"/>
              </w:rPr>
              <w:t>Executive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Registrant</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3"/>
              </w:rPr>
              <w:t>Aggregate</w:t>
            </w:r>
          </w:p>
        </w:tc>
        <w:tc>
          <w:tcPr>
            <w:tcW w:w="260" w:type="dxa"/>
            <w:vAlign w:val="bottom"/>
          </w:tcPr>
          <w:p>
            <w:pPr>
              <w:spacing w:after="0"/>
              <w:rPr>
                <w:sz w:val="15"/>
                <w:szCs w:val="15"/>
                <w:color w:val="auto"/>
              </w:rPr>
            </w:pPr>
          </w:p>
        </w:tc>
        <w:tc>
          <w:tcPr>
            <w:tcW w:w="760" w:type="dxa"/>
            <w:vAlign w:val="bottom"/>
          </w:tcPr>
          <w:p>
            <w:pPr>
              <w:jc w:val="center"/>
              <w:ind w:left="24"/>
              <w:spacing w:after="0"/>
              <w:rPr>
                <w:sz w:val="20"/>
                <w:szCs w:val="20"/>
                <w:color w:val="auto"/>
              </w:rPr>
            </w:pPr>
            <w:r>
              <w:rPr>
                <w:rFonts w:ascii="Arial" w:cs="Arial" w:eastAsia="Arial" w:hAnsi="Arial"/>
                <w:sz w:val="13"/>
                <w:szCs w:val="13"/>
                <w:b w:val="1"/>
                <w:bCs w:val="1"/>
                <w:color w:val="auto"/>
                <w:w w:val="96"/>
              </w:rPr>
              <w:t>Aggregate</w:t>
            </w:r>
          </w:p>
        </w:tc>
        <w:tc>
          <w:tcPr>
            <w:tcW w:w="200" w:type="dxa"/>
            <w:vAlign w:val="bottom"/>
          </w:tcPr>
          <w:p>
            <w:pPr>
              <w:spacing w:after="0"/>
              <w:rPr>
                <w:sz w:val="15"/>
                <w:szCs w:val="15"/>
                <w:color w:val="auto"/>
              </w:rPr>
            </w:pPr>
          </w:p>
        </w:tc>
      </w:tr>
      <w:tr>
        <w:trPr>
          <w:trHeight w:val="225"/>
        </w:trPr>
        <w:tc>
          <w:tcPr>
            <w:tcW w:w="3020" w:type="dxa"/>
            <w:vAlign w:val="bottom"/>
          </w:tcPr>
          <w:p>
            <w:pPr>
              <w:spacing w:after="0"/>
              <w:rPr>
                <w:sz w:val="19"/>
                <w:szCs w:val="19"/>
                <w:color w:val="auto"/>
              </w:rPr>
            </w:pPr>
          </w:p>
        </w:tc>
        <w:tc>
          <w:tcPr>
            <w:tcW w:w="2940" w:type="dxa"/>
            <w:vAlign w:val="bottom"/>
          </w:tcPr>
          <w:p>
            <w:pPr>
              <w:jc w:val="center"/>
              <w:ind w:left="1606"/>
              <w:spacing w:after="0"/>
              <w:rPr>
                <w:sz w:val="20"/>
                <w:szCs w:val="20"/>
                <w:color w:val="auto"/>
              </w:rPr>
            </w:pPr>
            <w:r>
              <w:rPr>
                <w:rFonts w:ascii="Arial" w:cs="Arial" w:eastAsia="Arial" w:hAnsi="Arial"/>
                <w:sz w:val="13"/>
                <w:szCs w:val="13"/>
                <w:b w:val="1"/>
                <w:bCs w:val="1"/>
                <w:color w:val="auto"/>
                <w:w w:val="96"/>
              </w:rPr>
              <w:t>Contributions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Contributions in</w:t>
            </w:r>
          </w:p>
        </w:tc>
        <w:tc>
          <w:tcPr>
            <w:tcW w:w="166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Aggregate Earnings in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Withdrawals/</w:t>
            </w:r>
          </w:p>
        </w:tc>
        <w:tc>
          <w:tcPr>
            <w:tcW w:w="1220" w:type="dxa"/>
            <w:vAlign w:val="bottom"/>
            <w:gridSpan w:val="3"/>
          </w:tcPr>
          <w:p>
            <w:pPr>
              <w:jc w:val="center"/>
              <w:ind w:left="85"/>
              <w:spacing w:after="0"/>
              <w:rPr>
                <w:sz w:val="20"/>
                <w:szCs w:val="20"/>
                <w:color w:val="auto"/>
              </w:rPr>
            </w:pPr>
            <w:r>
              <w:rPr>
                <w:rFonts w:ascii="Arial" w:cs="Arial" w:eastAsia="Arial" w:hAnsi="Arial"/>
                <w:sz w:val="13"/>
                <w:szCs w:val="13"/>
                <w:b w:val="1"/>
                <w:bCs w:val="1"/>
                <w:color w:val="auto"/>
                <w:w w:val="94"/>
              </w:rPr>
              <w:t>Balance at Last</w:t>
            </w:r>
          </w:p>
        </w:tc>
      </w:tr>
      <w:tr>
        <w:trPr>
          <w:trHeight w:val="225"/>
        </w:trPr>
        <w:tc>
          <w:tcPr>
            <w:tcW w:w="30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940" w:type="dxa"/>
            <w:vAlign w:val="bottom"/>
          </w:tcPr>
          <w:p>
            <w:pPr>
              <w:jc w:val="center"/>
              <w:ind w:left="1626"/>
              <w:spacing w:after="0"/>
              <w:rPr>
                <w:sz w:val="20"/>
                <w:szCs w:val="20"/>
                <w:color w:val="auto"/>
              </w:rPr>
            </w:pPr>
            <w:r>
              <w:rPr>
                <w:rFonts w:ascii="Arial" w:cs="Arial" w:eastAsia="Arial" w:hAnsi="Arial"/>
                <w:sz w:val="13"/>
                <w:szCs w:val="13"/>
                <w:b w:val="1"/>
                <w:bCs w:val="1"/>
                <w:color w:val="auto"/>
                <w:w w:val="94"/>
              </w:rPr>
              <w:t>in Last FY ($)(1)</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4"/>
              </w:rPr>
              <w:t>Last FY ($)(2)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Last FY ($)</w:t>
            </w:r>
          </w:p>
        </w:tc>
        <w:tc>
          <w:tcPr>
            <w:tcW w:w="5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Distributions ($)</w:t>
            </w:r>
          </w:p>
        </w:tc>
        <w:tc>
          <w:tcPr>
            <w:tcW w:w="260" w:type="dxa"/>
            <w:vAlign w:val="bottom"/>
          </w:tcPr>
          <w:p>
            <w:pPr>
              <w:spacing w:after="0"/>
              <w:rPr>
                <w:sz w:val="19"/>
                <w:szCs w:val="19"/>
                <w:color w:val="auto"/>
              </w:rPr>
            </w:pPr>
          </w:p>
        </w:tc>
        <w:tc>
          <w:tcPr>
            <w:tcW w:w="760" w:type="dxa"/>
            <w:vAlign w:val="bottom"/>
          </w:tcPr>
          <w:p>
            <w:pPr>
              <w:jc w:val="center"/>
              <w:ind w:left="24"/>
              <w:spacing w:after="0"/>
              <w:rPr>
                <w:sz w:val="20"/>
                <w:szCs w:val="20"/>
                <w:color w:val="auto"/>
              </w:rPr>
            </w:pPr>
            <w:r>
              <w:rPr>
                <w:rFonts w:ascii="Arial" w:cs="Arial" w:eastAsia="Arial" w:hAnsi="Arial"/>
                <w:sz w:val="13"/>
                <w:szCs w:val="13"/>
                <w:b w:val="1"/>
                <w:bCs w:val="1"/>
                <w:color w:val="auto"/>
                <w:w w:val="95"/>
              </w:rPr>
              <w:t>FYE ($)(5)</w:t>
            </w:r>
          </w:p>
        </w:tc>
        <w:tc>
          <w:tcPr>
            <w:tcW w:w="200" w:type="dxa"/>
            <w:vAlign w:val="bottom"/>
          </w:tcPr>
          <w:p>
            <w:pPr>
              <w:spacing w:after="0"/>
              <w:rPr>
                <w:sz w:val="19"/>
                <w:szCs w:val="19"/>
                <w:color w:val="auto"/>
              </w:rPr>
            </w:pPr>
          </w:p>
        </w:tc>
      </w:tr>
      <w:tr>
        <w:trPr>
          <w:trHeight w:val="29"/>
        </w:trPr>
        <w:tc>
          <w:tcPr>
            <w:tcW w:w="30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302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2940" w:type="dxa"/>
            <w:vAlign w:val="bottom"/>
            <w:shd w:val="clear" w:color="auto" w:fill="E9E9E9"/>
          </w:tcPr>
          <w:p>
            <w:pPr>
              <w:jc w:val="right"/>
              <w:ind w:right="206"/>
              <w:spacing w:after="0"/>
              <w:rPr>
                <w:sz w:val="20"/>
                <w:szCs w:val="20"/>
                <w:color w:val="auto"/>
              </w:rPr>
            </w:pPr>
            <w:r>
              <w:rPr>
                <w:rFonts w:ascii="Arial" w:cs="Arial" w:eastAsia="Arial" w:hAnsi="Arial"/>
                <w:sz w:val="16"/>
                <w:szCs w:val="16"/>
                <w:color w:val="auto"/>
              </w:rPr>
              <w:t>$138,819</w:t>
            </w:r>
          </w:p>
        </w:tc>
        <w:tc>
          <w:tcPr>
            <w:tcW w:w="1260" w:type="dxa"/>
            <w:vAlign w:val="bottom"/>
            <w:shd w:val="clear" w:color="auto" w:fill="E9E9E9"/>
          </w:tcPr>
          <w:p>
            <w:pPr>
              <w:jc w:val="right"/>
              <w:ind w:right="206"/>
              <w:spacing w:after="0"/>
              <w:rPr>
                <w:sz w:val="20"/>
                <w:szCs w:val="20"/>
                <w:color w:val="auto"/>
              </w:rPr>
            </w:pPr>
            <w:r>
              <w:rPr>
                <w:rFonts w:ascii="Arial" w:cs="Arial" w:eastAsia="Arial" w:hAnsi="Arial"/>
                <w:sz w:val="16"/>
                <w:szCs w:val="16"/>
                <w:color w:val="auto"/>
              </w:rPr>
              <w:t>$121,775</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1,717,001</w:t>
            </w:r>
          </w:p>
        </w:tc>
        <w:tc>
          <w:tcPr>
            <w:tcW w:w="520" w:type="dxa"/>
            <w:vAlign w:val="bottom"/>
            <w:shd w:val="clear" w:color="auto" w:fill="E9E9E9"/>
          </w:tcPr>
          <w:p>
            <w:pPr>
              <w:jc w:val="right"/>
              <w:ind w:right="219"/>
              <w:spacing w:after="0"/>
              <w:rPr>
                <w:sz w:val="20"/>
                <w:szCs w:val="20"/>
                <w:color w:val="auto"/>
              </w:rPr>
            </w:pPr>
            <w:r>
              <w:rPr>
                <w:rFonts w:ascii="Arial" w:cs="Arial" w:eastAsia="Arial" w:hAnsi="Arial"/>
                <w:sz w:val="16"/>
                <w:szCs w:val="16"/>
                <w:color w:val="auto"/>
              </w:rPr>
              <w:t>(3)</w:t>
            </w:r>
          </w:p>
        </w:tc>
        <w:tc>
          <w:tcPr>
            <w:tcW w:w="1320" w:type="dxa"/>
            <w:vAlign w:val="bottom"/>
            <w:shd w:val="clear" w:color="auto" w:fill="E9E9E9"/>
          </w:tcPr>
          <w:p>
            <w:pPr>
              <w:jc w:val="right"/>
              <w:ind w:right="126"/>
              <w:spacing w:after="0"/>
              <w:rPr>
                <w:sz w:val="20"/>
                <w:szCs w:val="20"/>
                <w:color w:val="auto"/>
              </w:rPr>
            </w:pPr>
            <w:r>
              <w:rPr>
                <w:rFonts w:ascii="Arial" w:cs="Arial" w:eastAsia="Arial" w:hAnsi="Arial"/>
                <w:sz w:val="16"/>
                <w:szCs w:val="16"/>
                <w:color w:val="auto"/>
              </w:rPr>
              <w:t>$197,234 (4)</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5,762,511</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1"/>
              </w:rPr>
              <w:t>(6)</w:t>
            </w:r>
          </w:p>
        </w:tc>
      </w:tr>
      <w:tr>
        <w:trPr>
          <w:trHeight w:val="219"/>
        </w:trPr>
        <w:tc>
          <w:tcPr>
            <w:tcW w:w="3020" w:type="dxa"/>
            <w:vAlign w:val="bottom"/>
          </w:tcPr>
          <w:p>
            <w:pPr>
              <w:spacing w:after="0"/>
              <w:rPr>
                <w:sz w:val="20"/>
                <w:szCs w:val="20"/>
                <w:color w:val="auto"/>
              </w:rPr>
            </w:pPr>
            <w:r>
              <w:rPr>
                <w:rFonts w:ascii="Arial" w:cs="Arial" w:eastAsia="Arial" w:hAnsi="Arial"/>
                <w:sz w:val="16"/>
                <w:szCs w:val="16"/>
                <w:color w:val="auto"/>
              </w:rPr>
              <w:t>K. P. March</w:t>
            </w:r>
          </w:p>
        </w:tc>
        <w:tc>
          <w:tcPr>
            <w:tcW w:w="2940" w:type="dxa"/>
            <w:vAlign w:val="bottom"/>
          </w:tcPr>
          <w:p>
            <w:pPr>
              <w:jc w:val="right"/>
              <w:ind w:right="206"/>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6"/>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320" w:type="dxa"/>
            <w:vAlign w:val="bottom"/>
          </w:tcPr>
          <w:p>
            <w:pPr>
              <w:jc w:val="right"/>
              <w:ind w:right="36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31"/>
        </w:trPr>
        <w:tc>
          <w:tcPr>
            <w:tcW w:w="302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2940" w:type="dxa"/>
            <w:vAlign w:val="bottom"/>
            <w:shd w:val="clear" w:color="auto" w:fill="E9E9E9"/>
          </w:tcPr>
          <w:p>
            <w:pPr>
              <w:jc w:val="right"/>
              <w:ind w:right="206"/>
              <w:spacing w:after="0"/>
              <w:rPr>
                <w:sz w:val="20"/>
                <w:szCs w:val="20"/>
                <w:color w:val="auto"/>
              </w:rPr>
            </w:pPr>
            <w:r>
              <w:rPr>
                <w:rFonts w:ascii="Arial" w:cs="Arial" w:eastAsia="Arial" w:hAnsi="Arial"/>
                <w:sz w:val="16"/>
                <w:szCs w:val="16"/>
                <w:color w:val="auto"/>
              </w:rPr>
              <w:t>$ 61,431</w:t>
            </w:r>
          </w:p>
        </w:tc>
        <w:tc>
          <w:tcPr>
            <w:tcW w:w="1260" w:type="dxa"/>
            <w:vAlign w:val="bottom"/>
            <w:shd w:val="clear" w:color="auto" w:fill="E9E9E9"/>
          </w:tcPr>
          <w:p>
            <w:pPr>
              <w:jc w:val="right"/>
              <w:ind w:right="206"/>
              <w:spacing w:after="0"/>
              <w:rPr>
                <w:sz w:val="20"/>
                <w:szCs w:val="20"/>
                <w:color w:val="auto"/>
              </w:rPr>
            </w:pPr>
            <w:r>
              <w:rPr>
                <w:rFonts w:ascii="Arial" w:cs="Arial" w:eastAsia="Arial" w:hAnsi="Arial"/>
                <w:sz w:val="16"/>
                <w:szCs w:val="16"/>
                <w:color w:val="auto"/>
              </w:rPr>
              <w:t>$ 80,886</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91,154</w:t>
            </w:r>
          </w:p>
        </w:tc>
        <w:tc>
          <w:tcPr>
            <w:tcW w:w="520" w:type="dxa"/>
            <w:vAlign w:val="bottom"/>
            <w:shd w:val="clear" w:color="auto" w:fill="E9E9E9"/>
          </w:tcPr>
          <w:p>
            <w:pPr>
              <w:spacing w:after="0"/>
              <w:rPr>
                <w:sz w:val="20"/>
                <w:szCs w:val="20"/>
                <w:color w:val="auto"/>
              </w:rPr>
            </w:pPr>
          </w:p>
        </w:tc>
        <w:tc>
          <w:tcPr>
            <w:tcW w:w="1320" w:type="dxa"/>
            <w:vAlign w:val="bottom"/>
            <w:shd w:val="clear" w:color="auto" w:fill="E9E9E9"/>
          </w:tcPr>
          <w:p>
            <w:pPr>
              <w:jc w:val="right"/>
              <w:ind w:right="366"/>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601,324</w:t>
            </w:r>
          </w:p>
        </w:tc>
        <w:tc>
          <w:tcPr>
            <w:tcW w:w="200" w:type="dxa"/>
            <w:vAlign w:val="bottom"/>
            <w:shd w:val="clear" w:color="auto" w:fill="E9E9E9"/>
          </w:tcPr>
          <w:p>
            <w:pPr>
              <w:spacing w:after="0"/>
              <w:rPr>
                <w:sz w:val="20"/>
                <w:szCs w:val="20"/>
                <w:color w:val="auto"/>
              </w:rPr>
            </w:pPr>
          </w:p>
        </w:tc>
      </w:tr>
      <w:tr>
        <w:trPr>
          <w:trHeight w:val="219"/>
        </w:trPr>
        <w:tc>
          <w:tcPr>
            <w:tcW w:w="3020" w:type="dxa"/>
            <w:vAlign w:val="bottom"/>
          </w:tcPr>
          <w:p>
            <w:pPr>
              <w:spacing w:after="0"/>
              <w:rPr>
                <w:sz w:val="20"/>
                <w:szCs w:val="20"/>
                <w:color w:val="auto"/>
              </w:rPr>
            </w:pPr>
            <w:r>
              <w:rPr>
                <w:rFonts w:ascii="Arial" w:cs="Arial" w:eastAsia="Arial" w:hAnsi="Arial"/>
                <w:sz w:val="16"/>
                <w:szCs w:val="16"/>
                <w:color w:val="auto"/>
              </w:rPr>
              <w:t>K. J. Ritchie</w:t>
            </w:r>
          </w:p>
        </w:tc>
        <w:tc>
          <w:tcPr>
            <w:tcW w:w="2940" w:type="dxa"/>
            <w:vAlign w:val="bottom"/>
          </w:tcPr>
          <w:p>
            <w:pPr>
              <w:jc w:val="right"/>
              <w:ind w:right="206"/>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6"/>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320" w:type="dxa"/>
            <w:vAlign w:val="bottom"/>
          </w:tcPr>
          <w:p>
            <w:pPr>
              <w:jc w:val="right"/>
              <w:ind w:right="36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31"/>
        </w:trPr>
        <w:tc>
          <w:tcPr>
            <w:tcW w:w="302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2940" w:type="dxa"/>
            <w:vAlign w:val="bottom"/>
            <w:shd w:val="clear" w:color="auto" w:fill="E9E9E9"/>
          </w:tcPr>
          <w:p>
            <w:pPr>
              <w:jc w:val="right"/>
              <w:ind w:right="206"/>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206"/>
              <w:spacing w:after="0"/>
              <w:rPr>
                <w:sz w:val="20"/>
                <w:szCs w:val="20"/>
                <w:color w:val="auto"/>
              </w:rPr>
            </w:pPr>
            <w:r>
              <w:rPr>
                <w:rFonts w:ascii="Arial" w:cs="Arial" w:eastAsia="Arial" w:hAnsi="Arial"/>
                <w:sz w:val="16"/>
                <w:szCs w:val="16"/>
                <w:color w:val="auto"/>
              </w:rPr>
              <w:t>—</w:t>
            </w:r>
          </w:p>
        </w:tc>
        <w:tc>
          <w:tcPr>
            <w:tcW w:w="38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9E9E9"/>
          </w:tcPr>
          <w:p>
            <w:pPr>
              <w:spacing w:after="0"/>
              <w:rPr>
                <w:sz w:val="20"/>
                <w:szCs w:val="20"/>
                <w:color w:val="auto"/>
              </w:rPr>
            </w:pPr>
          </w:p>
        </w:tc>
        <w:tc>
          <w:tcPr>
            <w:tcW w:w="1320" w:type="dxa"/>
            <w:vAlign w:val="bottom"/>
            <w:shd w:val="clear" w:color="auto" w:fill="E9E9E9"/>
          </w:tcPr>
          <w:p>
            <w:pPr>
              <w:jc w:val="right"/>
              <w:ind w:right="366"/>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20"/>
                <w:szCs w:val="20"/>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9E9E9"/>
          </w:tcPr>
          <w:p>
            <w:pPr>
              <w:spacing w:after="0"/>
              <w:rPr>
                <w:sz w:val="20"/>
                <w:szCs w:val="20"/>
                <w:color w:val="auto"/>
              </w:rPr>
            </w:pPr>
          </w:p>
        </w:tc>
      </w:tr>
    </w:tbl>
    <w:p>
      <w:pPr>
        <w:spacing w:after="0" w:line="208" w:lineRule="exact"/>
        <w:rPr>
          <w:sz w:val="20"/>
          <w:szCs w:val="20"/>
          <w:color w:val="auto"/>
        </w:rPr>
      </w:pPr>
    </w:p>
    <w:p>
      <w:pPr>
        <w:ind w:left="440" w:hanging="440"/>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Amounts shown consist of portions of 2013 salary and portions of their bonus for 2012 performance, which was paid in 2013.</w:t>
      </w:r>
    </w:p>
    <w:p>
      <w:pPr>
        <w:spacing w:after="0" w:line="228" w:lineRule="exact"/>
        <w:rPr>
          <w:rFonts w:ascii="Arial" w:cs="Arial" w:eastAsia="Arial" w:hAnsi="Arial"/>
          <w:sz w:val="16"/>
          <w:szCs w:val="16"/>
          <w:color w:val="auto"/>
        </w:rPr>
      </w:pPr>
    </w:p>
    <w:p>
      <w:pPr>
        <w:ind w:left="440" w:right="300" w:hanging="440"/>
        <w:spacing w:after="0" w:line="290"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Company matching contributions pursuant to the defined contribution plan. These amounts are included in the All Other Compensation column of the 2013 summary compensation table on page 81.</w:t>
      </w:r>
    </w:p>
    <w:p>
      <w:pPr>
        <w:spacing w:after="0" w:line="155" w:lineRule="exact"/>
        <w:rPr>
          <w:rFonts w:ascii="Arial" w:cs="Arial" w:eastAsia="Arial" w:hAnsi="Arial"/>
          <w:sz w:val="16"/>
          <w:szCs w:val="16"/>
          <w:color w:val="auto"/>
        </w:rPr>
      </w:pPr>
    </w:p>
    <w:p>
      <w:pPr>
        <w:ind w:left="440" w:right="20" w:hanging="440"/>
        <w:spacing w:after="0" w:line="25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(a) $128,400 in dividend equivalents paid under the 120,000-share 1995 RSU award discussed on page 86, settlement of which has been deferred until after termination of employment; (b) a $1,562,400 increase in the value of the RSU award (calculated by subtracting the value of the award at year-end 2012 from the value of the award at year-end 2013 (in both cases, the number of RSUs is multiplied by the closing price of TI common stock on the last trading date of the year)); and (c) a $26,201 gain in Mr. Templeton’s deferred compensation account in 2013. Dividend equivalents are paid at the same rate as dividends on TI common stock.</w:t>
      </w:r>
    </w:p>
    <w:p>
      <w:pPr>
        <w:spacing w:after="0" w:line="181" w:lineRule="exact"/>
        <w:rPr>
          <w:rFonts w:ascii="Arial" w:cs="Arial" w:eastAsia="Arial" w:hAnsi="Arial"/>
          <w:sz w:val="16"/>
          <w:szCs w:val="16"/>
          <w:color w:val="auto"/>
        </w:rPr>
      </w:pPr>
    </w:p>
    <w:p>
      <w:pPr>
        <w:ind w:left="440" w:right="560" w:hanging="440"/>
        <w:spacing w:after="0" w:line="290"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dividend equivalents paid on the RSU award discussed in note 3 and a scheduled distribution of a portion of Mr. Templeton’s deferred compensation balance.</w:t>
      </w:r>
    </w:p>
    <w:p>
      <w:pPr>
        <w:spacing w:after="0" w:line="155" w:lineRule="exact"/>
        <w:rPr>
          <w:rFonts w:ascii="Arial" w:cs="Arial" w:eastAsia="Arial" w:hAnsi="Arial"/>
          <w:sz w:val="16"/>
          <w:szCs w:val="16"/>
          <w:color w:val="auto"/>
        </w:rPr>
      </w:pPr>
    </w:p>
    <w:p>
      <w:pPr>
        <w:ind w:left="440" w:right="160" w:hanging="440"/>
        <w:spacing w:after="0" w:line="290"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amounts reported in the Summary Compensation Table in the current or prior-year proxy statements as follows: Mr. Templeton, $493,311; and Mr. Crutcher, $601,324</w:t>
      </w:r>
    </w:p>
    <w:p>
      <w:pPr>
        <w:spacing w:after="0" w:line="155" w:lineRule="exact"/>
        <w:rPr>
          <w:rFonts w:ascii="Arial" w:cs="Arial" w:eastAsia="Arial" w:hAnsi="Arial"/>
          <w:sz w:val="16"/>
          <w:szCs w:val="16"/>
          <w:color w:val="auto"/>
        </w:rPr>
      </w:pPr>
    </w:p>
    <w:p>
      <w:pPr>
        <w:ind w:left="440" w:right="280" w:hanging="440"/>
        <w:spacing w:after="0" w:line="290"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Of this amount, $5,269,200 is attributable to Mr. Templeton’s 1995 RSU award, calculated as described in note 3. The remainder is the balance of his deferred compensation account.</w:t>
      </w:r>
    </w:p>
    <w:p>
      <w:pPr>
        <w:spacing w:after="0" w:line="131"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Please see page 79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Participants in the deferred compensation plan may choose to defer up to (i) 25 percent of their base salary, (ii) 90 percent of their performance bonus, and</w:t>
      </w:r>
    </w:p>
    <w:p>
      <w:pPr>
        <w:spacing w:after="0" w:line="4" w:lineRule="exact"/>
        <w:rPr>
          <w:sz w:val="20"/>
          <w:szCs w:val="20"/>
          <w:color w:val="auto"/>
        </w:rPr>
      </w:pPr>
    </w:p>
    <w:p>
      <w:pPr>
        <w:ind w:left="220" w:right="40" w:hanging="220"/>
        <w:spacing w:after="0" w:line="244" w:lineRule="auto"/>
        <w:tabs>
          <w:tab w:leader="none" w:pos="2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90 percent of profit sharing. Elections to defer compensation must be made in the calendar year prior to the year in which the compensation will be earned. During 2013, participants could choose to have their deferred compensation mirror the performance of one or more of the following mutual funds, each of</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which is managed by a third party (these alternatives, which may be changed at any time, are a subset of those offered to participants in the defined contribution plans):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204"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6" w:name="page37"/>
    <w:bookmarkEnd w:id="36"/>
    <w:p>
      <w:pPr>
        <w:ind w:firstLine="226"/>
        <w:spacing w:after="0" w:line="253" w:lineRule="auto"/>
        <w:rPr>
          <w:sz w:val="20"/>
          <w:szCs w:val="20"/>
          <w:color w:val="auto"/>
        </w:rPr>
      </w:pPr>
      <w:r>
        <w:rPr>
          <w:rFonts w:ascii="Arial" w:cs="Arial" w:eastAsia="Arial" w:hAnsi="Arial"/>
          <w:sz w:val="16"/>
          <w:szCs w:val="16"/>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1" w:lineRule="exact"/>
        <w:rPr>
          <w:sz w:val="20"/>
          <w:szCs w:val="20"/>
          <w:color w:val="auto"/>
        </w:rPr>
      </w:pPr>
    </w:p>
    <w:p>
      <w:pPr>
        <w:ind w:right="80" w:firstLine="226"/>
        <w:spacing w:after="0" w:line="244" w:lineRule="auto"/>
        <w:rPr>
          <w:sz w:val="20"/>
          <w:szCs w:val="20"/>
          <w:color w:val="auto"/>
        </w:rPr>
      </w:pPr>
      <w:r>
        <w:rPr>
          <w:rFonts w:ascii="Arial" w:cs="Arial" w:eastAsia="Arial" w:hAnsi="Arial"/>
          <w:sz w:val="16"/>
          <w:szCs w:val="16"/>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 w:lineRule="exact"/>
        <w:rPr>
          <w:sz w:val="20"/>
          <w:szCs w:val="20"/>
          <w:color w:val="auto"/>
        </w:rPr>
      </w:pPr>
    </w:p>
    <w:p>
      <w:pPr>
        <w:ind w:right="340" w:firstLine="226"/>
        <w:spacing w:after="0" w:line="244" w:lineRule="auto"/>
        <w:rPr>
          <w:sz w:val="20"/>
          <w:szCs w:val="20"/>
          <w:color w:val="auto"/>
        </w:rPr>
      </w:pPr>
      <w:r>
        <w:rPr>
          <w:rFonts w:ascii="Arial" w:cs="Arial" w:eastAsia="Arial" w:hAnsi="Arial"/>
          <w:sz w:val="16"/>
          <w:szCs w:val="16"/>
          <w:color w:val="auto"/>
        </w:rPr>
        <w:t>In the event of the participant’s death, payment will be in the form of a lump sum and the earliest date of payment is the first day of the second calendar month following the month of death.</w:t>
      </w:r>
    </w:p>
    <w:p>
      <w:pPr>
        <w:spacing w:after="0" w:line="1" w:lineRule="exact"/>
        <w:rPr>
          <w:sz w:val="20"/>
          <w:szCs w:val="20"/>
          <w:color w:val="auto"/>
        </w:rPr>
      </w:pPr>
    </w:p>
    <w:p>
      <w:pPr>
        <w:jc w:val="both"/>
        <w:ind w:right="180" w:firstLine="226"/>
        <w:spacing w:after="0" w:line="251" w:lineRule="auto"/>
        <w:rPr>
          <w:sz w:val="20"/>
          <w:szCs w:val="20"/>
          <w:color w:val="auto"/>
        </w:rPr>
      </w:pPr>
      <w:r>
        <w:rPr>
          <w:rFonts w:ascii="Arial" w:cs="Arial" w:eastAsia="Arial" w:hAnsi="Arial"/>
          <w:sz w:val="16"/>
          <w:szCs w:val="16"/>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06"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Termination</w:t>
      </w:r>
    </w:p>
    <w:p>
      <w:pPr>
        <w:spacing w:after="0" w:line="24"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The following programs may result in payments to a named executive officer whose employment terminates. Most of these programs have been discussed above. For a discussion of the impact of these programs on the compensation decisions for 2013, please see page 80.</w:t>
      </w:r>
    </w:p>
    <w:p>
      <w:pPr>
        <w:spacing w:after="0" w:line="150"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Our policies concerning bonus and the timing of payments are described on page 71. Whether a bonus would be awarded under other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and in what amount would depend on the facts and circumstances of termination and is subject to the Compensation Committee’s discretion. If awarded, bonuses are paid by the company.</w:t>
      </w:r>
    </w:p>
    <w:p>
      <w:pPr>
        <w:spacing w:after="0" w:line="149"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i w:val="1"/>
          <w:iCs w:val="1"/>
          <w:color w:val="auto"/>
        </w:rPr>
        <w:t xml:space="preserve">Qualified and non-qualified defined benefit pension plans. </w:t>
      </w:r>
      <w:r>
        <w:rPr>
          <w:rFonts w:ascii="Arial" w:cs="Arial" w:eastAsia="Arial" w:hAnsi="Arial"/>
          <w:sz w:val="16"/>
          <w:szCs w:val="16"/>
          <w:color w:val="auto"/>
        </w:rPr>
        <w:t>The purposes of these plans are described on page 79. The formula for determining benefits,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forms of benefit and the timing of payments are described on page 88. The amounts disbursed under the qualified and non-qualified plans are paid, respectively, by the TI Employees Pension Trust and the company.</w:t>
      </w:r>
    </w:p>
    <w:p>
      <w:pPr>
        <w:spacing w:after="0" w:line="1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Survivor benefit plan. </w:t>
      </w:r>
      <w:r>
        <w:rPr>
          <w:rFonts w:ascii="Arial" w:cs="Arial" w:eastAsia="Arial" w:hAnsi="Arial"/>
          <w:sz w:val="16"/>
          <w:szCs w:val="16"/>
          <w:color w:val="auto"/>
        </w:rPr>
        <w:t>The purpose of this plan is described on page 89. The formula for determining the amount of benefit, the form of benefit and the timing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are described on page 89. Amounts distributed are paid by the TI Employees Health Benefit Trust.</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The purpose of this plan is described on page 79. The amounts payable under this program depend solely on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that the participant has chosen for his plan balance. The timing of payments is discussed on page 90. Amounts distributed are paid by the company.</w:t>
      </w:r>
    </w:p>
    <w:p>
      <w:pPr>
        <w:spacing w:after="0" w:line="340" w:lineRule="exact"/>
        <w:rPr>
          <w:sz w:val="20"/>
          <w:szCs w:val="20"/>
          <w:color w:val="auto"/>
        </w:rPr>
      </w:pPr>
    </w:p>
    <w:p>
      <w:pPr>
        <w:ind w:right="400"/>
        <w:spacing w:after="0" w:line="267"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Depending on the circumstances of termination, grantees whose employment terminates may retain the right to exercise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stock options and receive shares under outstanding RSU awards. Please see pages 85-86. RSU awards include a right to receive dividend equivalents. The dividend equivalents are paid annually by the company in a single cash payment after the last dividend payment of the year.</w:t>
      </w:r>
    </w:p>
    <w:p>
      <w:pPr>
        <w:spacing w:after="0" w:line="149" w:lineRule="exact"/>
        <w:rPr>
          <w:sz w:val="20"/>
          <w:szCs w:val="20"/>
          <w:color w:val="auto"/>
        </w:rPr>
      </w:pPr>
    </w:p>
    <w:p>
      <w:pPr>
        <w:ind w:right="780"/>
        <w:spacing w:after="0" w:line="290" w:lineRule="auto"/>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Financial counseling is available to executive officers in the year after retirement. Otherwise, no perquisites continue after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benefits under the qualified and non-qualified pension plans.</w:t>
      </w:r>
    </w:p>
    <w:p>
      <w:pPr>
        <w:spacing w:after="0" w:line="194"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90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7" w:name="page38"/>
    <w:bookmarkEnd w:id="37"/>
    <w:p>
      <w:pPr>
        <w:ind w:right="20" w:firstLine="226"/>
        <w:spacing w:after="0" w:line="256" w:lineRule="auto"/>
        <w:rPr>
          <w:sz w:val="20"/>
          <w:szCs w:val="20"/>
          <w:color w:val="auto"/>
        </w:rPr>
      </w:pPr>
      <w:r>
        <w:rPr>
          <w:rFonts w:ascii="Arial" w:cs="Arial" w:eastAsia="Arial" w:hAnsi="Arial"/>
          <w:sz w:val="16"/>
          <w:szCs w:val="16"/>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defined benefit plans described above. Stock options will continue to become exercisable and RSUs will remain in effect, but for grants made before 2013, the number of RSUs will be reduced as described in note * on page 86.</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 in Control</w:t>
      </w:r>
    </w:p>
    <w:p>
      <w:pPr>
        <w:spacing w:after="0" w:line="2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Our only program, plan or arrangement providing benefits triggered by a change in control is the TI Employees Non-Qualified Pension Plan. A change in control at December 31, 2013, would have accelerated payment of the balance under that plan. Please see page 88 for a discussion of the purpose of change in control provisions of that plan as well as the circumstances and the timing of payment.</w:t>
      </w:r>
    </w:p>
    <w:p>
      <w:pPr>
        <w:spacing w:after="0" w:line="1" w:lineRule="exact"/>
        <w:rPr>
          <w:sz w:val="20"/>
          <w:szCs w:val="20"/>
          <w:color w:val="auto"/>
        </w:rPr>
      </w:pPr>
    </w:p>
    <w:p>
      <w:pPr>
        <w:ind w:right="320" w:firstLine="226"/>
        <w:spacing w:after="0" w:line="244" w:lineRule="auto"/>
        <w:rPr>
          <w:sz w:val="20"/>
          <w:szCs w:val="20"/>
          <w:color w:val="auto"/>
        </w:rPr>
      </w:pPr>
      <w:r>
        <w:rPr>
          <w:rFonts w:ascii="Arial" w:cs="Arial" w:eastAsia="Arial" w:hAnsi="Arial"/>
          <w:sz w:val="16"/>
          <w:szCs w:val="16"/>
          <w:color w:val="auto"/>
        </w:rPr>
        <w:t>Upon a change in control there is no acceleration of vesting of stock options and RSUs granted after 2009. Only after an involuntary termination (not for cause) within 24 months after a change in control of TI will the vesting of such stock options and RSUs accelerate. Please see pages 85-86 for further information concerning change in control provisions relating to stock options and RSUs.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a discussion of the impact of these programs on the compensation decisions for 2013, please see page 80.</w:t>
      </w:r>
    </w:p>
    <w:p>
      <w:pPr>
        <w:spacing w:after="0" w:line="222"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table below shows the potential payments upon termination or change in control for each of the named executive officers.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center"/>
              <w:ind w:right="19"/>
              <w:spacing w:after="0"/>
              <w:rPr>
                <w:sz w:val="20"/>
                <w:szCs w:val="20"/>
                <w:color w:val="auto"/>
              </w:rPr>
            </w:pPr>
            <w:r>
              <w:rPr>
                <w:rFonts w:ascii="Arial" w:cs="Arial" w:eastAsia="Arial" w:hAnsi="Arial"/>
                <w:sz w:val="13"/>
                <w:szCs w:val="13"/>
                <w:b w:val="1"/>
                <w:bCs w:val="1"/>
                <w:color w:val="auto"/>
                <w:w w:val="94"/>
              </w:rPr>
              <w:t>Non-</w:t>
            </w:r>
          </w:p>
        </w:tc>
        <w:tc>
          <w:tcPr>
            <w:tcW w:w="360" w:type="dxa"/>
            <w:vAlign w:val="bottom"/>
          </w:tcPr>
          <w:p>
            <w:pPr>
              <w:spacing w:after="0"/>
              <w:rPr>
                <w:sz w:val="15"/>
                <w:szCs w:val="15"/>
                <w:color w:val="auto"/>
              </w:rPr>
            </w:pPr>
          </w:p>
        </w:tc>
        <w:tc>
          <w:tcPr>
            <w:tcW w:w="1100" w:type="dxa"/>
            <w:vAlign w:val="bottom"/>
          </w:tcPr>
          <w:p>
            <w:pPr>
              <w:jc w:val="center"/>
              <w:ind w:right="142"/>
              <w:spacing w:after="0"/>
              <w:rPr>
                <w:sz w:val="20"/>
                <w:szCs w:val="20"/>
                <w:color w:val="auto"/>
              </w:rPr>
            </w:pPr>
            <w:r>
              <w:rPr>
                <w:rFonts w:ascii="Arial" w:cs="Arial" w:eastAsia="Arial" w:hAnsi="Arial"/>
                <w:sz w:val="13"/>
                <w:szCs w:val="13"/>
                <w:b w:val="1"/>
                <w:bCs w:val="1"/>
                <w:color w:val="auto"/>
                <w:w w:val="94"/>
              </w:rPr>
              <w:t>Non-</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82"/>
              <w:spacing w:after="0"/>
              <w:rPr>
                <w:sz w:val="20"/>
                <w:szCs w:val="20"/>
                <w:color w:val="auto"/>
              </w:rPr>
            </w:pPr>
            <w:r>
              <w:rPr>
                <w:rFonts w:ascii="Arial" w:cs="Arial" w:eastAsia="Arial" w:hAnsi="Arial"/>
                <w:sz w:val="13"/>
                <w:szCs w:val="13"/>
                <w:b w:val="1"/>
                <w:bCs w:val="1"/>
                <w:color w:val="auto"/>
                <w:w w:val="96"/>
              </w:rPr>
              <w:t>Qualified</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center"/>
              <w:ind w:right="19"/>
              <w:spacing w:after="0"/>
              <w:rPr>
                <w:sz w:val="20"/>
                <w:szCs w:val="20"/>
                <w:color w:val="auto"/>
              </w:rPr>
            </w:pPr>
            <w:r>
              <w:rPr>
                <w:rFonts w:ascii="Arial" w:cs="Arial" w:eastAsia="Arial" w:hAnsi="Arial"/>
                <w:sz w:val="13"/>
                <w:szCs w:val="13"/>
                <w:b w:val="1"/>
                <w:bCs w:val="1"/>
                <w:color w:val="auto"/>
                <w:w w:val="93"/>
              </w:rPr>
              <w:t>Qualified</w:t>
            </w:r>
          </w:p>
        </w:tc>
        <w:tc>
          <w:tcPr>
            <w:tcW w:w="360" w:type="dxa"/>
            <w:vAlign w:val="bottom"/>
          </w:tcPr>
          <w:p>
            <w:pPr>
              <w:spacing w:after="0"/>
              <w:rPr>
                <w:sz w:val="19"/>
                <w:szCs w:val="19"/>
                <w:color w:val="auto"/>
              </w:rPr>
            </w:pPr>
          </w:p>
        </w:tc>
        <w:tc>
          <w:tcPr>
            <w:tcW w:w="1100" w:type="dxa"/>
            <w:vAlign w:val="bottom"/>
          </w:tcPr>
          <w:p>
            <w:pPr>
              <w:jc w:val="center"/>
              <w:ind w:right="162"/>
              <w:spacing w:after="0"/>
              <w:rPr>
                <w:sz w:val="20"/>
                <w:szCs w:val="20"/>
                <w:color w:val="auto"/>
              </w:rPr>
            </w:pPr>
            <w:r>
              <w:rPr>
                <w:rFonts w:ascii="Arial" w:cs="Arial" w:eastAsia="Arial" w:hAnsi="Arial"/>
                <w:sz w:val="13"/>
                <w:szCs w:val="13"/>
                <w:b w:val="1"/>
                <w:bCs w:val="1"/>
                <w:color w:val="auto"/>
                <w:w w:val="96"/>
              </w:rPr>
              <w:t>Qualified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82"/>
              <w:spacing w:after="0"/>
              <w:rPr>
                <w:sz w:val="20"/>
                <w:szCs w:val="20"/>
                <w:color w:val="auto"/>
              </w:rPr>
            </w:pPr>
            <w:r>
              <w:rPr>
                <w:rFonts w:ascii="Arial" w:cs="Arial" w:eastAsia="Arial" w:hAnsi="Arial"/>
                <w:sz w:val="13"/>
                <w:szCs w:val="13"/>
                <w:b w:val="1"/>
                <w:bCs w:val="1"/>
                <w:color w:val="auto"/>
                <w:w w:val="96"/>
              </w:rPr>
              <w:t>Defined</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center"/>
              <w:ind w:right="19"/>
              <w:spacing w:after="0"/>
              <w:rPr>
                <w:sz w:val="20"/>
                <w:szCs w:val="20"/>
                <w:color w:val="auto"/>
              </w:rPr>
            </w:pPr>
            <w:r>
              <w:rPr>
                <w:rFonts w:ascii="Arial" w:cs="Arial" w:eastAsia="Arial" w:hAnsi="Arial"/>
                <w:sz w:val="13"/>
                <w:szCs w:val="13"/>
                <w:b w:val="1"/>
                <w:bCs w:val="1"/>
                <w:color w:val="auto"/>
                <w:w w:val="92"/>
              </w:rPr>
              <w:t>Defined</w:t>
            </w:r>
          </w:p>
        </w:tc>
        <w:tc>
          <w:tcPr>
            <w:tcW w:w="360" w:type="dxa"/>
            <w:vAlign w:val="bottom"/>
          </w:tcPr>
          <w:p>
            <w:pPr>
              <w:spacing w:after="0"/>
              <w:rPr>
                <w:sz w:val="19"/>
                <w:szCs w:val="19"/>
                <w:color w:val="auto"/>
              </w:rPr>
            </w:pPr>
          </w:p>
        </w:tc>
        <w:tc>
          <w:tcPr>
            <w:tcW w:w="1100" w:type="dxa"/>
            <w:vAlign w:val="bottom"/>
          </w:tcPr>
          <w:p>
            <w:pPr>
              <w:jc w:val="center"/>
              <w:ind w:right="162"/>
              <w:spacing w:after="0"/>
              <w:rPr>
                <w:sz w:val="20"/>
                <w:szCs w:val="20"/>
                <w:color w:val="auto"/>
              </w:rPr>
            </w:pPr>
            <w:r>
              <w:rPr>
                <w:rFonts w:ascii="Arial" w:cs="Arial" w:eastAsia="Arial" w:hAnsi="Arial"/>
                <w:sz w:val="13"/>
                <w:szCs w:val="13"/>
                <w:b w:val="1"/>
                <w:bCs w:val="1"/>
                <w:color w:val="auto"/>
                <w:w w:val="96"/>
              </w:rPr>
              <w:t>Defined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82"/>
              <w:spacing w:after="0"/>
              <w:rPr>
                <w:sz w:val="20"/>
                <w:szCs w:val="20"/>
                <w:color w:val="auto"/>
              </w:rPr>
            </w:pPr>
            <w:r>
              <w:rPr>
                <w:rFonts w:ascii="Arial" w:cs="Arial" w:eastAsia="Arial" w:hAnsi="Arial"/>
                <w:sz w:val="13"/>
                <w:szCs w:val="13"/>
                <w:b w:val="1"/>
                <w:bCs w:val="1"/>
                <w:color w:val="auto"/>
                <w:w w:val="95"/>
              </w:rPr>
              <w:t>Benefit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center"/>
              <w:ind w:right="19"/>
              <w:spacing w:after="0"/>
              <w:rPr>
                <w:sz w:val="20"/>
                <w:szCs w:val="20"/>
                <w:color w:val="auto"/>
              </w:rPr>
            </w:pPr>
            <w:r>
              <w:rPr>
                <w:rFonts w:ascii="Arial" w:cs="Arial" w:eastAsia="Arial" w:hAnsi="Arial"/>
                <w:sz w:val="13"/>
                <w:szCs w:val="13"/>
                <w:b w:val="1"/>
                <w:bCs w:val="1"/>
                <w:color w:val="auto"/>
                <w:w w:val="99"/>
              </w:rPr>
              <w:t>Benefit</w:t>
            </w:r>
          </w:p>
        </w:tc>
        <w:tc>
          <w:tcPr>
            <w:tcW w:w="360" w:type="dxa"/>
            <w:vAlign w:val="bottom"/>
          </w:tcPr>
          <w:p>
            <w:pPr>
              <w:spacing w:after="0"/>
              <w:rPr>
                <w:sz w:val="19"/>
                <w:szCs w:val="19"/>
                <w:color w:val="auto"/>
              </w:rPr>
            </w:pPr>
          </w:p>
        </w:tc>
        <w:tc>
          <w:tcPr>
            <w:tcW w:w="1100" w:type="dxa"/>
            <w:vAlign w:val="bottom"/>
          </w:tcPr>
          <w:p>
            <w:pPr>
              <w:jc w:val="center"/>
              <w:ind w:right="162"/>
              <w:spacing w:after="0"/>
              <w:rPr>
                <w:sz w:val="20"/>
                <w:szCs w:val="20"/>
                <w:color w:val="auto"/>
              </w:rPr>
            </w:pPr>
            <w:r>
              <w:rPr>
                <w:rFonts w:ascii="Arial" w:cs="Arial" w:eastAsia="Arial" w:hAnsi="Arial"/>
                <w:sz w:val="13"/>
                <w:szCs w:val="13"/>
                <w:b w:val="1"/>
                <w:bCs w:val="1"/>
                <w:color w:val="auto"/>
                <w:w w:val="95"/>
              </w:rPr>
              <w:t>Benefit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62"/>
              <w:spacing w:after="0"/>
              <w:rPr>
                <w:sz w:val="20"/>
                <w:szCs w:val="20"/>
                <w:color w:val="auto"/>
              </w:rPr>
            </w:pPr>
            <w:r>
              <w:rPr>
                <w:rFonts w:ascii="Arial" w:cs="Arial" w:eastAsia="Arial" w:hAnsi="Arial"/>
                <w:sz w:val="13"/>
                <w:szCs w:val="13"/>
                <w:b w:val="1"/>
                <w:bCs w:val="1"/>
                <w:color w:val="auto"/>
                <w:w w:val="94"/>
              </w:rPr>
              <w:t>Pension</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center"/>
              <w:ind w:right="19"/>
              <w:spacing w:after="0"/>
              <w:rPr>
                <w:sz w:val="20"/>
                <w:szCs w:val="20"/>
                <w:color w:val="auto"/>
              </w:rPr>
            </w:pPr>
            <w:r>
              <w:rPr>
                <w:rFonts w:ascii="Arial" w:cs="Arial" w:eastAsia="Arial" w:hAnsi="Arial"/>
                <w:sz w:val="13"/>
                <w:szCs w:val="13"/>
                <w:b w:val="1"/>
                <w:bCs w:val="1"/>
                <w:color w:val="auto"/>
                <w:w w:val="94"/>
              </w:rPr>
              <w:t>Pension</w:t>
            </w:r>
          </w:p>
        </w:tc>
        <w:tc>
          <w:tcPr>
            <w:tcW w:w="360" w:type="dxa"/>
            <w:vAlign w:val="bottom"/>
          </w:tcPr>
          <w:p>
            <w:pPr>
              <w:spacing w:after="0"/>
              <w:rPr>
                <w:sz w:val="19"/>
                <w:szCs w:val="19"/>
                <w:color w:val="auto"/>
              </w:rPr>
            </w:pPr>
          </w:p>
        </w:tc>
        <w:tc>
          <w:tcPr>
            <w:tcW w:w="1100" w:type="dxa"/>
            <w:vAlign w:val="bottom"/>
          </w:tcPr>
          <w:p>
            <w:pPr>
              <w:jc w:val="center"/>
              <w:ind w:right="142"/>
              <w:spacing w:after="0"/>
              <w:rPr>
                <w:sz w:val="20"/>
                <w:szCs w:val="20"/>
                <w:color w:val="auto"/>
              </w:rPr>
            </w:pPr>
            <w:r>
              <w:rPr>
                <w:rFonts w:ascii="Arial" w:cs="Arial" w:eastAsia="Arial" w:hAnsi="Arial"/>
                <w:sz w:val="13"/>
                <w:szCs w:val="13"/>
                <w:b w:val="1"/>
                <w:bCs w:val="1"/>
                <w:color w:val="auto"/>
                <w:w w:val="94"/>
              </w:rPr>
              <w:t>Pension</w:t>
            </w:r>
          </w:p>
        </w:tc>
        <w:tc>
          <w:tcPr>
            <w:tcW w:w="1180" w:type="dxa"/>
            <w:vAlign w:val="bottom"/>
          </w:tcPr>
          <w:p>
            <w:pPr>
              <w:jc w:val="right"/>
              <w:ind w:right="240"/>
              <w:spacing w:after="0"/>
              <w:rPr>
                <w:sz w:val="20"/>
                <w:szCs w:val="20"/>
                <w:color w:val="auto"/>
              </w:rPr>
            </w:pPr>
            <w:r>
              <w:rPr>
                <w:rFonts w:ascii="Arial" w:cs="Arial" w:eastAsia="Arial" w:hAnsi="Arial"/>
                <w:sz w:val="13"/>
                <w:szCs w:val="13"/>
                <w:b w:val="1"/>
                <w:bCs w:val="1"/>
                <w:color w:val="auto"/>
              </w:rPr>
              <w:t>Deferred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480"/>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82"/>
              <w:spacing w:after="0"/>
              <w:rPr>
                <w:sz w:val="20"/>
                <w:szCs w:val="20"/>
                <w:color w:val="auto"/>
              </w:rPr>
            </w:pPr>
            <w:r>
              <w:rPr>
                <w:rFonts w:ascii="Arial" w:cs="Arial" w:eastAsia="Arial" w:hAnsi="Arial"/>
                <w:sz w:val="13"/>
                <w:szCs w:val="13"/>
                <w:b w:val="1"/>
                <w:bCs w:val="1"/>
                <w:color w:val="auto"/>
                <w:w w:val="94"/>
              </w:rPr>
              <w:t>Plan</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center"/>
              <w:ind w:right="19"/>
              <w:spacing w:after="0"/>
              <w:rPr>
                <w:sz w:val="20"/>
                <w:szCs w:val="20"/>
                <w:color w:val="auto"/>
              </w:rPr>
            </w:pPr>
            <w:r>
              <w:rPr>
                <w:rFonts w:ascii="Arial" w:cs="Arial" w:eastAsia="Arial" w:hAnsi="Arial"/>
                <w:sz w:val="13"/>
                <w:szCs w:val="13"/>
                <w:b w:val="1"/>
                <w:bCs w:val="1"/>
                <w:color w:val="auto"/>
              </w:rPr>
              <w:t>Plan</w:t>
            </w:r>
          </w:p>
        </w:tc>
        <w:tc>
          <w:tcPr>
            <w:tcW w:w="360" w:type="dxa"/>
            <w:vAlign w:val="bottom"/>
          </w:tcPr>
          <w:p>
            <w:pPr>
              <w:spacing w:after="0"/>
              <w:rPr>
                <w:sz w:val="19"/>
                <w:szCs w:val="19"/>
                <w:color w:val="auto"/>
              </w:rPr>
            </w:pPr>
          </w:p>
        </w:tc>
        <w:tc>
          <w:tcPr>
            <w:tcW w:w="1100" w:type="dxa"/>
            <w:vAlign w:val="bottom"/>
          </w:tcPr>
          <w:p>
            <w:pPr>
              <w:jc w:val="center"/>
              <w:ind w:right="142"/>
              <w:spacing w:after="0"/>
              <w:rPr>
                <w:sz w:val="20"/>
                <w:szCs w:val="20"/>
                <w:color w:val="auto"/>
              </w:rPr>
            </w:pPr>
            <w:r>
              <w:rPr>
                <w:rFonts w:ascii="Arial" w:cs="Arial" w:eastAsia="Arial" w:hAnsi="Arial"/>
                <w:sz w:val="13"/>
                <w:szCs w:val="13"/>
                <w:b w:val="1"/>
                <w:bCs w:val="1"/>
                <w:color w:val="auto"/>
                <w:w w:val="93"/>
              </w:rPr>
              <w:t>Plan II</w:t>
            </w:r>
          </w:p>
        </w:tc>
        <w:tc>
          <w:tcPr>
            <w:tcW w:w="1180" w:type="dxa"/>
            <w:vAlign w:val="bottom"/>
          </w:tcPr>
          <w:p>
            <w:pPr>
              <w:jc w:val="right"/>
              <w:ind w:right="80"/>
              <w:spacing w:after="0"/>
              <w:rPr>
                <w:sz w:val="20"/>
                <w:szCs w:val="20"/>
                <w:color w:val="auto"/>
              </w:rPr>
            </w:pPr>
            <w:r>
              <w:rPr>
                <w:rFonts w:ascii="Arial" w:cs="Arial" w:eastAsia="Arial" w:hAnsi="Arial"/>
                <w:sz w:val="13"/>
                <w:szCs w:val="13"/>
                <w:b w:val="1"/>
                <w:bCs w:val="1"/>
                <w:color w:val="auto"/>
              </w:rPr>
              <w:t>Compensation</w:t>
            </w: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3"/>
                <w:szCs w:val="13"/>
                <w:b w:val="1"/>
                <w:bCs w:val="1"/>
                <w:color w:val="auto"/>
              </w:rPr>
              <w:t>RSUs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420"/>
              <w:spacing w:after="0"/>
              <w:rPr>
                <w:sz w:val="20"/>
                <w:szCs w:val="20"/>
                <w:color w:val="auto"/>
              </w:rPr>
            </w:pPr>
            <w:r>
              <w:rPr>
                <w:rFonts w:ascii="Arial" w:cs="Arial" w:eastAsia="Arial" w:hAnsi="Arial"/>
                <w:sz w:val="13"/>
                <w:szCs w:val="13"/>
                <w:b w:val="1"/>
                <w:bCs w:val="1"/>
                <w:color w:val="auto"/>
              </w:rPr>
              <w:t>Options</w:t>
            </w:r>
          </w:p>
        </w:tc>
        <w:tc>
          <w:tcPr>
            <w:tcW w:w="22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b w:val="1"/>
                <w:bCs w:val="1"/>
                <w:color w:val="auto"/>
              </w:rPr>
              <w:t>R. K. Templeton (10)</w:t>
            </w:r>
          </w:p>
        </w:tc>
        <w:tc>
          <w:tcPr>
            <w:tcW w:w="220" w:type="dxa"/>
            <w:vAlign w:val="bottom"/>
            <w:tcBorders>
              <w:top w:val="single" w:sz="8" w:color="auto"/>
            </w:tcBorders>
            <w:shd w:val="clear" w:color="auto" w:fill="E9E9E9"/>
          </w:tcPr>
          <w:p>
            <w:pPr>
              <w:spacing w:after="0"/>
              <w:rPr>
                <w:sz w:val="18"/>
                <w:szCs w:val="18"/>
                <w:color w:val="auto"/>
              </w:rPr>
            </w:pPr>
          </w:p>
        </w:tc>
        <w:tc>
          <w:tcPr>
            <w:tcW w:w="740" w:type="dxa"/>
            <w:vAlign w:val="bottom"/>
            <w:tcBorders>
              <w:top w:val="single" w:sz="8" w:color="auto"/>
            </w:tcBorders>
            <w:shd w:val="clear" w:color="auto" w:fill="E9E9E9"/>
          </w:tcPr>
          <w:p>
            <w:pPr>
              <w:spacing w:after="0"/>
              <w:rPr>
                <w:sz w:val="18"/>
                <w:szCs w:val="18"/>
                <w:color w:val="auto"/>
              </w:rPr>
            </w:pPr>
          </w:p>
        </w:tc>
        <w:tc>
          <w:tcPr>
            <w:tcW w:w="240" w:type="dxa"/>
            <w:vAlign w:val="bottom"/>
            <w:tcBorders>
              <w:top w:val="single" w:sz="8" w:color="auto"/>
            </w:tcBorders>
            <w:shd w:val="clear" w:color="auto" w:fill="E9E9E9"/>
          </w:tcPr>
          <w:p>
            <w:pPr>
              <w:spacing w:after="0"/>
              <w:rPr>
                <w:sz w:val="18"/>
                <w:szCs w:val="18"/>
                <w:color w:val="auto"/>
              </w:rPr>
            </w:pPr>
          </w:p>
        </w:tc>
        <w:tc>
          <w:tcPr>
            <w:tcW w:w="360" w:type="dxa"/>
            <w:vAlign w:val="bottom"/>
            <w:tcBorders>
              <w:top w:val="single" w:sz="8" w:color="auto"/>
            </w:tcBorders>
            <w:shd w:val="clear" w:color="auto" w:fill="E9E9E9"/>
          </w:tcPr>
          <w:p>
            <w:pPr>
              <w:spacing w:after="0"/>
              <w:rPr>
                <w:sz w:val="18"/>
                <w:szCs w:val="18"/>
                <w:color w:val="auto"/>
              </w:rPr>
            </w:pPr>
          </w:p>
        </w:tc>
        <w:tc>
          <w:tcPr>
            <w:tcW w:w="580" w:type="dxa"/>
            <w:vAlign w:val="bottom"/>
            <w:tcBorders>
              <w:top w:val="single" w:sz="8" w:color="auto"/>
            </w:tcBorders>
            <w:shd w:val="clear" w:color="auto" w:fill="E9E9E9"/>
          </w:tcPr>
          <w:p>
            <w:pPr>
              <w:spacing w:after="0"/>
              <w:rPr>
                <w:sz w:val="18"/>
                <w:szCs w:val="18"/>
                <w:color w:val="auto"/>
              </w:rPr>
            </w:pPr>
          </w:p>
        </w:tc>
        <w:tc>
          <w:tcPr>
            <w:tcW w:w="240" w:type="dxa"/>
            <w:vAlign w:val="bottom"/>
            <w:tcBorders>
              <w:top w:val="single" w:sz="8" w:color="auto"/>
            </w:tcBorders>
            <w:shd w:val="clear" w:color="auto" w:fill="E9E9E9"/>
          </w:tcPr>
          <w:p>
            <w:pPr>
              <w:spacing w:after="0"/>
              <w:rPr>
                <w:sz w:val="18"/>
                <w:szCs w:val="18"/>
                <w:color w:val="auto"/>
              </w:rPr>
            </w:pPr>
          </w:p>
        </w:tc>
        <w:tc>
          <w:tcPr>
            <w:tcW w:w="360" w:type="dxa"/>
            <w:vAlign w:val="bottom"/>
            <w:tcBorders>
              <w:top w:val="single" w:sz="8" w:color="auto"/>
            </w:tcBorders>
            <w:shd w:val="clear" w:color="auto" w:fill="E9E9E9"/>
          </w:tcPr>
          <w:p>
            <w:pPr>
              <w:spacing w:after="0"/>
              <w:rPr>
                <w:sz w:val="18"/>
                <w:szCs w:val="18"/>
                <w:color w:val="auto"/>
              </w:rPr>
            </w:pPr>
          </w:p>
        </w:tc>
        <w:tc>
          <w:tcPr>
            <w:tcW w:w="1100" w:type="dxa"/>
            <w:vAlign w:val="bottom"/>
            <w:tcBorders>
              <w:top w:val="single" w:sz="8" w:color="auto"/>
            </w:tcBorders>
            <w:shd w:val="clear" w:color="auto" w:fill="E9E9E9"/>
          </w:tcPr>
          <w:p>
            <w:pPr>
              <w:spacing w:after="0"/>
              <w:rPr>
                <w:sz w:val="18"/>
                <w:szCs w:val="18"/>
                <w:color w:val="auto"/>
              </w:rPr>
            </w:pPr>
          </w:p>
        </w:tc>
        <w:tc>
          <w:tcPr>
            <w:tcW w:w="1180" w:type="dxa"/>
            <w:vAlign w:val="bottom"/>
            <w:tcBorders>
              <w:top w:val="single" w:sz="8" w:color="auto"/>
            </w:tcBorders>
            <w:shd w:val="clear" w:color="auto" w:fill="E9E9E9"/>
          </w:tcPr>
          <w:p>
            <w:pPr>
              <w:spacing w:after="0"/>
              <w:rPr>
                <w:sz w:val="18"/>
                <w:szCs w:val="18"/>
                <w:color w:val="auto"/>
              </w:rPr>
            </w:pPr>
          </w:p>
        </w:tc>
        <w:tc>
          <w:tcPr>
            <w:tcW w:w="240" w:type="dxa"/>
            <w:vAlign w:val="bottom"/>
            <w:tcBorders>
              <w:top w:val="single" w:sz="8" w:color="auto"/>
            </w:tcBorders>
            <w:shd w:val="clear" w:color="auto" w:fill="E9E9E9"/>
          </w:tcPr>
          <w:p>
            <w:pPr>
              <w:spacing w:after="0"/>
              <w:rPr>
                <w:sz w:val="18"/>
                <w:szCs w:val="18"/>
                <w:color w:val="auto"/>
              </w:rPr>
            </w:pPr>
          </w:p>
        </w:tc>
        <w:tc>
          <w:tcPr>
            <w:tcW w:w="840" w:type="dxa"/>
            <w:vAlign w:val="bottom"/>
            <w:tcBorders>
              <w:top w:val="single" w:sz="8" w:color="auto"/>
            </w:tcBorders>
            <w:shd w:val="clear" w:color="auto" w:fill="E9E9E9"/>
          </w:tcPr>
          <w:p>
            <w:pPr>
              <w:spacing w:after="0"/>
              <w:rPr>
                <w:sz w:val="18"/>
                <w:szCs w:val="18"/>
                <w:color w:val="auto"/>
              </w:rPr>
            </w:pPr>
          </w:p>
        </w:tc>
        <w:tc>
          <w:tcPr>
            <w:tcW w:w="440" w:type="dxa"/>
            <w:vAlign w:val="bottom"/>
            <w:tcBorders>
              <w:top w:val="single" w:sz="8" w:color="auto"/>
            </w:tcBorders>
            <w:shd w:val="clear" w:color="auto" w:fill="E9E9E9"/>
          </w:tcPr>
          <w:p>
            <w:pPr>
              <w:spacing w:after="0"/>
              <w:rPr>
                <w:sz w:val="18"/>
                <w:szCs w:val="18"/>
                <w:color w:val="auto"/>
              </w:rPr>
            </w:pPr>
          </w:p>
        </w:tc>
        <w:tc>
          <w:tcPr>
            <w:tcW w:w="240" w:type="dxa"/>
            <w:vAlign w:val="bottom"/>
            <w:tcBorders>
              <w:top w:val="single" w:sz="8" w:color="auto"/>
            </w:tcBorders>
            <w:shd w:val="clear" w:color="auto" w:fill="E9E9E9"/>
          </w:tcPr>
          <w:p>
            <w:pPr>
              <w:spacing w:after="0"/>
              <w:rPr>
                <w:sz w:val="18"/>
                <w:szCs w:val="18"/>
                <w:color w:val="auto"/>
              </w:rPr>
            </w:pPr>
          </w:p>
        </w:tc>
        <w:tc>
          <w:tcPr>
            <w:tcW w:w="12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auto"/>
            </w:tcBorders>
            <w:shd w:val="clear" w:color="auto" w:fill="E9E9E9"/>
          </w:tcPr>
          <w:p>
            <w:pPr>
              <w:spacing w:after="0"/>
              <w:rPr>
                <w:sz w:val="18"/>
                <w:szCs w:val="18"/>
                <w:color w:val="auto"/>
              </w:rPr>
            </w:pPr>
          </w:p>
        </w:tc>
        <w:tc>
          <w:tcPr>
            <w:tcW w:w="920" w:type="dxa"/>
            <w:vAlign w:val="bottom"/>
            <w:tcBorders>
              <w:top w:val="single" w:sz="8" w:color="auto"/>
            </w:tcBorders>
            <w:shd w:val="clear" w:color="auto" w:fill="E9E9E9"/>
          </w:tcPr>
          <w:p>
            <w:pPr>
              <w:spacing w:after="0"/>
              <w:rPr>
                <w:sz w:val="18"/>
                <w:szCs w:val="18"/>
                <w:color w:val="auto"/>
              </w:rPr>
            </w:pPr>
          </w:p>
        </w:tc>
        <w:tc>
          <w:tcPr>
            <w:tcW w:w="300" w:type="dxa"/>
            <w:vAlign w:val="bottom"/>
            <w:tcBorders>
              <w:top w:val="single" w:sz="8" w:color="auto"/>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887,933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$609,677 (2)</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194,659 (2)</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34,396,196</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69,179,891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105,268,356</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431,223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(5)</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$181,262 (5)</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shd w:val="clear" w:color="auto" w:fill="E9E9E9"/>
              </w:rPr>
              <w:t>132,340 (5)</w:t>
            </w:r>
          </w:p>
        </w:tc>
        <w:tc>
          <w:tcPr>
            <w:tcW w:w="11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shd w:val="clear" w:color="auto" w:fill="E9E9E9"/>
              </w:rPr>
              <w:t>$493,311 (6)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shd w:val="clear" w:color="auto" w:fill="E9E9E9"/>
              </w:rPr>
              <w:t>34,396,196</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shd w:val="clear" w:color="auto" w:fill="E9E9E9"/>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shd w:val="clear" w:color="auto" w:fill="E9E9E9"/>
              </w:rPr>
              <w:t>69,179,891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shd w:val="clear" w:color="auto" w:fill="E9E9E9"/>
              </w:rPr>
              <w:t>105,535,581</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shd w:val="clear" w:color="auto" w:fill="E9E9E9"/>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Involuntary 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848,862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$356,674 (7)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260,647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5,269,200</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6,735,383</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Resignation; Involuntary</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848,862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356,674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260,647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23,912,683</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69,179,891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94,558,757</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Retirement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848,862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356,674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rPr>
              <w:t>260,647 (7)</w:t>
            </w: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23,912,683</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69,179,891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94,558,757</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Change in Control</w:t>
            </w: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356,674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spacing w:after="0"/>
              <w:rPr>
                <w:sz w:val="20"/>
                <w:szCs w:val="20"/>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5,269,200</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E9E9E9"/>
          </w:tcPr>
          <w:p>
            <w:pPr>
              <w:spacing w:after="0"/>
              <w:rPr>
                <w:sz w:val="20"/>
                <w:szCs w:val="20"/>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5,625,874</w:t>
            </w:r>
          </w:p>
        </w:tc>
        <w:tc>
          <w:tcPr>
            <w:tcW w:w="3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2080" w:type="dxa"/>
            <w:vAlign w:val="bottom"/>
            <w:shd w:val="clear" w:color="auto" w:fill="E9E9E9"/>
          </w:tcPr>
          <w:p>
            <w:pPr>
              <w:spacing w:after="0"/>
              <w:rPr>
                <w:sz w:val="20"/>
                <w:szCs w:val="20"/>
                <w:color w:val="auto"/>
              </w:rPr>
            </w:pPr>
            <w:r>
              <w:rPr>
                <w:rFonts w:ascii="Arial" w:cs="Arial" w:eastAsia="Arial" w:hAnsi="Arial"/>
                <w:sz w:val="16"/>
                <w:szCs w:val="16"/>
                <w:b w:val="1"/>
                <w:bCs w:val="1"/>
                <w:color w:val="auto"/>
              </w:rPr>
              <w:t>K. P. March (10)</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1,508,177</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$349,792 (2)</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5,274,873 (2)</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8,763,777</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12,955,675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28,852,294</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573,795</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$110,610 (5)</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2,654,636 (5)</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8,763,777</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12,955,675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28,103,600</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Involuntary 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1,097,086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$213,901 (7)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5,073,161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6,384,148</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Resignation; Involuntary</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1,097,086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213,901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5,073,161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5,520,848</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12,955,675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24,860,671</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Retirement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1,097,086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213,901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5,073,161 (7)</w:t>
            </w: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5,520,848</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12,955,675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24,860,671</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Change in Control</w:t>
            </w: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213,901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spacing w:after="0"/>
              <w:rPr>
                <w:sz w:val="20"/>
                <w:szCs w:val="20"/>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213,901</w:t>
            </w:r>
          </w:p>
        </w:tc>
        <w:tc>
          <w:tcPr>
            <w:tcW w:w="3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2080" w:type="dxa"/>
            <w:vAlign w:val="bottom"/>
            <w:shd w:val="clear" w:color="auto" w:fill="E9E9E9"/>
          </w:tcPr>
          <w:p>
            <w:pPr>
              <w:spacing w:after="0"/>
              <w:rPr>
                <w:sz w:val="20"/>
                <w:szCs w:val="20"/>
                <w:color w:val="auto"/>
              </w:rPr>
            </w:pPr>
            <w:r>
              <w:rPr>
                <w:rFonts w:ascii="Arial" w:cs="Arial" w:eastAsia="Arial" w:hAnsi="Arial"/>
                <w:sz w:val="16"/>
                <w:szCs w:val="16"/>
                <w:b w:val="1"/>
                <w:bCs w:val="1"/>
                <w:color w:val="auto"/>
              </w:rPr>
              <w:t>B. T. Crutcher</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10,098</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w:t>
            </w:r>
          </w:p>
        </w:tc>
        <w:tc>
          <w:tcPr>
            <w:tcW w:w="360" w:type="dxa"/>
            <w:vAlign w:val="bottom"/>
            <w:shd w:val="clear" w:color="auto" w:fill="E9E9E9"/>
          </w:tcPr>
          <w:p>
            <w:pPr>
              <w:spacing w:after="0"/>
              <w:rPr>
                <w:sz w:val="19"/>
                <w:szCs w:val="19"/>
                <w:color w:val="auto"/>
              </w:rPr>
            </w:pPr>
          </w:p>
        </w:tc>
        <w:tc>
          <w:tcPr>
            <w:tcW w:w="820" w:type="dxa"/>
            <w:vAlign w:val="bottom"/>
            <w:gridSpan w:val="2"/>
            <w:shd w:val="clear" w:color="auto" w:fill="E9E9E9"/>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19,393,598</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6,752,375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26,156,071</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1,767</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360" w:type="dxa"/>
            <w:vAlign w:val="bottom"/>
            <w:shd w:val="clear" w:color="auto" w:fill="E9E9E9"/>
          </w:tcPr>
          <w:p>
            <w:pPr>
              <w:spacing w:after="0"/>
              <w:rPr>
                <w:sz w:val="19"/>
                <w:szCs w:val="19"/>
                <w:color w:val="auto"/>
              </w:rPr>
            </w:pPr>
          </w:p>
        </w:tc>
        <w:tc>
          <w:tcPr>
            <w:tcW w:w="820" w:type="dxa"/>
            <w:vAlign w:val="bottom"/>
            <w:gridSpan w:val="2"/>
            <w:shd w:val="clear" w:color="auto" w:fill="E9E9E9"/>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$601,324 (6)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19,393,598</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6,752,375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26,749,064</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Involuntary 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3,496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spacing w:after="0"/>
              <w:rPr>
                <w:sz w:val="19"/>
                <w:szCs w:val="19"/>
                <w:color w:val="auto"/>
              </w:rPr>
            </w:pPr>
          </w:p>
        </w:tc>
        <w:tc>
          <w:tcPr>
            <w:tcW w:w="820" w:type="dxa"/>
            <w:vAlign w:val="bottom"/>
            <w:gridSpan w:val="2"/>
            <w:shd w:val="clear" w:color="auto" w:fill="E9E9E9"/>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3,496</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Resignation; Involuntary</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3,496</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1,092,156 (9)</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1,095,652</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Change in Control</w:t>
            </w: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360" w:type="dxa"/>
            <w:vAlign w:val="bottom"/>
            <w:shd w:val="clear" w:color="auto" w:fill="E9E9E9"/>
          </w:tcPr>
          <w:p>
            <w:pPr>
              <w:spacing w:after="0"/>
              <w:rPr>
                <w:sz w:val="20"/>
                <w:szCs w:val="20"/>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360" w:type="dxa"/>
            <w:vAlign w:val="bottom"/>
            <w:shd w:val="clear" w:color="auto" w:fill="E9E9E9"/>
          </w:tcPr>
          <w:p>
            <w:pPr>
              <w:spacing w:after="0"/>
              <w:rPr>
                <w:sz w:val="20"/>
                <w:szCs w:val="20"/>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spacing w:after="0"/>
              <w:rPr>
                <w:sz w:val="20"/>
                <w:szCs w:val="20"/>
                <w:color w:val="auto"/>
              </w:rPr>
            </w:pP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2080" w:type="dxa"/>
            <w:vAlign w:val="bottom"/>
            <w:shd w:val="clear" w:color="auto" w:fill="E9E9E9"/>
          </w:tcPr>
          <w:p>
            <w:pPr>
              <w:spacing w:after="0"/>
              <w:rPr>
                <w:sz w:val="20"/>
                <w:szCs w:val="20"/>
                <w:color w:val="auto"/>
              </w:rPr>
            </w:pPr>
            <w:r>
              <w:rPr>
                <w:rFonts w:ascii="Arial" w:cs="Arial" w:eastAsia="Arial" w:hAnsi="Arial"/>
                <w:sz w:val="16"/>
                <w:szCs w:val="16"/>
                <w:b w:val="1"/>
                <w:bCs w:val="1"/>
                <w:color w:val="auto"/>
              </w:rPr>
              <w:t>K. J. Ritchie (10)</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1,918,444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$926,549 (2)</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6,404,365 (2)</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10,611,686</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10,836,063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30,697,107</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815,169</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$310,997 (5)</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3,223,065 (5)</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10,611,686</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10,836,063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29,982,154</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Involuntary 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1,599,590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$607,844 (7)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6,326,971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8,534,405</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Resignation; Involuntary</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1,599,590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607,844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6,326,971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6,815,359</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10,836,063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26,185,827</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Retirement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1,599,590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607,844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6,326,971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6,815,359</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10,836,063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26,185,827</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Change in Control</w:t>
            </w: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607,844</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spacing w:after="0"/>
              <w:rPr>
                <w:sz w:val="20"/>
                <w:szCs w:val="20"/>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607,844</w:t>
            </w:r>
          </w:p>
        </w:tc>
        <w:tc>
          <w:tcPr>
            <w:tcW w:w="3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2080" w:type="dxa"/>
            <w:vAlign w:val="bottom"/>
            <w:shd w:val="clear" w:color="auto" w:fill="E9E9E9"/>
          </w:tcPr>
          <w:p>
            <w:pPr>
              <w:spacing w:after="0"/>
              <w:rPr>
                <w:sz w:val="20"/>
                <w:szCs w:val="20"/>
                <w:color w:val="auto"/>
              </w:rPr>
            </w:pPr>
            <w:r>
              <w:rPr>
                <w:rFonts w:ascii="Arial" w:cs="Arial" w:eastAsia="Arial" w:hAnsi="Arial"/>
                <w:sz w:val="16"/>
                <w:szCs w:val="16"/>
                <w:b w:val="1"/>
                <w:bCs w:val="1"/>
                <w:color w:val="auto"/>
              </w:rPr>
              <w:t>R. G. Delagi</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Disability</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1,865,870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$522,241 (2)</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3,475,010 (2)</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12,752,298</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13,776,275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32,391,694</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Death</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369,408</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$139,569 (5)</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1,377,488 (5)</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12,752,298</w:t>
            </w:r>
          </w:p>
        </w:tc>
        <w:tc>
          <w:tcPr>
            <w:tcW w:w="440" w:type="dxa"/>
            <w:vAlign w:val="bottom"/>
            <w:shd w:val="clear" w:color="auto" w:fill="E9E9E9"/>
          </w:tcPr>
          <w:p>
            <w:pPr>
              <w:ind w:left="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w w:val="99"/>
              </w:rPr>
              <w:t>13,776,275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28,415,038</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Involuntary 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663,345</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118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$251,631 (7)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2,472,547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3,387,523</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Resignation; Involuntary</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Termination</w:t>
            </w:r>
          </w:p>
        </w:tc>
        <w:tc>
          <w:tcPr>
            <w:tcW w:w="22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18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(Not for Cause)</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663,345</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251,631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98"/>
              </w:rPr>
              <w:t>2,472,547 (7)</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19"/>
                <w:szCs w:val="19"/>
                <w:color w:val="auto"/>
              </w:rPr>
            </w:pP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8,326,071 (9)</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11,713,594</w:t>
            </w:r>
          </w:p>
        </w:tc>
        <w:tc>
          <w:tcPr>
            <w:tcW w:w="3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Change in Control</w:t>
            </w: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251,631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E9E9E9"/>
          </w:tcPr>
          <w:p>
            <w:pPr>
              <w:spacing w:after="0"/>
              <w:rPr>
                <w:sz w:val="20"/>
                <w:szCs w:val="20"/>
                <w:color w:val="auto"/>
              </w:rPr>
            </w:pPr>
          </w:p>
        </w:tc>
        <w:tc>
          <w:tcPr>
            <w:tcW w:w="1100" w:type="dxa"/>
            <w:vAlign w:val="bottom"/>
            <w:shd w:val="clear" w:color="auto" w:fill="E9E9E9"/>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200" w:type="dxa"/>
            <w:vAlign w:val="bottom"/>
            <w:shd w:val="clear" w:color="auto" w:fill="E9E9E9"/>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251,631</w:t>
            </w:r>
          </w:p>
        </w:tc>
        <w:tc>
          <w:tcPr>
            <w:tcW w:w="3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548" w:right="139" w:bottom="1440" w:gutter="0" w:footer="0" w:header="0"/>
        </w:sectPr>
      </w:pPr>
    </w:p>
    <w:p>
      <w:pPr>
        <w:spacing w:after="0" w:line="46"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92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520"/>
          </w:cols>
          <w:pgMar w:left="240" w:top="548" w:right="139" w:bottom="1440" w:gutter="0" w:footer="0" w:header="0"/>
          <w:type w:val="continuous"/>
        </w:sectPr>
      </w:pPr>
    </w:p>
    <w:bookmarkStart w:id="39" w:name="page40"/>
    <w:bookmarkEnd w:id="39"/>
    <w:p>
      <w:pPr>
        <w:ind w:left="540" w:right="40" w:hanging="540"/>
        <w:spacing w:after="0" w:line="259"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shown is the lump-sum benefit payable at age 65 to the named executive officer in the event of termination as of December 31, 2013,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2013 and are described in note 5 to the 2013 pension benefits table on page 87.</w:t>
      </w:r>
    </w:p>
    <w:p>
      <w:pPr>
        <w:spacing w:after="0" w:line="181" w:lineRule="exact"/>
        <w:rPr>
          <w:rFonts w:ascii="Arial" w:cs="Arial" w:eastAsia="Arial" w:hAnsi="Arial"/>
          <w:sz w:val="16"/>
          <w:szCs w:val="16"/>
          <w:color w:val="auto"/>
        </w:rPr>
      </w:pPr>
    </w:p>
    <w:p>
      <w:pPr>
        <w:ind w:left="540" w:right="540" w:hanging="540"/>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shown is the lump-sum benefit payable at age 65, in the case of the Non-Qualified Defined Benefit Pension Plan, or separation from service in the case of Plan II. The assumptions used are the same as those described in note 1 above.</w:t>
      </w:r>
    </w:p>
    <w:p>
      <w:pPr>
        <w:spacing w:after="0" w:line="155" w:lineRule="exact"/>
        <w:rPr>
          <w:rFonts w:ascii="Arial" w:cs="Arial" w:eastAsia="Arial" w:hAnsi="Arial"/>
          <w:sz w:val="16"/>
          <w:szCs w:val="16"/>
          <w:color w:val="auto"/>
        </w:rPr>
      </w:pPr>
    </w:p>
    <w:p>
      <w:pPr>
        <w:jc w:val="both"/>
        <w:ind w:left="540" w:right="180" w:hanging="540"/>
        <w:spacing w:after="0" w:line="259"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Calculated by multiplying the number of outstanding RSUs by the closing price of TI common stock as of December 31, 2013 ($43.91). In the event of termination due to disability or death all outstanding awards will continue to vest according to their terms. Please see the outstanding equity awards at fiscal year-end 2013 table on pages 84-85 for the number of unvested RSUs as of December 31, 2013, and page 86 for a discussion of an additional outstanding RSU award held by Mr. Templeton.</w:t>
      </w:r>
    </w:p>
    <w:p>
      <w:pPr>
        <w:spacing w:after="0" w:line="181" w:lineRule="exact"/>
        <w:rPr>
          <w:rFonts w:ascii="Arial" w:cs="Arial" w:eastAsia="Arial" w:hAnsi="Arial"/>
          <w:sz w:val="16"/>
          <w:szCs w:val="16"/>
          <w:color w:val="auto"/>
        </w:rPr>
      </w:pPr>
    </w:p>
    <w:p>
      <w:pPr>
        <w:ind w:left="540" w:right="140" w:hanging="540"/>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all outstanding in-the-money options and the closing price of TI common stock as of December 31, 2013 ($43.91), multiplied by the number of shares under such options as of December 31, 2013.</w:t>
      </w:r>
    </w:p>
    <w:p>
      <w:pPr>
        <w:spacing w:after="0" w:line="155" w:lineRule="exact"/>
        <w:rPr>
          <w:rFonts w:ascii="Arial" w:cs="Arial" w:eastAsia="Arial" w:hAnsi="Arial"/>
          <w:sz w:val="16"/>
          <w:szCs w:val="16"/>
          <w:color w:val="auto"/>
        </w:rPr>
      </w:pPr>
    </w:p>
    <w:p>
      <w:pPr>
        <w:ind w:left="540" w:right="60" w:hanging="540"/>
        <w:spacing w:after="0" w:line="267"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173" w:lineRule="exact"/>
        <w:rPr>
          <w:rFonts w:ascii="Arial" w:cs="Arial" w:eastAsia="Arial" w:hAnsi="Arial"/>
          <w:sz w:val="16"/>
          <w:szCs w:val="16"/>
          <w:color w:val="auto"/>
        </w:rPr>
      </w:pPr>
    </w:p>
    <w:p>
      <w:pPr>
        <w:ind w:left="540" w:hanging="540"/>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Balance as of December 31, 2013, under the non-qualified deferred compensation plan.</w:t>
      </w:r>
    </w:p>
    <w:p>
      <w:pPr>
        <w:spacing w:after="0" w:line="228" w:lineRule="exact"/>
        <w:rPr>
          <w:rFonts w:ascii="Arial" w:cs="Arial" w:eastAsia="Arial" w:hAnsi="Arial"/>
          <w:sz w:val="16"/>
          <w:szCs w:val="16"/>
          <w:color w:val="auto"/>
        </w:rPr>
      </w:pPr>
    </w:p>
    <w:p>
      <w:pPr>
        <w:ind w:left="540" w:right="520" w:hanging="540"/>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Lump-sum value of the accrued benefit as of December 31, 2013, calculated as required by the terms of the plans assuming the earliest possible payment date.</w:t>
      </w:r>
    </w:p>
    <w:p>
      <w:pPr>
        <w:spacing w:after="0" w:line="155" w:lineRule="exact"/>
        <w:rPr>
          <w:rFonts w:ascii="Arial" w:cs="Arial" w:eastAsia="Arial" w:hAnsi="Arial"/>
          <w:sz w:val="16"/>
          <w:szCs w:val="16"/>
          <w:color w:val="auto"/>
        </w:rPr>
      </w:pPr>
    </w:p>
    <w:p>
      <w:pPr>
        <w:ind w:left="540" w:right="320" w:hanging="540"/>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Calculated by multiplying 120,000 vested RSUs by the closing price of TI common stock as of December 31, 2013 ($43.91). See page 86 for further information about this award.</w:t>
      </w:r>
    </w:p>
    <w:p>
      <w:pPr>
        <w:spacing w:after="0" w:line="155" w:lineRule="exact"/>
        <w:rPr>
          <w:rFonts w:ascii="Arial" w:cs="Arial" w:eastAsia="Arial" w:hAnsi="Arial"/>
          <w:sz w:val="16"/>
          <w:szCs w:val="16"/>
          <w:color w:val="auto"/>
        </w:rPr>
      </w:pPr>
    </w:p>
    <w:p>
      <w:pPr>
        <w:ind w:left="540" w:right="160" w:hanging="540"/>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all exercisable in-the-money options and the closing price of TI common stock as of December 31, 2013 ($43.91), multiplied by the number of shares under such options as of December 31, 2013.</w:t>
      </w:r>
    </w:p>
    <w:p>
      <w:pPr>
        <w:spacing w:after="0" w:line="155" w:lineRule="exact"/>
        <w:rPr>
          <w:rFonts w:ascii="Arial" w:cs="Arial" w:eastAsia="Arial" w:hAnsi="Arial"/>
          <w:sz w:val="16"/>
          <w:szCs w:val="16"/>
          <w:color w:val="auto"/>
        </w:rPr>
      </w:pPr>
    </w:p>
    <w:p>
      <w:pPr>
        <w:ind w:left="540" w:hanging="540"/>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Messrs. Templeton, March and Ritchie were eligible to retire as of December 31, 2013.</w:t>
      </w:r>
    </w:p>
    <w:p>
      <w:pPr>
        <w:spacing w:after="0" w:line="228" w:lineRule="exact"/>
        <w:rPr>
          <w:rFonts w:ascii="Arial" w:cs="Arial" w:eastAsia="Arial" w:hAnsi="Arial"/>
          <w:sz w:val="16"/>
          <w:szCs w:val="16"/>
          <w:color w:val="auto"/>
        </w:rPr>
      </w:pPr>
    </w:p>
    <w:p>
      <w:pPr>
        <w:ind w:left="540" w:right="160" w:hanging="540"/>
        <w:spacing w:after="0" w:line="267"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Due to retirement eligibility, the total includes the value of the benefit payable in a lump sum under the Survivor Benefit Plan to the officer’s beneficiary in the following amounts: Mr. Templeton $721,358, Mr. March $3,045,107 and Mr. Ritchie $4,185,174. The amount of the benefit is calculated as required by the terms of the plan assuming the earliest possible payment date.</w:t>
      </w:r>
    </w:p>
    <w:p>
      <w:pPr>
        <w:spacing w:after="0" w:line="173" w:lineRule="exact"/>
        <w:rPr>
          <w:rFonts w:ascii="Arial" w:cs="Arial" w:eastAsia="Arial" w:hAnsi="Arial"/>
          <w:sz w:val="16"/>
          <w:szCs w:val="16"/>
          <w:color w:val="auto"/>
        </w:rPr>
      </w:pPr>
    </w:p>
    <w:p>
      <w:pPr>
        <w:ind w:left="540" w:right="100" w:hanging="540"/>
        <w:spacing w:after="0" w:line="267"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Due to retirement eligibility, calculated by multiplying the number of outstanding RSUs held at such termination by the closing price of TI common stock as of December 31, 2013 ($43.91). RSU awards stay in effect and pay out shares according to the vesting schedule, although for grants made before 2013, the number of shares is reduced according to the duration of employment over the vesting period. See page 86 for additional details.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REPORT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of directors has furnished the following report:</w:t>
      </w:r>
    </w:p>
    <w:p>
      <w:pPr>
        <w:spacing w:after="0" w:line="24"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 w:lineRule="exact"/>
        <w:rPr>
          <w:sz w:val="20"/>
          <w:szCs w:val="20"/>
          <w:color w:val="auto"/>
        </w:rPr>
      </w:pPr>
    </w:p>
    <w:p>
      <w:pPr>
        <w:ind w:right="320" w:firstLine="226"/>
        <w:spacing w:after="0" w:line="244"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 w:lineRule="exact"/>
        <w:rPr>
          <w:sz w:val="20"/>
          <w:szCs w:val="20"/>
          <w:color w:val="auto"/>
        </w:rPr>
      </w:pPr>
    </w:p>
    <w:p>
      <w:pPr>
        <w:ind w:right="340" w:firstLine="226"/>
        <w:spacing w:after="0" w:line="244" w:lineRule="auto"/>
        <w:rPr>
          <w:sz w:val="20"/>
          <w:szCs w:val="20"/>
          <w:color w:val="auto"/>
        </w:rPr>
      </w:pPr>
      <w:r>
        <w:rPr>
          <w:rFonts w:ascii="Arial" w:cs="Arial" w:eastAsia="Arial" w:hAnsi="Arial"/>
          <w:sz w:val="16"/>
          <w:szCs w:val="16"/>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 w:lineRule="exact"/>
        <w:rPr>
          <w:sz w:val="20"/>
          <w:szCs w:val="20"/>
          <w:color w:val="auto"/>
        </w:rPr>
      </w:pPr>
    </w:p>
    <w:p>
      <w:pPr>
        <w:ind w:right="440" w:firstLine="226"/>
        <w:spacing w:after="0" w:line="264"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the audited financial statements be included in the company’s annual report on Form 10-K for 2013 for filing with the SEC.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20" w:type="dxa"/>
            <w:vAlign w:val="bottom"/>
          </w:tcPr>
          <w:p>
            <w:pPr>
              <w:ind w:left="980"/>
              <w:spacing w:after="0"/>
              <w:rPr>
                <w:sz w:val="20"/>
                <w:szCs w:val="20"/>
                <w:color w:val="auto"/>
              </w:rPr>
            </w:pPr>
            <w:r>
              <w:rPr>
                <w:rFonts w:ascii="Arial" w:cs="Arial" w:eastAsia="Arial" w:hAnsi="Arial"/>
                <w:sz w:val="16"/>
                <w:szCs w:val="16"/>
                <w:color w:val="auto"/>
              </w:rPr>
              <w:t>Ralph W. Babb, Jr., Chair</w:t>
            </w:r>
          </w:p>
        </w:tc>
        <w:tc>
          <w:tcPr>
            <w:tcW w:w="3520" w:type="dxa"/>
            <w:vAlign w:val="bottom"/>
          </w:tcPr>
          <w:p>
            <w:pPr>
              <w:ind w:left="1200"/>
              <w:spacing w:after="0"/>
              <w:rPr>
                <w:sz w:val="20"/>
                <w:szCs w:val="20"/>
                <w:color w:val="auto"/>
              </w:rPr>
            </w:pPr>
            <w:r>
              <w:rPr>
                <w:rFonts w:ascii="Arial" w:cs="Arial" w:eastAsia="Arial" w:hAnsi="Arial"/>
                <w:sz w:val="16"/>
                <w:szCs w:val="16"/>
                <w:color w:val="auto"/>
              </w:rPr>
              <w:t>Mark A. Blinn</w:t>
            </w:r>
          </w:p>
        </w:tc>
        <w:tc>
          <w:tcPr>
            <w:tcW w:w="3920" w:type="dxa"/>
            <w:vAlign w:val="bottom"/>
          </w:tcPr>
          <w:p>
            <w:pPr>
              <w:ind w:left="1360"/>
              <w:spacing w:after="0"/>
              <w:rPr>
                <w:sz w:val="20"/>
                <w:szCs w:val="20"/>
                <w:color w:val="auto"/>
              </w:rPr>
            </w:pPr>
            <w:r>
              <w:rPr>
                <w:rFonts w:ascii="Arial" w:cs="Arial" w:eastAsia="Arial" w:hAnsi="Arial"/>
                <w:sz w:val="16"/>
                <w:szCs w:val="16"/>
                <w:color w:val="auto"/>
              </w:rPr>
              <w:t>Ruth J. Simmons</w:t>
            </w:r>
          </w:p>
        </w:tc>
      </w:tr>
      <w:tr>
        <w:trPr>
          <w:trHeight w:val="432"/>
        </w:trPr>
        <w:tc>
          <w:tcPr>
            <w:tcW w:w="4020" w:type="dxa"/>
            <w:vAlign w:val="bottom"/>
          </w:tcPr>
          <w:p>
            <w:pPr>
              <w:spacing w:after="0"/>
              <w:rPr>
                <w:sz w:val="20"/>
                <w:szCs w:val="20"/>
                <w:color w:val="auto"/>
              </w:rPr>
            </w:pPr>
            <w:r>
              <w:rPr>
                <w:rFonts w:ascii="Arial" w:cs="Arial" w:eastAsia="Arial" w:hAnsi="Arial"/>
                <w:sz w:val="13"/>
                <w:szCs w:val="13"/>
                <w:b w:val="1"/>
                <w:bCs w:val="1"/>
                <w:color w:val="808285"/>
              </w:rPr>
              <w:t>TEXAS INSTRUMENTS</w:t>
            </w:r>
          </w:p>
        </w:tc>
        <w:tc>
          <w:tcPr>
            <w:tcW w:w="3520" w:type="dxa"/>
            <w:vAlign w:val="bottom"/>
          </w:tcPr>
          <w:p>
            <w:pPr>
              <w:spacing w:after="0"/>
              <w:rPr>
                <w:sz w:val="24"/>
                <w:szCs w:val="24"/>
                <w:color w:val="auto"/>
              </w:rPr>
            </w:pPr>
          </w:p>
        </w:tc>
        <w:tc>
          <w:tcPr>
            <w:tcW w:w="3920" w:type="dxa"/>
            <w:vAlign w:val="bottom"/>
          </w:tcPr>
          <w:p>
            <w:pPr>
              <w:ind w:left="2040"/>
              <w:spacing w:after="0"/>
              <w:rPr>
                <w:sz w:val="20"/>
                <w:szCs w:val="20"/>
                <w:color w:val="auto"/>
              </w:rPr>
            </w:pPr>
            <w:r>
              <w:rPr>
                <w:rFonts w:ascii="Arial" w:cs="Arial" w:eastAsia="Arial" w:hAnsi="Arial"/>
                <w:sz w:val="13"/>
                <w:szCs w:val="13"/>
                <w:b w:val="1"/>
                <w:bCs w:val="1"/>
                <w:color w:val="808285"/>
                <w:w w:val="99"/>
              </w:rPr>
              <w:t xml:space="preserve">2014 PROXY STATEMENT </w:t>
            </w:r>
            <w:r>
              <w:rPr>
                <w:rFonts w:ascii="Times New Roman" w:cs="Times New Roman" w:eastAsia="Times New Roman" w:hAnsi="Times New Roman"/>
                <w:sz w:val="13"/>
                <w:szCs w:val="13"/>
                <w:b w:val="1"/>
                <w:bCs w:val="1"/>
                <w:color w:val="808285"/>
                <w:w w:val="99"/>
              </w:rPr>
              <w:t>•</w:t>
            </w:r>
            <w:r>
              <w:rPr>
                <w:rFonts w:ascii="Arial" w:cs="Arial" w:eastAsia="Arial" w:hAnsi="Arial"/>
                <w:sz w:val="13"/>
                <w:szCs w:val="13"/>
                <w:b w:val="1"/>
                <w:bCs w:val="1"/>
                <w:color w:val="808285"/>
                <w:w w:val="99"/>
              </w:rPr>
              <w:t xml:space="preserve"> 93</w:t>
            </w:r>
          </w:p>
        </w:tc>
      </w:tr>
      <w:tr>
        <w:trPr>
          <w:trHeight w:val="363"/>
        </w:trPr>
        <w:tc>
          <w:tcPr>
            <w:tcW w:w="40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48" w:right="19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PROPOSAL TO RATIFY APPOINTMENT OF INDEPENDENT REGISTERED PUBLIC ACCOUNTING FIRM</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2014.</w:t>
      </w:r>
    </w:p>
    <w:p>
      <w:pPr>
        <w:spacing w:after="0" w:line="175" w:lineRule="exact"/>
        <w:rPr>
          <w:sz w:val="20"/>
          <w:szCs w:val="20"/>
          <w:color w:val="auto"/>
        </w:rPr>
      </w:pPr>
    </w:p>
    <w:p>
      <w:pPr>
        <w:jc w:val="both"/>
        <w:ind w:right="40" w:firstLine="226"/>
        <w:spacing w:after="0" w:line="244" w:lineRule="auto"/>
        <w:rPr>
          <w:sz w:val="20"/>
          <w:szCs w:val="20"/>
          <w:color w:val="auto"/>
        </w:rPr>
      </w:pPr>
      <w:r>
        <w:rPr>
          <w:rFonts w:ascii="Arial" w:cs="Arial" w:eastAsia="Arial" w:hAnsi="Arial"/>
          <w:sz w:val="16"/>
          <w:szCs w:val="16"/>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1" w:lineRule="exact"/>
        <w:rPr>
          <w:sz w:val="20"/>
          <w:szCs w:val="20"/>
          <w:color w:val="auto"/>
        </w:rPr>
      </w:pPr>
    </w:p>
    <w:p>
      <w:pPr>
        <w:ind w:right="160" w:firstLine="226"/>
        <w:spacing w:after="0" w:line="244" w:lineRule="auto"/>
        <w:rPr>
          <w:sz w:val="20"/>
          <w:szCs w:val="20"/>
          <w:color w:val="auto"/>
        </w:rPr>
      </w:pPr>
      <w:r>
        <w:rPr>
          <w:rFonts w:ascii="Arial" w:cs="Arial" w:eastAsia="Arial" w:hAnsi="Arial"/>
          <w:sz w:val="16"/>
          <w:szCs w:val="16"/>
          <w:color w:val="auto"/>
        </w:rPr>
        <w:t>The lead audit partner on the TI engagement serves no more than five consecutive years in that role, in accordance with SEC rules. The Audit Committee Chair and management have direct input into the selection of lead audit partner.</w:t>
      </w:r>
    </w:p>
    <w:p>
      <w:pPr>
        <w:spacing w:after="0" w:line="1" w:lineRule="exact"/>
        <w:rPr>
          <w:sz w:val="20"/>
          <w:szCs w:val="20"/>
          <w:color w:val="auto"/>
        </w:rPr>
      </w:pPr>
    </w:p>
    <w:p>
      <w:pPr>
        <w:jc w:val="both"/>
        <w:ind w:right="700" w:firstLine="226"/>
        <w:spacing w:after="0" w:line="244" w:lineRule="auto"/>
        <w:rPr>
          <w:sz w:val="20"/>
          <w:szCs w:val="20"/>
          <w:color w:val="auto"/>
        </w:rPr>
      </w:pPr>
      <w:r>
        <w:rPr>
          <w:rFonts w:ascii="Arial" w:cs="Arial" w:eastAsia="Arial" w:hAnsi="Arial"/>
          <w:sz w:val="16"/>
          <w:szCs w:val="16"/>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2" w:lineRule="exact"/>
        <w:rPr>
          <w:sz w:val="20"/>
          <w:szCs w:val="20"/>
          <w:color w:val="auto"/>
        </w:rPr>
      </w:pPr>
    </w:p>
    <w:p>
      <w:pPr>
        <w:ind w:right="220" w:firstLine="226"/>
        <w:spacing w:after="0" w:line="244" w:lineRule="auto"/>
        <w:rPr>
          <w:sz w:val="20"/>
          <w:szCs w:val="20"/>
          <w:color w:val="auto"/>
        </w:rPr>
      </w:pPr>
      <w:r>
        <w:rPr>
          <w:rFonts w:ascii="Arial" w:cs="Arial" w:eastAsia="Arial" w:hAnsi="Arial"/>
          <w:sz w:val="16"/>
          <w:szCs w:val="16"/>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paid fees to Ernst &amp; Young for the services described below:</w:t>
      </w:r>
    </w:p>
    <w:p>
      <w:pPr>
        <w:spacing w:after="0" w:line="184" w:lineRule="exact"/>
        <w:rPr>
          <w:sz w:val="20"/>
          <w:szCs w:val="20"/>
          <w:color w:val="auto"/>
        </w:rPr>
      </w:pPr>
    </w:p>
    <w:p>
      <w:pPr>
        <w:jc w:val="both"/>
        <w:ind w:right="200"/>
        <w:spacing w:after="0" w:line="267" w:lineRule="auto"/>
        <w:rPr>
          <w:sz w:val="20"/>
          <w:szCs w:val="20"/>
          <w:color w:val="auto"/>
        </w:rPr>
      </w:pPr>
      <w:r>
        <w:rPr>
          <w:rFonts w:ascii="Arial" w:cs="Arial" w:eastAsia="Arial" w:hAnsi="Arial"/>
          <w:sz w:val="16"/>
          <w:szCs w:val="16"/>
          <w:u w:val="single" w:color="auto"/>
          <w:color w:val="auto"/>
        </w:rPr>
        <w:t>Audit fees</w:t>
      </w:r>
      <w:r>
        <w:rPr>
          <w:rFonts w:ascii="Arial" w:cs="Arial" w:eastAsia="Arial" w:hAnsi="Arial"/>
          <w:sz w:val="16"/>
          <w:szCs w:val="16"/>
          <w:color w:val="auto"/>
        </w:rPr>
        <w:t>. Ernst &amp; Young’s Audit Fees were $8,662,000 in 2013 and $8,384,000 in 2012. The services provided in exchange for these fees were our annual audit, including the audit of internal control over financial reporting, reports on Form 10-Q, assistance with public debt offerings, and statutory audits required internationally.</w:t>
      </w:r>
    </w:p>
    <w:p>
      <w:pPr>
        <w:spacing w:after="0" w:line="14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u w:val="single" w:color="auto"/>
          <w:color w:val="auto"/>
        </w:rPr>
        <w:t>Audit-related fees</w:t>
      </w:r>
      <w:r>
        <w:rPr>
          <w:rFonts w:ascii="Arial" w:cs="Arial" w:eastAsia="Arial" w:hAnsi="Arial"/>
          <w:sz w:val="16"/>
          <w:szCs w:val="16"/>
          <w:color w:val="auto"/>
        </w:rPr>
        <w:t>. In addition to the Audit Fees, the company paid Ernst &amp; Young $685,000 in 2013 and $761,000 in 2012. The services provided in exchange for these fees included acquisition due diligence and related procedures, employee benefit plan audits, certification procedures relating to compliance with local-government or other regulatory standards for various non-U.S. subsidiaries, and access to Ernst &amp; Young’s online research tool.</w:t>
      </w:r>
    </w:p>
    <w:p>
      <w:pPr>
        <w:spacing w:after="0" w:line="149"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u w:val="single" w:color="auto"/>
          <w:color w:val="auto"/>
        </w:rPr>
        <w:t>Tax fees</w:t>
      </w:r>
      <w:r>
        <w:rPr>
          <w:rFonts w:ascii="Arial" w:cs="Arial" w:eastAsia="Arial" w:hAnsi="Arial"/>
          <w:sz w:val="16"/>
          <w:szCs w:val="16"/>
          <w:color w:val="auto"/>
        </w:rPr>
        <w:t>. Ernst &amp; Young’s fees for professional services rendered for tax compliance (preparation and review of income tax returns and other tax-related filings) and tax advice on U.S. and foreign tax matters were $1,836,000 in 2013 and $4,380,000 in 2012.</w:t>
      </w:r>
    </w:p>
    <w:p>
      <w:pPr>
        <w:spacing w:after="0" w:line="131"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u w:val="single" w:color="auto"/>
          <w:color w:val="auto"/>
        </w:rPr>
        <w:t>All other fees</w:t>
      </w:r>
      <w:r>
        <w:rPr>
          <w:rFonts w:ascii="Arial" w:cs="Arial" w:eastAsia="Arial" w:hAnsi="Arial"/>
          <w:sz w:val="16"/>
          <w:szCs w:val="16"/>
          <w:color w:val="auto"/>
        </w:rPr>
        <w:t>. Ernst &amp; Young’s fees for all other professional services rendered were $95,000 in 2013 and $635,000 in 2012 for assistance with insurance claims, the TI Foundation audit and training.</w:t>
      </w:r>
    </w:p>
    <w:p>
      <w:pPr>
        <w:spacing w:after="0" w:line="131"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u w:val="single" w:color="auto"/>
          <w:color w:val="auto"/>
        </w:rPr>
        <w:t>Pre-approval policy</w:t>
      </w:r>
      <w:r>
        <w:rPr>
          <w:rFonts w:ascii="Arial" w:cs="Arial" w:eastAsia="Arial" w:hAnsi="Arial"/>
          <w:sz w:val="16"/>
          <w:szCs w:val="16"/>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1" w:lineRule="exact"/>
        <w:rPr>
          <w:sz w:val="20"/>
          <w:szCs w:val="20"/>
          <w:color w:val="auto"/>
        </w:rPr>
      </w:pPr>
    </w:p>
    <w:p>
      <w:pPr>
        <w:ind w:right="60" w:firstLine="226"/>
        <w:spacing w:after="0" w:line="244" w:lineRule="auto"/>
        <w:rPr>
          <w:sz w:val="20"/>
          <w:szCs w:val="20"/>
          <w:color w:val="auto"/>
        </w:rPr>
      </w:pPr>
      <w:r>
        <w:rPr>
          <w:rFonts w:ascii="Arial" w:cs="Arial" w:eastAsia="Arial" w:hAnsi="Arial"/>
          <w:sz w:val="16"/>
          <w:szCs w:val="16"/>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3" w:lineRule="exact"/>
        <w:rPr>
          <w:sz w:val="20"/>
          <w:szCs w:val="20"/>
          <w:color w:val="auto"/>
        </w:rPr>
      </w:pPr>
    </w:p>
    <w:p>
      <w:pPr>
        <w:ind w:right="60" w:firstLine="226"/>
        <w:spacing w:after="0" w:line="244" w:lineRule="auto"/>
        <w:rPr>
          <w:sz w:val="20"/>
          <w:szCs w:val="20"/>
          <w:color w:val="auto"/>
        </w:rPr>
      </w:pPr>
      <w:r>
        <w:rPr>
          <w:rFonts w:ascii="Arial" w:cs="Arial" w:eastAsia="Arial" w:hAnsi="Arial"/>
          <w:sz w:val="16"/>
          <w:szCs w:val="16"/>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Audit Committee or its Chair pre-approved all services provided by Ernst &amp; Young during 2013.</w:t>
      </w:r>
    </w:p>
    <w:p>
      <w:pPr>
        <w:spacing w:after="0" w:line="182" w:lineRule="exact"/>
        <w:rPr>
          <w:sz w:val="20"/>
          <w:szCs w:val="20"/>
          <w:color w:val="auto"/>
        </w:rPr>
      </w:pPr>
    </w:p>
    <w:p>
      <w:pPr>
        <w:ind w:right="160" w:firstLine="226"/>
        <w:spacing w:after="0" w:line="303" w:lineRule="auto"/>
        <w:rPr>
          <w:sz w:val="20"/>
          <w:szCs w:val="20"/>
          <w:color w:val="auto"/>
        </w:rPr>
      </w:pPr>
      <w:r>
        <w:rPr>
          <w:rFonts w:ascii="Arial" w:cs="Arial" w:eastAsia="Arial" w:hAnsi="Arial"/>
          <w:sz w:val="16"/>
          <w:szCs w:val="16"/>
          <w:b w:val="1"/>
          <w:bCs w:val="1"/>
          <w:color w:val="auto"/>
        </w:rPr>
        <w:t>The board of directors recommends a vote FOR ratification of the appointment of Ernst &amp; Young LLP as the company’s independent registered public accounting firm for 2014.</w:t>
      </w:r>
    </w:p>
    <w:p>
      <w:pPr>
        <w:spacing w:after="0" w:line="151"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94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PROPOSAL TO APPROVE THE TI EMPLOYEES 2014 STOCK PURCHASE PLAN</w:t>
      </w:r>
    </w:p>
    <w:p>
      <w:pPr>
        <w:spacing w:after="0" w:line="20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board of directors is requesting that stockholders approve the TI Employees 2014 Stock Purchase Plan (the “2014 ESPP”). The board believes the 2014 ESPP is in the best interest of stockholders as it enhances broad-based employee stock ownership (thus further aligning the interest of employees with TI stockholders) and helps the company attract, motivate and retain employees.</w:t>
      </w:r>
    </w:p>
    <w:p>
      <w:pPr>
        <w:spacing w:after="0" w:line="1" w:lineRule="exact"/>
        <w:rPr>
          <w:sz w:val="20"/>
          <w:szCs w:val="20"/>
          <w:color w:val="auto"/>
        </w:rPr>
      </w:pPr>
    </w:p>
    <w:p>
      <w:pPr>
        <w:ind w:right="160" w:firstLine="226"/>
        <w:spacing w:after="0" w:line="251" w:lineRule="auto"/>
        <w:rPr>
          <w:sz w:val="20"/>
          <w:szCs w:val="20"/>
          <w:color w:val="auto"/>
        </w:rPr>
      </w:pPr>
      <w:r>
        <w:rPr>
          <w:rFonts w:ascii="Arial" w:cs="Arial" w:eastAsia="Arial" w:hAnsi="Arial"/>
          <w:sz w:val="16"/>
          <w:szCs w:val="16"/>
          <w:color w:val="auto"/>
        </w:rPr>
        <w:t>The full text of the 2014 ESPP is Exhibit A to this proxy statement. The principal features of the 2014 ESPP are summarized below. The description below is qualified in its entirety by reference to the text of the 2014 ESPP. The terms of the 2014 ESPP are substantially similar to those of the TI Employees 2005 Stock Purchase Plan (the “2005 ESPP”) that was approved by stockholders in April 2005. No offerings under the 2005 ESPP will be made following the completion of any offering pending on the effective date of the 2014 ESPP.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plan provisions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Eligibility</w:t>
      </w:r>
    </w:p>
    <w:p>
      <w:pPr>
        <w:spacing w:after="0" w:line="2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All employees of TI, and such of its subsidiaries as the Compensation Committee of the company’s board of directors shall designate, who are employees on the date of grant of the option (including those on paid or unpaid leave of absence if the company expects that the employee will return to work), will be eligible to participate in offerings of options under the 2014 ESPP. On or prior to the date of grant, the Compensation Committee will determine the effect of an employee’s termination of employment during the term of the offering. Directors who are not employees will not be eligible to participate in the 2014 ESPP.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Offerings</w:t>
      </w:r>
    </w:p>
    <w:p>
      <w:pPr>
        <w:spacing w:after="0" w:line="2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Each year during the term of the 2014 ESPP, unless the Compensation Committee determines otherwise, TI will make one or more offers to each eligible employee of options to purchase TI common stock. Each eligible employee will be entitled to purchase up to a number or dollar amount of shares as the Compensation Committee may determine (but not exceeding the amount specified in Section 423(b) of the Internal Revenue Code (the “Code”)) for the offering. The option price for each offering will be determined by the Compensation Committee and will not be less than (1) 85% of the fair market value of TI common stock on the date of grant of the option or (2) 85% of the fair market value of TI common stock on the date the option is exercised, whichever is lower. The date of grant will be as determined by the Compensation Committee. The fair market value of TI stock will be determined by the method or procedure established by the Compensation Committee. The closing price for TI common stock on February 18, 2014, was $44.01.</w:t>
      </w:r>
    </w:p>
    <w:p>
      <w:pPr>
        <w:spacing w:after="0" w:line="3"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The expiration date of the options will be determined for each offering by the Compensation Committee but will not be later than 27 months from the date of grant of the option.</w:t>
      </w:r>
    </w:p>
    <w:p>
      <w:pPr>
        <w:spacing w:after="0" w:line="1" w:lineRule="exact"/>
        <w:rPr>
          <w:sz w:val="20"/>
          <w:szCs w:val="20"/>
          <w:color w:val="auto"/>
        </w:rPr>
      </w:pPr>
    </w:p>
    <w:p>
      <w:pPr>
        <w:ind w:right="60" w:firstLine="226"/>
        <w:spacing w:after="0" w:line="244" w:lineRule="auto"/>
        <w:rPr>
          <w:sz w:val="20"/>
          <w:szCs w:val="20"/>
          <w:color w:val="auto"/>
        </w:rPr>
      </w:pPr>
      <w:r>
        <w:rPr>
          <w:rFonts w:ascii="Arial" w:cs="Arial" w:eastAsia="Arial" w:hAnsi="Arial"/>
          <w:sz w:val="16"/>
          <w:szCs w:val="16"/>
          <w:color w:val="auto"/>
        </w:rPr>
        <w:t>The term of an option will consist of an Enrollment Period, a Payroll Deduction Period and an Exercise Day. The beginning and ending dates of each Enrollment Period and Payroll Deduction Period and the date of each Exercise Day will be determined by the Compensation Committee. The employee may elect to be automatically re-enrolled in subsequent offerings. The employee’s election to participate in the offering will indicate the dollar amount of shares for which the employee wishes to participate and, unless prohibited by local law, will authorize payroll deductions to be made over the Payroll Deduction Period. If local law prohibits payroll deductions, the Compensation Committee may determine an alternative method of payment. During the Payroll Deduction Period, the Compensation Committee may allow participants to cancel or reduce (or both) their payment authorizations. After completion of the Payroll Deduction Period, the option will be automatically exercised on the Exercise Day and shares will be purchased with the amount in the employee’s account.</w:t>
      </w:r>
    </w:p>
    <w:p>
      <w:pPr>
        <w:spacing w:after="0" w:line="3" w:lineRule="exact"/>
        <w:rPr>
          <w:sz w:val="20"/>
          <w:szCs w:val="20"/>
          <w:color w:val="auto"/>
        </w:rPr>
      </w:pPr>
    </w:p>
    <w:p>
      <w:pPr>
        <w:ind w:firstLine="226"/>
        <w:spacing w:after="0" w:line="244" w:lineRule="auto"/>
        <w:rPr>
          <w:sz w:val="20"/>
          <w:szCs w:val="20"/>
          <w:color w:val="auto"/>
        </w:rPr>
      </w:pPr>
      <w:r>
        <w:rPr>
          <w:rFonts w:ascii="Arial" w:cs="Arial" w:eastAsia="Arial" w:hAnsi="Arial"/>
          <w:sz w:val="16"/>
          <w:szCs w:val="16"/>
          <w:color w:val="auto"/>
        </w:rPr>
        <w:t>Under the 2005 ESPP, options are currently granted in four sets of offerings each year on the first day that the NASDAQ Stock Market is open for trading in December, March, June and September. The Payroll Deduction Period consists of three calendar months beginning on the first day of the calendar month following the grant date. The Exercise Day is the first day on which the NASDAQ Stock Market is open for trading after the end of the Payroll Deduction Period. The board of directors anticipates that offerings under the 2014 ESPP will operate in a similar manner.</w:t>
      </w:r>
    </w:p>
    <w:p>
      <w:pPr>
        <w:spacing w:after="0" w:line="2" w:lineRule="exact"/>
        <w:rPr>
          <w:sz w:val="20"/>
          <w:szCs w:val="20"/>
          <w:color w:val="auto"/>
        </w:rPr>
      </w:pPr>
    </w:p>
    <w:p>
      <w:pPr>
        <w:jc w:val="both"/>
        <w:ind w:right="60" w:firstLine="226"/>
        <w:spacing w:after="0" w:line="251" w:lineRule="auto"/>
        <w:rPr>
          <w:sz w:val="20"/>
          <w:szCs w:val="20"/>
          <w:color w:val="auto"/>
        </w:rPr>
      </w:pPr>
      <w:r>
        <w:rPr>
          <w:rFonts w:ascii="Arial" w:cs="Arial" w:eastAsia="Arial" w:hAnsi="Arial"/>
          <w:sz w:val="16"/>
          <w:szCs w:val="16"/>
          <w:color w:val="auto"/>
        </w:rPr>
        <w:t>An employee will not be granted an option under the 2014 ESPP if the employee, immediately after the option is granted, owns stock having 5% or more of the total combined voting power or value of all classes of stock of the company. No employee will be granted an option under the 2014 ESPP that permits the employee to accrue rights to purchase stock under all employee stock purchase plans of the company at a rate that exceeds $25,000 (or such other maximum as may be prescribed from time to time under the Code) of the fair market value of such stock (determined at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Transfer</w:t>
      </w:r>
    </w:p>
    <w:p>
      <w:pPr>
        <w:spacing w:after="0" w:line="2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An option granted under the 2014 ESPP may not be transferred except by will or the laws of descent and distribution and, during the lifetime of the employee to whom granted, may be exercised only for the benefit of the employee.</w:t>
      </w:r>
    </w:p>
    <w:p>
      <w:pPr>
        <w:spacing w:after="0" w:line="188"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auto"/>
        </w:rPr>
        <w:t>Authorized shares and adjustments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No more than 40,000,000 shares of TI common stock may be sold pursuant to the 2014 ESPP, subject to adjustments as described below.</w:t>
      </w:r>
    </w:p>
    <w:p>
      <w:pPr>
        <w:spacing w:after="0" w:line="4"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If the Compensation Committee determines that an adjustment is appropriate by reason of any dividend or other distribution, recapitalization, stock split, or other similar corporate transaction or event (as more fully described in the 2014 ESPP under the heading “Adjustments”), it will adjust any or all of (1) the number and type of shares that may be made subject to options, (2) the number and type of shares subject to outstanding options, and (3) the grant, purchase or exercise price with respect to any option.</w:t>
      </w:r>
    </w:p>
    <w:p>
      <w:pPr>
        <w:spacing w:after="0" w:line="2" w:lineRule="exact"/>
        <w:rPr>
          <w:sz w:val="20"/>
          <w:szCs w:val="20"/>
          <w:color w:val="auto"/>
        </w:rPr>
      </w:pPr>
    </w:p>
    <w:p>
      <w:pPr>
        <w:ind w:right="320" w:firstLine="226"/>
        <w:spacing w:after="0" w:line="264" w:lineRule="auto"/>
        <w:rPr>
          <w:sz w:val="20"/>
          <w:szCs w:val="20"/>
          <w:color w:val="auto"/>
        </w:rPr>
      </w:pPr>
      <w:r>
        <w:rPr>
          <w:rFonts w:ascii="Arial" w:cs="Arial" w:eastAsia="Arial" w:hAnsi="Arial"/>
          <w:sz w:val="16"/>
          <w:szCs w:val="16"/>
          <w:color w:val="auto"/>
        </w:rPr>
        <w:t>Either authorized and unissued shares or treasury shares may be made subject to options under the 2014 ESPP. Any shares not purchased prior to the termination of an option may be again subjected to an option under the 2014 ESPP.</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Administration</w:t>
      </w:r>
    </w:p>
    <w:p>
      <w:pPr>
        <w:spacing w:after="0" w:line="2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The 2014 ESPP will be administered by the Compensation Committee. The Compensation Committee will have full power and authority to construe, interpret and administer the 2014 ESPP. The Compensation Committee may delegate such power, authority and rights with respect to the administration of the 2014 ESPP (including, without limitation, the designation of subsidiaries whose employees may participate in offerings and the exclusion of employees from specified offerings, in each case to the extent permitted by Section 423 of the Code) as it deems appropriate to one or more members of the management of TI; provided, however, that any delegation to management will conform with the requirements of applicable law and stock exchange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Amendment, sub-plans and termination</w:t>
      </w:r>
    </w:p>
    <w:p>
      <w:pPr>
        <w:spacing w:after="0" w:line="24"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Compensation Committee may, at any time and from time to time, alter, amend, suspend or terminate the 2014 ESPP. The Compensation Committee may also recommend to the board revisions of the 2014 ESPP. However, unless the stockholders of TI have first approved thereof, (1) the total number of shares for which options may be exercised under the 2014 ESPP will not be increased or decreased, except as described above in “Authorized shares and adjustments,” and (2) no amendment may be made that allows an option price for offerings under the 2014 ESPP to be less than 85% of the fair market value of the common stock of TI on the date of grant of the options or, if lower, 85% of the fair market value of the common stock of TI on the date on which an option is exercised.</w:t>
      </w:r>
    </w:p>
    <w:p>
      <w:pPr>
        <w:spacing w:after="0" w:line="186" w:lineRule="exact"/>
        <w:rPr>
          <w:sz w:val="20"/>
          <w:szCs w:val="20"/>
          <w:color w:val="auto"/>
        </w:rPr>
      </w:pPr>
    </w:p>
    <w:p>
      <w:pPr>
        <w:jc w:val="both"/>
        <w:ind w:right="80" w:firstLine="226"/>
        <w:spacing w:after="0" w:line="244" w:lineRule="auto"/>
        <w:rPr>
          <w:sz w:val="20"/>
          <w:szCs w:val="20"/>
          <w:color w:val="auto"/>
        </w:rPr>
      </w:pPr>
      <w:r>
        <w:rPr>
          <w:rFonts w:ascii="Arial" w:cs="Arial" w:eastAsia="Arial" w:hAnsi="Arial"/>
          <w:sz w:val="16"/>
          <w:szCs w:val="16"/>
          <w:color w:val="auto"/>
        </w:rPr>
        <w:t>The Compensation Committee may also adopt and amend stock purchase sub-plans for employees of subsidiaries with such provisions as are appropriate to conform with local laws, practices and procedures. All such sub-plans will be subject to the limitations on the amount of stock that may be issued under the 2014 ESPP.</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 offering may be made under the 2014 ESPP after April 17, 2024.</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benefits and participation</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Each executive officer of the company qualifies for participation under the 2014 ESPP and may be eligible to annually purchase up to $25,000 worth of the company’s stock at a discount below the market price. However, participation in the 2014 ESPP is voluntary and dependent upon the executive officer’s election to participate, and the benefit of participating will depend on the terms of the offerings (if any) and fair market value of the stock on the Exercise Day. Accordingly, future benefits that would be received by the executive officers and other eligible employees under the proposed 2014 ESPP are not determinable at this time. The table below sets forth the shares purchased by the named executive officers and other employees under the 2005 ESPP during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Pr>
          <w:p>
            <w:pPr>
              <w:spacing w:after="0"/>
              <w:rPr>
                <w:sz w:val="20"/>
                <w:szCs w:val="20"/>
                <w:color w:val="auto"/>
              </w:rPr>
            </w:pPr>
            <w:r>
              <w:rPr>
                <w:rFonts w:ascii="Arial" w:cs="Arial" w:eastAsia="Arial" w:hAnsi="Arial"/>
                <w:sz w:val="13"/>
                <w:szCs w:val="13"/>
                <w:b w:val="1"/>
                <w:bCs w:val="1"/>
                <w:color w:val="auto"/>
              </w:rPr>
              <w:t>Name and Position</w:t>
            </w:r>
          </w:p>
        </w:tc>
        <w:tc>
          <w:tcPr>
            <w:tcW w:w="4080" w:type="dxa"/>
            <w:vAlign w:val="bottom"/>
          </w:tcPr>
          <w:p>
            <w:pPr>
              <w:jc w:val="right"/>
              <w:spacing w:after="0"/>
              <w:rPr>
                <w:sz w:val="20"/>
                <w:szCs w:val="20"/>
                <w:color w:val="auto"/>
              </w:rPr>
            </w:pPr>
            <w:r>
              <w:rPr>
                <w:rFonts w:ascii="Arial" w:cs="Arial" w:eastAsia="Arial" w:hAnsi="Arial"/>
                <w:sz w:val="13"/>
                <w:szCs w:val="13"/>
                <w:b w:val="1"/>
                <w:bCs w:val="1"/>
                <w:color w:val="auto"/>
              </w:rPr>
              <w:t>Shares Purchased (#)</w:t>
            </w:r>
          </w:p>
        </w:tc>
      </w:tr>
      <w:tr>
        <w:trPr>
          <w:trHeight w:val="29"/>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8"/>
        </w:trPr>
        <w:tc>
          <w:tcPr>
            <w:tcW w:w="7340" w:type="dxa"/>
            <w:vAlign w:val="bottom"/>
            <w:shd w:val="clear" w:color="auto" w:fill="E9E9E9"/>
          </w:tcPr>
          <w:p>
            <w:pPr>
              <w:spacing w:after="0"/>
              <w:rPr>
                <w:sz w:val="20"/>
                <w:szCs w:val="20"/>
                <w:color w:val="auto"/>
              </w:rPr>
            </w:pPr>
            <w:r>
              <w:rPr>
                <w:rFonts w:ascii="Arial" w:cs="Arial" w:eastAsia="Arial" w:hAnsi="Arial"/>
                <w:sz w:val="16"/>
                <w:szCs w:val="16"/>
                <w:color w:val="auto"/>
              </w:rPr>
              <w:t>R. K. Templeton, Chairman, President &amp; Chief Executive Officer</w:t>
            </w:r>
          </w:p>
        </w:tc>
        <w:tc>
          <w:tcPr>
            <w:tcW w:w="408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703</w:t>
            </w:r>
          </w:p>
        </w:tc>
      </w:tr>
      <w:tr>
        <w:trPr>
          <w:trHeight w:val="219"/>
        </w:trPr>
        <w:tc>
          <w:tcPr>
            <w:tcW w:w="7340" w:type="dxa"/>
            <w:vAlign w:val="bottom"/>
          </w:tcPr>
          <w:p>
            <w:pPr>
              <w:spacing w:after="0"/>
              <w:rPr>
                <w:sz w:val="20"/>
                <w:szCs w:val="20"/>
                <w:color w:val="auto"/>
              </w:rPr>
            </w:pPr>
            <w:r>
              <w:rPr>
                <w:rFonts w:ascii="Arial" w:cs="Arial" w:eastAsia="Arial" w:hAnsi="Arial"/>
                <w:sz w:val="16"/>
                <w:szCs w:val="16"/>
                <w:color w:val="auto"/>
              </w:rPr>
              <w:t>K. P. March, Senior Vice President &amp; Chief Financial Officer</w:t>
            </w:r>
          </w:p>
        </w:tc>
        <w:tc>
          <w:tcPr>
            <w:tcW w:w="4080" w:type="dxa"/>
            <w:vAlign w:val="bottom"/>
          </w:tcPr>
          <w:p>
            <w:pPr>
              <w:jc w:val="right"/>
              <w:ind w:right="161"/>
              <w:spacing w:after="0"/>
              <w:rPr>
                <w:sz w:val="20"/>
                <w:szCs w:val="20"/>
                <w:color w:val="auto"/>
              </w:rPr>
            </w:pPr>
            <w:r>
              <w:rPr>
                <w:rFonts w:ascii="Arial" w:cs="Arial" w:eastAsia="Arial" w:hAnsi="Arial"/>
                <w:sz w:val="16"/>
                <w:szCs w:val="16"/>
                <w:color w:val="auto"/>
              </w:rPr>
              <w:t>703</w:t>
            </w:r>
          </w:p>
        </w:tc>
      </w:tr>
      <w:tr>
        <w:trPr>
          <w:trHeight w:val="231"/>
        </w:trPr>
        <w:tc>
          <w:tcPr>
            <w:tcW w:w="7340" w:type="dxa"/>
            <w:vAlign w:val="bottom"/>
            <w:shd w:val="clear" w:color="auto" w:fill="E9E9E9"/>
          </w:tcPr>
          <w:p>
            <w:pPr>
              <w:spacing w:after="0"/>
              <w:rPr>
                <w:sz w:val="20"/>
                <w:szCs w:val="20"/>
                <w:color w:val="auto"/>
              </w:rPr>
            </w:pPr>
            <w:r>
              <w:rPr>
                <w:rFonts w:ascii="Arial" w:cs="Arial" w:eastAsia="Arial" w:hAnsi="Arial"/>
                <w:sz w:val="16"/>
                <w:szCs w:val="16"/>
                <w:color w:val="auto"/>
              </w:rPr>
              <w:t>B. T. Crutcher, Senior Vice President</w:t>
            </w:r>
          </w:p>
        </w:tc>
        <w:tc>
          <w:tcPr>
            <w:tcW w:w="408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703</w:t>
            </w:r>
          </w:p>
        </w:tc>
      </w:tr>
      <w:tr>
        <w:trPr>
          <w:trHeight w:val="219"/>
        </w:trPr>
        <w:tc>
          <w:tcPr>
            <w:tcW w:w="7340" w:type="dxa"/>
            <w:vAlign w:val="bottom"/>
          </w:tcPr>
          <w:p>
            <w:pPr>
              <w:spacing w:after="0"/>
              <w:rPr>
                <w:sz w:val="20"/>
                <w:szCs w:val="20"/>
                <w:color w:val="auto"/>
              </w:rPr>
            </w:pPr>
            <w:r>
              <w:rPr>
                <w:rFonts w:ascii="Arial" w:cs="Arial" w:eastAsia="Arial" w:hAnsi="Arial"/>
                <w:sz w:val="16"/>
                <w:szCs w:val="16"/>
                <w:color w:val="auto"/>
              </w:rPr>
              <w:t>K. J. Ritchie, Senior Vice President</w:t>
            </w:r>
          </w:p>
        </w:tc>
        <w:tc>
          <w:tcPr>
            <w:tcW w:w="4080" w:type="dxa"/>
            <w:vAlign w:val="bottom"/>
          </w:tcPr>
          <w:p>
            <w:pPr>
              <w:jc w:val="right"/>
              <w:ind w:right="161"/>
              <w:spacing w:after="0"/>
              <w:rPr>
                <w:sz w:val="20"/>
                <w:szCs w:val="20"/>
                <w:color w:val="auto"/>
              </w:rPr>
            </w:pPr>
            <w:r>
              <w:rPr>
                <w:rFonts w:ascii="Arial" w:cs="Arial" w:eastAsia="Arial" w:hAnsi="Arial"/>
                <w:sz w:val="16"/>
                <w:szCs w:val="16"/>
                <w:color w:val="auto"/>
              </w:rPr>
              <w:t>—</w:t>
            </w:r>
          </w:p>
        </w:tc>
      </w:tr>
      <w:tr>
        <w:trPr>
          <w:trHeight w:val="231"/>
        </w:trPr>
        <w:tc>
          <w:tcPr>
            <w:tcW w:w="7340" w:type="dxa"/>
            <w:vAlign w:val="bottom"/>
            <w:shd w:val="clear" w:color="auto" w:fill="E9E9E9"/>
          </w:tcPr>
          <w:p>
            <w:pPr>
              <w:spacing w:after="0"/>
              <w:rPr>
                <w:sz w:val="20"/>
                <w:szCs w:val="20"/>
                <w:color w:val="auto"/>
              </w:rPr>
            </w:pPr>
            <w:r>
              <w:rPr>
                <w:rFonts w:ascii="Arial" w:cs="Arial" w:eastAsia="Arial" w:hAnsi="Arial"/>
                <w:sz w:val="16"/>
                <w:szCs w:val="16"/>
                <w:color w:val="auto"/>
              </w:rPr>
              <w:t>R. G. Delagi, Senior Vice President</w:t>
            </w:r>
          </w:p>
        </w:tc>
        <w:tc>
          <w:tcPr>
            <w:tcW w:w="408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396</w:t>
            </w:r>
          </w:p>
        </w:tc>
      </w:tr>
      <w:tr>
        <w:trPr>
          <w:trHeight w:val="219"/>
        </w:trPr>
        <w:tc>
          <w:tcPr>
            <w:tcW w:w="7340" w:type="dxa"/>
            <w:vAlign w:val="bottom"/>
          </w:tcPr>
          <w:p>
            <w:pPr>
              <w:spacing w:after="0"/>
              <w:rPr>
                <w:sz w:val="20"/>
                <w:szCs w:val="20"/>
                <w:color w:val="auto"/>
              </w:rPr>
            </w:pPr>
            <w:r>
              <w:rPr>
                <w:rFonts w:ascii="Arial" w:cs="Arial" w:eastAsia="Arial" w:hAnsi="Arial"/>
                <w:sz w:val="16"/>
                <w:szCs w:val="16"/>
                <w:color w:val="auto"/>
              </w:rPr>
              <w:t>Executive Group</w:t>
            </w:r>
          </w:p>
        </w:tc>
        <w:tc>
          <w:tcPr>
            <w:tcW w:w="4080" w:type="dxa"/>
            <w:vAlign w:val="bottom"/>
          </w:tcPr>
          <w:p>
            <w:pPr>
              <w:jc w:val="right"/>
              <w:ind w:right="161"/>
              <w:spacing w:after="0"/>
              <w:rPr>
                <w:sz w:val="20"/>
                <w:szCs w:val="20"/>
                <w:color w:val="auto"/>
              </w:rPr>
            </w:pPr>
            <w:r>
              <w:rPr>
                <w:rFonts w:ascii="Arial" w:cs="Arial" w:eastAsia="Arial" w:hAnsi="Arial"/>
                <w:sz w:val="16"/>
                <w:szCs w:val="16"/>
                <w:color w:val="auto"/>
              </w:rPr>
              <w:t>27,198</w:t>
            </w:r>
          </w:p>
        </w:tc>
      </w:tr>
      <w:tr>
        <w:trPr>
          <w:trHeight w:val="231"/>
        </w:trPr>
        <w:tc>
          <w:tcPr>
            <w:tcW w:w="7340" w:type="dxa"/>
            <w:vAlign w:val="bottom"/>
            <w:shd w:val="clear" w:color="auto" w:fill="E9E9E9"/>
          </w:tcPr>
          <w:p>
            <w:pPr>
              <w:spacing w:after="0"/>
              <w:rPr>
                <w:sz w:val="20"/>
                <w:szCs w:val="20"/>
                <w:color w:val="auto"/>
              </w:rPr>
            </w:pPr>
            <w:r>
              <w:rPr>
                <w:rFonts w:ascii="Arial" w:cs="Arial" w:eastAsia="Arial" w:hAnsi="Arial"/>
                <w:sz w:val="16"/>
                <w:szCs w:val="16"/>
                <w:color w:val="auto"/>
              </w:rPr>
              <w:t>Non-Executive Director Group</w:t>
            </w:r>
          </w:p>
        </w:tc>
        <w:tc>
          <w:tcPr>
            <w:tcW w:w="4080" w:type="dxa"/>
            <w:vAlign w:val="bottom"/>
            <w:shd w:val="clear" w:color="auto" w:fill="E9E9E9"/>
          </w:tcPr>
          <w:p>
            <w:pPr>
              <w:jc w:val="right"/>
              <w:ind w:right="161"/>
              <w:spacing w:after="0"/>
              <w:rPr>
                <w:sz w:val="20"/>
                <w:szCs w:val="20"/>
                <w:color w:val="auto"/>
              </w:rPr>
            </w:pPr>
            <w:r>
              <w:rPr>
                <w:rFonts w:ascii="Arial" w:cs="Arial" w:eastAsia="Arial" w:hAnsi="Arial"/>
                <w:sz w:val="16"/>
                <w:szCs w:val="16"/>
                <w:color w:val="auto"/>
              </w:rPr>
              <w:t>N/A</w:t>
            </w:r>
          </w:p>
        </w:tc>
      </w:tr>
      <w:tr>
        <w:trPr>
          <w:trHeight w:val="219"/>
        </w:trPr>
        <w:tc>
          <w:tcPr>
            <w:tcW w:w="7340" w:type="dxa"/>
            <w:vAlign w:val="bottom"/>
          </w:tcPr>
          <w:p>
            <w:pPr>
              <w:spacing w:after="0"/>
              <w:rPr>
                <w:sz w:val="20"/>
                <w:szCs w:val="20"/>
                <w:color w:val="auto"/>
              </w:rPr>
            </w:pPr>
            <w:r>
              <w:rPr>
                <w:rFonts w:ascii="Arial" w:cs="Arial" w:eastAsia="Arial" w:hAnsi="Arial"/>
                <w:sz w:val="16"/>
                <w:szCs w:val="16"/>
                <w:color w:val="auto"/>
              </w:rPr>
              <w:t>Non-Executive Officer Employee Group</w:t>
            </w:r>
          </w:p>
        </w:tc>
        <w:tc>
          <w:tcPr>
            <w:tcW w:w="4080" w:type="dxa"/>
            <w:vAlign w:val="bottom"/>
          </w:tcPr>
          <w:p>
            <w:pPr>
              <w:jc w:val="right"/>
              <w:ind w:right="161"/>
              <w:spacing w:after="0"/>
              <w:rPr>
                <w:sz w:val="20"/>
                <w:szCs w:val="20"/>
                <w:color w:val="auto"/>
              </w:rPr>
            </w:pPr>
            <w:r>
              <w:rPr>
                <w:rFonts w:ascii="Arial" w:cs="Arial" w:eastAsia="Arial" w:hAnsi="Arial"/>
                <w:sz w:val="16"/>
                <w:szCs w:val="16"/>
                <w:color w:val="auto"/>
              </w:rPr>
              <w:t>2,357,131</w:t>
            </w:r>
          </w:p>
        </w:tc>
      </w:tr>
    </w:tbl>
    <w:p>
      <w:pPr>
        <w:spacing w:after="0" w:line="200" w:lineRule="exact"/>
        <w:rPr>
          <w:sz w:val="20"/>
          <w:szCs w:val="20"/>
          <w:color w:val="auto"/>
        </w:rPr>
      </w:pPr>
    </w:p>
    <w:p>
      <w:pPr>
        <w:spacing w:after="0" w:line="21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As of December 31, 2013, 20,172,113 shares have been purchased under the 2005 ESPP; 22,265,577 shares remained available for future grants; 485,408 shares were subject to outstanding options and approximately 32,600 employees were eligible to participate in the 2005 ESPP.</w:t>
      </w:r>
    </w:p>
    <w:p>
      <w:pPr>
        <w:spacing w:after="0" w:line="168"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96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U.S. federal tax consequences</w:t>
      </w:r>
    </w:p>
    <w:p>
      <w:pPr>
        <w:spacing w:after="0" w:line="206" w:lineRule="exact"/>
        <w:rPr>
          <w:sz w:val="20"/>
          <w:szCs w:val="20"/>
          <w:color w:val="auto"/>
        </w:rPr>
      </w:pPr>
    </w:p>
    <w:p>
      <w:pPr>
        <w:ind w:right="740"/>
        <w:spacing w:after="0" w:line="257" w:lineRule="auto"/>
        <w:rPr>
          <w:sz w:val="20"/>
          <w:szCs w:val="20"/>
          <w:color w:val="auto"/>
        </w:rPr>
      </w:pPr>
      <w:r>
        <w:rPr>
          <w:rFonts w:ascii="Arial" w:cs="Arial" w:eastAsia="Arial" w:hAnsi="Arial"/>
          <w:sz w:val="16"/>
          <w:szCs w:val="16"/>
          <w:color w:val="auto"/>
        </w:rPr>
        <w:t>The following summary is limited to the U.S. federal tax laws. It does not include the tax laws of any municipality, state or foreign country in which the participant resides.</w:t>
      </w:r>
    </w:p>
    <w:p>
      <w:pPr>
        <w:spacing w:after="0" w:line="1" w:lineRule="exact"/>
        <w:rPr>
          <w:sz w:val="20"/>
          <w:szCs w:val="20"/>
          <w:color w:val="auto"/>
        </w:rPr>
      </w:pPr>
    </w:p>
    <w:p>
      <w:pPr>
        <w:ind w:right="220" w:firstLine="223"/>
        <w:spacing w:after="0" w:line="244" w:lineRule="auto"/>
        <w:rPr>
          <w:sz w:val="20"/>
          <w:szCs w:val="20"/>
          <w:color w:val="auto"/>
        </w:rPr>
      </w:pPr>
      <w:r>
        <w:rPr>
          <w:rFonts w:ascii="Arial" w:cs="Arial" w:eastAsia="Arial" w:hAnsi="Arial"/>
          <w:sz w:val="16"/>
          <w:szCs w:val="16"/>
          <w:color w:val="auto"/>
        </w:rPr>
        <w:t>The 2014 ESPP is intended to qualify as an “employee stock purchase plan” under Section 423 of the Code. However, TI does not undertake to maintain such status throughout the term of the 2014 ESPP.</w:t>
      </w:r>
    </w:p>
    <w:p>
      <w:pPr>
        <w:spacing w:after="0" w:line="1" w:lineRule="exact"/>
        <w:rPr>
          <w:sz w:val="20"/>
          <w:szCs w:val="20"/>
          <w:color w:val="auto"/>
        </w:rPr>
      </w:pPr>
    </w:p>
    <w:p>
      <w:pPr>
        <w:jc w:val="both"/>
        <w:ind w:right="20" w:firstLine="226"/>
        <w:spacing w:after="0" w:line="244" w:lineRule="auto"/>
        <w:rPr>
          <w:sz w:val="20"/>
          <w:szCs w:val="20"/>
          <w:color w:val="auto"/>
        </w:rPr>
      </w:pPr>
      <w:r>
        <w:rPr>
          <w:rFonts w:ascii="Arial" w:cs="Arial" w:eastAsia="Arial" w:hAnsi="Arial"/>
          <w:sz w:val="16"/>
          <w:szCs w:val="16"/>
          <w:color w:val="auto"/>
        </w:rPr>
        <w:t>In accordance with SEC rules, the following description of tax matters relating to the 2014 ESPP is provided. In general, a participant has no taxable event at the time of grant of an option or at the time of exercise of an option, but will realize taxable income at the time the participant sells the shares acquired under the 2014 ESPP.</w:t>
      </w:r>
    </w:p>
    <w:p>
      <w:pPr>
        <w:spacing w:after="0" w:line="1"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If the participant observes certain holding period requirements, the participant’s gain on sale will generally be taxed at capital gains rates, except that in certain circumstances a portion of the participant’s gain will be treated as ordinary income. Those circumstances will generally occur if the exercise price of the shares is established as a percentage less than 100% of the fair market value of the shares at the beginning of the offering period, or if at the beginning of the period it is unknown what the exercise price will be, for example, if the exercise price can be determined only on the Exercise Day. The participant’s ordinary income will not be greater than the excess, if any, of the fair market value of the shares at the time of grant over the exercise price (or, if lower, the actual proceeds of sale over the actual purchase price of the shares). If the exercise price is a function of the value of the shares on the Exercise Day, the exercise price will be determined as if the option was exercised at the time of grant for purposes of calculating this limit. If the participant sells the shares only after satisfying the holding period requirements, the company will not be entitled to a deduction.</w:t>
      </w:r>
    </w:p>
    <w:p>
      <w:pPr>
        <w:spacing w:after="0" w:line="4" w:lineRule="exact"/>
        <w:rPr>
          <w:sz w:val="20"/>
          <w:szCs w:val="20"/>
          <w:color w:val="auto"/>
        </w:rPr>
      </w:pPr>
    </w:p>
    <w:p>
      <w:pPr>
        <w:ind w:right="220" w:firstLine="226"/>
        <w:spacing w:after="0" w:line="254" w:lineRule="auto"/>
        <w:rPr>
          <w:sz w:val="20"/>
          <w:szCs w:val="20"/>
          <w:color w:val="auto"/>
        </w:rPr>
      </w:pPr>
      <w:r>
        <w:rPr>
          <w:rFonts w:ascii="Arial" w:cs="Arial" w:eastAsia="Arial" w:hAnsi="Arial"/>
          <w:sz w:val="16"/>
          <w:szCs w:val="16"/>
          <w:color w:val="auto"/>
        </w:rPr>
        <w:t>If the participant sells the shares before satisfying the holding period requirements, then the participant will realize ordinary income in an amount equal to the difference between the exercise price and the fair market value of the stock on the Exercise Day. The company will be entitled to a corresponding deduction. The remainder of the proceeds of sale will be taxed at capital gains rates.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The board of directors recommends a vote “FOR” the TI Employees 2014 Stock Purchase Plan.</w:t>
      </w:r>
    </w:p>
    <w:p>
      <w:pPr>
        <w:spacing w:after="0" w:line="204" w:lineRule="exact"/>
        <w:rPr>
          <w:sz w:val="20"/>
          <w:szCs w:val="20"/>
          <w:color w:val="auto"/>
        </w:rPr>
      </w:pPr>
    </w:p>
    <w:p>
      <w:pPr>
        <w:ind w:right="500"/>
        <w:spacing w:after="0" w:line="303" w:lineRule="auto"/>
        <w:rPr>
          <w:sz w:val="20"/>
          <w:szCs w:val="20"/>
          <w:color w:val="auto"/>
        </w:rPr>
      </w:pPr>
      <w:r>
        <w:rPr>
          <w:rFonts w:ascii="Arial" w:cs="Arial" w:eastAsia="Arial" w:hAnsi="Arial"/>
          <w:sz w:val="16"/>
          <w:szCs w:val="16"/>
          <w:b w:val="1"/>
          <w:bCs w:val="1"/>
          <w:color w:val="auto"/>
        </w:rPr>
        <w:t>PROPOSAL TO REAPPROVE THE MATERIAL TERMS OF THE PERFORMANCE GOALS UNDER THE TEXAS INSTRUMENTS 2009 LONG-TERM INCENTIVE PLAN</w:t>
      </w:r>
    </w:p>
    <w:p>
      <w:pPr>
        <w:spacing w:after="0" w:line="11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board asks stockholders to reapprove the material terms of performance goals that may apply to awards under the Texas Instruments 2009 Long-Term Incentive Plan (the “2009 Plan”). Reapproval of the material terms of the performance goals is sought with the intent of satisfying a requirement for tax deductibility under Section 162(m) of the Internal Revenue Code (“Section 162(m)”).</w:t>
      </w:r>
    </w:p>
    <w:p>
      <w:pPr>
        <w:spacing w:after="0" w:line="1" w:lineRule="exact"/>
        <w:rPr>
          <w:sz w:val="20"/>
          <w:szCs w:val="20"/>
          <w:color w:val="auto"/>
        </w:rPr>
      </w:pPr>
    </w:p>
    <w:p>
      <w:pPr>
        <w:ind w:right="40" w:firstLine="226"/>
        <w:spacing w:after="0" w:line="244" w:lineRule="auto"/>
        <w:rPr>
          <w:sz w:val="20"/>
          <w:szCs w:val="20"/>
          <w:color w:val="auto"/>
        </w:rPr>
      </w:pPr>
      <w:r>
        <w:rPr>
          <w:rFonts w:ascii="Arial" w:cs="Arial" w:eastAsia="Arial" w:hAnsi="Arial"/>
          <w:sz w:val="16"/>
          <w:szCs w:val="16"/>
          <w:color w:val="auto"/>
        </w:rPr>
        <w:t>Section 162(m) imposes an annual limit of $1 million on the amount that a public company may deduct for federal income tax purposes for compensation it has paid to its chief executive officer or to any of its other three most highly compensated executive officers (other than the chief financial officer). The tax deduction limit does not apply to “qualified performance-based compensation” under Section 162(m). Restricted stock units and certain other types of awards may be considered qualified performance-based compensation if, among other things, they are subject to performance goals, the material terms of which have been approved by stockholders not less than five years before the grant date of such restricted stock units or awards. For purposes of Section 162(m), the material terms of the performance goals under the 2009 Plan include: (1) the employees eligible to receive compensation; (2) a description of the business criteria on which the performance goals are based; and (3) the maximum amount of compensation that could be paid to any employee under the 2009 Plan if the performance goals are satisfied.</w:t>
      </w:r>
    </w:p>
    <w:p>
      <w:pPr>
        <w:spacing w:after="0" w:line="4" w:lineRule="exact"/>
        <w:rPr>
          <w:sz w:val="20"/>
          <w:szCs w:val="20"/>
          <w:color w:val="auto"/>
        </w:rPr>
      </w:pPr>
    </w:p>
    <w:p>
      <w:pPr>
        <w:ind w:right="40" w:firstLine="226"/>
        <w:spacing w:after="0" w:line="246" w:lineRule="auto"/>
        <w:rPr>
          <w:sz w:val="20"/>
          <w:szCs w:val="20"/>
          <w:color w:val="auto"/>
        </w:rPr>
      </w:pPr>
      <w:r>
        <w:rPr>
          <w:rFonts w:ascii="Arial" w:cs="Arial" w:eastAsia="Arial" w:hAnsi="Arial"/>
          <w:sz w:val="16"/>
          <w:szCs w:val="16"/>
          <w:color w:val="auto"/>
        </w:rPr>
        <w:t xml:space="preserve">Stockholders approved the 2009 Plan, including the material terms of the performance goals under the 2009 Plan, in April 2009. Because almost five years have passed since that approval, the board is submitting this proposal to stockholders for reapproval of the material terms of the performance goals set forth in the 2009 Plan for purposes of Section 162(m). </w:t>
      </w:r>
      <w:r>
        <w:rPr>
          <w:rFonts w:ascii="Arial" w:cs="Arial" w:eastAsia="Arial" w:hAnsi="Arial"/>
          <w:sz w:val="16"/>
          <w:szCs w:val="16"/>
          <w:b w:val="1"/>
          <w:bCs w:val="1"/>
          <w:color w:val="auto"/>
        </w:rPr>
        <w:t>This proposal does not seek to amend or alter the performance goals or any other terms of the 2009</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84" w:lineRule="exact"/>
        <w:rPr>
          <w:sz w:val="20"/>
          <w:szCs w:val="20"/>
          <w:color w:val="auto"/>
        </w:rPr>
      </w:pPr>
    </w:p>
    <w:p>
      <w:pPr>
        <w:ind w:right="20" w:firstLine="226"/>
        <w:spacing w:after="0" w:line="244" w:lineRule="auto"/>
        <w:rPr>
          <w:sz w:val="20"/>
          <w:szCs w:val="20"/>
          <w:color w:val="auto"/>
        </w:rPr>
      </w:pPr>
      <w:r>
        <w:rPr>
          <w:rFonts w:ascii="Arial" w:cs="Arial" w:eastAsia="Arial" w:hAnsi="Arial"/>
          <w:sz w:val="16"/>
          <w:szCs w:val="16"/>
          <w:color w:val="auto"/>
        </w:rPr>
        <w:t>If stockholders do not approve this proposal, the company will still be able to make awards under the 2009 Plan, but awards (other than stock options and stock appreciation rights) will be subject to the tax deduction limit under Section 162(m) even if they have been granted subject to the achievement of performance goals. (Stock options granted under the 2009 Plan are intended to be qualified performance-based compensation under Section 162(m) because, among other things, the stock options are granted with an exercise price of no less than the fair market value of TI’s stock on the grant date. The same would be true for stock appreciation rights, if TI were to grant them under the 2009 Plan.) In addition, even if this proposal is approved by stockholders, nothing in this proposal precludes the company from granting awards that are not intended to be qualified performance-based compensation under Section 162(m).</w:t>
      </w:r>
    </w:p>
    <w:p>
      <w:pPr>
        <w:spacing w:after="0" w:line="3" w:lineRule="exact"/>
        <w:rPr>
          <w:sz w:val="20"/>
          <w:szCs w:val="20"/>
          <w:color w:val="auto"/>
        </w:rPr>
      </w:pPr>
    </w:p>
    <w:p>
      <w:pPr>
        <w:jc w:val="both"/>
        <w:ind w:right="160" w:firstLine="226"/>
        <w:spacing w:after="0" w:line="244" w:lineRule="auto"/>
        <w:rPr>
          <w:sz w:val="20"/>
          <w:szCs w:val="20"/>
          <w:color w:val="auto"/>
        </w:rPr>
      </w:pPr>
      <w:r>
        <w:rPr>
          <w:rFonts w:ascii="Arial" w:cs="Arial" w:eastAsia="Arial" w:hAnsi="Arial"/>
          <w:sz w:val="16"/>
          <w:szCs w:val="16"/>
          <w:color w:val="auto"/>
        </w:rPr>
        <w:t>Stockholder approval of the material terms of the performance goals is only one of several requirements to be satisfied if compensation is to be qualified performance-based compensation under Section 162(m). This proposal should not be viewed as a guarantee that TI will be able to deduct for federal income tax purposes compensation that is intended to be performance-based compensation under Section 162(m).</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2009 Plan is attached as Exhibit B. The description below is qualified in its entirety by reference to the text of the 2009 Plan.</w:t>
      </w:r>
    </w:p>
    <w:p>
      <w:pPr>
        <w:spacing w:after="0" w:line="222"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Material terms of performance goals under the 2009 Plan</w:t>
      </w:r>
    </w:p>
    <w:p>
      <w:pPr>
        <w:spacing w:after="0" w:line="20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2009 Plan provides for the grant of the following types of awards: (1) stock options, (2) restricted stock and restricted stock units, (3) performance units and (4) other awards (including stock appreciation rights) valued in whole or in part by reference to or otherwise based on common stock of the company. Employees of the company and its subsidiaries and affiliates are eligible to receive awards under the 2009 Plan. The Compensation Committee of the company’s board of directors, which consists exclusively of “outside directors” within the meaning of Section 162(m), may grant awards under the 2009 Plan to eligible grantees in its discretion. We currently have approximately 32,000 employees, including 14 executive officers. Substitute awards may be made in case of acquisitions and business combinations. While the plan also provides that awards may be granted to independent contractors, no award has been granted under the 2009 Plan to an independent contractor of the company or any subsidiary or affiliate, and none will be granted in the future under the 2009 Plan. Directors who are not employees of the company are not eligible to receive awards under the 2009 Plan.</w:t>
      </w:r>
    </w:p>
    <w:p>
      <w:pPr>
        <w:spacing w:after="0" w:line="6" w:lineRule="exact"/>
        <w:rPr>
          <w:sz w:val="20"/>
          <w:szCs w:val="20"/>
          <w:color w:val="auto"/>
        </w:rPr>
      </w:pPr>
    </w:p>
    <w:p>
      <w:pPr>
        <w:ind w:right="60" w:firstLine="226"/>
        <w:spacing w:after="0" w:line="244" w:lineRule="auto"/>
        <w:rPr>
          <w:sz w:val="20"/>
          <w:szCs w:val="20"/>
          <w:color w:val="auto"/>
        </w:rPr>
      </w:pPr>
      <w:r>
        <w:rPr>
          <w:rFonts w:ascii="Arial" w:cs="Arial" w:eastAsia="Arial" w:hAnsi="Arial"/>
          <w:sz w:val="16"/>
          <w:szCs w:val="16"/>
          <w:color w:val="auto"/>
        </w:rPr>
        <w:t>Under the 2009 Plan, any award may, but need not, be subject to the satisfaction of one or more performance goals. Awards will be made subject to one or more performance goals if the Compensation Committee determines that such awards are in the best interest of the company and its stockholders.</w:t>
      </w:r>
    </w:p>
    <w:p>
      <w:pPr>
        <w:spacing w:after="0" w:line="1" w:lineRule="exact"/>
        <w:rPr>
          <w:sz w:val="20"/>
          <w:szCs w:val="20"/>
          <w:color w:val="auto"/>
        </w:rPr>
      </w:pPr>
    </w:p>
    <w:p>
      <w:pPr>
        <w:ind w:right="200" w:firstLine="226"/>
        <w:spacing w:after="0" w:line="244" w:lineRule="auto"/>
        <w:rPr>
          <w:sz w:val="20"/>
          <w:szCs w:val="20"/>
          <w:color w:val="auto"/>
        </w:rPr>
      </w:pPr>
      <w:r>
        <w:rPr>
          <w:rFonts w:ascii="Arial" w:cs="Arial" w:eastAsia="Arial" w:hAnsi="Arial"/>
          <w:sz w:val="16"/>
          <w:szCs w:val="16"/>
          <w:color w:val="auto"/>
        </w:rPr>
        <w:t>Awards (other than stock options and stock appreciation rights) intended to qualify as performance-based compensation under Section 162(m) will be granted subject to performance goals based on one or more of the following business criteria as applied, in the Compensation Committee’s discretion, on an absolute basis or relative to other companies: cash flow; cycle time; earnings before income taxes; earnings before income taxes, depreciation and amortization; earnings per share; free cash flow; gross profit; gross profit margin; manufacturing process yield; market share; net income; net revenue per employee; operating profit, return on assets; return on capital; return on common equity; return on invested capital; return on net assets; revenue growth; or total stockholder return.</w:t>
      </w:r>
    </w:p>
    <w:p>
      <w:pPr>
        <w:spacing w:after="0" w:line="3" w:lineRule="exact"/>
        <w:rPr>
          <w:sz w:val="20"/>
          <w:szCs w:val="20"/>
          <w:color w:val="auto"/>
        </w:rPr>
      </w:pPr>
    </w:p>
    <w:p>
      <w:pPr>
        <w:ind w:right="100" w:firstLine="226"/>
        <w:spacing w:after="0" w:line="252" w:lineRule="auto"/>
        <w:rPr>
          <w:sz w:val="20"/>
          <w:szCs w:val="20"/>
          <w:color w:val="auto"/>
        </w:rPr>
      </w:pPr>
      <w:r>
        <w:rPr>
          <w:rFonts w:ascii="Arial" w:cs="Arial" w:eastAsia="Arial" w:hAnsi="Arial"/>
          <w:sz w:val="16"/>
          <w:szCs w:val="16"/>
          <w:color w:val="auto"/>
        </w:rPr>
        <w:t>Under the 2009 Plan, no individual may receive stock options and stock appreciation rights, considered together, for more than 4,000,000 shares in any calendar year. In any calendar year, no individual may be granted awards under the 2009 Plan (other than stock options or stock appreciation rights) intended to qualify as performance-based compensation under Section 162(m) that exceed, in the aggregate, $5,000,000 or, if denominated in shares, 4,000,000 shares.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other features of the 2009 Plan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summary below is intended to provide context for the performance goals that stockholders are being asked to reapprove.</w:t>
      </w:r>
    </w:p>
    <w:p>
      <w:pPr>
        <w:spacing w:after="0" w:line="24" w:lineRule="exact"/>
        <w:rPr>
          <w:sz w:val="20"/>
          <w:szCs w:val="20"/>
          <w:color w:val="auto"/>
        </w:rPr>
      </w:pPr>
    </w:p>
    <w:p>
      <w:pPr>
        <w:ind w:right="20" w:firstLine="226"/>
        <w:spacing w:after="0" w:line="244" w:lineRule="auto"/>
        <w:rPr>
          <w:sz w:val="20"/>
          <w:szCs w:val="20"/>
          <w:color w:val="auto"/>
        </w:rPr>
      </w:pPr>
      <w:r>
        <w:rPr>
          <w:rFonts w:ascii="Arial" w:cs="Arial" w:eastAsia="Arial" w:hAnsi="Arial"/>
          <w:sz w:val="16"/>
          <w:szCs w:val="16"/>
          <w:color w:val="auto"/>
        </w:rPr>
        <w:t>Under the 2009 Plan, the number of shares of common stock authorized for issuance is 75,000,000 shares, plus shares subject to any award made under a previous long-term incentive plan that are not issued due to termination or cancellation of the award. The number of authorized shares may be adjusted in the case of a dividend or other distribution, recapitalization, stock split, or other corporate event or transaction (more fully described in Section 5(e) of the 2009 Plan). As of December 31, 2013, 58,519,758 shares remain available to be awarded, plus any additional shares underlying outstanding awards that may again become available for award pursuant to the terms of the 2009 Plan.</w:t>
      </w:r>
    </w:p>
    <w:p>
      <w:pPr>
        <w:spacing w:after="0" w:line="2" w:lineRule="exact"/>
        <w:rPr>
          <w:sz w:val="20"/>
          <w:szCs w:val="20"/>
          <w:color w:val="auto"/>
        </w:rPr>
      </w:pPr>
    </w:p>
    <w:p>
      <w:pPr>
        <w:ind w:right="380" w:firstLine="226"/>
        <w:spacing w:after="0" w:line="244" w:lineRule="auto"/>
        <w:rPr>
          <w:sz w:val="20"/>
          <w:szCs w:val="20"/>
          <w:color w:val="auto"/>
        </w:rPr>
      </w:pPr>
      <w:r>
        <w:rPr>
          <w:rFonts w:ascii="Arial" w:cs="Arial" w:eastAsia="Arial" w:hAnsi="Arial"/>
          <w:sz w:val="16"/>
          <w:szCs w:val="16"/>
          <w:color w:val="auto"/>
        </w:rPr>
        <w:t>The Compensation Committee has the sole discretion to administer the 2009 Plan, grant awards under the 2009 Plan and determine the terms, timing, transferability and method of exercise of awards, as applicable.</w:t>
      </w:r>
    </w:p>
    <w:p>
      <w:pPr>
        <w:spacing w:after="0" w:line="1" w:lineRule="exact"/>
        <w:rPr>
          <w:sz w:val="20"/>
          <w:szCs w:val="20"/>
          <w:color w:val="auto"/>
        </w:rPr>
      </w:pPr>
    </w:p>
    <w:p>
      <w:pPr>
        <w:ind w:firstLine="226"/>
        <w:spacing w:after="0" w:line="244" w:lineRule="auto"/>
        <w:rPr>
          <w:sz w:val="20"/>
          <w:szCs w:val="20"/>
          <w:color w:val="auto"/>
        </w:rPr>
      </w:pPr>
      <w:r>
        <w:rPr>
          <w:rFonts w:ascii="Arial" w:cs="Arial" w:eastAsia="Arial" w:hAnsi="Arial"/>
          <w:sz w:val="16"/>
          <w:szCs w:val="16"/>
          <w:color w:val="auto"/>
        </w:rPr>
        <w:t>Except in the case of awards granted through assumption of, or in substitution for, outstanding awards previously granted by an acquired company, and except as a result of an adjustment event specified in Section 5(e) of the 2009 Plan, stock options and other stock-based awards under the 2009 Plan with an exercise or a purchase price will not have an exercise or a purchase price (or equivalent) of less than 100% of the fair market value of the stock on the date the Compensation Committee grants the stock option or award. Determinations of fair market value under the 2009 Plan are made in accordance with methods or procedures established by the Compensation Committee.</w:t>
      </w:r>
    </w:p>
    <w:p>
      <w:pPr>
        <w:spacing w:after="0" w:line="2" w:lineRule="exact"/>
        <w:rPr>
          <w:sz w:val="20"/>
          <w:szCs w:val="20"/>
          <w:color w:val="auto"/>
        </w:rPr>
      </w:pPr>
    </w:p>
    <w:p>
      <w:pPr>
        <w:ind w:right="120" w:firstLine="226"/>
        <w:spacing w:after="0" w:line="254" w:lineRule="auto"/>
        <w:rPr>
          <w:sz w:val="20"/>
          <w:szCs w:val="20"/>
          <w:color w:val="auto"/>
        </w:rPr>
      </w:pPr>
      <w:r>
        <w:rPr>
          <w:rFonts w:ascii="Arial" w:cs="Arial" w:eastAsia="Arial" w:hAnsi="Arial"/>
          <w:sz w:val="16"/>
          <w:szCs w:val="16"/>
          <w:color w:val="auto"/>
        </w:rPr>
        <w:t>No awards may be granted under the 2009 Plan after April 16, 2019, the tenth anniversary of the effective date of the 2009 Plan. The board of directors may amend, alter, discontinue or terminate the 2009 Plan or any portion of the plan at any time. However, stockholder approval must be obtained for any plan adjustment that would increase the number of shares available for awards except as permitted by Section 5(e) of the 2009 Plan.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benefits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benefits or amounts that individuals will receive in the future under the 2009 Plan are not determinable. In 2013, the named executive officers were granted awards as set forth in the grants of plan-based awards in 2013 table on page 83. In 2013, the executive officers as a group were granted awards for 3,043,336 shares (consisting of stock options for 2,282,500 shares and 760,836 restricted stock units), and non-executive officer employees as a group were granted awards for 14,923,563 shares (consisting of stock options for 10,575,056 shares and 4,348,507 restricted stock units). Non-employee directors are not eligible for awards under the plan.</w:t>
      </w:r>
    </w:p>
    <w:p>
      <w:pPr>
        <w:spacing w:after="0" w:line="194"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98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Tax matters</w:t>
      </w:r>
    </w:p>
    <w:p>
      <w:pPr>
        <w:spacing w:after="0" w:line="206" w:lineRule="exact"/>
        <w:rPr>
          <w:sz w:val="20"/>
          <w:szCs w:val="20"/>
          <w:color w:val="auto"/>
        </w:rPr>
      </w:pPr>
    </w:p>
    <w:p>
      <w:pPr>
        <w:ind w:right="740"/>
        <w:spacing w:after="0" w:line="257" w:lineRule="auto"/>
        <w:rPr>
          <w:sz w:val="20"/>
          <w:szCs w:val="20"/>
          <w:color w:val="auto"/>
        </w:rPr>
      </w:pPr>
      <w:r>
        <w:rPr>
          <w:rFonts w:ascii="Arial" w:cs="Arial" w:eastAsia="Arial" w:hAnsi="Arial"/>
          <w:sz w:val="16"/>
          <w:szCs w:val="16"/>
          <w:color w:val="auto"/>
        </w:rPr>
        <w:t>The following summary is limited to the U.S. federal tax laws. It does not include the tax laws of any municipality, state or foreign country in which the participant resides.</w:t>
      </w:r>
    </w:p>
    <w:p>
      <w:pPr>
        <w:spacing w:after="0" w:line="1" w:lineRule="exact"/>
        <w:rPr>
          <w:sz w:val="20"/>
          <w:szCs w:val="20"/>
          <w:color w:val="auto"/>
        </w:rPr>
      </w:pPr>
    </w:p>
    <w:p>
      <w:pPr>
        <w:ind w:right="20" w:firstLine="226"/>
        <w:spacing w:after="0" w:line="245" w:lineRule="auto"/>
        <w:rPr>
          <w:sz w:val="20"/>
          <w:szCs w:val="20"/>
          <w:color w:val="auto"/>
        </w:rPr>
      </w:pPr>
      <w:r>
        <w:rPr>
          <w:rFonts w:ascii="Arial" w:cs="Arial" w:eastAsia="Arial" w:hAnsi="Arial"/>
          <w:sz w:val="16"/>
          <w:szCs w:val="16"/>
          <w:color w:val="auto"/>
        </w:rPr>
        <w:t>Stock options: Counsel for the company has advised that a participant will recognize no income under the Code upon the receipt of any stock option award. In the case of an incentive stock option, if a participant exercises the stock option during or within three months of employment and does not dispose of the shares within two years of the date of grant or one year after the transfer of the shares to the participant, the participant will be entitled for federal income tax purposes to treat any profit which may be recognized upon the disposition of the shares as a long-term capital gain. In contrast, a participant who receives a stock option under the 2009 Plan that is not an incentive stock option or who does not comply with the conditions noted above will generally recognize ordinary income at the time of exercise in the amount of the excess, if any, of the fair market value of the stock on the date of exercise over the stock option price. If the participant is an employee, such ordinary income generally is subject to withholding of income and employment taxes. The company should be entitled to a deduction for federal income tax purposes equal to the amount of ordinary income, if any, recognized by a participant who (a) exercises a stock option that is not an incentive stock option, or (b) disposes of stock that was acquired pursuant to the exercise of an incentive stock option prior to the end of the required holding period described above, except to the extent such tax deduction is limited by applicable provisions of the Code. In the case of incentive stock options, any excess of the fair market value of the stock at the time of exercise over the stock option price would be an item of income for purposes of the participant’s alternative minimum tax.</w:t>
      </w:r>
    </w:p>
    <w:p>
      <w:pPr>
        <w:spacing w:after="0" w:line="185" w:lineRule="exact"/>
        <w:rPr>
          <w:sz w:val="20"/>
          <w:szCs w:val="20"/>
          <w:color w:val="auto"/>
        </w:rPr>
      </w:pPr>
    </w:p>
    <w:p>
      <w:pPr>
        <w:ind w:right="100" w:firstLine="226"/>
        <w:spacing w:after="0" w:line="248" w:lineRule="auto"/>
        <w:rPr>
          <w:sz w:val="20"/>
          <w:szCs w:val="20"/>
          <w:color w:val="auto"/>
        </w:rPr>
      </w:pPr>
      <w:r>
        <w:rPr>
          <w:rFonts w:ascii="Arial" w:cs="Arial" w:eastAsia="Arial" w:hAnsi="Arial"/>
          <w:sz w:val="16"/>
          <w:szCs w:val="16"/>
          <w:color w:val="auto"/>
        </w:rPr>
        <w:t>Restricted stock units: Counsel for the company has advised that a participant will recognize no income under the Code upon the receipt of a restricted stock unit award. Upon the settlement of a restricted stock unit award, participants will recognize ordinary income in the year of receipt in an amount equal to the fair market value of any shares received. If the participant is an employee, such ordinary income generally is subject to withholding of income and employment taxes. Upon the sale of any shares received, any gain or loss, based on the difference between the sale price and the fair market value on the date of settlement, will be taxed as capital gain or loss. The company should be entitled to a deduction for federal income tax purposes equal to the amount of ordinary income recognized by the participant on the determination date, except to the extent such deduction is limited by applicable provisions of the Code.</w:t>
      </w:r>
    </w:p>
    <w:p>
      <w:pPr>
        <w:spacing w:after="0" w:line="163" w:lineRule="exact"/>
        <w:rPr>
          <w:sz w:val="20"/>
          <w:szCs w:val="20"/>
          <w:color w:val="auto"/>
        </w:rPr>
      </w:pPr>
    </w:p>
    <w:p>
      <w:pPr>
        <w:ind w:right="580" w:firstLine="226"/>
        <w:spacing w:after="0" w:line="303" w:lineRule="auto"/>
        <w:rPr>
          <w:sz w:val="20"/>
          <w:szCs w:val="20"/>
          <w:color w:val="auto"/>
        </w:rPr>
      </w:pPr>
      <w:r>
        <w:rPr>
          <w:rFonts w:ascii="Arial" w:cs="Arial" w:eastAsia="Arial" w:hAnsi="Arial"/>
          <w:sz w:val="16"/>
          <w:szCs w:val="16"/>
          <w:b w:val="1"/>
          <w:bCs w:val="1"/>
          <w:color w:val="auto"/>
        </w:rPr>
        <w:t>The board of directors recommends a vote “FOR” the proposal to reapprove the material terms of the performance goals under the Texas Instruments 2009 Long-Term Incentive Plan.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the company’s equity compensation plans as of December 31, 2013: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Number of Securities</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8"/>
              </w:rPr>
              <w:t>Number of</w:t>
            </w:r>
          </w:p>
        </w:tc>
        <w:tc>
          <w:tcPr>
            <w:tcW w:w="1400" w:type="dxa"/>
            <w:vAlign w:val="bottom"/>
          </w:tcPr>
          <w:p>
            <w:pPr>
              <w:spacing w:after="0"/>
              <w:rPr>
                <w:sz w:val="19"/>
                <w:szCs w:val="19"/>
                <w:color w:val="auto"/>
              </w:rPr>
            </w:pP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5"/>
              </w:rPr>
              <w:t>Remaining Available</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6"/>
              </w:rPr>
              <w:t>Securities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for Future</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5"/>
              </w:rPr>
              <w:t>to be Issued Upon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Issuance</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7"/>
              </w:rPr>
              <w:t>Exercise of</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5"/>
              </w:rPr>
              <w:t>Exercise Price of</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8"/>
              </w:rPr>
              <w:t>under Equity</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3"/>
              </w:rPr>
              <w:t>Outstanding</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Compensation Plans</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8"/>
              </w:rPr>
              <w:t>Options,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Options,</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5"/>
              </w:rPr>
              <w:t>(excluding</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6"/>
              </w:rPr>
              <w:t>Warrants and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6"/>
              </w:rPr>
              <w:t>Warrants and</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securities reflected</w:t>
            </w:r>
          </w:p>
        </w:tc>
      </w:tr>
      <w:tr>
        <w:trPr>
          <w:trHeight w:val="225"/>
        </w:trPr>
        <w:tc>
          <w:tcPr>
            <w:tcW w:w="5760" w:type="dxa"/>
            <w:vAlign w:val="bottom"/>
          </w:tcPr>
          <w:p>
            <w:pPr>
              <w:spacing w:after="0"/>
              <w:rPr>
                <w:sz w:val="19"/>
                <w:szCs w:val="19"/>
                <w:color w:val="auto"/>
              </w:rPr>
            </w:pP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w w:val="98"/>
              </w:rPr>
              <w:t>Rights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3"/>
              </w:rPr>
              <w:t>Rights</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in column (a))</w:t>
            </w:r>
          </w:p>
        </w:tc>
      </w:tr>
      <w:tr>
        <w:trPr>
          <w:trHeight w:val="225"/>
        </w:trPr>
        <w:tc>
          <w:tcPr>
            <w:tcW w:w="576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2680" w:type="dxa"/>
            <w:vAlign w:val="bottom"/>
          </w:tcPr>
          <w:p>
            <w:pPr>
              <w:jc w:val="center"/>
              <w:ind w:left="1173"/>
              <w:spacing w:after="0"/>
              <w:rPr>
                <w:sz w:val="20"/>
                <w:szCs w:val="20"/>
                <w:color w:val="auto"/>
              </w:rPr>
            </w:pPr>
            <w:r>
              <w:rPr>
                <w:rFonts w:ascii="Arial" w:cs="Arial" w:eastAsia="Arial" w:hAnsi="Arial"/>
                <w:sz w:val="13"/>
                <w:szCs w:val="13"/>
                <w:b w:val="1"/>
                <w:bCs w:val="1"/>
                <w:color w:val="auto"/>
              </w:rPr>
              <w:t>(a)</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580" w:type="dxa"/>
            <w:vAlign w:val="bottom"/>
          </w:tcPr>
          <w:p>
            <w:pPr>
              <w:jc w:val="center"/>
              <w:ind w:left="53"/>
              <w:spacing w:after="0"/>
              <w:rPr>
                <w:sz w:val="20"/>
                <w:szCs w:val="20"/>
                <w:color w:val="auto"/>
              </w:rPr>
            </w:pPr>
            <w:r>
              <w:rPr>
                <w:rFonts w:ascii="Arial" w:cs="Arial" w:eastAsia="Arial" w:hAnsi="Arial"/>
                <w:sz w:val="13"/>
                <w:szCs w:val="13"/>
                <w:b w:val="1"/>
                <w:bCs w:val="1"/>
                <w:color w:val="auto"/>
                <w:w w:val="87"/>
              </w:rPr>
              <w:t>(c)</w:t>
            </w:r>
          </w:p>
        </w:tc>
      </w:tr>
      <w:tr>
        <w:trPr>
          <w:trHeight w:val="29"/>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5760" w:type="dxa"/>
            <w:vAlign w:val="bottom"/>
            <w:shd w:val="clear" w:color="auto" w:fill="E9E9E9"/>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2680" w:type="dxa"/>
            <w:vAlign w:val="bottom"/>
            <w:shd w:val="clear" w:color="auto" w:fill="E9E9E9"/>
          </w:tcPr>
          <w:p>
            <w:pPr>
              <w:jc w:val="right"/>
              <w:ind w:right="93"/>
              <w:spacing w:after="0"/>
              <w:rPr>
                <w:sz w:val="20"/>
                <w:szCs w:val="20"/>
                <w:color w:val="auto"/>
              </w:rPr>
            </w:pPr>
            <w:r>
              <w:rPr>
                <w:rFonts w:ascii="Arial" w:cs="Arial" w:eastAsia="Arial" w:hAnsi="Arial"/>
                <w:sz w:val="16"/>
                <w:szCs w:val="16"/>
                <w:color w:val="auto"/>
              </w:rPr>
              <w:t>69,531,305 (1)</w:t>
            </w:r>
          </w:p>
        </w:tc>
        <w:tc>
          <w:tcPr>
            <w:tcW w:w="1400" w:type="dxa"/>
            <w:vAlign w:val="bottom"/>
            <w:shd w:val="clear" w:color="auto" w:fill="E9E9E9"/>
          </w:tcPr>
          <w:p>
            <w:pPr>
              <w:ind w:left="300"/>
              <w:spacing w:after="0"/>
              <w:rPr>
                <w:sz w:val="20"/>
                <w:szCs w:val="20"/>
                <w:color w:val="auto"/>
              </w:rPr>
            </w:pPr>
            <w:r>
              <w:rPr>
                <w:rFonts w:ascii="Arial" w:cs="Arial" w:eastAsia="Arial" w:hAnsi="Arial"/>
                <w:sz w:val="16"/>
                <w:szCs w:val="16"/>
                <w:color w:val="auto"/>
              </w:rPr>
              <w:t>$29.06 (2)</w:t>
            </w:r>
          </w:p>
        </w:tc>
        <w:tc>
          <w:tcPr>
            <w:tcW w:w="1580" w:type="dxa"/>
            <w:vAlign w:val="bottom"/>
            <w:shd w:val="clear" w:color="auto" w:fill="E9E9E9"/>
          </w:tcPr>
          <w:p>
            <w:pPr>
              <w:jc w:val="right"/>
              <w:ind w:right="133"/>
              <w:spacing w:after="0"/>
              <w:rPr>
                <w:sz w:val="20"/>
                <w:szCs w:val="20"/>
                <w:color w:val="auto"/>
              </w:rPr>
            </w:pPr>
            <w:r>
              <w:rPr>
                <w:rFonts w:ascii="Arial" w:cs="Arial" w:eastAsia="Arial" w:hAnsi="Arial"/>
                <w:sz w:val="16"/>
                <w:szCs w:val="16"/>
                <w:color w:val="auto"/>
              </w:rPr>
              <w:t>82,504,240 (3)</w:t>
            </w:r>
          </w:p>
        </w:tc>
      </w:tr>
      <w:tr>
        <w:trPr>
          <w:trHeight w:val="219"/>
        </w:trPr>
        <w:tc>
          <w:tcPr>
            <w:tcW w:w="576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680" w:type="dxa"/>
            <w:vAlign w:val="bottom"/>
          </w:tcPr>
          <w:p>
            <w:pPr>
              <w:jc w:val="right"/>
              <w:ind w:right="93"/>
              <w:spacing w:after="0"/>
              <w:rPr>
                <w:sz w:val="20"/>
                <w:szCs w:val="20"/>
                <w:color w:val="auto"/>
              </w:rPr>
            </w:pPr>
            <w:r>
              <w:rPr>
                <w:rFonts w:ascii="Arial" w:cs="Arial" w:eastAsia="Arial" w:hAnsi="Arial"/>
                <w:sz w:val="16"/>
                <w:szCs w:val="16"/>
                <w:color w:val="auto"/>
              </w:rPr>
              <w:t>16,905,929 (4)</w:t>
            </w:r>
          </w:p>
        </w:tc>
        <w:tc>
          <w:tcPr>
            <w:tcW w:w="1400" w:type="dxa"/>
            <w:vAlign w:val="bottom"/>
          </w:tcPr>
          <w:p>
            <w:pPr>
              <w:ind w:left="300"/>
              <w:spacing w:after="0"/>
              <w:rPr>
                <w:sz w:val="20"/>
                <w:szCs w:val="20"/>
                <w:color w:val="auto"/>
              </w:rPr>
            </w:pPr>
            <w:r>
              <w:rPr>
                <w:rFonts w:ascii="Arial" w:cs="Arial" w:eastAsia="Arial" w:hAnsi="Arial"/>
                <w:sz w:val="16"/>
                <w:szCs w:val="16"/>
                <w:color w:val="auto"/>
              </w:rPr>
              <w:t>$28.98 (2)</w:t>
            </w:r>
          </w:p>
        </w:tc>
        <w:tc>
          <w:tcPr>
            <w:tcW w:w="1580" w:type="dxa"/>
            <w:vAlign w:val="bottom"/>
          </w:tcPr>
          <w:p>
            <w:pPr>
              <w:jc w:val="right"/>
              <w:ind w:right="373"/>
              <w:spacing w:after="0"/>
              <w:rPr>
                <w:sz w:val="20"/>
                <w:szCs w:val="20"/>
                <w:color w:val="auto"/>
              </w:rPr>
            </w:pPr>
            <w:r>
              <w:rPr>
                <w:rFonts w:ascii="Arial" w:cs="Arial" w:eastAsia="Arial" w:hAnsi="Arial"/>
                <w:sz w:val="16"/>
                <w:szCs w:val="16"/>
                <w:color w:val="auto"/>
              </w:rPr>
              <w:t>0</w:t>
            </w:r>
          </w:p>
        </w:tc>
      </w:tr>
      <w:tr>
        <w:trPr>
          <w:trHeight w:val="231"/>
        </w:trPr>
        <w:tc>
          <w:tcPr>
            <w:tcW w:w="5760" w:type="dxa"/>
            <w:vAlign w:val="bottom"/>
            <w:shd w:val="clear" w:color="auto" w:fill="E9E9E9"/>
          </w:tcPr>
          <w:p>
            <w:pPr>
              <w:spacing w:after="0"/>
              <w:rPr>
                <w:sz w:val="20"/>
                <w:szCs w:val="20"/>
                <w:color w:val="auto"/>
              </w:rPr>
            </w:pPr>
            <w:r>
              <w:rPr>
                <w:rFonts w:ascii="Arial" w:cs="Arial" w:eastAsia="Arial" w:hAnsi="Arial"/>
                <w:sz w:val="16"/>
                <w:szCs w:val="16"/>
                <w:color w:val="auto"/>
              </w:rPr>
              <w:t>Total</w:t>
            </w:r>
          </w:p>
        </w:tc>
        <w:tc>
          <w:tcPr>
            <w:tcW w:w="2680" w:type="dxa"/>
            <w:vAlign w:val="bottom"/>
            <w:shd w:val="clear" w:color="auto" w:fill="E9E9E9"/>
          </w:tcPr>
          <w:p>
            <w:pPr>
              <w:jc w:val="right"/>
              <w:ind w:right="93"/>
              <w:spacing w:after="0"/>
              <w:rPr>
                <w:sz w:val="20"/>
                <w:szCs w:val="20"/>
                <w:color w:val="auto"/>
              </w:rPr>
            </w:pPr>
            <w:r>
              <w:rPr>
                <w:rFonts w:ascii="Arial" w:cs="Arial" w:eastAsia="Arial" w:hAnsi="Arial"/>
                <w:sz w:val="16"/>
                <w:szCs w:val="16"/>
                <w:color w:val="auto"/>
              </w:rPr>
              <w:t>86,437,234 (5)</w:t>
            </w:r>
          </w:p>
        </w:tc>
        <w:tc>
          <w:tcPr>
            <w:tcW w:w="1400" w:type="dxa"/>
            <w:vAlign w:val="bottom"/>
            <w:shd w:val="clear" w:color="auto" w:fill="E9E9E9"/>
          </w:tcPr>
          <w:p>
            <w:pPr>
              <w:ind w:left="300"/>
              <w:spacing w:after="0"/>
              <w:rPr>
                <w:sz w:val="20"/>
                <w:szCs w:val="20"/>
                <w:color w:val="auto"/>
              </w:rPr>
            </w:pPr>
            <w:r>
              <w:rPr>
                <w:rFonts w:ascii="Arial" w:cs="Arial" w:eastAsia="Arial" w:hAnsi="Arial"/>
                <w:sz w:val="16"/>
                <w:szCs w:val="16"/>
                <w:color w:val="auto"/>
              </w:rPr>
              <w:t>$29.04</w:t>
            </w:r>
          </w:p>
        </w:tc>
        <w:tc>
          <w:tcPr>
            <w:tcW w:w="1580" w:type="dxa"/>
            <w:vAlign w:val="bottom"/>
            <w:shd w:val="clear" w:color="auto" w:fill="E9E9E9"/>
          </w:tcPr>
          <w:p>
            <w:pPr>
              <w:jc w:val="right"/>
              <w:ind w:right="373"/>
              <w:spacing w:after="0"/>
              <w:rPr>
                <w:sz w:val="20"/>
                <w:szCs w:val="20"/>
                <w:color w:val="auto"/>
              </w:rPr>
            </w:pPr>
            <w:r>
              <w:rPr>
                <w:rFonts w:ascii="Arial" w:cs="Arial" w:eastAsia="Arial" w:hAnsi="Arial"/>
                <w:sz w:val="16"/>
                <w:szCs w:val="16"/>
                <w:color w:val="auto"/>
              </w:rPr>
              <w:t>82,504,240</w:t>
            </w:r>
          </w:p>
        </w:tc>
      </w:tr>
    </w:tbl>
    <w:p>
      <w:pPr>
        <w:spacing w:after="0" w:line="208" w:lineRule="exact"/>
        <w:rPr>
          <w:sz w:val="20"/>
          <w:szCs w:val="20"/>
          <w:color w:val="auto"/>
        </w:rPr>
      </w:pPr>
    </w:p>
    <w:p>
      <w:pPr>
        <w:ind w:left="460" w:right="60" w:hanging="460"/>
        <w:spacing w:after="0" w:line="259"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shares of TI common stock to be issued under the Texas Instruments 2009 Long-Term Incentive Plan (the “2009 Plan”) and predecessor plans, the Texas Instruments 2009 Director Compensation Plan (the “Director Plan”) and the TI Employees 2005 Stock Purchase Plan. Also includes 798,275 shares of TI common stock to be issued upon settlement of outstanding awards granted under the National Semiconductor Corporation 2009 Incentive Award Plan, a plan approved by National stockholders. The company assumed the awards in connection with its acquisition of National.</w:t>
      </w:r>
    </w:p>
    <w:p>
      <w:pPr>
        <w:spacing w:after="0" w:line="181" w:lineRule="exact"/>
        <w:rPr>
          <w:rFonts w:ascii="Arial" w:cs="Arial" w:eastAsia="Arial" w:hAnsi="Arial"/>
          <w:sz w:val="16"/>
          <w:szCs w:val="16"/>
          <w:color w:val="auto"/>
        </w:rPr>
      </w:pPr>
    </w:p>
    <w:p>
      <w:pPr>
        <w:ind w:left="460" w:right="160" w:hanging="460"/>
        <w:spacing w:after="0" w:line="29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155" w:lineRule="exact"/>
        <w:rPr>
          <w:rFonts w:ascii="Arial" w:cs="Arial" w:eastAsia="Arial" w:hAnsi="Arial"/>
          <w:sz w:val="16"/>
          <w:szCs w:val="16"/>
          <w:color w:val="auto"/>
        </w:rPr>
      </w:pPr>
    </w:p>
    <w:p>
      <w:pPr>
        <w:jc w:val="both"/>
        <w:ind w:left="460" w:right="480" w:hanging="460"/>
        <w:spacing w:after="0" w:line="259"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Shares of TI common stock available for future issuance under the 2009 Plan, the Director Plan and the TI Employees 2005 Stock Purchase Plan. 58,519,758 shares remain available for future issuance under the 2009 Plan and 1,718,905 shares remain available for future issuance under the Director Plan. Under the 2009 Plan and the Director Plan shares may be granted in the form of restricted stock units, options or other stock-based awards such as restricted stock.</w:t>
      </w:r>
    </w:p>
    <w:p>
      <w:pPr>
        <w:spacing w:after="0" w:line="219" w:lineRule="exact"/>
        <w:rPr>
          <w:sz w:val="20"/>
          <w:szCs w:val="20"/>
          <w:color w:val="auto"/>
        </w:rPr>
      </w:pPr>
    </w:p>
    <w:p>
      <w:pPr>
        <w:spacing w:after="0"/>
        <w:tabs>
          <w:tab w:leader="none" w:pos="956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6" w:name="page47"/>
    <w:bookmarkEnd w:id="46"/>
    <w:p>
      <w:pPr>
        <w:ind w:left="460" w:right="160" w:hanging="460"/>
        <w:spacing w:after="0" w:line="249"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shares to be issued under the Texas Instruments 2003 Long-Term Incentive Plan (the “2003 Plan”). The 2003 Plan was replaced by the 2009 Plan, which was approved by stockholders. No further grants may be made under the 2003 Plan. Only non-management employees were eligible to receive awards under the 2003 Plan. The 2003 Plan authorized the grant of: (1) stock options, (2) restricted stock and restricted stock units, (3) performance units and (4) other awards (including stock appreciation rights) valued in whole or in part by reference to or otherwise based on common stock of the company. The plan is administered by a committee of independent directors (the Committee). The Committee had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could be purchased under any other stock-based award under the 2003 Plan could not be less than 100 percent of the fair market value of the stock or other security on the effective date of the grant of the option, right or award.</w:t>
      </w:r>
    </w:p>
    <w:p>
      <w:pPr>
        <w:spacing w:after="0" w:line="191" w:lineRule="exact"/>
        <w:rPr>
          <w:rFonts w:ascii="Arial" w:cs="Arial" w:eastAsia="Arial" w:hAnsi="Arial"/>
          <w:sz w:val="16"/>
          <w:szCs w:val="16"/>
          <w:color w:val="auto"/>
        </w:rPr>
      </w:pPr>
    </w:p>
    <w:p>
      <w:pPr>
        <w:ind w:left="460" w:right="60"/>
        <w:spacing w:after="0" w:line="267" w:lineRule="auto"/>
        <w:rPr>
          <w:rFonts w:ascii="Arial" w:cs="Arial" w:eastAsia="Arial" w:hAnsi="Arial"/>
          <w:sz w:val="16"/>
          <w:szCs w:val="16"/>
          <w:color w:val="auto"/>
        </w:rPr>
      </w:pPr>
      <w:r>
        <w:rPr>
          <w:rFonts w:ascii="Arial" w:cs="Arial" w:eastAsia="Arial" w:hAnsi="Arial"/>
          <w:sz w:val="16"/>
          <w:szCs w:val="16"/>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(which was replaced by the stockholder-approved Director Plan), and no further grants may be made under them.</w:t>
      </w:r>
    </w:p>
    <w:p>
      <w:pPr>
        <w:spacing w:after="0" w:line="173" w:lineRule="exact"/>
        <w:rPr>
          <w:rFonts w:ascii="Arial" w:cs="Arial" w:eastAsia="Arial" w:hAnsi="Arial"/>
          <w:sz w:val="16"/>
          <w:szCs w:val="16"/>
          <w:color w:val="auto"/>
        </w:rPr>
      </w:pPr>
    </w:p>
    <w:p>
      <w:pPr>
        <w:jc w:val="both"/>
        <w:ind w:left="460" w:right="320" w:hanging="460"/>
        <w:spacing w:after="0" w:line="267"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64,930,540 shares for issuance upon exercise of outstanding grants of options, 20,892,022 shares for issuance upon vesting of outstanding grants of restricted stock units, 485,408 shares for issuance under the TI Employees 2005 Stock Purchase Plan and 129,264 shares for issuance in settlement of directors’ deferred compensation accounts.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w:t>
      </w:r>
    </w:p>
    <w:p>
      <w:pPr>
        <w:spacing w:after="0" w:line="206"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As of February 18, 2014, 1,081,741,385 shares of TI common stock were outstanding. This is the only class of capital stock entitled to vote at the meeting. Each holder of common stock has one vote for each share held. As stated in the notice of annual meeting, holders of record of the common stock at the close of business on February 18, 2014, may vote at the meeting or any adjournment of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w:t>
      </w:r>
    </w:p>
    <w:p>
      <w:pPr>
        <w:spacing w:after="0" w:line="206" w:lineRule="exact"/>
        <w:rPr>
          <w:sz w:val="20"/>
          <w:szCs w:val="20"/>
          <w:color w:val="auto"/>
        </w:rPr>
      </w:pPr>
    </w:p>
    <w:p>
      <w:pPr>
        <w:ind w:right="400"/>
        <w:spacing w:after="0" w:line="267" w:lineRule="auto"/>
        <w:rPr>
          <w:sz w:val="20"/>
          <w:szCs w:val="20"/>
          <w:color w:val="auto"/>
        </w:rPr>
      </w:pPr>
      <w:r>
        <w:rPr>
          <w:rFonts w:ascii="Arial" w:cs="Arial" w:eastAsia="Arial" w:hAnsi="Arial"/>
          <w:sz w:val="16"/>
          <w:szCs w:val="16"/>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1620" w:type="dxa"/>
            <w:vAlign w:val="bottom"/>
            <w:gridSpan w:val="2"/>
          </w:tcPr>
          <w:p>
            <w:pPr>
              <w:jc w:val="right"/>
              <w:ind w:right="219"/>
              <w:spacing w:after="0"/>
              <w:rPr>
                <w:sz w:val="20"/>
                <w:szCs w:val="20"/>
                <w:color w:val="auto"/>
              </w:rPr>
            </w:pPr>
            <w:r>
              <w:rPr>
                <w:rFonts w:ascii="Arial" w:cs="Arial" w:eastAsia="Arial" w:hAnsi="Arial"/>
                <w:sz w:val="13"/>
                <w:szCs w:val="13"/>
                <w:b w:val="1"/>
                <w:bCs w:val="1"/>
                <w:color w:val="auto"/>
              </w:rPr>
              <w:t>Shares Owned at</w:t>
            </w:r>
          </w:p>
        </w:tc>
        <w:tc>
          <w:tcPr>
            <w:tcW w:w="880" w:type="dxa"/>
            <w:vAlign w:val="bottom"/>
            <w:gridSpan w:val="2"/>
          </w:tcPr>
          <w:p>
            <w:pPr>
              <w:ind w:left="26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225"/>
        </w:trPr>
        <w:tc>
          <w:tcPr>
            <w:tcW w:w="8960" w:type="dxa"/>
            <w:vAlign w:val="bottom"/>
            <w:gridSpan w:val="2"/>
          </w:tcPr>
          <w:p>
            <w:pPr>
              <w:spacing w:after="0"/>
              <w:rPr>
                <w:sz w:val="20"/>
                <w:szCs w:val="20"/>
                <w:color w:val="auto"/>
              </w:rPr>
            </w:pPr>
            <w:r>
              <w:rPr>
                <w:rFonts w:ascii="Arial" w:cs="Arial" w:eastAsia="Arial" w:hAnsi="Arial"/>
                <w:sz w:val="13"/>
                <w:szCs w:val="13"/>
                <w:b w:val="1"/>
                <w:bCs w:val="1"/>
                <w:color w:val="auto"/>
              </w:rPr>
              <w:t>Name and Address</w:t>
            </w:r>
          </w:p>
        </w:tc>
        <w:tc>
          <w:tcPr>
            <w:tcW w:w="1620" w:type="dxa"/>
            <w:vAlign w:val="bottom"/>
            <w:gridSpan w:val="2"/>
          </w:tcPr>
          <w:p>
            <w:pPr>
              <w:jc w:val="right"/>
              <w:ind w:right="159"/>
              <w:spacing w:after="0"/>
              <w:rPr>
                <w:sz w:val="20"/>
                <w:szCs w:val="20"/>
                <w:color w:val="auto"/>
              </w:rPr>
            </w:pPr>
            <w:r>
              <w:rPr>
                <w:rFonts w:ascii="Arial" w:cs="Arial" w:eastAsia="Arial" w:hAnsi="Arial"/>
                <w:sz w:val="13"/>
                <w:szCs w:val="13"/>
                <w:b w:val="1"/>
                <w:bCs w:val="1"/>
                <w:color w:val="auto"/>
              </w:rPr>
              <w:t>December 31, 2013</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29"/>
        </w:trPr>
        <w:tc>
          <w:tcPr>
            <w:tcW w:w="89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4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Capital World Investors (1)</w:t>
            </w:r>
          </w:p>
        </w:tc>
        <w:tc>
          <w:tcPr>
            <w:tcW w:w="1160" w:type="dxa"/>
            <w:vAlign w:val="bottom"/>
            <w:tcBorders>
              <w:top w:val="single" w:sz="8" w:color="auto"/>
            </w:tcBorders>
            <w:shd w:val="clear" w:color="auto" w:fill="E9E9E9"/>
          </w:tcPr>
          <w:p>
            <w:pPr>
              <w:spacing w:after="0"/>
              <w:rPr>
                <w:sz w:val="18"/>
                <w:szCs w:val="18"/>
                <w:color w:val="auto"/>
              </w:rPr>
            </w:pPr>
          </w:p>
        </w:tc>
        <w:tc>
          <w:tcPr>
            <w:tcW w:w="460" w:type="dxa"/>
            <w:vAlign w:val="bottom"/>
            <w:tcBorders>
              <w:top w:val="single" w:sz="8" w:color="auto"/>
            </w:tcBorders>
            <w:shd w:val="clear" w:color="auto" w:fill="E9E9E9"/>
          </w:tcPr>
          <w:p>
            <w:pPr>
              <w:spacing w:after="0"/>
              <w:rPr>
                <w:sz w:val="18"/>
                <w:szCs w:val="18"/>
                <w:color w:val="auto"/>
              </w:rPr>
            </w:pPr>
          </w:p>
        </w:tc>
        <w:tc>
          <w:tcPr>
            <w:tcW w:w="840" w:type="dxa"/>
            <w:vAlign w:val="bottom"/>
            <w:tcBorders>
              <w:top w:val="single" w:sz="8" w:color="auto"/>
            </w:tcBorders>
            <w:shd w:val="clear" w:color="auto" w:fill="E9E9E9"/>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333 South Hope Street</w:t>
            </w:r>
          </w:p>
        </w:tc>
        <w:tc>
          <w:tcPr>
            <w:tcW w:w="1160" w:type="dxa"/>
            <w:vAlign w:val="bottom"/>
            <w:shd w:val="clear" w:color="auto" w:fill="E9E9E9"/>
          </w:tcPr>
          <w:p>
            <w:pPr>
              <w:spacing w:after="0"/>
              <w:rPr>
                <w:sz w:val="19"/>
                <w:szCs w:val="19"/>
                <w:color w:val="auto"/>
              </w:rPr>
            </w:pPr>
          </w:p>
        </w:tc>
        <w:tc>
          <w:tcPr>
            <w:tcW w:w="4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Los Angeles, CA 90071</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112,368,791</w:t>
            </w:r>
          </w:p>
        </w:tc>
        <w:tc>
          <w:tcPr>
            <w:tcW w:w="460" w:type="dxa"/>
            <w:vAlign w:val="bottom"/>
            <w:shd w:val="clear" w:color="auto" w:fill="E9E9E9"/>
          </w:tcPr>
          <w:p>
            <w:pPr>
              <w:jc w:val="right"/>
              <w:ind w:right="159"/>
              <w:spacing w:after="0"/>
              <w:rPr>
                <w:sz w:val="20"/>
                <w:szCs w:val="20"/>
                <w:color w:val="auto"/>
              </w:rPr>
            </w:pPr>
            <w:r>
              <w:rPr>
                <w:rFonts w:ascii="Arial" w:cs="Arial" w:eastAsia="Arial" w:hAnsi="Arial"/>
                <w:sz w:val="16"/>
                <w:szCs w:val="16"/>
                <w:color w:val="auto"/>
              </w:rPr>
              <w:t>(2)</w:t>
            </w:r>
          </w:p>
        </w:tc>
        <w:tc>
          <w:tcPr>
            <w:tcW w:w="840" w:type="dxa"/>
            <w:vAlign w:val="bottom"/>
            <w:shd w:val="clear" w:color="auto" w:fill="E9E9E9"/>
          </w:tcPr>
          <w:p>
            <w:pPr>
              <w:jc w:val="right"/>
              <w:ind w:right="26"/>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Capital Research Global Investors (1)</w:t>
            </w:r>
          </w:p>
        </w:tc>
        <w:tc>
          <w:tcPr>
            <w:tcW w:w="1160" w:type="dxa"/>
            <w:vAlign w:val="bottom"/>
            <w:shd w:val="clear" w:color="auto" w:fill="E9E9E9"/>
          </w:tcPr>
          <w:p>
            <w:pPr>
              <w:spacing w:after="0"/>
              <w:rPr>
                <w:sz w:val="19"/>
                <w:szCs w:val="19"/>
                <w:color w:val="auto"/>
              </w:rPr>
            </w:pPr>
          </w:p>
        </w:tc>
        <w:tc>
          <w:tcPr>
            <w:tcW w:w="4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333 South Hope Street</w:t>
            </w:r>
          </w:p>
        </w:tc>
        <w:tc>
          <w:tcPr>
            <w:tcW w:w="1160" w:type="dxa"/>
            <w:vAlign w:val="bottom"/>
            <w:shd w:val="clear" w:color="auto" w:fill="E9E9E9"/>
          </w:tcPr>
          <w:p>
            <w:pPr>
              <w:spacing w:after="0"/>
              <w:rPr>
                <w:sz w:val="19"/>
                <w:szCs w:val="19"/>
                <w:color w:val="auto"/>
              </w:rPr>
            </w:pPr>
          </w:p>
        </w:tc>
        <w:tc>
          <w:tcPr>
            <w:tcW w:w="4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Los Angeles, CA 90071</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98,294,972</w:t>
            </w:r>
          </w:p>
        </w:tc>
        <w:tc>
          <w:tcPr>
            <w:tcW w:w="460" w:type="dxa"/>
            <w:vAlign w:val="bottom"/>
            <w:shd w:val="clear" w:color="auto" w:fill="E9E9E9"/>
          </w:tcPr>
          <w:p>
            <w:pPr>
              <w:jc w:val="right"/>
              <w:ind w:right="159"/>
              <w:spacing w:after="0"/>
              <w:rPr>
                <w:sz w:val="20"/>
                <w:szCs w:val="20"/>
                <w:color w:val="auto"/>
              </w:rPr>
            </w:pPr>
            <w:r>
              <w:rPr>
                <w:rFonts w:ascii="Arial" w:cs="Arial" w:eastAsia="Arial" w:hAnsi="Arial"/>
                <w:sz w:val="16"/>
                <w:szCs w:val="16"/>
                <w:color w:val="auto"/>
              </w:rPr>
              <w:t>(3)</w:t>
            </w:r>
          </w:p>
        </w:tc>
        <w:tc>
          <w:tcPr>
            <w:tcW w:w="840" w:type="dxa"/>
            <w:vAlign w:val="bottom"/>
            <w:shd w:val="clear" w:color="auto" w:fill="E9E9E9"/>
          </w:tcPr>
          <w:p>
            <w:pPr>
              <w:jc w:val="right"/>
              <w:ind w:right="26"/>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PRIMECAP Management Company</w:t>
            </w:r>
          </w:p>
        </w:tc>
        <w:tc>
          <w:tcPr>
            <w:tcW w:w="1160" w:type="dxa"/>
            <w:vAlign w:val="bottom"/>
            <w:shd w:val="clear" w:color="auto" w:fill="E9E9E9"/>
          </w:tcPr>
          <w:p>
            <w:pPr>
              <w:spacing w:after="0"/>
              <w:rPr>
                <w:sz w:val="19"/>
                <w:szCs w:val="19"/>
                <w:color w:val="auto"/>
              </w:rPr>
            </w:pPr>
          </w:p>
        </w:tc>
        <w:tc>
          <w:tcPr>
            <w:tcW w:w="4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225 South Lake Ave., #400</w:t>
            </w:r>
          </w:p>
        </w:tc>
        <w:tc>
          <w:tcPr>
            <w:tcW w:w="1160" w:type="dxa"/>
            <w:vAlign w:val="bottom"/>
            <w:shd w:val="clear" w:color="auto" w:fill="E9E9E9"/>
          </w:tcPr>
          <w:p>
            <w:pPr>
              <w:spacing w:after="0"/>
              <w:rPr>
                <w:sz w:val="19"/>
                <w:szCs w:val="19"/>
                <w:color w:val="auto"/>
              </w:rPr>
            </w:pPr>
          </w:p>
        </w:tc>
        <w:tc>
          <w:tcPr>
            <w:tcW w:w="4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40" w:type="dxa"/>
            <w:vAlign w:val="bottom"/>
            <w:shd w:val="clear" w:color="auto" w:fill="E9E9E9"/>
          </w:tcPr>
          <w:p>
            <w:pPr>
              <w:spacing w:after="0"/>
              <w:rPr>
                <w:sz w:val="20"/>
                <w:szCs w:val="20"/>
                <w:color w:val="auto"/>
              </w:rPr>
            </w:pPr>
            <w:r>
              <w:rPr>
                <w:rFonts w:ascii="Arial" w:cs="Arial" w:eastAsia="Arial" w:hAnsi="Arial"/>
                <w:sz w:val="16"/>
                <w:szCs w:val="16"/>
                <w:color w:val="auto"/>
              </w:rPr>
              <w:t>Pasadena, CA 91101</w:t>
            </w:r>
          </w:p>
        </w:tc>
        <w:tc>
          <w:tcPr>
            <w:tcW w:w="1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56,770,524</w:t>
            </w:r>
          </w:p>
        </w:tc>
        <w:tc>
          <w:tcPr>
            <w:tcW w:w="460" w:type="dxa"/>
            <w:vAlign w:val="bottom"/>
            <w:shd w:val="clear" w:color="auto" w:fill="E9E9E9"/>
          </w:tcPr>
          <w:p>
            <w:pPr>
              <w:jc w:val="right"/>
              <w:ind w:right="159"/>
              <w:spacing w:after="0"/>
              <w:rPr>
                <w:sz w:val="20"/>
                <w:szCs w:val="20"/>
                <w:color w:val="auto"/>
              </w:rPr>
            </w:pPr>
            <w:r>
              <w:rPr>
                <w:rFonts w:ascii="Arial" w:cs="Arial" w:eastAsia="Arial" w:hAnsi="Arial"/>
                <w:sz w:val="16"/>
                <w:szCs w:val="16"/>
                <w:color w:val="auto"/>
              </w:rPr>
              <w:t>(4)</w:t>
            </w:r>
          </w:p>
        </w:tc>
        <w:tc>
          <w:tcPr>
            <w:tcW w:w="840" w:type="dxa"/>
            <w:vAlign w:val="bottom"/>
            <w:shd w:val="clear" w:color="auto" w:fill="E9E9E9"/>
          </w:tcPr>
          <w:p>
            <w:pPr>
              <w:jc w:val="right"/>
              <w:ind w:right="26"/>
              <w:spacing w:after="0"/>
              <w:rPr>
                <w:sz w:val="20"/>
                <w:szCs w:val="20"/>
                <w:color w:val="auto"/>
              </w:rPr>
            </w:pPr>
            <w:r>
              <w:rPr>
                <w:rFonts w:ascii="Arial" w:cs="Arial" w:eastAsia="Arial" w:hAnsi="Arial"/>
                <w:sz w:val="16"/>
                <w:szCs w:val="16"/>
                <w:color w:val="auto"/>
              </w:rPr>
              <w:t>5.19%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8960" w:type="dxa"/>
            <w:vAlign w:val="bottom"/>
            <w:gridSpan w:val="2"/>
          </w:tcPr>
          <w:p>
            <w:pPr>
              <w:spacing w:after="0"/>
              <w:rPr>
                <w:sz w:val="20"/>
                <w:szCs w:val="20"/>
                <w:color w:val="auto"/>
              </w:rPr>
            </w:pPr>
            <w:r>
              <w:rPr>
                <w:rFonts w:ascii="Arial" w:cs="Arial" w:eastAsia="Arial" w:hAnsi="Arial"/>
                <w:sz w:val="13"/>
                <w:szCs w:val="13"/>
                <w:b w:val="1"/>
                <w:bCs w:val="1"/>
                <w:color w:val="808285"/>
              </w:rPr>
              <w:t xml:space="preserve">100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p>
        </w:tc>
        <w:tc>
          <w:tcPr>
            <w:tcW w:w="2500" w:type="dxa"/>
            <w:vAlign w:val="bottom"/>
            <w:gridSpan w:val="4"/>
          </w:tcPr>
          <w:p>
            <w:pPr>
              <w:ind w:left="1120"/>
              <w:spacing w:after="0"/>
              <w:rPr>
                <w:sz w:val="20"/>
                <w:szCs w:val="20"/>
                <w:color w:val="auto"/>
              </w:rPr>
            </w:pPr>
            <w:r>
              <w:rPr>
                <w:rFonts w:ascii="Arial" w:cs="Arial" w:eastAsia="Arial" w:hAnsi="Arial"/>
                <w:sz w:val="13"/>
                <w:szCs w:val="13"/>
                <w:b w:val="1"/>
                <w:bCs w:val="1"/>
                <w:color w:val="808285"/>
                <w:w w:val="96"/>
              </w:rPr>
              <w:t>TEXAS INSTRUMENTS</w:t>
            </w:r>
          </w:p>
        </w:tc>
        <w:tc>
          <w:tcPr>
            <w:tcW w:w="0" w:type="dxa"/>
            <w:vAlign w:val="bottom"/>
          </w:tcPr>
          <w:p>
            <w:pPr>
              <w:spacing w:after="0"/>
              <w:rPr>
                <w:sz w:val="1"/>
                <w:szCs w:val="1"/>
                <w:color w:val="auto"/>
              </w:rPr>
            </w:pPr>
          </w:p>
        </w:tc>
      </w:tr>
      <w:tr>
        <w:trPr>
          <w:trHeight w:val="363"/>
        </w:trPr>
        <w:tc>
          <w:tcPr>
            <w:tcW w:w="20" w:type="dxa"/>
            <w:vAlign w:val="bottom"/>
            <w:tcBorders>
              <w:bottom w:val="single" w:sz="8" w:color="808080"/>
            </w:tcBorders>
          </w:tcPr>
          <w:p>
            <w:pPr>
              <w:spacing w:after="0"/>
              <w:rPr>
                <w:sz w:val="24"/>
                <w:szCs w:val="24"/>
                <w:color w:val="auto"/>
              </w:rPr>
            </w:pPr>
          </w:p>
        </w:tc>
        <w:tc>
          <w:tcPr>
            <w:tcW w:w="89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48" w:right="199" w:bottom="1440" w:gutter="0" w:footer="0" w:header="0"/>
        </w:sectPr>
      </w:pPr>
    </w:p>
    <w:bookmarkStart w:id="47" w:name="page48"/>
    <w:bookmarkEnd w:id="47"/>
    <w:p>
      <w:pPr>
        <w:ind w:left="460" w:hanging="460"/>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division of Capital Research and Management Company (CRMC).</w:t>
      </w:r>
    </w:p>
    <w:p>
      <w:pPr>
        <w:spacing w:after="0" w:line="228" w:lineRule="exact"/>
        <w:rPr>
          <w:rFonts w:ascii="Arial" w:cs="Arial" w:eastAsia="Arial" w:hAnsi="Arial"/>
          <w:sz w:val="16"/>
          <w:szCs w:val="16"/>
          <w:color w:val="auto"/>
        </w:rPr>
      </w:pPr>
    </w:p>
    <w:p>
      <w:pPr>
        <w:ind w:left="460" w:right="200" w:hanging="460"/>
        <w:spacing w:after="0" w:line="290"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TI understands that Capital World Investors is deemed to be the beneficial owner of these shares as a result of CRMC acting as an investment advisor to various investment companies. Capital World Investors has sole voting power and sole dispositive power for these shares.</w:t>
      </w:r>
    </w:p>
    <w:p>
      <w:pPr>
        <w:spacing w:after="0" w:line="155" w:lineRule="exact"/>
        <w:rPr>
          <w:rFonts w:ascii="Arial" w:cs="Arial" w:eastAsia="Arial" w:hAnsi="Arial"/>
          <w:sz w:val="16"/>
          <w:szCs w:val="16"/>
          <w:color w:val="auto"/>
        </w:rPr>
      </w:pPr>
    </w:p>
    <w:p>
      <w:pPr>
        <w:ind w:left="460" w:right="440" w:hanging="460"/>
        <w:spacing w:after="0" w:line="267"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TI understands that Capital Research Global Investors is deemed to be the beneficial owner of these shares as a result of CRMC acting as an investment advisor to various investment companies. Capital Research Global Investors has sole dispositive power and sole voting power for these shares.</w:t>
      </w:r>
    </w:p>
    <w:p>
      <w:pPr>
        <w:spacing w:after="0" w:line="173" w:lineRule="exact"/>
        <w:rPr>
          <w:rFonts w:ascii="Arial" w:cs="Arial" w:eastAsia="Arial" w:hAnsi="Arial"/>
          <w:sz w:val="16"/>
          <w:szCs w:val="16"/>
          <w:color w:val="auto"/>
        </w:rPr>
      </w:pPr>
    </w:p>
    <w:p>
      <w:pPr>
        <w:ind w:left="460" w:right="600" w:hanging="460"/>
        <w:spacing w:after="0" w:line="290"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TI understands that PRIMECAP Management Company has sole voting power for 12,673,674 and sole dispositive power for 56,770,524 of these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directors and management</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4220" w:type="dxa"/>
            <w:vAlign w:val="bottom"/>
          </w:tcPr>
          <w:p>
            <w:pPr>
              <w:jc w:val="right"/>
              <w:ind w:right="162"/>
              <w:spacing w:after="0"/>
              <w:rPr>
                <w:sz w:val="20"/>
                <w:szCs w:val="20"/>
                <w:color w:val="auto"/>
              </w:rPr>
            </w:pPr>
            <w:r>
              <w:rPr>
                <w:rFonts w:ascii="Arial" w:cs="Arial" w:eastAsia="Arial" w:hAnsi="Arial"/>
                <w:sz w:val="13"/>
                <w:szCs w:val="13"/>
                <w:b w:val="1"/>
                <w:bCs w:val="1"/>
                <w:color w:val="auto"/>
              </w:rPr>
              <w:t>Shares Owned at</w:t>
            </w: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220" w:type="dxa"/>
            <w:vAlign w:val="bottom"/>
          </w:tcPr>
          <w:p>
            <w:pPr>
              <w:jc w:val="right"/>
              <w:ind w:right="102"/>
              <w:spacing w:after="0"/>
              <w:rPr>
                <w:sz w:val="20"/>
                <w:szCs w:val="20"/>
                <w:color w:val="auto"/>
              </w:rPr>
            </w:pPr>
            <w:r>
              <w:rPr>
                <w:rFonts w:ascii="Arial" w:cs="Arial" w:eastAsia="Arial" w:hAnsi="Arial"/>
                <w:sz w:val="13"/>
                <w:szCs w:val="13"/>
                <w:b w:val="1"/>
                <w:bCs w:val="1"/>
                <w:color w:val="auto"/>
              </w:rPr>
              <w:t>December 31, 2013</w:t>
            </w: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29"/>
        </w:trPr>
        <w:tc>
          <w:tcPr>
            <w:tcW w:w="6440" w:type="dxa"/>
            <w:vAlign w:val="bottom"/>
            <w:gridSpan w:val="2"/>
          </w:tcPr>
          <w:p>
            <w:pPr>
              <w:spacing w:after="0"/>
              <w:rPr>
                <w:sz w:val="2"/>
                <w:szCs w:val="2"/>
                <w:color w:val="auto"/>
              </w:rPr>
            </w:pPr>
          </w:p>
        </w:tc>
        <w:tc>
          <w:tcPr>
            <w:tcW w:w="4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b w:val="1"/>
                <w:bCs w:val="1"/>
                <w:color w:val="auto"/>
              </w:rPr>
              <w:t>Directors (1)</w:t>
            </w:r>
          </w:p>
        </w:tc>
        <w:tc>
          <w:tcPr>
            <w:tcW w:w="4220" w:type="dxa"/>
            <w:vAlign w:val="bottom"/>
            <w:tcBorders>
              <w:top w:val="single" w:sz="8" w:color="auto"/>
            </w:tcBorders>
            <w:shd w:val="clear" w:color="auto" w:fill="E9E9E9"/>
          </w:tcPr>
          <w:p>
            <w:pPr>
              <w:spacing w:after="0"/>
              <w:rPr>
                <w:sz w:val="18"/>
                <w:szCs w:val="18"/>
                <w:color w:val="auto"/>
              </w:rPr>
            </w:pPr>
          </w:p>
        </w:tc>
        <w:tc>
          <w:tcPr>
            <w:tcW w:w="760" w:type="dxa"/>
            <w:vAlign w:val="bottom"/>
            <w:tcBorders>
              <w:top w:val="single" w:sz="8" w:color="auto"/>
            </w:tcBorders>
            <w:shd w:val="clear" w:color="auto" w:fill="E9E9E9"/>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R. W. Babb, Jr.</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40,465</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M. A. Blinn</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3,867</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D. A. Carp</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123,772</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C. S. Cox</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85,406</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R. Kirk</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2,000</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P. H. Patsley</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131,628</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R. E. Sanchez</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17,903</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W. R. Sanders</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90,736</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R. J. Simmons</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98,472</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4,576,556</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C. T. Whitman</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105,163</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64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b w:val="1"/>
                <w:bCs w:val="1"/>
                <w:color w:val="auto"/>
              </w:rPr>
              <w:t>Management (2)</w:t>
            </w:r>
          </w:p>
        </w:tc>
        <w:tc>
          <w:tcPr>
            <w:tcW w:w="422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K. P. March</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986,809</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714,019</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K. J. Ritchie</w:t>
            </w:r>
          </w:p>
        </w:tc>
        <w:tc>
          <w:tcPr>
            <w:tcW w:w="4220" w:type="dxa"/>
            <w:vAlign w:val="bottom"/>
          </w:tcPr>
          <w:p>
            <w:pPr>
              <w:jc w:val="right"/>
              <w:ind w:right="262"/>
              <w:spacing w:after="0"/>
              <w:rPr>
                <w:sz w:val="20"/>
                <w:szCs w:val="20"/>
                <w:color w:val="auto"/>
              </w:rPr>
            </w:pPr>
            <w:r>
              <w:rPr>
                <w:rFonts w:ascii="Arial" w:cs="Arial" w:eastAsia="Arial" w:hAnsi="Arial"/>
                <w:sz w:val="16"/>
                <w:szCs w:val="16"/>
                <w:color w:val="auto"/>
              </w:rPr>
              <w:t>848,064</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R. G. Delagi</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902,748</w:t>
            </w:r>
          </w:p>
        </w:tc>
        <w:tc>
          <w:tcPr>
            <w:tcW w:w="760" w:type="dxa"/>
            <w:vAlign w:val="bottom"/>
            <w:shd w:val="clear" w:color="auto" w:fill="E9E9E9"/>
          </w:tcPr>
          <w:p>
            <w:pPr>
              <w:jc w:val="right"/>
              <w:ind w:right="1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6420" w:type="dxa"/>
            <w:vAlign w:val="bottom"/>
            <w:shd w:val="clear" w:color="auto" w:fill="E9E9E9"/>
          </w:tcPr>
          <w:p>
            <w:pPr>
              <w:spacing w:after="0"/>
              <w:rPr>
                <w:sz w:val="20"/>
                <w:szCs w:val="20"/>
                <w:color w:val="auto"/>
              </w:rPr>
            </w:pPr>
            <w:r>
              <w:rPr>
                <w:rFonts w:ascii="Arial" w:cs="Arial" w:eastAsia="Arial" w:hAnsi="Arial"/>
                <w:sz w:val="16"/>
                <w:szCs w:val="16"/>
                <w:color w:val="auto"/>
              </w:rPr>
              <w:t>All executive officers and directors as a group (3)</w:t>
            </w:r>
          </w:p>
        </w:tc>
        <w:tc>
          <w:tcPr>
            <w:tcW w:w="4220" w:type="dxa"/>
            <w:vAlign w:val="bottom"/>
            <w:shd w:val="clear" w:color="auto" w:fill="E9E9E9"/>
          </w:tcPr>
          <w:p>
            <w:pPr>
              <w:jc w:val="right"/>
              <w:ind w:right="262"/>
              <w:spacing w:after="0"/>
              <w:rPr>
                <w:sz w:val="20"/>
                <w:szCs w:val="20"/>
                <w:color w:val="auto"/>
              </w:rPr>
            </w:pPr>
            <w:r>
              <w:rPr>
                <w:rFonts w:ascii="Arial" w:cs="Arial" w:eastAsia="Arial" w:hAnsi="Arial"/>
                <w:sz w:val="16"/>
                <w:szCs w:val="16"/>
                <w:color w:val="auto"/>
              </w:rPr>
              <w:t>12,644,961</w:t>
            </w:r>
          </w:p>
        </w:tc>
        <w:tc>
          <w:tcPr>
            <w:tcW w:w="760" w:type="dxa"/>
            <w:vAlign w:val="bottom"/>
            <w:shd w:val="clear" w:color="auto" w:fill="E9E9E9"/>
          </w:tcPr>
          <w:p>
            <w:pPr>
              <w:jc w:val="right"/>
              <w:ind w:right="21"/>
              <w:spacing w:after="0"/>
              <w:rPr>
                <w:sz w:val="20"/>
                <w:szCs w:val="20"/>
                <w:color w:val="auto"/>
              </w:rPr>
            </w:pPr>
            <w:r>
              <w:rPr>
                <w:rFonts w:ascii="Arial" w:cs="Arial" w:eastAsia="Arial" w:hAnsi="Arial"/>
                <w:sz w:val="16"/>
                <w:szCs w:val="16"/>
                <w:color w:val="auto"/>
              </w:rPr>
              <w:t>1.17</w:t>
            </w:r>
            <w:r>
              <w:rPr>
                <w:rFonts w:ascii="Arial" w:cs="Arial" w:eastAsia="Arial" w:hAnsi="Arial"/>
                <w:sz w:val="12"/>
                <w:szCs w:val="12"/>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440" w:type="dxa"/>
            <w:vAlign w:val="bottom"/>
            <w:gridSpan w:val="2"/>
          </w:tcPr>
          <w:p>
            <w:pPr>
              <w:spacing w:after="0"/>
              <w:rPr>
                <w:sz w:val="20"/>
                <w:szCs w:val="20"/>
                <w:color w:val="auto"/>
              </w:rPr>
            </w:pPr>
            <w:r>
              <w:rPr>
                <w:rFonts w:ascii="Arial" w:cs="Arial" w:eastAsia="Arial" w:hAnsi="Arial"/>
                <w:sz w:val="16"/>
                <w:szCs w:val="16"/>
                <w:color w:val="auto"/>
              </w:rPr>
              <w:t>*  less than 1 percent</w:t>
            </w:r>
          </w:p>
        </w:tc>
        <w:tc>
          <w:tcPr>
            <w:tcW w:w="4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440" w:type="dxa"/>
            <w:vAlign w:val="bottom"/>
            <w:gridSpan w:val="2"/>
          </w:tcPr>
          <w:p>
            <w:pPr>
              <w:spacing w:after="0"/>
              <w:rPr>
                <w:sz w:val="20"/>
                <w:szCs w:val="20"/>
                <w:color w:val="auto"/>
              </w:rPr>
            </w:pPr>
            <w:r>
              <w:rPr>
                <w:rFonts w:ascii="Arial" w:cs="Arial" w:eastAsia="Arial" w:hAnsi="Arial"/>
                <w:sz w:val="13"/>
                <w:szCs w:val="13"/>
                <w:b w:val="1"/>
                <w:bCs w:val="1"/>
                <w:color w:val="808285"/>
              </w:rPr>
              <w:t>TEXAS INSTRUMENTS</w:t>
            </w:r>
          </w:p>
        </w:tc>
        <w:tc>
          <w:tcPr>
            <w:tcW w:w="5020" w:type="dxa"/>
            <w:vAlign w:val="bottom"/>
            <w:gridSpan w:val="3"/>
          </w:tcPr>
          <w:p>
            <w:pPr>
              <w:ind w:left="3060"/>
              <w:spacing w:after="0"/>
              <w:rPr>
                <w:sz w:val="20"/>
                <w:szCs w:val="20"/>
                <w:color w:val="auto"/>
              </w:rPr>
            </w:pPr>
            <w:r>
              <w:rPr>
                <w:rFonts w:ascii="Arial" w:cs="Arial" w:eastAsia="Arial" w:hAnsi="Arial"/>
                <w:sz w:val="13"/>
                <w:szCs w:val="13"/>
                <w:b w:val="1"/>
                <w:bCs w:val="1"/>
                <w:color w:val="808285"/>
                <w:w w:val="99"/>
              </w:rPr>
              <w:t xml:space="preserve">2014 PROXY STATEMENT </w:t>
            </w:r>
            <w:r>
              <w:rPr>
                <w:rFonts w:ascii="Times New Roman" w:cs="Times New Roman" w:eastAsia="Times New Roman" w:hAnsi="Times New Roman"/>
                <w:sz w:val="13"/>
                <w:szCs w:val="13"/>
                <w:b w:val="1"/>
                <w:bCs w:val="1"/>
                <w:color w:val="808285"/>
                <w:w w:val="99"/>
              </w:rPr>
              <w:t>•</w:t>
            </w:r>
            <w:r>
              <w:rPr>
                <w:rFonts w:ascii="Arial" w:cs="Arial" w:eastAsia="Arial" w:hAnsi="Arial"/>
                <w:sz w:val="13"/>
                <w:szCs w:val="13"/>
                <w:b w:val="1"/>
                <w:bCs w:val="1"/>
                <w:color w:val="808285"/>
                <w:w w:val="99"/>
              </w:rPr>
              <w:t xml:space="preserve"> 101</w:t>
            </w:r>
          </w:p>
        </w:tc>
        <w:tc>
          <w:tcPr>
            <w:tcW w:w="0" w:type="dxa"/>
            <w:vAlign w:val="bottom"/>
          </w:tcPr>
          <w:p>
            <w:pPr>
              <w:spacing w:after="0"/>
              <w:rPr>
                <w:sz w:val="1"/>
                <w:szCs w:val="1"/>
                <w:color w:val="auto"/>
              </w:rPr>
            </w:pPr>
          </w:p>
        </w:tc>
      </w:tr>
      <w:tr>
        <w:trPr>
          <w:trHeight w:val="363"/>
        </w:trPr>
        <w:tc>
          <w:tcPr>
            <w:tcW w:w="20" w:type="dxa"/>
            <w:vAlign w:val="bottom"/>
            <w:tcBorders>
              <w:bottom w:val="single" w:sz="8" w:color="808080"/>
            </w:tcBorders>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48" w:right="199" w:bottom="1440" w:gutter="0" w:footer="0" w:header="0"/>
        </w:sectPr>
      </w:pPr>
    </w:p>
    <w:bookmarkStart w:id="48" w:name="page49"/>
    <w:bookmarkEnd w:id="48"/>
    <w:p>
      <w:pPr>
        <w:ind w:left="440" w:hanging="440"/>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the shares owned shown above 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center"/>
              <w:ind w:left="65"/>
              <w:spacing w:after="0"/>
              <w:rPr>
                <w:sz w:val="20"/>
                <w:szCs w:val="20"/>
                <w:color w:val="auto"/>
              </w:rPr>
            </w:pPr>
            <w:r>
              <w:rPr>
                <w:rFonts w:ascii="Arial" w:cs="Arial" w:eastAsia="Arial" w:hAnsi="Arial"/>
                <w:sz w:val="13"/>
                <w:szCs w:val="13"/>
                <w:b w:val="1"/>
                <w:bCs w:val="1"/>
                <w:color w:val="auto"/>
                <w:w w:val="96"/>
              </w:rPr>
              <w:t>Shares</w:t>
            </w:r>
          </w:p>
        </w:tc>
      </w:tr>
      <w:tr>
        <w:trPr>
          <w:trHeight w:val="225"/>
        </w:trPr>
        <w:tc>
          <w:tcPr>
            <w:tcW w:w="40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jc w:val="center"/>
              <w:ind w:left="85"/>
              <w:spacing w:after="0"/>
              <w:rPr>
                <w:sz w:val="20"/>
                <w:szCs w:val="20"/>
                <w:color w:val="auto"/>
              </w:rPr>
            </w:pPr>
            <w:r>
              <w:rPr>
                <w:rFonts w:ascii="Arial" w:cs="Arial" w:eastAsia="Arial" w:hAnsi="Arial"/>
                <w:sz w:val="13"/>
                <w:szCs w:val="13"/>
                <w:b w:val="1"/>
                <w:bCs w:val="1"/>
                <w:color w:val="auto"/>
                <w:w w:val="98"/>
              </w:rPr>
              <w:t>Credited</w:t>
            </w:r>
          </w:p>
        </w:tc>
      </w:tr>
      <w:tr>
        <w:trPr>
          <w:trHeight w:val="225"/>
        </w:trPr>
        <w:tc>
          <w:tcPr>
            <w:tcW w:w="4000" w:type="dxa"/>
            <w:vAlign w:val="bottom"/>
          </w:tcPr>
          <w:p>
            <w:pPr>
              <w:spacing w:after="0"/>
              <w:rPr>
                <w:sz w:val="19"/>
                <w:szCs w:val="19"/>
                <w:color w:val="auto"/>
              </w:rPr>
            </w:pPr>
          </w:p>
        </w:tc>
        <w:tc>
          <w:tcPr>
            <w:tcW w:w="3920" w:type="dxa"/>
            <w:vAlign w:val="bottom"/>
          </w:tcPr>
          <w:p>
            <w:pPr>
              <w:jc w:val="center"/>
              <w:ind w:left="2583"/>
              <w:spacing w:after="0"/>
              <w:rPr>
                <w:sz w:val="20"/>
                <w:szCs w:val="20"/>
                <w:color w:val="auto"/>
              </w:rPr>
            </w:pPr>
            <w:r>
              <w:rPr>
                <w:rFonts w:ascii="Arial" w:cs="Arial" w:eastAsia="Arial" w:hAnsi="Arial"/>
                <w:sz w:val="13"/>
                <w:szCs w:val="13"/>
                <w:b w:val="1"/>
                <w:bCs w:val="1"/>
                <w:color w:val="auto"/>
                <w:w w:val="96"/>
              </w:rPr>
              <w:t>Shares</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1180" w:type="dxa"/>
            <w:vAlign w:val="bottom"/>
          </w:tcPr>
          <w:p>
            <w:pPr>
              <w:spacing w:after="0"/>
              <w:rPr>
                <w:sz w:val="19"/>
                <w:szCs w:val="19"/>
                <w:color w:val="auto"/>
              </w:rPr>
            </w:pPr>
          </w:p>
        </w:tc>
        <w:tc>
          <w:tcPr>
            <w:tcW w:w="1040" w:type="dxa"/>
            <w:vAlign w:val="bottom"/>
          </w:tcPr>
          <w:p>
            <w:pPr>
              <w:jc w:val="center"/>
              <w:ind w:left="85"/>
              <w:spacing w:after="0"/>
              <w:rPr>
                <w:sz w:val="20"/>
                <w:szCs w:val="20"/>
                <w:color w:val="auto"/>
              </w:rPr>
            </w:pPr>
            <w:r>
              <w:rPr>
                <w:rFonts w:ascii="Arial" w:cs="Arial" w:eastAsia="Arial" w:hAnsi="Arial"/>
                <w:sz w:val="13"/>
                <w:szCs w:val="13"/>
                <w:b w:val="1"/>
                <w:bCs w:val="1"/>
                <w:color w:val="auto"/>
                <w:w w:val="97"/>
              </w:rPr>
              <w:t>to Deferred</w:t>
            </w:r>
          </w:p>
        </w:tc>
      </w:tr>
      <w:tr>
        <w:trPr>
          <w:trHeight w:val="225"/>
        </w:trPr>
        <w:tc>
          <w:tcPr>
            <w:tcW w:w="4000" w:type="dxa"/>
            <w:vAlign w:val="bottom"/>
          </w:tcPr>
          <w:p>
            <w:pPr>
              <w:spacing w:after="0"/>
              <w:rPr>
                <w:sz w:val="19"/>
                <w:szCs w:val="19"/>
                <w:color w:val="auto"/>
              </w:rPr>
            </w:pPr>
          </w:p>
        </w:tc>
        <w:tc>
          <w:tcPr>
            <w:tcW w:w="3920" w:type="dxa"/>
            <w:vAlign w:val="bottom"/>
          </w:tcPr>
          <w:p>
            <w:pPr>
              <w:jc w:val="center"/>
              <w:ind w:left="2583"/>
              <w:spacing w:after="0"/>
              <w:rPr>
                <w:sz w:val="20"/>
                <w:szCs w:val="20"/>
                <w:color w:val="auto"/>
              </w:rPr>
            </w:pPr>
            <w:r>
              <w:rPr>
                <w:rFonts w:ascii="Arial" w:cs="Arial" w:eastAsia="Arial" w:hAnsi="Arial"/>
                <w:sz w:val="13"/>
                <w:szCs w:val="13"/>
                <w:b w:val="1"/>
                <w:bCs w:val="1"/>
                <w:color w:val="auto"/>
                <w:w w:val="98"/>
              </w:rPr>
              <w:t>Obtainable</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Credited to</w:t>
            </w:r>
          </w:p>
        </w:tc>
        <w:tc>
          <w:tcPr>
            <w:tcW w:w="1180" w:type="dxa"/>
            <w:vAlign w:val="bottom"/>
          </w:tcPr>
          <w:p>
            <w:pPr>
              <w:jc w:val="right"/>
              <w:ind w:right="342"/>
              <w:spacing w:after="0"/>
              <w:rPr>
                <w:sz w:val="20"/>
                <w:szCs w:val="20"/>
                <w:color w:val="auto"/>
              </w:rPr>
            </w:pPr>
            <w:r>
              <w:rPr>
                <w:rFonts w:ascii="Arial" w:cs="Arial" w:eastAsia="Arial" w:hAnsi="Arial"/>
                <w:sz w:val="13"/>
                <w:szCs w:val="13"/>
                <w:b w:val="1"/>
                <w:bCs w:val="1"/>
                <w:color w:val="auto"/>
              </w:rPr>
              <w:t>RSUs</w:t>
            </w:r>
          </w:p>
        </w:tc>
        <w:tc>
          <w:tcPr>
            <w:tcW w:w="1040" w:type="dxa"/>
            <w:vAlign w:val="bottom"/>
          </w:tcPr>
          <w:p>
            <w:pPr>
              <w:jc w:val="center"/>
              <w:ind w:left="85"/>
              <w:spacing w:after="0"/>
              <w:rPr>
                <w:sz w:val="20"/>
                <w:szCs w:val="20"/>
                <w:color w:val="auto"/>
              </w:rPr>
            </w:pPr>
            <w:r>
              <w:rPr>
                <w:rFonts w:ascii="Arial" w:cs="Arial" w:eastAsia="Arial" w:hAnsi="Arial"/>
                <w:sz w:val="13"/>
                <w:szCs w:val="13"/>
                <w:b w:val="1"/>
                <w:bCs w:val="1"/>
                <w:color w:val="auto"/>
                <w:w w:val="97"/>
              </w:rPr>
              <w:t>Compensation</w:t>
            </w:r>
          </w:p>
        </w:tc>
      </w:tr>
      <w:tr>
        <w:trPr>
          <w:trHeight w:val="225"/>
        </w:trPr>
        <w:tc>
          <w:tcPr>
            <w:tcW w:w="4000" w:type="dxa"/>
            <w:vAlign w:val="bottom"/>
          </w:tcPr>
          <w:p>
            <w:pPr>
              <w:spacing w:after="0"/>
              <w:rPr>
                <w:sz w:val="20"/>
                <w:szCs w:val="20"/>
                <w:color w:val="auto"/>
              </w:rPr>
            </w:pPr>
            <w:r>
              <w:rPr>
                <w:rFonts w:ascii="Arial" w:cs="Arial" w:eastAsia="Arial" w:hAnsi="Arial"/>
                <w:sz w:val="13"/>
                <w:szCs w:val="13"/>
                <w:b w:val="1"/>
                <w:bCs w:val="1"/>
                <w:color w:val="auto"/>
              </w:rPr>
              <w:t>Directors</w:t>
            </w:r>
          </w:p>
        </w:tc>
        <w:tc>
          <w:tcPr>
            <w:tcW w:w="3920" w:type="dxa"/>
            <w:vAlign w:val="bottom"/>
          </w:tcPr>
          <w:p>
            <w:pPr>
              <w:jc w:val="center"/>
              <w:ind w:left="2583"/>
              <w:spacing w:after="0"/>
              <w:rPr>
                <w:sz w:val="20"/>
                <w:szCs w:val="20"/>
                <w:color w:val="auto"/>
              </w:rPr>
            </w:pPr>
            <w:r>
              <w:rPr>
                <w:rFonts w:ascii="Arial" w:cs="Arial" w:eastAsia="Arial" w:hAnsi="Arial"/>
                <w:sz w:val="13"/>
                <w:szCs w:val="13"/>
                <w:b w:val="1"/>
                <w:bCs w:val="1"/>
                <w:color w:val="auto"/>
                <w:w w:val="95"/>
              </w:rPr>
              <w:t>within 60 Days</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401(k) Account</w:t>
            </w:r>
          </w:p>
        </w:tc>
        <w:tc>
          <w:tcPr>
            <w:tcW w:w="1180" w:type="dxa"/>
            <w:vAlign w:val="bottom"/>
          </w:tcPr>
          <w:p>
            <w:pPr>
              <w:jc w:val="right"/>
              <w:ind w:right="102"/>
              <w:spacing w:after="0"/>
              <w:rPr>
                <w:sz w:val="20"/>
                <w:szCs w:val="20"/>
                <w:color w:val="auto"/>
              </w:rPr>
            </w:pPr>
            <w:r>
              <w:rPr>
                <w:rFonts w:ascii="Arial" w:cs="Arial" w:eastAsia="Arial" w:hAnsi="Arial"/>
                <w:sz w:val="13"/>
                <w:szCs w:val="13"/>
                <w:b w:val="1"/>
                <w:bCs w:val="1"/>
                <w:color w:val="auto"/>
              </w:rPr>
              <w:t>(in Shares) (a)</w:t>
            </w:r>
          </w:p>
        </w:tc>
        <w:tc>
          <w:tcPr>
            <w:tcW w:w="1040" w:type="dxa"/>
            <w:vAlign w:val="bottom"/>
          </w:tcPr>
          <w:p>
            <w:pPr>
              <w:jc w:val="center"/>
              <w:ind w:left="85"/>
              <w:spacing w:after="0"/>
              <w:rPr>
                <w:sz w:val="20"/>
                <w:szCs w:val="20"/>
                <w:color w:val="auto"/>
              </w:rPr>
            </w:pPr>
            <w:r>
              <w:rPr>
                <w:rFonts w:ascii="Arial" w:cs="Arial" w:eastAsia="Arial" w:hAnsi="Arial"/>
                <w:sz w:val="13"/>
                <w:szCs w:val="13"/>
                <w:b w:val="1"/>
                <w:bCs w:val="1"/>
                <w:color w:val="auto"/>
                <w:w w:val="95"/>
              </w:rPr>
              <w:t>Accounts (b)</w:t>
            </w:r>
          </w:p>
        </w:tc>
      </w:tr>
      <w:tr>
        <w:trPr>
          <w:trHeight w:val="29"/>
        </w:trPr>
        <w:tc>
          <w:tcPr>
            <w:tcW w:w="40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R. W. Babb, Jr.</w:t>
            </w:r>
          </w:p>
        </w:tc>
        <w:tc>
          <w:tcPr>
            <w:tcW w:w="3920" w:type="dxa"/>
            <w:vAlign w:val="bottom"/>
            <w:shd w:val="clear" w:color="auto" w:fill="E9E9E9"/>
          </w:tcPr>
          <w:p>
            <w:pPr>
              <w:jc w:val="right"/>
              <w:ind w:right="183"/>
              <w:spacing w:after="0"/>
              <w:rPr>
                <w:sz w:val="20"/>
                <w:szCs w:val="20"/>
                <w:color w:val="auto"/>
              </w:rPr>
            </w:pPr>
            <w:r>
              <w:rPr>
                <w:rFonts w:ascii="Arial" w:cs="Arial" w:eastAsia="Arial" w:hAnsi="Arial"/>
                <w:sz w:val="16"/>
                <w:szCs w:val="16"/>
                <w:color w:val="auto"/>
              </w:rPr>
              <w:t>17,266</w:t>
            </w:r>
          </w:p>
        </w:tc>
        <w:tc>
          <w:tcPr>
            <w:tcW w:w="1280" w:type="dxa"/>
            <w:vAlign w:val="bottom"/>
            <w:shd w:val="clear" w:color="auto" w:fill="E9E9E9"/>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22"/>
              <w:spacing w:after="0"/>
              <w:rPr>
                <w:sz w:val="20"/>
                <w:szCs w:val="20"/>
                <w:color w:val="auto"/>
              </w:rPr>
            </w:pPr>
            <w:r>
              <w:rPr>
                <w:rFonts w:ascii="Arial" w:cs="Arial" w:eastAsia="Arial" w:hAnsi="Arial"/>
                <w:sz w:val="16"/>
                <w:szCs w:val="16"/>
                <w:color w:val="auto"/>
              </w:rPr>
              <w:t>11,025</w:t>
            </w:r>
          </w:p>
        </w:tc>
        <w:tc>
          <w:tcPr>
            <w:tcW w:w="10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11,174</w:t>
            </w:r>
          </w:p>
        </w:tc>
      </w:tr>
      <w:tr>
        <w:trPr>
          <w:trHeight w:val="219"/>
        </w:trPr>
        <w:tc>
          <w:tcPr>
            <w:tcW w:w="4000" w:type="dxa"/>
            <w:vAlign w:val="bottom"/>
          </w:tcPr>
          <w:p>
            <w:pPr>
              <w:spacing w:after="0"/>
              <w:rPr>
                <w:sz w:val="20"/>
                <w:szCs w:val="20"/>
                <w:color w:val="auto"/>
              </w:rPr>
            </w:pPr>
            <w:r>
              <w:rPr>
                <w:rFonts w:ascii="Arial" w:cs="Arial" w:eastAsia="Arial" w:hAnsi="Arial"/>
                <w:sz w:val="16"/>
                <w:szCs w:val="16"/>
                <w:color w:val="auto"/>
              </w:rPr>
              <w:t>M. A. Blinn</w:t>
            </w:r>
          </w:p>
        </w:tc>
        <w:tc>
          <w:tcPr>
            <w:tcW w:w="39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2,000</w:t>
            </w:r>
          </w:p>
        </w:tc>
        <w:tc>
          <w:tcPr>
            <w:tcW w:w="1040" w:type="dxa"/>
            <w:vAlign w:val="bottom"/>
          </w:tcPr>
          <w:p>
            <w:pPr>
              <w:jc w:val="right"/>
              <w:ind w:right="125"/>
              <w:spacing w:after="0"/>
              <w:rPr>
                <w:sz w:val="20"/>
                <w:szCs w:val="20"/>
                <w:color w:val="auto"/>
              </w:rPr>
            </w:pPr>
            <w:r>
              <w:rPr>
                <w:rFonts w:ascii="Arial" w:cs="Arial" w:eastAsia="Arial" w:hAnsi="Arial"/>
                <w:sz w:val="16"/>
                <w:szCs w:val="16"/>
                <w:color w:val="auto"/>
              </w:rPr>
              <w:t>1,867</w:t>
            </w:r>
          </w:p>
        </w:tc>
      </w:tr>
      <w:tr>
        <w:trPr>
          <w:trHeight w:val="231"/>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3920" w:type="dxa"/>
            <w:vAlign w:val="bottom"/>
            <w:shd w:val="clear" w:color="auto" w:fill="E9E9E9"/>
          </w:tcPr>
          <w:p>
            <w:pPr>
              <w:jc w:val="right"/>
              <w:ind w:right="183"/>
              <w:spacing w:after="0"/>
              <w:rPr>
                <w:sz w:val="20"/>
                <w:szCs w:val="20"/>
                <w:color w:val="auto"/>
              </w:rPr>
            </w:pPr>
            <w:r>
              <w:rPr>
                <w:rFonts w:ascii="Arial" w:cs="Arial" w:eastAsia="Arial" w:hAnsi="Arial"/>
                <w:sz w:val="16"/>
                <w:szCs w:val="16"/>
                <w:color w:val="auto"/>
              </w:rPr>
              <w:t>60,266</w:t>
            </w:r>
          </w:p>
        </w:tc>
        <w:tc>
          <w:tcPr>
            <w:tcW w:w="1280" w:type="dxa"/>
            <w:vAlign w:val="bottom"/>
            <w:shd w:val="clear" w:color="auto" w:fill="E9E9E9"/>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22"/>
              <w:spacing w:after="0"/>
              <w:rPr>
                <w:sz w:val="20"/>
                <w:szCs w:val="20"/>
                <w:color w:val="auto"/>
              </w:rPr>
            </w:pPr>
            <w:r>
              <w:rPr>
                <w:rFonts w:ascii="Arial" w:cs="Arial" w:eastAsia="Arial" w:hAnsi="Arial"/>
                <w:sz w:val="16"/>
                <w:szCs w:val="16"/>
                <w:color w:val="auto"/>
              </w:rPr>
              <w:t>27,689</w:t>
            </w:r>
          </w:p>
        </w:tc>
        <w:tc>
          <w:tcPr>
            <w:tcW w:w="10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35,817</w:t>
            </w:r>
          </w:p>
        </w:tc>
      </w:tr>
      <w:tr>
        <w:trPr>
          <w:trHeight w:val="219"/>
        </w:trPr>
        <w:tc>
          <w:tcPr>
            <w:tcW w:w="4000" w:type="dxa"/>
            <w:vAlign w:val="bottom"/>
          </w:tcPr>
          <w:p>
            <w:pPr>
              <w:spacing w:after="0"/>
              <w:rPr>
                <w:sz w:val="20"/>
                <w:szCs w:val="20"/>
                <w:color w:val="auto"/>
              </w:rPr>
            </w:pPr>
            <w:r>
              <w:rPr>
                <w:rFonts w:ascii="Arial" w:cs="Arial" w:eastAsia="Arial" w:hAnsi="Arial"/>
                <w:sz w:val="16"/>
                <w:szCs w:val="16"/>
                <w:color w:val="auto"/>
              </w:rPr>
              <w:t>C. S. Cox</w:t>
            </w:r>
          </w:p>
        </w:tc>
        <w:tc>
          <w:tcPr>
            <w:tcW w:w="3920" w:type="dxa"/>
            <w:vAlign w:val="bottom"/>
          </w:tcPr>
          <w:p>
            <w:pPr>
              <w:jc w:val="right"/>
              <w:ind w:right="183"/>
              <w:spacing w:after="0"/>
              <w:rPr>
                <w:sz w:val="20"/>
                <w:szCs w:val="20"/>
                <w:color w:val="auto"/>
              </w:rPr>
            </w:pPr>
            <w:r>
              <w:rPr>
                <w:rFonts w:ascii="Arial" w:cs="Arial" w:eastAsia="Arial" w:hAnsi="Arial"/>
                <w:sz w:val="16"/>
                <w:szCs w:val="16"/>
                <w:color w:val="auto"/>
              </w:rPr>
              <w:t>60,266</w:t>
            </w:r>
          </w:p>
        </w:tc>
        <w:tc>
          <w:tcPr>
            <w:tcW w:w="128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21,025</w:t>
            </w:r>
          </w:p>
        </w:tc>
        <w:tc>
          <w:tcPr>
            <w:tcW w:w="1040" w:type="dxa"/>
            <w:vAlign w:val="bottom"/>
          </w:tcPr>
          <w:p>
            <w:pPr>
              <w:jc w:val="right"/>
              <w:ind w:right="125"/>
              <w:spacing w:after="0"/>
              <w:rPr>
                <w:sz w:val="20"/>
                <w:szCs w:val="20"/>
                <w:color w:val="auto"/>
              </w:rPr>
            </w:pPr>
            <w:r>
              <w:rPr>
                <w:rFonts w:ascii="Arial" w:cs="Arial" w:eastAsia="Arial" w:hAnsi="Arial"/>
                <w:sz w:val="16"/>
                <w:szCs w:val="16"/>
                <w:color w:val="auto"/>
              </w:rPr>
              <w:t>976</w:t>
            </w:r>
          </w:p>
        </w:tc>
      </w:tr>
      <w:tr>
        <w:trPr>
          <w:trHeight w:val="231"/>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R. Kirk</w:t>
            </w:r>
          </w:p>
        </w:tc>
        <w:tc>
          <w:tcPr>
            <w:tcW w:w="3920" w:type="dxa"/>
            <w:vAlign w:val="bottom"/>
            <w:shd w:val="clear" w:color="auto" w:fill="E9E9E9"/>
          </w:tcPr>
          <w:p>
            <w:pPr>
              <w:jc w:val="right"/>
              <w:ind w:right="183"/>
              <w:spacing w:after="0"/>
              <w:rPr>
                <w:sz w:val="20"/>
                <w:szCs w:val="20"/>
                <w:color w:val="auto"/>
              </w:rPr>
            </w:pPr>
            <w:r>
              <w:rPr>
                <w:rFonts w:ascii="Arial" w:cs="Arial" w:eastAsia="Arial" w:hAnsi="Arial"/>
                <w:sz w:val="16"/>
                <w:szCs w:val="16"/>
                <w:color w:val="auto"/>
              </w:rPr>
              <w:t>—</w:t>
            </w:r>
          </w:p>
        </w:tc>
        <w:tc>
          <w:tcPr>
            <w:tcW w:w="1280" w:type="dxa"/>
            <w:vAlign w:val="bottom"/>
            <w:shd w:val="clear" w:color="auto" w:fill="E9E9E9"/>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22"/>
              <w:spacing w:after="0"/>
              <w:rPr>
                <w:sz w:val="20"/>
                <w:szCs w:val="20"/>
                <w:color w:val="auto"/>
              </w:rPr>
            </w:pPr>
            <w:r>
              <w:rPr>
                <w:rFonts w:ascii="Arial" w:cs="Arial" w:eastAsia="Arial" w:hAnsi="Arial"/>
                <w:sz w:val="16"/>
                <w:szCs w:val="16"/>
                <w:color w:val="auto"/>
              </w:rPr>
              <w:t>2,000</w:t>
            </w:r>
          </w:p>
        </w:tc>
        <w:tc>
          <w:tcPr>
            <w:tcW w:w="10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r>
      <w:tr>
        <w:trPr>
          <w:trHeight w:val="219"/>
        </w:trPr>
        <w:tc>
          <w:tcPr>
            <w:tcW w:w="4000" w:type="dxa"/>
            <w:vAlign w:val="bottom"/>
          </w:tcPr>
          <w:p>
            <w:pPr>
              <w:spacing w:after="0"/>
              <w:rPr>
                <w:sz w:val="20"/>
                <w:szCs w:val="20"/>
                <w:color w:val="auto"/>
              </w:rPr>
            </w:pPr>
            <w:r>
              <w:rPr>
                <w:rFonts w:ascii="Arial" w:cs="Arial" w:eastAsia="Arial" w:hAnsi="Arial"/>
                <w:sz w:val="16"/>
                <w:szCs w:val="16"/>
                <w:color w:val="auto"/>
              </w:rPr>
              <w:t>P. H. Patsley</w:t>
            </w:r>
          </w:p>
        </w:tc>
        <w:tc>
          <w:tcPr>
            <w:tcW w:w="3920" w:type="dxa"/>
            <w:vAlign w:val="bottom"/>
          </w:tcPr>
          <w:p>
            <w:pPr>
              <w:jc w:val="right"/>
              <w:ind w:right="183"/>
              <w:spacing w:after="0"/>
              <w:rPr>
                <w:sz w:val="20"/>
                <w:szCs w:val="20"/>
                <w:color w:val="auto"/>
              </w:rPr>
            </w:pPr>
            <w:r>
              <w:rPr>
                <w:rFonts w:ascii="Arial" w:cs="Arial" w:eastAsia="Arial" w:hAnsi="Arial"/>
                <w:sz w:val="16"/>
                <w:szCs w:val="16"/>
                <w:color w:val="auto"/>
              </w:rPr>
              <w:t>75,266</w:t>
            </w:r>
          </w:p>
        </w:tc>
        <w:tc>
          <w:tcPr>
            <w:tcW w:w="128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13,525</w:t>
            </w:r>
          </w:p>
        </w:tc>
        <w:tc>
          <w:tcPr>
            <w:tcW w:w="1040" w:type="dxa"/>
            <w:vAlign w:val="bottom"/>
          </w:tcPr>
          <w:p>
            <w:pPr>
              <w:jc w:val="right"/>
              <w:ind w:right="125"/>
              <w:spacing w:after="0"/>
              <w:rPr>
                <w:sz w:val="20"/>
                <w:szCs w:val="20"/>
                <w:color w:val="auto"/>
              </w:rPr>
            </w:pPr>
            <w:r>
              <w:rPr>
                <w:rFonts w:ascii="Arial" w:cs="Arial" w:eastAsia="Arial" w:hAnsi="Arial"/>
                <w:sz w:val="16"/>
                <w:szCs w:val="16"/>
                <w:color w:val="auto"/>
              </w:rPr>
              <w:t>35,337</w:t>
            </w:r>
          </w:p>
        </w:tc>
      </w:tr>
      <w:tr>
        <w:trPr>
          <w:trHeight w:val="231"/>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R. E. Sanchez</w:t>
            </w:r>
          </w:p>
        </w:tc>
        <w:tc>
          <w:tcPr>
            <w:tcW w:w="3920" w:type="dxa"/>
            <w:vAlign w:val="bottom"/>
            <w:shd w:val="clear" w:color="auto" w:fill="E9E9E9"/>
          </w:tcPr>
          <w:p>
            <w:pPr>
              <w:jc w:val="right"/>
              <w:ind w:right="183"/>
              <w:spacing w:after="0"/>
              <w:rPr>
                <w:sz w:val="20"/>
                <w:szCs w:val="20"/>
                <w:color w:val="auto"/>
              </w:rPr>
            </w:pPr>
            <w:r>
              <w:rPr>
                <w:rFonts w:ascii="Arial" w:cs="Arial" w:eastAsia="Arial" w:hAnsi="Arial"/>
                <w:sz w:val="16"/>
                <w:szCs w:val="16"/>
                <w:color w:val="auto"/>
              </w:rPr>
              <w:t>9,765</w:t>
            </w:r>
          </w:p>
        </w:tc>
        <w:tc>
          <w:tcPr>
            <w:tcW w:w="1280" w:type="dxa"/>
            <w:vAlign w:val="bottom"/>
            <w:shd w:val="clear" w:color="auto" w:fill="E9E9E9"/>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22"/>
              <w:spacing w:after="0"/>
              <w:rPr>
                <w:sz w:val="20"/>
                <w:szCs w:val="20"/>
                <w:color w:val="auto"/>
              </w:rPr>
            </w:pPr>
            <w:r>
              <w:rPr>
                <w:rFonts w:ascii="Arial" w:cs="Arial" w:eastAsia="Arial" w:hAnsi="Arial"/>
                <w:sz w:val="16"/>
                <w:szCs w:val="16"/>
                <w:color w:val="auto"/>
              </w:rPr>
              <w:t>8,138</w:t>
            </w:r>
          </w:p>
        </w:tc>
        <w:tc>
          <w:tcPr>
            <w:tcW w:w="10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r>
      <w:tr>
        <w:trPr>
          <w:trHeight w:val="219"/>
        </w:trPr>
        <w:tc>
          <w:tcPr>
            <w:tcW w:w="4000" w:type="dxa"/>
            <w:vAlign w:val="bottom"/>
          </w:tcPr>
          <w:p>
            <w:pPr>
              <w:spacing w:after="0"/>
              <w:rPr>
                <w:sz w:val="20"/>
                <w:szCs w:val="20"/>
                <w:color w:val="auto"/>
              </w:rPr>
            </w:pPr>
            <w:r>
              <w:rPr>
                <w:rFonts w:ascii="Arial" w:cs="Arial" w:eastAsia="Arial" w:hAnsi="Arial"/>
                <w:sz w:val="16"/>
                <w:szCs w:val="16"/>
                <w:color w:val="auto"/>
              </w:rPr>
              <w:t>W. R. Sanders</w:t>
            </w:r>
          </w:p>
        </w:tc>
        <w:tc>
          <w:tcPr>
            <w:tcW w:w="3920" w:type="dxa"/>
            <w:vAlign w:val="bottom"/>
          </w:tcPr>
          <w:p>
            <w:pPr>
              <w:jc w:val="right"/>
              <w:ind w:right="183"/>
              <w:spacing w:after="0"/>
              <w:rPr>
                <w:sz w:val="20"/>
                <w:szCs w:val="20"/>
                <w:color w:val="auto"/>
              </w:rPr>
            </w:pPr>
            <w:r>
              <w:rPr>
                <w:rFonts w:ascii="Arial" w:cs="Arial" w:eastAsia="Arial" w:hAnsi="Arial"/>
                <w:sz w:val="16"/>
                <w:szCs w:val="16"/>
                <w:color w:val="auto"/>
              </w:rPr>
              <w:t>55,016</w:t>
            </w:r>
          </w:p>
        </w:tc>
        <w:tc>
          <w:tcPr>
            <w:tcW w:w="128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21,125</w:t>
            </w:r>
          </w:p>
        </w:tc>
        <w:tc>
          <w:tcPr>
            <w:tcW w:w="1040" w:type="dxa"/>
            <w:vAlign w:val="bottom"/>
          </w:tcPr>
          <w:p>
            <w:pPr>
              <w:jc w:val="right"/>
              <w:ind w:right="125"/>
              <w:spacing w:after="0"/>
              <w:rPr>
                <w:sz w:val="20"/>
                <w:szCs w:val="20"/>
                <w:color w:val="auto"/>
              </w:rPr>
            </w:pPr>
            <w:r>
              <w:rPr>
                <w:rFonts w:ascii="Arial" w:cs="Arial" w:eastAsia="Arial" w:hAnsi="Arial"/>
                <w:sz w:val="16"/>
                <w:szCs w:val="16"/>
                <w:color w:val="auto"/>
              </w:rPr>
              <w:t>1,495</w:t>
            </w:r>
          </w:p>
        </w:tc>
      </w:tr>
      <w:tr>
        <w:trPr>
          <w:trHeight w:val="231"/>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R. J. Simmons</w:t>
            </w:r>
          </w:p>
        </w:tc>
        <w:tc>
          <w:tcPr>
            <w:tcW w:w="3920" w:type="dxa"/>
            <w:vAlign w:val="bottom"/>
            <w:shd w:val="clear" w:color="auto" w:fill="E9E9E9"/>
          </w:tcPr>
          <w:p>
            <w:pPr>
              <w:jc w:val="right"/>
              <w:ind w:right="183"/>
              <w:spacing w:after="0"/>
              <w:rPr>
                <w:sz w:val="20"/>
                <w:szCs w:val="20"/>
                <w:color w:val="auto"/>
              </w:rPr>
            </w:pPr>
            <w:r>
              <w:rPr>
                <w:rFonts w:ascii="Arial" w:cs="Arial" w:eastAsia="Arial" w:hAnsi="Arial"/>
                <w:sz w:val="16"/>
                <w:szCs w:val="16"/>
                <w:color w:val="auto"/>
              </w:rPr>
              <w:t>53,266</w:t>
            </w:r>
          </w:p>
        </w:tc>
        <w:tc>
          <w:tcPr>
            <w:tcW w:w="1280" w:type="dxa"/>
            <w:vAlign w:val="bottom"/>
            <w:shd w:val="clear" w:color="auto" w:fill="E9E9E9"/>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22"/>
              <w:spacing w:after="0"/>
              <w:rPr>
                <w:sz w:val="20"/>
                <w:szCs w:val="20"/>
                <w:color w:val="auto"/>
              </w:rPr>
            </w:pPr>
            <w:r>
              <w:rPr>
                <w:rFonts w:ascii="Arial" w:cs="Arial" w:eastAsia="Arial" w:hAnsi="Arial"/>
                <w:sz w:val="16"/>
                <w:szCs w:val="16"/>
                <w:color w:val="auto"/>
              </w:rPr>
              <w:t>27,025</w:t>
            </w:r>
          </w:p>
        </w:tc>
        <w:tc>
          <w:tcPr>
            <w:tcW w:w="10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18,181</w:t>
            </w:r>
          </w:p>
        </w:tc>
      </w:tr>
      <w:tr>
        <w:trPr>
          <w:trHeight w:val="219"/>
        </w:trPr>
        <w:tc>
          <w:tcPr>
            <w:tcW w:w="4000" w:type="dxa"/>
            <w:vAlign w:val="bottom"/>
          </w:tcPr>
          <w:p>
            <w:pPr>
              <w:spacing w:after="0"/>
              <w:rPr>
                <w:sz w:val="20"/>
                <w:szCs w:val="20"/>
                <w:color w:val="auto"/>
              </w:rPr>
            </w:pPr>
            <w:r>
              <w:rPr>
                <w:rFonts w:ascii="Arial" w:cs="Arial" w:eastAsia="Arial" w:hAnsi="Arial"/>
                <w:sz w:val="16"/>
                <w:szCs w:val="16"/>
                <w:color w:val="auto"/>
              </w:rPr>
              <w:t>R. K. Templeton</w:t>
            </w:r>
          </w:p>
        </w:tc>
        <w:tc>
          <w:tcPr>
            <w:tcW w:w="3920" w:type="dxa"/>
            <w:vAlign w:val="bottom"/>
          </w:tcPr>
          <w:p>
            <w:pPr>
              <w:jc w:val="right"/>
              <w:ind w:right="183"/>
              <w:spacing w:after="0"/>
              <w:rPr>
                <w:sz w:val="20"/>
                <w:szCs w:val="20"/>
                <w:color w:val="auto"/>
              </w:rPr>
            </w:pPr>
            <w:r>
              <w:rPr>
                <w:rFonts w:ascii="Arial" w:cs="Arial" w:eastAsia="Arial" w:hAnsi="Arial"/>
                <w:sz w:val="16"/>
                <w:szCs w:val="16"/>
                <w:color w:val="auto"/>
              </w:rPr>
              <w:t>3,300,856</w:t>
            </w:r>
          </w:p>
        </w:tc>
        <w:tc>
          <w:tcPr>
            <w:tcW w:w="1280" w:type="dxa"/>
            <w:vAlign w:val="bottom"/>
          </w:tcPr>
          <w:p>
            <w:pPr>
              <w:jc w:val="right"/>
              <w:ind w:right="283"/>
              <w:spacing w:after="0"/>
              <w:rPr>
                <w:sz w:val="20"/>
                <w:szCs w:val="20"/>
                <w:color w:val="auto"/>
              </w:rPr>
            </w:pPr>
            <w:r>
              <w:rPr>
                <w:rFonts w:ascii="Arial" w:cs="Arial" w:eastAsia="Arial" w:hAnsi="Arial"/>
                <w:sz w:val="16"/>
                <w:szCs w:val="16"/>
                <w:color w:val="auto"/>
              </w:rPr>
              <w:t>12,511</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783,334</w:t>
            </w:r>
          </w:p>
        </w:tc>
        <w:tc>
          <w:tcPr>
            <w:tcW w:w="1040" w:type="dxa"/>
            <w:vAlign w:val="bottom"/>
          </w:tcPr>
          <w:p>
            <w:pPr>
              <w:jc w:val="right"/>
              <w:ind w:right="125"/>
              <w:spacing w:after="0"/>
              <w:rPr>
                <w:sz w:val="20"/>
                <w:szCs w:val="20"/>
                <w:color w:val="auto"/>
              </w:rPr>
            </w:pPr>
            <w:r>
              <w:rPr>
                <w:rFonts w:ascii="Arial" w:cs="Arial" w:eastAsia="Arial" w:hAnsi="Arial"/>
                <w:sz w:val="16"/>
                <w:szCs w:val="16"/>
                <w:color w:val="auto"/>
              </w:rPr>
              <w:t>—</w:t>
            </w:r>
          </w:p>
        </w:tc>
      </w:tr>
      <w:tr>
        <w:trPr>
          <w:trHeight w:val="231"/>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C. T. Whitman</w:t>
            </w:r>
          </w:p>
        </w:tc>
        <w:tc>
          <w:tcPr>
            <w:tcW w:w="3920" w:type="dxa"/>
            <w:vAlign w:val="bottom"/>
            <w:shd w:val="clear" w:color="auto" w:fill="E9E9E9"/>
          </w:tcPr>
          <w:p>
            <w:pPr>
              <w:jc w:val="right"/>
              <w:ind w:right="183"/>
              <w:spacing w:after="0"/>
              <w:rPr>
                <w:sz w:val="20"/>
                <w:szCs w:val="20"/>
                <w:color w:val="auto"/>
              </w:rPr>
            </w:pPr>
            <w:r>
              <w:rPr>
                <w:rFonts w:ascii="Arial" w:cs="Arial" w:eastAsia="Arial" w:hAnsi="Arial"/>
                <w:sz w:val="16"/>
                <w:szCs w:val="16"/>
                <w:color w:val="auto"/>
              </w:rPr>
              <w:t>75,266</w:t>
            </w:r>
          </w:p>
        </w:tc>
        <w:tc>
          <w:tcPr>
            <w:tcW w:w="1280" w:type="dxa"/>
            <w:vAlign w:val="bottom"/>
            <w:shd w:val="clear" w:color="auto" w:fill="E9E9E9"/>
          </w:tcPr>
          <w:p>
            <w:pPr>
              <w:jc w:val="right"/>
              <w:ind w:right="283"/>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222"/>
              <w:spacing w:after="0"/>
              <w:rPr>
                <w:sz w:val="20"/>
                <w:szCs w:val="20"/>
                <w:color w:val="auto"/>
              </w:rPr>
            </w:pPr>
            <w:r>
              <w:rPr>
                <w:rFonts w:ascii="Arial" w:cs="Arial" w:eastAsia="Arial" w:hAnsi="Arial"/>
                <w:sz w:val="16"/>
                <w:szCs w:val="16"/>
                <w:color w:val="auto"/>
              </w:rPr>
              <w:t>21,025</w:t>
            </w:r>
          </w:p>
        </w:tc>
        <w:tc>
          <w:tcPr>
            <w:tcW w:w="10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7,872</w:t>
            </w:r>
          </w:p>
        </w:tc>
      </w:tr>
    </w:tbl>
    <w:p>
      <w:pPr>
        <w:spacing w:after="0" w:line="208" w:lineRule="exact"/>
        <w:rPr>
          <w:sz w:val="20"/>
          <w:szCs w:val="20"/>
          <w:color w:val="auto"/>
        </w:rPr>
      </w:pPr>
    </w:p>
    <w:p>
      <w:pPr>
        <w:ind w:left="460" w:right="100" w:hanging="460"/>
        <w:spacing w:after="0" w:line="267"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173" w:lineRule="exact"/>
        <w:rPr>
          <w:rFonts w:ascii="Arial" w:cs="Arial" w:eastAsia="Arial" w:hAnsi="Arial"/>
          <w:sz w:val="16"/>
          <w:szCs w:val="16"/>
          <w:color w:val="auto"/>
        </w:rPr>
      </w:pPr>
    </w:p>
    <w:p>
      <w:pPr>
        <w:ind w:left="460" w:hanging="460"/>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shares in deferred compensation accounts are issued following the director’s termination of service.</w:t>
      </w:r>
    </w:p>
    <w:p>
      <w:pPr>
        <w:spacing w:after="0" w:line="229" w:lineRule="exact"/>
        <w:rPr>
          <w:sz w:val="20"/>
          <w:szCs w:val="20"/>
          <w:color w:val="auto"/>
        </w:rPr>
      </w:pPr>
    </w:p>
    <w:p>
      <w:pPr>
        <w:ind w:left="460" w:hanging="460"/>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Included in the shares owned shown above 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4620" w:type="dxa"/>
            <w:vAlign w:val="bottom"/>
          </w:tcPr>
          <w:p>
            <w:pPr>
              <w:jc w:val="center"/>
              <w:ind w:left="3327"/>
              <w:spacing w:after="0"/>
              <w:rPr>
                <w:sz w:val="20"/>
                <w:szCs w:val="20"/>
                <w:color w:val="auto"/>
              </w:rPr>
            </w:pPr>
            <w:r>
              <w:rPr>
                <w:rFonts w:ascii="Arial" w:cs="Arial" w:eastAsia="Arial" w:hAnsi="Arial"/>
                <w:sz w:val="13"/>
                <w:szCs w:val="13"/>
                <w:b w:val="1"/>
                <w:bCs w:val="1"/>
                <w:color w:val="auto"/>
                <w:w w:val="96"/>
              </w:rPr>
              <w:t>Shares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920" w:type="dxa"/>
            <w:vAlign w:val="bottom"/>
          </w:tcPr>
          <w:p>
            <w:pPr>
              <w:spacing w:after="0"/>
              <w:rPr>
                <w:sz w:val="15"/>
                <w:szCs w:val="15"/>
                <w:color w:val="auto"/>
              </w:rPr>
            </w:pPr>
          </w:p>
        </w:tc>
      </w:tr>
      <w:tr>
        <w:trPr>
          <w:trHeight w:val="225"/>
        </w:trPr>
        <w:tc>
          <w:tcPr>
            <w:tcW w:w="4620" w:type="dxa"/>
            <w:vAlign w:val="bottom"/>
          </w:tcPr>
          <w:p>
            <w:pPr>
              <w:spacing w:after="0"/>
              <w:rPr>
                <w:sz w:val="19"/>
                <w:szCs w:val="19"/>
                <w:color w:val="auto"/>
              </w:rPr>
            </w:pPr>
          </w:p>
        </w:tc>
        <w:tc>
          <w:tcPr>
            <w:tcW w:w="4620" w:type="dxa"/>
            <w:vAlign w:val="bottom"/>
          </w:tcPr>
          <w:p>
            <w:pPr>
              <w:jc w:val="center"/>
              <w:ind w:left="3347"/>
              <w:spacing w:after="0"/>
              <w:rPr>
                <w:sz w:val="20"/>
                <w:szCs w:val="20"/>
                <w:color w:val="auto"/>
              </w:rPr>
            </w:pPr>
            <w:r>
              <w:rPr>
                <w:rFonts w:ascii="Arial" w:cs="Arial" w:eastAsia="Arial" w:hAnsi="Arial"/>
                <w:sz w:val="13"/>
                <w:szCs w:val="13"/>
                <w:b w:val="1"/>
                <w:bCs w:val="1"/>
                <w:color w:val="auto"/>
                <w:w w:val="95"/>
              </w:rPr>
              <w:t>Obtainable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Credited to</w:t>
            </w:r>
          </w:p>
        </w:tc>
        <w:tc>
          <w:tcPr>
            <w:tcW w:w="920" w:type="dxa"/>
            <w:vAlign w:val="bottom"/>
          </w:tcPr>
          <w:p>
            <w:pPr>
              <w:jc w:val="center"/>
              <w:ind w:left="45"/>
              <w:spacing w:after="0"/>
              <w:rPr>
                <w:sz w:val="20"/>
                <w:szCs w:val="20"/>
                <w:color w:val="auto"/>
              </w:rPr>
            </w:pPr>
            <w:r>
              <w:rPr>
                <w:rFonts w:ascii="Arial" w:cs="Arial" w:eastAsia="Arial" w:hAnsi="Arial"/>
                <w:sz w:val="13"/>
                <w:szCs w:val="13"/>
                <w:b w:val="1"/>
                <w:bCs w:val="1"/>
                <w:color w:val="auto"/>
                <w:w w:val="92"/>
              </w:rPr>
              <w:t>RSUs</w:t>
            </w:r>
          </w:p>
        </w:tc>
      </w:tr>
      <w:tr>
        <w:trPr>
          <w:trHeight w:val="225"/>
        </w:trPr>
        <w:tc>
          <w:tcPr>
            <w:tcW w:w="4620" w:type="dxa"/>
            <w:vAlign w:val="bottom"/>
          </w:tcPr>
          <w:p>
            <w:pPr>
              <w:spacing w:after="0"/>
              <w:rPr>
                <w:sz w:val="20"/>
                <w:szCs w:val="20"/>
                <w:color w:val="auto"/>
              </w:rPr>
            </w:pPr>
            <w:r>
              <w:rPr>
                <w:rFonts w:ascii="Arial" w:cs="Arial" w:eastAsia="Arial" w:hAnsi="Arial"/>
                <w:sz w:val="13"/>
                <w:szCs w:val="13"/>
                <w:b w:val="1"/>
                <w:bCs w:val="1"/>
                <w:color w:val="auto"/>
              </w:rPr>
              <w:t>Executive Officer</w:t>
            </w:r>
          </w:p>
        </w:tc>
        <w:tc>
          <w:tcPr>
            <w:tcW w:w="4620" w:type="dxa"/>
            <w:vAlign w:val="bottom"/>
          </w:tcPr>
          <w:p>
            <w:pPr>
              <w:jc w:val="center"/>
              <w:ind w:left="3327"/>
              <w:spacing w:after="0"/>
              <w:rPr>
                <w:sz w:val="20"/>
                <w:szCs w:val="20"/>
                <w:color w:val="auto"/>
              </w:rPr>
            </w:pPr>
            <w:r>
              <w:rPr>
                <w:rFonts w:ascii="Arial" w:cs="Arial" w:eastAsia="Arial" w:hAnsi="Arial"/>
                <w:sz w:val="13"/>
                <w:szCs w:val="13"/>
                <w:b w:val="1"/>
                <w:bCs w:val="1"/>
                <w:color w:val="auto"/>
                <w:w w:val="95"/>
              </w:rPr>
              <w:t>within 60 Days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401(k) Account</w:t>
            </w:r>
          </w:p>
        </w:tc>
        <w:tc>
          <w:tcPr>
            <w:tcW w:w="920" w:type="dxa"/>
            <w:vAlign w:val="bottom"/>
          </w:tcPr>
          <w:p>
            <w:pPr>
              <w:jc w:val="center"/>
              <w:ind w:left="45"/>
              <w:spacing w:after="0"/>
              <w:rPr>
                <w:sz w:val="20"/>
                <w:szCs w:val="20"/>
                <w:color w:val="auto"/>
              </w:rPr>
            </w:pPr>
            <w:r>
              <w:rPr>
                <w:rFonts w:ascii="Arial" w:cs="Arial" w:eastAsia="Arial" w:hAnsi="Arial"/>
                <w:sz w:val="13"/>
                <w:szCs w:val="13"/>
                <w:b w:val="1"/>
                <w:bCs w:val="1"/>
                <w:color w:val="auto"/>
                <w:w w:val="95"/>
              </w:rPr>
              <w:t>(in Shares)</w:t>
            </w:r>
          </w:p>
        </w:tc>
      </w:tr>
      <w:tr>
        <w:trPr>
          <w:trHeight w:val="29"/>
        </w:trPr>
        <w:tc>
          <w:tcPr>
            <w:tcW w:w="46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462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4620" w:type="dxa"/>
            <w:vAlign w:val="bottom"/>
            <w:shd w:val="clear" w:color="auto" w:fill="E9E9E9"/>
          </w:tcPr>
          <w:p>
            <w:pPr>
              <w:jc w:val="center"/>
              <w:ind w:left="3327"/>
              <w:spacing w:after="0"/>
              <w:rPr>
                <w:sz w:val="20"/>
                <w:szCs w:val="20"/>
                <w:color w:val="auto"/>
              </w:rPr>
            </w:pPr>
            <w:r>
              <w:rPr>
                <w:rFonts w:ascii="Arial" w:cs="Arial" w:eastAsia="Arial" w:hAnsi="Arial"/>
                <w:sz w:val="16"/>
                <w:szCs w:val="16"/>
                <w:color w:val="auto"/>
              </w:rPr>
              <w:t>642,020</w:t>
            </w:r>
          </w:p>
        </w:tc>
        <w:tc>
          <w:tcPr>
            <w:tcW w:w="1260" w:type="dxa"/>
            <w:vAlign w:val="bottom"/>
            <w:shd w:val="clear" w:color="auto" w:fill="E9E9E9"/>
          </w:tcPr>
          <w:p>
            <w:pPr>
              <w:jc w:val="right"/>
              <w:ind w:right="307"/>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E9E9E9"/>
          </w:tcPr>
          <w:p>
            <w:pPr>
              <w:jc w:val="center"/>
              <w:ind w:left="45"/>
              <w:spacing w:after="0"/>
              <w:rPr>
                <w:sz w:val="20"/>
                <w:szCs w:val="20"/>
                <w:color w:val="auto"/>
              </w:rPr>
            </w:pPr>
            <w:r>
              <w:rPr>
                <w:rFonts w:ascii="Arial" w:cs="Arial" w:eastAsia="Arial" w:hAnsi="Arial"/>
                <w:sz w:val="16"/>
                <w:szCs w:val="16"/>
                <w:color w:val="auto"/>
              </w:rPr>
              <w:t>199,585</w:t>
            </w:r>
          </w:p>
        </w:tc>
      </w:tr>
      <w:tr>
        <w:trPr>
          <w:trHeight w:val="219"/>
        </w:trPr>
        <w:tc>
          <w:tcPr>
            <w:tcW w:w="4620" w:type="dxa"/>
            <w:vAlign w:val="bottom"/>
          </w:tcPr>
          <w:p>
            <w:pPr>
              <w:spacing w:after="0"/>
              <w:rPr>
                <w:sz w:val="20"/>
                <w:szCs w:val="20"/>
                <w:color w:val="auto"/>
              </w:rPr>
            </w:pPr>
            <w:r>
              <w:rPr>
                <w:rFonts w:ascii="Arial" w:cs="Arial" w:eastAsia="Arial" w:hAnsi="Arial"/>
                <w:sz w:val="16"/>
                <w:szCs w:val="16"/>
                <w:color w:val="auto"/>
              </w:rPr>
              <w:t>B. T. Crutcher</w:t>
            </w:r>
          </w:p>
        </w:tc>
        <w:tc>
          <w:tcPr>
            <w:tcW w:w="4620" w:type="dxa"/>
            <w:vAlign w:val="bottom"/>
          </w:tcPr>
          <w:p>
            <w:pPr>
              <w:jc w:val="center"/>
              <w:ind w:left="3327"/>
              <w:spacing w:after="0"/>
              <w:rPr>
                <w:sz w:val="20"/>
                <w:szCs w:val="20"/>
                <w:color w:val="auto"/>
              </w:rPr>
            </w:pPr>
            <w:r>
              <w:rPr>
                <w:rFonts w:ascii="Arial" w:cs="Arial" w:eastAsia="Arial" w:hAnsi="Arial"/>
                <w:sz w:val="16"/>
                <w:szCs w:val="16"/>
                <w:color w:val="auto"/>
              </w:rPr>
              <w:t>272,020</w:t>
            </w:r>
          </w:p>
        </w:tc>
        <w:tc>
          <w:tcPr>
            <w:tcW w:w="1260" w:type="dxa"/>
            <w:vAlign w:val="bottom"/>
          </w:tcPr>
          <w:p>
            <w:pPr>
              <w:jc w:val="right"/>
              <w:ind w:right="307"/>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45"/>
              <w:spacing w:after="0"/>
              <w:rPr>
                <w:sz w:val="20"/>
                <w:szCs w:val="20"/>
                <w:color w:val="auto"/>
              </w:rPr>
            </w:pPr>
            <w:r>
              <w:rPr>
                <w:rFonts w:ascii="Arial" w:cs="Arial" w:eastAsia="Arial" w:hAnsi="Arial"/>
                <w:sz w:val="16"/>
                <w:szCs w:val="16"/>
                <w:color w:val="auto"/>
              </w:rPr>
              <w:t>441,667</w:t>
            </w:r>
          </w:p>
        </w:tc>
      </w:tr>
      <w:tr>
        <w:trPr>
          <w:trHeight w:val="231"/>
        </w:trPr>
        <w:tc>
          <w:tcPr>
            <w:tcW w:w="462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4620" w:type="dxa"/>
            <w:vAlign w:val="bottom"/>
            <w:shd w:val="clear" w:color="auto" w:fill="E9E9E9"/>
          </w:tcPr>
          <w:p>
            <w:pPr>
              <w:jc w:val="center"/>
              <w:ind w:left="3327"/>
              <w:spacing w:after="0"/>
              <w:rPr>
                <w:sz w:val="20"/>
                <w:szCs w:val="20"/>
                <w:color w:val="auto"/>
              </w:rPr>
            </w:pPr>
            <w:r>
              <w:rPr>
                <w:rFonts w:ascii="Arial" w:cs="Arial" w:eastAsia="Arial" w:hAnsi="Arial"/>
                <w:sz w:val="16"/>
                <w:szCs w:val="16"/>
                <w:color w:val="auto"/>
              </w:rPr>
              <w:t>606,395</w:t>
            </w:r>
          </w:p>
        </w:tc>
        <w:tc>
          <w:tcPr>
            <w:tcW w:w="1260" w:type="dxa"/>
            <w:vAlign w:val="bottom"/>
            <w:shd w:val="clear" w:color="auto" w:fill="E9E9E9"/>
          </w:tcPr>
          <w:p>
            <w:pPr>
              <w:jc w:val="right"/>
              <w:ind w:right="307"/>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center"/>
              <w:ind w:left="45"/>
              <w:spacing w:after="0"/>
              <w:rPr>
                <w:sz w:val="20"/>
                <w:szCs w:val="20"/>
                <w:color w:val="auto"/>
              </w:rPr>
            </w:pPr>
            <w:r>
              <w:rPr>
                <w:rFonts w:ascii="Arial" w:cs="Arial" w:eastAsia="Arial" w:hAnsi="Arial"/>
                <w:sz w:val="16"/>
                <w:szCs w:val="16"/>
                <w:color w:val="auto"/>
              </w:rPr>
              <w:t>241,669</w:t>
            </w:r>
          </w:p>
        </w:tc>
      </w:tr>
      <w:tr>
        <w:trPr>
          <w:trHeight w:val="219"/>
        </w:trPr>
        <w:tc>
          <w:tcPr>
            <w:tcW w:w="4620" w:type="dxa"/>
            <w:vAlign w:val="bottom"/>
          </w:tcPr>
          <w:p>
            <w:pPr>
              <w:spacing w:after="0"/>
              <w:rPr>
                <w:sz w:val="20"/>
                <w:szCs w:val="20"/>
                <w:color w:val="auto"/>
              </w:rPr>
            </w:pPr>
            <w:r>
              <w:rPr>
                <w:rFonts w:ascii="Arial" w:cs="Arial" w:eastAsia="Arial" w:hAnsi="Arial"/>
                <w:sz w:val="16"/>
                <w:szCs w:val="16"/>
                <w:color w:val="auto"/>
              </w:rPr>
              <w:t>R. G. Delagi</w:t>
            </w:r>
          </w:p>
        </w:tc>
        <w:tc>
          <w:tcPr>
            <w:tcW w:w="4620" w:type="dxa"/>
            <w:vAlign w:val="bottom"/>
          </w:tcPr>
          <w:p>
            <w:pPr>
              <w:jc w:val="center"/>
              <w:ind w:left="3327"/>
              <w:spacing w:after="0"/>
              <w:rPr>
                <w:sz w:val="20"/>
                <w:szCs w:val="20"/>
                <w:color w:val="auto"/>
              </w:rPr>
            </w:pPr>
            <w:r>
              <w:rPr>
                <w:rFonts w:ascii="Arial" w:cs="Arial" w:eastAsia="Arial" w:hAnsi="Arial"/>
                <w:sz w:val="16"/>
                <w:szCs w:val="16"/>
                <w:color w:val="auto"/>
              </w:rPr>
              <w:t>598,270</w:t>
            </w:r>
          </w:p>
        </w:tc>
        <w:tc>
          <w:tcPr>
            <w:tcW w:w="1260" w:type="dxa"/>
            <w:vAlign w:val="bottom"/>
          </w:tcPr>
          <w:p>
            <w:pPr>
              <w:jc w:val="right"/>
              <w:ind w:right="307"/>
              <w:spacing w:after="0"/>
              <w:rPr>
                <w:sz w:val="20"/>
                <w:szCs w:val="20"/>
                <w:color w:val="auto"/>
              </w:rPr>
            </w:pPr>
            <w:r>
              <w:rPr>
                <w:rFonts w:ascii="Arial" w:cs="Arial" w:eastAsia="Arial" w:hAnsi="Arial"/>
                <w:sz w:val="16"/>
                <w:szCs w:val="16"/>
                <w:color w:val="auto"/>
              </w:rPr>
              <w:t>11,677</w:t>
            </w:r>
          </w:p>
        </w:tc>
        <w:tc>
          <w:tcPr>
            <w:tcW w:w="920" w:type="dxa"/>
            <w:vAlign w:val="bottom"/>
          </w:tcPr>
          <w:p>
            <w:pPr>
              <w:jc w:val="center"/>
              <w:ind w:left="45"/>
              <w:spacing w:after="0"/>
              <w:rPr>
                <w:sz w:val="20"/>
                <w:szCs w:val="20"/>
                <w:color w:val="auto"/>
              </w:rPr>
            </w:pPr>
            <w:r>
              <w:rPr>
                <w:rFonts w:ascii="Arial" w:cs="Arial" w:eastAsia="Arial" w:hAnsi="Arial"/>
                <w:sz w:val="16"/>
                <w:szCs w:val="16"/>
                <w:color w:val="auto"/>
              </w:rPr>
              <w:t>290,419</w:t>
            </w:r>
          </w:p>
        </w:tc>
      </w:tr>
    </w:tbl>
    <w:p>
      <w:pPr>
        <w:spacing w:after="0" w:line="214" w:lineRule="exact"/>
        <w:rPr>
          <w:sz w:val="20"/>
          <w:szCs w:val="20"/>
          <w:color w:val="auto"/>
        </w:rPr>
      </w:pPr>
    </w:p>
    <w:p>
      <w:pPr>
        <w:ind w:left="440" w:hanging="440"/>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w:t>
      </w:r>
    </w:p>
    <w:p>
      <w:pPr>
        <w:spacing w:after="0" w:line="228" w:lineRule="exact"/>
        <w:rPr>
          <w:rFonts w:ascii="Arial" w:cs="Arial" w:eastAsia="Arial" w:hAnsi="Arial"/>
          <w:sz w:val="16"/>
          <w:szCs w:val="16"/>
          <w:color w:val="auto"/>
        </w:rPr>
      </w:pPr>
    </w:p>
    <w:p>
      <w:pPr>
        <w:ind w:left="880" w:hanging="442"/>
        <w:spacing w:after="0"/>
        <w:tabs>
          <w:tab w:leader="none" w:pos="8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8,349,880 shares obtainable within 60 days;</w:t>
      </w:r>
    </w:p>
    <w:p>
      <w:pPr>
        <w:spacing w:after="0" w:line="228" w:lineRule="exact"/>
        <w:rPr>
          <w:rFonts w:ascii="Arial" w:cs="Arial" w:eastAsia="Arial" w:hAnsi="Arial"/>
          <w:sz w:val="16"/>
          <w:szCs w:val="16"/>
          <w:color w:val="auto"/>
        </w:rPr>
      </w:pPr>
    </w:p>
    <w:p>
      <w:pPr>
        <w:ind w:left="880" w:hanging="442"/>
        <w:spacing w:after="0"/>
        <w:tabs>
          <w:tab w:leader="none" w:pos="8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35,845 shares credited to 401(k) accounts;</w:t>
      </w:r>
    </w:p>
    <w:p>
      <w:pPr>
        <w:spacing w:after="0" w:line="228" w:lineRule="exact"/>
        <w:rPr>
          <w:rFonts w:ascii="Arial" w:cs="Arial" w:eastAsia="Arial" w:hAnsi="Arial"/>
          <w:sz w:val="16"/>
          <w:szCs w:val="16"/>
          <w:color w:val="auto"/>
        </w:rPr>
      </w:pPr>
    </w:p>
    <w:p>
      <w:pPr>
        <w:ind w:left="880" w:hanging="442"/>
        <w:spacing w:after="0"/>
        <w:tabs>
          <w:tab w:leader="none" w:pos="8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3,438,834 shares subject to RSU awards; for the terms of these RSUs, please see pages 66 and 85-86; and</w:t>
      </w:r>
    </w:p>
    <w:p>
      <w:pPr>
        <w:spacing w:after="0" w:line="228" w:lineRule="exact"/>
        <w:rPr>
          <w:rFonts w:ascii="Arial" w:cs="Arial" w:eastAsia="Arial" w:hAnsi="Arial"/>
          <w:sz w:val="16"/>
          <w:szCs w:val="16"/>
          <w:color w:val="auto"/>
        </w:rPr>
      </w:pPr>
    </w:p>
    <w:p>
      <w:pPr>
        <w:ind w:left="880" w:right="480" w:hanging="442"/>
        <w:spacing w:after="0" w:line="290" w:lineRule="auto"/>
        <w:tabs>
          <w:tab w:leader="none" w:pos="8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112,720 shares credited to certain non-employee directors’ deferred compensation accounts; shares in deferred compensation accounts are issued following a director’s termination of service.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person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reportable related person transactions.</w:t>
      </w:r>
    </w:p>
    <w:p>
      <w:pPr>
        <w:spacing w:after="0" w:line="24" w:lineRule="exact"/>
        <w:rPr>
          <w:sz w:val="20"/>
          <w:szCs w:val="20"/>
          <w:color w:val="auto"/>
        </w:rPr>
      </w:pPr>
    </w:p>
    <w:p>
      <w:pPr>
        <w:ind w:firstLine="226"/>
        <w:spacing w:after="0" w:line="251" w:lineRule="auto"/>
        <w:rPr>
          <w:sz w:val="20"/>
          <w:szCs w:val="20"/>
          <w:color w:val="auto"/>
        </w:rPr>
      </w:pPr>
      <w:r>
        <w:rPr>
          <w:rFonts w:ascii="Arial" w:cs="Arial" w:eastAsia="Arial" w:hAnsi="Arial"/>
          <w:sz w:val="16"/>
          <w:szCs w:val="16"/>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161" w:lineRule="exact"/>
        <w:rPr>
          <w:sz w:val="20"/>
          <w:szCs w:val="20"/>
          <w:color w:val="auto"/>
        </w:rPr>
      </w:pPr>
    </w:p>
    <w:p>
      <w:pPr>
        <w:ind w:left="380" w:hanging="380"/>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TI or any TI subsidiary is or will be a participant;</w:t>
      </w:r>
    </w:p>
    <w:p>
      <w:pPr>
        <w:spacing w:after="0" w:line="23" w:lineRule="exact"/>
        <w:rPr>
          <w:rFonts w:ascii="Arial" w:cs="Arial" w:eastAsia="Arial" w:hAnsi="Arial"/>
          <w:sz w:val="16"/>
          <w:szCs w:val="16"/>
          <w:color w:val="auto"/>
        </w:rPr>
      </w:pPr>
    </w:p>
    <w:p>
      <w:pPr>
        <w:ind w:left="380" w:hanging="380"/>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 involved exceeds or is expected to exceed $100,000 in a fiscal year; and</w:t>
      </w:r>
    </w:p>
    <w:p>
      <w:pPr>
        <w:spacing w:after="0" w:line="3" w:lineRule="exact"/>
        <w:rPr>
          <w:rFonts w:ascii="Arial" w:cs="Arial" w:eastAsia="Arial" w:hAnsi="Arial"/>
          <w:sz w:val="16"/>
          <w:szCs w:val="16"/>
          <w:color w:val="auto"/>
        </w:rPr>
      </w:pPr>
    </w:p>
    <w:p>
      <w:pPr>
        <w:ind w:left="380" w:hanging="380"/>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of the following (a “related person”) has or will have a direct or indirect interest:</w:t>
      </w:r>
    </w:p>
    <w:p>
      <w:pPr>
        <w:spacing w:after="0" w:line="3" w:lineRule="exact"/>
        <w:rPr>
          <w:rFonts w:ascii="Arial" w:cs="Arial" w:eastAsia="Arial" w:hAnsi="Arial"/>
          <w:sz w:val="16"/>
          <w:szCs w:val="16"/>
          <w:color w:val="auto"/>
        </w:rPr>
      </w:pPr>
    </w:p>
    <w:p>
      <w:pPr>
        <w:ind w:left="820" w:hanging="445"/>
        <w:spacing w:after="0"/>
        <w:tabs>
          <w:tab w:leader="none" w:pos="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TI director or executive officer, or an Immediate Family Member of a director or executive officer;</w:t>
      </w:r>
    </w:p>
    <w:p>
      <w:pPr>
        <w:spacing w:after="0" w:line="3" w:lineRule="exact"/>
        <w:rPr>
          <w:rFonts w:ascii="Arial" w:cs="Arial" w:eastAsia="Arial" w:hAnsi="Arial"/>
          <w:sz w:val="16"/>
          <w:szCs w:val="16"/>
          <w:color w:val="auto"/>
        </w:rPr>
      </w:pPr>
    </w:p>
    <w:p>
      <w:pPr>
        <w:jc w:val="both"/>
        <w:ind w:left="820" w:right="380" w:hanging="445"/>
        <w:spacing w:after="0" w:line="244" w:lineRule="auto"/>
        <w:tabs>
          <w:tab w:leader="none" w:pos="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1" w:lineRule="exact"/>
        <w:rPr>
          <w:rFonts w:ascii="Arial" w:cs="Arial" w:eastAsia="Arial" w:hAnsi="Arial"/>
          <w:sz w:val="16"/>
          <w:szCs w:val="16"/>
          <w:color w:val="auto"/>
        </w:rPr>
      </w:pPr>
    </w:p>
    <w:p>
      <w:pPr>
        <w:ind w:left="820" w:right="720" w:hanging="445"/>
        <w:spacing w:after="0" w:line="264" w:lineRule="auto"/>
        <w:tabs>
          <w:tab w:leader="none" w:pos="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entity in which someone listed in (a) or (b) above has a 5 percent or greater ownership interest, by which someone listed in (a) or (b) is employed, or of which someone listed in (a) or (b) is a director, principal or partner.</w:t>
      </w:r>
    </w:p>
    <w:p>
      <w:pPr>
        <w:sectPr>
          <w:pgSz w:w="11900" w:h="16838" w:orient="portrait"/>
          <w:cols w:equalWidth="0" w:num="1">
            <w:col w:w="11420"/>
          </w:cols>
          <w:pgMar w:left="240" w:top="348" w:right="239" w:bottom="1440" w:gutter="0" w:footer="0" w:header="0"/>
        </w:sectPr>
      </w:pPr>
    </w:p>
    <w:p>
      <w:pPr>
        <w:spacing w:after="0" w:line="213"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102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type w:val="continuous"/>
        </w:sectPr>
      </w:pPr>
    </w:p>
    <w:bookmarkStart w:id="49" w:name="page50"/>
    <w:bookmarkEnd w:id="49"/>
    <w:p>
      <w:pPr>
        <w:ind w:right="140"/>
        <w:spacing w:after="0" w:line="258" w:lineRule="auto"/>
        <w:rPr>
          <w:sz w:val="20"/>
          <w:szCs w:val="20"/>
          <w:color w:val="auto"/>
        </w:rPr>
      </w:pPr>
      <w:r>
        <w:rPr>
          <w:rFonts w:ascii="Arial" w:cs="Arial" w:eastAsia="Arial" w:hAnsi="Arial"/>
          <w:sz w:val="16"/>
          <w:szCs w:val="16"/>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 w:lineRule="exact"/>
        <w:rPr>
          <w:sz w:val="20"/>
          <w:szCs w:val="20"/>
          <w:color w:val="auto"/>
        </w:rPr>
      </w:pPr>
    </w:p>
    <w:p>
      <w:pPr>
        <w:ind w:right="320" w:firstLine="250"/>
        <w:spacing w:after="0" w:line="269" w:lineRule="auto"/>
        <w:rPr>
          <w:sz w:val="20"/>
          <w:szCs w:val="20"/>
          <w:color w:val="auto"/>
        </w:rPr>
      </w:pPr>
      <w:r>
        <w:rPr>
          <w:rFonts w:ascii="Arial" w:cs="Arial" w:eastAsia="Arial" w:hAnsi="Arial"/>
          <w:sz w:val="16"/>
          <w:szCs w:val="16"/>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ind w:left="260"/>
        <w:spacing w:after="0"/>
        <w:rPr>
          <w:sz w:val="20"/>
          <w:szCs w:val="20"/>
          <w:color w:val="auto"/>
        </w:rPr>
      </w:pPr>
      <w:r>
        <w:rPr>
          <w:rFonts w:ascii="Arial" w:cs="Arial" w:eastAsia="Arial" w:hAnsi="Arial"/>
          <w:sz w:val="16"/>
          <w:szCs w:val="16"/>
          <w:color w:val="auto"/>
        </w:rPr>
        <w:t>The required approvals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3"/>
                <w:szCs w:val="13"/>
                <w:b w:val="1"/>
                <w:bCs w:val="1"/>
                <w:color w:val="auto"/>
              </w:rPr>
              <w:t>Arrangement involving:</w:t>
            </w:r>
          </w:p>
        </w:tc>
        <w:tc>
          <w:tcPr>
            <w:tcW w:w="5700" w:type="dxa"/>
            <w:vAlign w:val="bottom"/>
          </w:tcPr>
          <w:p>
            <w:pPr>
              <w:ind w:left="2280"/>
              <w:spacing w:after="0"/>
              <w:rPr>
                <w:sz w:val="20"/>
                <w:szCs w:val="20"/>
                <w:color w:val="auto"/>
              </w:rPr>
            </w:pPr>
            <w:r>
              <w:rPr>
                <w:rFonts w:ascii="Arial" w:cs="Arial" w:eastAsia="Arial" w:hAnsi="Arial"/>
                <w:sz w:val="13"/>
                <w:szCs w:val="13"/>
                <w:b w:val="1"/>
                <w:bCs w:val="1"/>
                <w:color w:val="auto"/>
              </w:rPr>
              <w:t>Approval required by: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E9E9E9"/>
          </w:tcPr>
          <w:p>
            <w:pPr>
              <w:spacing w:after="0" w:line="163" w:lineRule="exact"/>
              <w:rPr>
                <w:sz w:val="20"/>
                <w:szCs w:val="20"/>
                <w:color w:val="auto"/>
              </w:rPr>
            </w:pPr>
            <w:r>
              <w:rPr>
                <w:rFonts w:ascii="Arial" w:cs="Arial" w:eastAsia="Arial" w:hAnsi="Arial"/>
                <w:sz w:val="16"/>
                <w:szCs w:val="16"/>
                <w:color w:val="auto"/>
              </w:rPr>
              <w:t>Executive officer who is also a member of the TI board, an Immediate Family</w:t>
            </w:r>
          </w:p>
        </w:tc>
        <w:tc>
          <w:tcPr>
            <w:tcW w:w="5700" w:type="dxa"/>
            <w:vAlign w:val="bottom"/>
            <w:shd w:val="clear" w:color="auto" w:fill="E9E9E9"/>
          </w:tcPr>
          <w:p>
            <w:pPr>
              <w:ind w:left="140"/>
              <w:spacing w:after="0" w:line="163" w:lineRule="exact"/>
              <w:rPr>
                <w:sz w:val="20"/>
                <w:szCs w:val="20"/>
                <w:color w:val="auto"/>
              </w:rPr>
            </w:pPr>
            <w:r>
              <w:rPr>
                <w:rFonts w:ascii="Arial" w:cs="Arial" w:eastAsia="Arial" w:hAnsi="Arial"/>
                <w:sz w:val="16"/>
                <w:szCs w:val="16"/>
                <w:color w:val="auto"/>
              </w:rPr>
              <w:t>G&amp;SR Committee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00" w:type="dxa"/>
            <w:vAlign w:val="bottom"/>
            <w:shd w:val="clear" w:color="auto" w:fill="E9E9E9"/>
          </w:tcPr>
          <w:p>
            <w:pPr>
              <w:spacing w:after="0"/>
              <w:rPr>
                <w:sz w:val="20"/>
                <w:szCs w:val="20"/>
                <w:color w:val="auto"/>
              </w:rPr>
            </w:pPr>
            <w:r>
              <w:rPr>
                <w:rFonts w:ascii="Arial" w:cs="Arial" w:eastAsia="Arial" w:hAnsi="Arial"/>
                <w:sz w:val="16"/>
                <w:szCs w:val="16"/>
                <w:color w:val="auto"/>
              </w:rPr>
              <w:t>Member of such person, or an entity in which any of the foregoing has a 5</w:t>
            </w:r>
          </w:p>
        </w:tc>
        <w:tc>
          <w:tcPr>
            <w:tcW w:w="57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shd w:val="clear" w:color="auto" w:fill="E9E9E9"/>
          </w:tcPr>
          <w:p>
            <w:pPr>
              <w:spacing w:after="0"/>
              <w:rPr>
                <w:sz w:val="20"/>
                <w:szCs w:val="20"/>
                <w:color w:val="auto"/>
              </w:rPr>
            </w:pPr>
            <w:r>
              <w:rPr>
                <w:rFonts w:ascii="Arial" w:cs="Arial" w:eastAsia="Arial" w:hAnsi="Arial"/>
                <w:sz w:val="16"/>
                <w:szCs w:val="16"/>
                <w:color w:val="auto"/>
              </w:rPr>
              <w:t>percent or greater ownership interest</w:t>
            </w:r>
          </w:p>
        </w:tc>
        <w:tc>
          <w:tcPr>
            <w:tcW w:w="570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700" w:type="dxa"/>
            <w:vAlign w:val="bottom"/>
            <w:shd w:val="clear" w:color="auto" w:fill="E9E9E9"/>
          </w:tcPr>
          <w:p>
            <w:pPr>
              <w:spacing w:after="0" w:line="171" w:lineRule="exact"/>
              <w:rPr>
                <w:sz w:val="20"/>
                <w:szCs w:val="20"/>
                <w:color w:val="auto"/>
              </w:rPr>
            </w:pPr>
            <w:r>
              <w:rPr>
                <w:rFonts w:ascii="Arial" w:cs="Arial" w:eastAsia="Arial" w:hAnsi="Arial"/>
                <w:sz w:val="16"/>
                <w:szCs w:val="16"/>
                <w:color w:val="auto"/>
              </w:rPr>
              <w:t>Chair of the G&amp;SR Committee, chief compliance officer, any of his or her</w:t>
            </w:r>
          </w:p>
        </w:tc>
        <w:tc>
          <w:tcPr>
            <w:tcW w:w="5700" w:type="dxa"/>
            <w:vAlign w:val="bottom"/>
            <w:shd w:val="clear" w:color="auto" w:fill="E9E9E9"/>
          </w:tcPr>
          <w:p>
            <w:pPr>
              <w:ind w:left="140"/>
              <w:spacing w:after="0" w:line="171" w:lineRule="exact"/>
              <w:rPr>
                <w:sz w:val="20"/>
                <w:szCs w:val="20"/>
                <w:color w:val="auto"/>
              </w:rPr>
            </w:pPr>
            <w:r>
              <w:rPr>
                <w:rFonts w:ascii="Arial" w:cs="Arial" w:eastAsia="Arial" w:hAnsi="Arial"/>
                <w:sz w:val="16"/>
                <w:szCs w:val="16"/>
                <w:color w:val="auto"/>
              </w:rPr>
              <w:t>G&amp;SR Committee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00" w:type="dxa"/>
            <w:vAlign w:val="bottom"/>
            <w:shd w:val="clear" w:color="auto" w:fill="E9E9E9"/>
          </w:tcPr>
          <w:p>
            <w:pPr>
              <w:spacing w:after="0"/>
              <w:rPr>
                <w:sz w:val="20"/>
                <w:szCs w:val="20"/>
                <w:color w:val="auto"/>
              </w:rPr>
            </w:pPr>
            <w:r>
              <w:rPr>
                <w:rFonts w:ascii="Arial" w:cs="Arial" w:eastAsia="Arial" w:hAnsi="Arial"/>
                <w:sz w:val="16"/>
                <w:szCs w:val="16"/>
                <w:color w:val="auto"/>
              </w:rPr>
              <w:t>Immediate Family Members, or an entity in which any of the foregoing has a 5</w:t>
            </w:r>
          </w:p>
        </w:tc>
        <w:tc>
          <w:tcPr>
            <w:tcW w:w="57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shd w:val="clear" w:color="auto" w:fill="E9E9E9"/>
          </w:tcPr>
          <w:p>
            <w:pPr>
              <w:spacing w:after="0"/>
              <w:rPr>
                <w:sz w:val="20"/>
                <w:szCs w:val="20"/>
                <w:color w:val="auto"/>
              </w:rPr>
            </w:pPr>
            <w:r>
              <w:rPr>
                <w:rFonts w:ascii="Arial" w:cs="Arial" w:eastAsia="Arial" w:hAnsi="Arial"/>
                <w:sz w:val="16"/>
                <w:szCs w:val="16"/>
                <w:color w:val="auto"/>
              </w:rPr>
              <w:t>percent or greater ownership interest</w:t>
            </w:r>
          </w:p>
        </w:tc>
        <w:tc>
          <w:tcPr>
            <w:tcW w:w="570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8" w:right="239" w:bottom="1440" w:gutter="0" w:footer="0" w:header="0"/>
        </w:sectPr>
      </w:pPr>
    </w:p>
    <w:p>
      <w:pPr>
        <w:spacing w:after="0" w:line="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other director or executive officer, an Immediate Family Member of such person, or an entity in which any of the foregoing has a 5 percent or greater ownership interest</w:t>
      </w:r>
    </w:p>
    <w:p>
      <w:pPr>
        <w:spacing w:after="0" w:line="20" w:lineRule="exact"/>
        <w:rPr>
          <w:sz w:val="20"/>
          <w:szCs w:val="20"/>
          <w:color w:val="auto"/>
        </w:rPr>
      </w:pPr>
      <w:r>
        <w:rPr>
          <w:sz w:val="20"/>
          <w:szCs w:val="20"/>
          <w:color w:val="auto"/>
        </w:rPr>
        <w:br w:type="column"/>
      </w:r>
    </w:p>
    <w:p>
      <w:pPr>
        <w:ind w:right="1520"/>
        <w:spacing w:after="0" w:line="290" w:lineRule="auto"/>
        <w:rPr>
          <w:sz w:val="20"/>
          <w:szCs w:val="20"/>
          <w:color w:val="auto"/>
        </w:rPr>
      </w:pPr>
      <w:r>
        <w:rPr>
          <w:rFonts w:ascii="Arial" w:cs="Arial" w:eastAsia="Arial" w:hAnsi="Arial"/>
          <w:sz w:val="16"/>
          <w:szCs w:val="16"/>
          <w:color w:val="auto"/>
        </w:rPr>
        <w:t>Chief compliance officer in consultation with the Chair of the G&amp;SR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-271145</wp:posOffset>
            </wp:positionV>
            <wp:extent cx="7256780" cy="3575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6780" cy="357505"/>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2">
            <w:col w:w="5480" w:space="380"/>
            <w:col w:w="5560"/>
          </w:cols>
          <w:pgMar w:left="240" w:top="348" w:right="239" w:bottom="1440" w:gutter="0" w:footer="0" w:header="0"/>
          <w:type w:val="continuous"/>
        </w:sectPr>
      </w:pPr>
    </w:p>
    <w:p>
      <w:pPr>
        <w:spacing w:after="0"/>
        <w:tabs>
          <w:tab w:leader="none" w:pos="5840" w:val="left"/>
        </w:tabs>
        <w:rPr>
          <w:sz w:val="20"/>
          <w:szCs w:val="20"/>
          <w:color w:val="auto"/>
        </w:rPr>
      </w:pPr>
      <w:r>
        <w:rPr>
          <w:rFonts w:ascii="Arial" w:cs="Arial" w:eastAsia="Arial" w:hAnsi="Arial"/>
          <w:sz w:val="16"/>
          <w:szCs w:val="16"/>
          <w:color w:val="auto"/>
        </w:rPr>
        <w:t>A 5 percent holder</w:t>
      </w:r>
      <w:r>
        <w:rPr>
          <w:sz w:val="20"/>
          <w:szCs w:val="20"/>
          <w:color w:val="auto"/>
        </w:rPr>
        <w:tab/>
      </w:r>
      <w:r>
        <w:rPr>
          <w:rFonts w:ascii="Arial" w:cs="Arial" w:eastAsia="Arial" w:hAnsi="Arial"/>
          <w:sz w:val="16"/>
          <w:szCs w:val="16"/>
          <w:color w:val="auto"/>
        </w:rPr>
        <w:t>G&amp;SR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56780" cy="1193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6780" cy="1193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No member of the G&amp;SR Committee will participate in the consideration of a related person arrangement in which such member or any of his or her Immediate Family Members is the related person.</w:t>
      </w:r>
    </w:p>
    <w:p>
      <w:pPr>
        <w:ind w:right="40" w:firstLine="250"/>
        <w:spacing w:after="0" w:line="252" w:lineRule="auto"/>
        <w:rPr>
          <w:sz w:val="20"/>
          <w:szCs w:val="20"/>
          <w:color w:val="auto"/>
        </w:rPr>
      </w:pPr>
      <w:r>
        <w:rPr>
          <w:rFonts w:ascii="Arial" w:cs="Arial" w:eastAsia="Arial" w:hAnsi="Arial"/>
          <w:sz w:val="16"/>
          <w:szCs w:val="16"/>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4" w:lineRule="exact"/>
        <w:rPr>
          <w:sz w:val="20"/>
          <w:szCs w:val="20"/>
          <w:color w:val="auto"/>
        </w:rPr>
      </w:pPr>
    </w:p>
    <w:p>
      <w:pPr>
        <w:ind w:right="700" w:firstLine="250"/>
        <w:spacing w:after="0" w:line="269" w:lineRule="auto"/>
        <w:rPr>
          <w:sz w:val="20"/>
          <w:szCs w:val="20"/>
          <w:color w:val="auto"/>
        </w:rPr>
      </w:pPr>
      <w:r>
        <w:rPr>
          <w:rFonts w:ascii="Arial" w:cs="Arial" w:eastAsia="Arial" w:hAnsi="Arial"/>
          <w:sz w:val="16"/>
          <w:szCs w:val="16"/>
          <w:color w:val="auto"/>
        </w:rPr>
        <w:t>No related person arrangement will be approved unless it is determined to be in, or not inconsistent with, the best interests of the company and its stockholders, as the approving body or persons shall determine in good faith.</w:t>
      </w:r>
    </w:p>
    <w:p>
      <w:pPr>
        <w:jc w:val="both"/>
        <w:ind w:right="240" w:firstLine="250"/>
        <w:spacing w:after="0" w:line="271" w:lineRule="auto"/>
        <w:rPr>
          <w:sz w:val="20"/>
          <w:szCs w:val="20"/>
          <w:color w:val="auto"/>
        </w:rPr>
      </w:pPr>
      <w:r>
        <w:rPr>
          <w:rFonts w:ascii="Arial" w:cs="Arial" w:eastAsia="Arial" w:hAnsi="Arial"/>
          <w:sz w:val="16"/>
          <w:szCs w:val="16"/>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During 2013, Mses. Cox, Patsley and Simmons and Messrs. Sanchez and Sanders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solicitation</w:t>
      </w:r>
    </w:p>
    <w:p>
      <w:pPr>
        <w:spacing w:after="0" w:line="20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jc w:val="both"/>
        <w:ind w:right="320" w:firstLine="250"/>
        <w:spacing w:after="0" w:line="271" w:lineRule="auto"/>
        <w:rPr>
          <w:sz w:val="20"/>
          <w:szCs w:val="20"/>
          <w:color w:val="auto"/>
        </w:rPr>
      </w:pPr>
      <w:r>
        <w:rPr>
          <w:rFonts w:ascii="Arial" w:cs="Arial" w:eastAsia="Arial" w:hAnsi="Arial"/>
          <w:sz w:val="16"/>
          <w:szCs w:val="16"/>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83" w:lineRule="exact"/>
        <w:rPr>
          <w:sz w:val="20"/>
          <w:szCs w:val="20"/>
          <w:color w:val="auto"/>
        </w:rPr>
      </w:pPr>
    </w:p>
    <w:p>
      <w:pPr>
        <w:spacing w:after="0"/>
        <w:tabs>
          <w:tab w:leader="none" w:pos="948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Stockholder proposals for 2015</w:t>
      </w:r>
    </w:p>
    <w:p>
      <w:pPr>
        <w:spacing w:after="0" w:line="20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If you wish to submit a proposal for possible inclusion in TI’s 2015 proxy material, we must receive your notice, in accordance with the rules of the SEC, on or before November 5, 2014. Proposals are to be sent to: Texas Instruments Incorporated, 12500 TI Boulevard, MS 8658, Dallas, TX 75243, Attn: Secretary.</w:t>
      </w:r>
    </w:p>
    <w:p>
      <w:pPr>
        <w:ind w:right="80" w:firstLine="250"/>
        <w:spacing w:after="0" w:line="269" w:lineRule="auto"/>
        <w:rPr>
          <w:sz w:val="20"/>
          <w:szCs w:val="20"/>
          <w:color w:val="auto"/>
        </w:rPr>
      </w:pPr>
      <w:r>
        <w:rPr>
          <w:rFonts w:ascii="Arial" w:cs="Arial" w:eastAsia="Arial" w:hAnsi="Arial"/>
          <w:sz w:val="16"/>
          <w:szCs w:val="16"/>
          <w:color w:val="auto"/>
        </w:rPr>
        <w:t>If you wish to submit a proposal at the 2015 annual meeting (but not seek inclusion of the proposal in the company’s proxy material), we must receive your notice, in accordance with the company’s by-laws, on or before January 17, 2015.</w:t>
      </w:r>
    </w:p>
    <w:p>
      <w:pPr>
        <w:ind w:right="60" w:firstLine="250"/>
        <w:spacing w:after="0" w:line="259" w:lineRule="auto"/>
        <w:rPr>
          <w:sz w:val="20"/>
          <w:szCs w:val="20"/>
          <w:color w:val="auto"/>
        </w:rPr>
      </w:pPr>
      <w:r>
        <w:rPr>
          <w:rFonts w:ascii="Arial" w:cs="Arial" w:eastAsia="Arial" w:hAnsi="Arial"/>
          <w:sz w:val="16"/>
          <w:szCs w:val="16"/>
          <w:color w:val="auto"/>
        </w:rPr>
        <w:t>All suggestions from stockholders concerning the company’s business are welcome and will be carefully considered by TI’s management. To ensure that your suggestions receive appropriate review, the G&amp;SR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61 for information on contacting the board.</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plan voting</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14, 2014, in the manner described in the notice of annual meeting.</w:t>
      </w:r>
    </w:p>
    <w:p>
      <w:pPr>
        <w:spacing w:after="0" w:line="3" w:lineRule="exact"/>
        <w:rPr>
          <w:sz w:val="20"/>
          <w:szCs w:val="20"/>
          <w:color w:val="auto"/>
        </w:rPr>
      </w:pPr>
    </w:p>
    <w:p>
      <w:pPr>
        <w:ind w:right="160" w:firstLine="250"/>
        <w:spacing w:after="0" w:line="271" w:lineRule="auto"/>
        <w:rPr>
          <w:sz w:val="20"/>
          <w:szCs w:val="20"/>
          <w:color w:val="auto"/>
        </w:rPr>
      </w:pPr>
      <w:r>
        <w:rPr>
          <w:rFonts w:ascii="Arial" w:cs="Arial" w:eastAsia="Arial" w:hAnsi="Arial"/>
          <w:sz w:val="16"/>
          <w:szCs w:val="16"/>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14, 2014, will be voted in the same proportions as the shares in the plans for which voting instructions have been received by that date unless otherwise required by law.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Section 16(a) of the Securities Exchange Act requires certain persons, including the company’s directors and executive officers, to file reports with the SEC regarding beneficial ownership of certain equity securities of the company. Due to administrative error, there was one late filing for Mr. Blinn with respect to his deferred compensation and one late filing for Mr. Ritchie with respect to a transfer of shares out of his 401(k) account and a separate sale of shares. The company believes that all other reports during 2013 were timely filed by its directors and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 and Internet voting</w:t>
      </w: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6"/>
          <w:szCs w:val="16"/>
          <w:u w:val="single" w:color="auto"/>
          <w:color w:val="auto"/>
        </w:rPr>
        <w:t>Registered stockholders and benefit plan participants</w:t>
      </w:r>
      <w:r>
        <w:rPr>
          <w:rFonts w:ascii="Arial" w:cs="Arial" w:eastAsia="Arial" w:hAnsi="Arial"/>
          <w:sz w:val="16"/>
          <w:szCs w:val="16"/>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 w:lineRule="exact"/>
        <w:rPr>
          <w:sz w:val="20"/>
          <w:szCs w:val="20"/>
          <w:color w:val="auto"/>
        </w:rPr>
      </w:pPr>
    </w:p>
    <w:p>
      <w:pPr>
        <w:ind w:right="80" w:firstLine="250"/>
        <w:spacing w:after="0" w:line="271" w:lineRule="auto"/>
        <w:rPr>
          <w:sz w:val="20"/>
          <w:szCs w:val="20"/>
          <w:color w:val="auto"/>
        </w:rPr>
      </w:pPr>
      <w:r>
        <w:rPr>
          <w:rFonts w:ascii="Arial" w:cs="Arial" w:eastAsia="Arial" w:hAnsi="Arial"/>
          <w:sz w:val="16"/>
          <w:szCs w:val="16"/>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Financial Solutions, Inc., are consistent with the requirements of applicable law.</w:t>
      </w:r>
    </w:p>
    <w:p>
      <w:pPr>
        <w:spacing w:after="0" w:line="145"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u w:val="single" w:color="auto"/>
          <w:color w:val="auto"/>
        </w:rPr>
        <w:t>Stockholders with shares registered in the name of a brokerage firm or bank</w:t>
      </w:r>
      <w:r>
        <w:rPr>
          <w:rFonts w:ascii="Arial" w:cs="Arial" w:eastAsia="Arial" w:hAnsi="Arial"/>
          <w:sz w:val="16"/>
          <w:szCs w:val="16"/>
          <w:color w:val="auto"/>
        </w:rPr>
        <w:t xml:space="preserve"> .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 w:lineRule="exact"/>
        <w:rPr>
          <w:sz w:val="20"/>
          <w:szCs w:val="20"/>
          <w:color w:val="auto"/>
        </w:rPr>
      </w:pPr>
    </w:p>
    <w:p>
      <w:pPr>
        <w:ind w:right="180" w:firstLine="250"/>
        <w:spacing w:after="0" w:line="298" w:lineRule="auto"/>
        <w:rPr>
          <w:sz w:val="20"/>
          <w:szCs w:val="20"/>
          <w:color w:val="auto"/>
        </w:rPr>
      </w:pPr>
      <w:r>
        <w:rPr>
          <w:rFonts w:ascii="Arial" w:cs="Arial" w:eastAsia="Arial" w:hAnsi="Arial"/>
          <w:sz w:val="16"/>
          <w:szCs w:val="16"/>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62"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104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Stockholders sharing the same address</w:t>
      </w:r>
    </w:p>
    <w:p>
      <w:pPr>
        <w:spacing w:after="0" w:line="206"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To reduce the expenses of delivering duplicate materials, we take advantage of the SEC’s “householding” rules which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(800)</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542-1061 or writing to Investor Relations at the address given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 of proxy materials</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214-479-3773 for more information. If you are a participant in a TI benefit plan and would like to request electronic delivery, please call TI Investor Relations for more information.</w:t>
      </w:r>
    </w:p>
    <w:p>
      <w:pPr>
        <w:spacing w:after="0" w:line="16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April 17, 2014. This 2014 proxy statement and the company’s 2013 annual report are accessible at: www.proxyvote.com.</w:t>
      </w:r>
    </w:p>
    <w:p>
      <w:pPr>
        <w:spacing w:after="0" w:line="11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13335</wp:posOffset>
            </wp:positionV>
            <wp:extent cx="1889760" cy="5556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9760" cy="55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Joseph F. Hubach</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Senior Vice President,</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March 4, 2014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22" w:lineRule="exact"/>
        <w:rPr>
          <w:sz w:val="20"/>
          <w:szCs w:val="20"/>
          <w:color w:val="auto"/>
        </w:rPr>
      </w:pPr>
    </w:p>
    <w:p>
      <w:pPr>
        <w:spacing w:after="0"/>
        <w:tabs>
          <w:tab w:leader="none" w:pos="948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Directions and other annual meeting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Directions</w:t>
      </w:r>
    </w:p>
    <w:p>
      <w:pPr>
        <w:spacing w:after="0" w:line="24"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i w:val="1"/>
          <w:iCs w:val="1"/>
          <w:color w:val="auto"/>
        </w:rPr>
        <w:t xml:space="preserve">From DFW airport: </w:t>
      </w:r>
      <w:r>
        <w:rPr>
          <w:rFonts w:ascii="Arial" w:cs="Arial" w:eastAsia="Arial" w:hAnsi="Arial"/>
          <w:sz w:val="16"/>
          <w:szCs w:val="16"/>
          <w:color w:val="auto"/>
        </w:rPr>
        <w:t>Take the North Airport exit to IH-635E. Take IH-635E to the Greenville Avenue exit. Turn right (South) on Greenville. Turn right (West) on</w:t>
      </w:r>
      <w:r>
        <w:rPr>
          <w:rFonts w:ascii="Arial" w:cs="Arial" w:eastAsia="Arial" w:hAnsi="Arial"/>
          <w:sz w:val="16"/>
          <w:szCs w:val="16"/>
          <w:i w:val="1"/>
          <w:iCs w:val="1"/>
          <w:color w:val="auto"/>
        </w:rPr>
        <w:t xml:space="preserve"> </w:t>
      </w:r>
      <w:r>
        <w:rPr>
          <w:rFonts w:ascii="Arial" w:cs="Arial" w:eastAsia="Arial" w:hAnsi="Arial"/>
          <w:sz w:val="16"/>
          <w:szCs w:val="16"/>
          <w:color w:val="auto"/>
        </w:rPr>
        <w:t>Forest Lane. Texas Instruments will be on your right at the second traffic light. Please use the North entrance to the building.</w:t>
      </w:r>
    </w:p>
    <w:p>
      <w:pPr>
        <w:spacing w:after="0" w:line="15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From Love Field airport: </w:t>
      </w:r>
      <w:r>
        <w:rPr>
          <w:rFonts w:ascii="Arial" w:cs="Arial" w:eastAsia="Arial" w:hAnsi="Arial"/>
          <w:sz w:val="16"/>
          <w:szCs w:val="16"/>
          <w:color w:val="auto"/>
        </w:rPr>
        <w:t>Take Mockingbird Lane East to US-75N (Central Expressway). Travel North on 75N to the Forest Lane exit. Turn right (East) on Forest</w:t>
      </w:r>
      <w:r>
        <w:rPr>
          <w:rFonts w:ascii="Arial" w:cs="Arial" w:eastAsia="Arial" w:hAnsi="Arial"/>
          <w:sz w:val="16"/>
          <w:szCs w:val="16"/>
          <w:i w:val="1"/>
          <w:iCs w:val="1"/>
          <w:color w:val="auto"/>
        </w:rPr>
        <w:t xml:space="preserve"> </w:t>
      </w:r>
      <w:r>
        <w:rPr>
          <w:rFonts w:ascii="Arial" w:cs="Arial" w:eastAsia="Arial" w:hAnsi="Arial"/>
          <w:sz w:val="16"/>
          <w:szCs w:val="16"/>
          <w:color w:val="auto"/>
        </w:rPr>
        <w:t>Lane. You will pass two traffic lights. At the third light, the entrance to Texas Instruments will be on your left. Please use the North entrance to the building.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Parking</w:t>
      </w:r>
    </w:p>
    <w:p>
      <w:pPr>
        <w:spacing w:after="0" w:line="24"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auto"/>
        </w:rPr>
        <w:t>There will be reserved parking for all visitors at the North Lobby. Visitors with special needs requiring assistance will be accommodated at the South Lobby entrance.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Security</w:t>
      </w:r>
    </w:p>
    <w:p>
      <w:pPr>
        <w:spacing w:after="0" w:line="2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Please be advised that TI’s security policy forbids weapons, cameras and audio/video recording devices inside TI buildings. All bags will be subject to search upon entry into the building.</w:t>
      </w:r>
    </w:p>
    <w:p>
      <w:pPr>
        <w:spacing w:after="0" w:line="188"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106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EXHIBIT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 EMPLOYEES 2014 STOCK PURCHASE PLAN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Dated April 17, 2014</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TI Employees 2014 Stock Purchase Plan (the “Plan”) is designed to encourage in all Employees a proprietary interest in the Company. The Plan provides for all eligible Employees the option to purchase shares of the common stock of TI through voluntary systematic payroll deductions. The options provided to participants under the Plan shall be in addition to regular salary, profit sharing, pension, life insurance, special payments or other benefits related to a participant’s employment with the Company. It is the intention of the Company to have the Plan qualify as an “Employee Stock Purchase Plan” pursuant to Section 423 of the Internal Revenue Code of 1986, as amended, and regulations promulgated thereunder (the “Code”), but the Company does not undertake to maintain such status through the Plan term. If such status is not maintained, any award under the Plan will be made in a manner that is intended to avoid the imposition of additional taxes and penalties under Section 409A of the Code.</w:t>
      </w:r>
    </w:p>
    <w:p>
      <w:pPr>
        <w:spacing w:after="0" w:line="3" w:lineRule="exact"/>
        <w:rPr>
          <w:sz w:val="20"/>
          <w:szCs w:val="20"/>
          <w:color w:val="auto"/>
        </w:rPr>
      </w:pPr>
    </w:p>
    <w:p>
      <w:pPr>
        <w:jc w:val="both"/>
        <w:ind w:right="120" w:firstLine="250"/>
        <w:spacing w:after="0" w:line="262" w:lineRule="auto"/>
        <w:rPr>
          <w:sz w:val="20"/>
          <w:szCs w:val="20"/>
          <w:color w:val="auto"/>
        </w:rPr>
      </w:pPr>
      <w:r>
        <w:rPr>
          <w:rFonts w:ascii="Arial" w:cs="Arial" w:eastAsia="Arial" w:hAnsi="Arial"/>
          <w:sz w:val="16"/>
          <w:szCs w:val="16"/>
          <w:color w:val="auto"/>
        </w:rPr>
        <w:t>For the purposes of the Plan unless otherwise indicated, “TI” shall mean Texas Instruments Incorporated, “Subsidiary” shall mean a corporation where at least eighty percent of its voting stock is owned directly or indirectly by TI, “Company” shall mean TI and its Subsidiaries, “Employee” shall mean an individual who is a full-time or part-time employee of the Company (including employees on paid or unpaid leave of absence if TI expects that they will return to work), and “Board” shall mean the Board of Directors of TI.</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Eligibility</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All Employees of TI, and such of its Subsidiaries as the Committee described below shall from time to time designate, who are Employees on the date of grant of the option shall be eligible to participate in offerings of options under the Plan, except the Committee may, in specified offerings, exclude Employees that fall into an excludable category as described in Section 423 of the Code and the regulations thereunder. The categories of Employees excluded from any specified offering may differ from the categories of Employees excluded from other offerings. For each offering, the date of grant shall be as determined by the Committee. Directors who are not Employees are not eligible to participate in the Plan.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 of plan</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employees.</w:t>
      </w:r>
    </w:p>
    <w:p>
      <w:pPr>
        <w:spacing w:after="0" w:line="2" w:lineRule="exact"/>
        <w:rPr>
          <w:sz w:val="20"/>
          <w:szCs w:val="20"/>
          <w:color w:val="auto"/>
        </w:rPr>
      </w:pPr>
    </w:p>
    <w:p>
      <w:pPr>
        <w:ind w:right="100" w:firstLine="250"/>
        <w:spacing w:after="0" w:line="253" w:lineRule="auto"/>
        <w:rPr>
          <w:sz w:val="20"/>
          <w:szCs w:val="20"/>
          <w:color w:val="auto"/>
        </w:rPr>
      </w:pPr>
      <w:r>
        <w:rPr>
          <w:rFonts w:ascii="Arial" w:cs="Arial" w:eastAsia="Arial" w:hAnsi="Arial"/>
          <w:sz w:val="16"/>
          <w:szCs w:val="16"/>
          <w:color w:val="auto"/>
        </w:rPr>
        <w:t>The Committee shall have the full and exclusive right to establish the terms of each offering of common stock of TI under the Plan except as otherwise expressly provided in this Plan. The terms of each offering, as established by the Committee, shall be communicated to eligible Employees in writing or electronically. The Committee may delegate such power, authority and rights with respect to the administration of the Plan (including, without limitation, the designation of Subsidiaries whose Employees may participate in offerings and the exclusion of Employees from specified offerings, in each case to the extent permitted by Section 423 of the Code) as it deems appropriate to one or more members of the management of TI (including, without limitation, a committee of one or more members of management appointed by the Committee); provided, however, that any delegation to management shall conform with the requirements of applicable law and stock exchange regulations. The Committee may also recommend to the Board revisions of the Plan.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 of administration</w:t>
      </w:r>
    </w:p>
    <w:p>
      <w:pPr>
        <w:spacing w:after="0" w:line="206"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Except as otherwise determined by the Committee, any broker commissions, fees or other expenses incurred in connection with the exercise of an option hereunder or as a result of the opening or maintenance of accounts for Employees and the purchase and sale of common stock of TI on behalf of Employees shall be paid by the Employee who incurs the expenses and any other expenses of the administration of the Plan shall be borne by TI.</w:t>
      </w:r>
    </w:p>
    <w:p>
      <w:pPr>
        <w:spacing w:after="0" w:line="187"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Amendments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Committee may, at any time and from time to time, alter, amend, suspend or terminate the Plan, any part thereof or any option thereunder as it may deem proper and in the best interests of the Company, provided, however, that unless the stockholders of TI shall have first approved thereof, (i) the total number of shares for which options may be exercised under the Plan shall not be increased or decreased, except as adjusted below under “Adjustments,” and (ii) no amendment shall be made which shall allow an option price for offerings under the Plan to be less than 85% of the fair market value of the common stock of TI on the date of grant of the options or 85% of the fair market value of the common stock of TI on the date on which an option is exercised, if lower.</w:t>
      </w:r>
    </w:p>
    <w:p>
      <w:pPr>
        <w:spacing w:after="0" w:line="3" w:lineRule="exact"/>
        <w:rPr>
          <w:sz w:val="20"/>
          <w:szCs w:val="20"/>
          <w:color w:val="auto"/>
        </w:rPr>
      </w:pPr>
    </w:p>
    <w:p>
      <w:pPr>
        <w:ind w:right="200" w:firstLine="250"/>
        <w:spacing w:after="0" w:line="262" w:lineRule="auto"/>
        <w:rPr>
          <w:sz w:val="20"/>
          <w:szCs w:val="20"/>
          <w:color w:val="auto"/>
        </w:rPr>
      </w:pPr>
      <w:r>
        <w:rPr>
          <w:rFonts w:ascii="Arial" w:cs="Arial" w:eastAsia="Arial" w:hAnsi="Arial"/>
          <w:sz w:val="16"/>
          <w:szCs w:val="16"/>
          <w:color w:val="auto"/>
        </w:rPr>
        <w:t>Notwithstanding the foregoing, the Committee may adopt and amend stock purchase sub-plans with respect to Employees of Subsidiaries with such provisions as the Committee may deem appropriate to conform with local laws, practices and procedures, and to permit exclusion of certain Employees from participation. All such sub-plans shall be subject to the limitations on the amount of stock that may be issued under the Plan and, except to the extent otherwise provided in such plans, shall be subject to all of the other provisions set forth herein.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Offerings</w:t>
      </w:r>
    </w:p>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Each year during the term of the Plan, unless the Committee determines otherwise, TI will make one or more offerings in which options to purchase TI common stock will be granted under the Plan. The offerings made to Employees of TI and to the Employees of each participating Subsidiary shall constitute separate offerings (i.e., the offering made to Employees of one participating entity shall be separate from the offering made to Employees of another participating entity) for purposes of Section 423 of the Code and the regulations thereunder and, accordingly, may contain different terms and conditions, provided that each such offering meets the requirements of Section 423 and the regulations thereunder.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grants</w:t>
      </w:r>
    </w:p>
    <w:p>
      <w:pPr>
        <w:spacing w:after="0" w:line="20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No more than 40,000,000 shares of TI common stock may be sold pursuant to options granted under the Plan, subject to adjustments as described below. Either authorized and unissued shares or issued shares heretofore or hereafter acquired by TI may be made subject to option under the Plan. If for any reason any option under the Plan terminates in whole or in part, shares subject to such terminated option may be again subjected to an option under the Plan.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TI, issuance of warrants or other rights to purchase shares or other securities of TI,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which may be made the subject of options, (ii) the number and type of shares subject to outstanding options, and (iii) the grant, purchase or exercise price with respect to any option or, if deemed appropriate, make provision for a cash payment to the holder of an option. However, any adjustment that results in an increase in the aggregate number of shares that may be issued under the Plan (other than an increase merely reflecting a change in the number of outstanding shares, such as a stock dividend or stock split) will be considered the adoption of a new plan that would require stockholder approval, to the extent required by Section 423 of the Code and the regulations thereunder.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and conditions of options</w:t>
      </w:r>
    </w:p>
    <w:p>
      <w:pPr>
        <w:spacing w:after="0" w:line="206"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Each offering shall be subject to the following terms and conditions, and to such further terms and conditions as may be established by the Committee as described in the paragraph above entitled “Administration of Plan.” To the extent required by Section 423 of the Code and the regulations thereunder, all Employees granted options in an offering shall have equal rights and privileges.</w:t>
      </w:r>
    </w:p>
    <w:p>
      <w:pPr>
        <w:spacing w:after="0" w:line="1" w:lineRule="exact"/>
        <w:rPr>
          <w:sz w:val="20"/>
          <w:szCs w:val="20"/>
          <w:color w:val="auto"/>
        </w:rPr>
      </w:pPr>
    </w:p>
    <w:p>
      <w:pPr>
        <w:ind w:left="460" w:right="140" w:hanging="460"/>
        <w:spacing w:after="0" w:line="25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option price per share for each offering shall be determined by the Committee on or prior to the date of grant of the option which shall in no instance be less than (a) 85% of the fair market value of TI common stock on the date the option is granted, or (b) 85% of the fair market value of TI common stock on the date the option is exercised, whichever is lower. The fair market value on the date on which an option is granted or exercised shall be determined by such methods or procedures as shall be established by the Committee prior to or on the date of grant of the option.</w:t>
      </w:r>
    </w:p>
    <w:p>
      <w:pPr>
        <w:spacing w:after="0" w:line="224"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A-2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5" w:name="page56"/>
    <w:bookmarkEnd w:id="55"/>
    <w:p>
      <w:pPr>
        <w:ind w:left="560" w:right="260" w:hanging="560"/>
        <w:spacing w:after="0" w:line="257" w:lineRule="auto"/>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expiration date of the options granted in each offering shall be determined by the Committee prior to or on the date of grant of the options but in any event shall not be more than 27 months after the date of grant of the options.</w:t>
      </w:r>
    </w:p>
    <w:p>
      <w:pPr>
        <w:spacing w:after="0" w:line="1" w:lineRule="exact"/>
        <w:rPr>
          <w:rFonts w:ascii="Arial" w:cs="Arial" w:eastAsia="Arial" w:hAnsi="Arial"/>
          <w:sz w:val="16"/>
          <w:szCs w:val="16"/>
          <w:color w:val="auto"/>
        </w:rPr>
      </w:pPr>
    </w:p>
    <w:p>
      <w:pPr>
        <w:ind w:left="560" w:right="220" w:hanging="560"/>
        <w:spacing w:after="0" w:line="244" w:lineRule="auto"/>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option shall entitle the Employee to purchase up to that number of shares which could be purchased at the option price as the Committee shall determine for each offering (but not to exceed the amount specified in Section 423(b) of the Code). Alternatively, or in combination with setting a maximum number of shares, the Committee may choose to determine a maximum dollar amount that could be used to purchase shares for each offering (but not to exceed the amount specified in Section 423(b) of the Code). Each Employee may elect to participate for less than the maximum number of shares or dollar amount specified by the Committee. The Committee shall determine prior to or on the date of grant of the options the consequences of an Employee’s election to participate for less than the maximum and whether the Employee shall be entitled to purchase fractional shares.</w:t>
      </w:r>
    </w:p>
    <w:p>
      <w:pPr>
        <w:spacing w:after="0" w:line="3" w:lineRule="exact"/>
        <w:rPr>
          <w:rFonts w:ascii="Arial" w:cs="Arial" w:eastAsia="Arial" w:hAnsi="Arial"/>
          <w:sz w:val="16"/>
          <w:szCs w:val="16"/>
          <w:color w:val="auto"/>
        </w:rPr>
      </w:pPr>
    </w:p>
    <w:p>
      <w:pPr>
        <w:ind w:left="560" w:hanging="56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term of each offering shall consist of the following three periods:</w:t>
      </w:r>
    </w:p>
    <w:p>
      <w:pPr>
        <w:spacing w:after="0" w:line="3" w:lineRule="exact"/>
        <w:rPr>
          <w:rFonts w:ascii="Arial" w:cs="Arial" w:eastAsia="Arial" w:hAnsi="Arial"/>
          <w:sz w:val="16"/>
          <w:szCs w:val="16"/>
          <w:color w:val="auto"/>
        </w:rPr>
      </w:pPr>
    </w:p>
    <w:p>
      <w:pPr>
        <w:ind w:left="1000" w:right="60" w:hanging="450"/>
        <w:spacing w:after="0" w:line="244"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 Enrollment Period during which each eligible Employee shall determine whether or not and to what extent to participate by authorizing payroll deductions;</w:t>
      </w:r>
    </w:p>
    <w:p>
      <w:pPr>
        <w:ind w:left="1000" w:right="280" w:hanging="450"/>
        <w:spacing w:after="0" w:line="244"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Payroll Deduction Period during which (subject to paragraph (15) below) payroll deductions shall be made and credited to each Employee’s payroll deduction account; and</w:t>
      </w:r>
    </w:p>
    <w:p>
      <w:pPr>
        <w:ind w:left="1000" w:hanging="450"/>
        <w:spacing w:after="0"/>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 Exercise Day on which options of participating Employees will be automatically exercised in full.</w:t>
      </w:r>
    </w:p>
    <w:p>
      <w:pPr>
        <w:spacing w:after="0" w:line="4" w:lineRule="exact"/>
        <w:rPr>
          <w:sz w:val="20"/>
          <w:szCs w:val="20"/>
          <w:color w:val="auto"/>
        </w:rPr>
      </w:pPr>
    </w:p>
    <w:p>
      <w:pPr>
        <w:ind w:left="560"/>
        <w:spacing w:after="0" w:line="244" w:lineRule="auto"/>
        <w:rPr>
          <w:sz w:val="20"/>
          <w:szCs w:val="20"/>
          <w:color w:val="auto"/>
        </w:rPr>
      </w:pPr>
      <w:r>
        <w:rPr>
          <w:rFonts w:ascii="Arial" w:cs="Arial" w:eastAsia="Arial" w:hAnsi="Arial"/>
          <w:sz w:val="16"/>
          <w:szCs w:val="16"/>
          <w:color w:val="auto"/>
        </w:rPr>
        <w:t>The beginning and ending dates of each Enrollment Period and Payroll Deduction Period and the date of each Exercise Day shall be determined by the Committee.</w:t>
      </w:r>
    </w:p>
    <w:p>
      <w:pPr>
        <w:spacing w:after="0" w:line="1" w:lineRule="exact"/>
        <w:rPr>
          <w:sz w:val="20"/>
          <w:szCs w:val="20"/>
          <w:color w:val="auto"/>
        </w:rPr>
      </w:pPr>
    </w:p>
    <w:p>
      <w:pPr>
        <w:ind w:left="560" w:right="4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eligible Employee who desires to participate in an offering shall elect to do so by completing and delivering by the end of the Enrollment Period to a person or firm designated by the Treasurer of TI a payroll deduction authorization in the form (including without limitation, telephonic and electronic transmission, utilization of voice response systems and computer entry) prescribed by the Committee authorizing payroll deductions during the Payroll Deduction Period. Where local law prohibits payroll deductions, paragraph (15) shall apply. Unless otherwise determined by the Committee, such election and payroll deduction authorization shall constitute an election and payroll deduction authorization to participate in the current offering, and the Employee may elect to be automatically re-enrolled in subsequent offerings under the Plan.</w:t>
      </w:r>
    </w:p>
    <w:p>
      <w:pPr>
        <w:spacing w:after="0" w:line="2" w:lineRule="exact"/>
        <w:rPr>
          <w:rFonts w:ascii="Arial" w:cs="Arial" w:eastAsia="Arial" w:hAnsi="Arial"/>
          <w:sz w:val="16"/>
          <w:szCs w:val="16"/>
          <w:color w:val="auto"/>
        </w:rPr>
      </w:pPr>
    </w:p>
    <w:p>
      <w:pPr>
        <w:ind w:left="560" w:right="8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TI shall maintain or arrange for the maintenance of payroll deduction accounts for all participating Employees (or alternative payment method pursuant to paragraph (15)).</w:t>
      </w:r>
    </w:p>
    <w:p>
      <w:pPr>
        <w:ind w:left="560" w:right="8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the Exercise Day, the options of each participating Employee to which such Exercise Day relates shall be automatically exercised in full without the need for the participating Employee to take any action.</w:t>
      </w:r>
    </w:p>
    <w:p>
      <w:pPr>
        <w:ind w:left="560" w:right="16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exercise of an option, the shares shall be paid for in full by transfer of the purchase price from the Employee’s payroll deduction account, if any, to the account of TI, and any balance in the Employee’s payroll deduction account shall be paid to the Employee in cash.</w:t>
      </w:r>
    </w:p>
    <w:p>
      <w:pPr>
        <w:ind w:left="560" w:right="12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Committee may allow participating Employees to cancel or reduce, or both, their payroll deduction authorizations. The Committee shall determine the consequences of such cancellations or reductions on the participating Employees’ enrollment in subsequent offerings.</w:t>
      </w:r>
    </w:p>
    <w:p>
      <w:pPr>
        <w:ind w:left="560" w:right="66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Committee shall determine on or prior to the date of grant of options the consequences of the termination of employment of a participating Employee for any reason, including death, during the term of an offering.</w:t>
      </w:r>
    </w:p>
    <w:p>
      <w:pPr>
        <w:ind w:left="560" w:right="10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Employee will have none of the rights and privileges of a stockholder of TI with respect to the shares of common stock subject to an option under the Plan until such shares of common stock have been transferred or issued to the Employee or to a designated broker for the Employee’s account on the books of TI.</w:t>
      </w:r>
    </w:p>
    <w:p>
      <w:pPr>
        <w:spacing w:after="0" w:line="1" w:lineRule="exact"/>
        <w:rPr>
          <w:rFonts w:ascii="Arial" w:cs="Arial" w:eastAsia="Arial" w:hAnsi="Arial"/>
          <w:sz w:val="16"/>
          <w:szCs w:val="16"/>
          <w:color w:val="auto"/>
        </w:rPr>
      </w:pPr>
    </w:p>
    <w:p>
      <w:pPr>
        <w:ind w:left="560" w:right="10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option granted under the Plan may not be transferred except by will or the laws of descent and distribution and, during the lifetime of the Employee to whom granted, may be exercised only by the Employee.</w:t>
      </w:r>
    </w:p>
    <w:p>
      <w:pPr>
        <w:ind w:left="560" w:right="280" w:hanging="560"/>
        <w:spacing w:after="0" w:line="244"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option granted shall be evidenced by an instrument in such written or electronic form as the Committee shall approve which shall be dated the date of grant and shall comply with and be subject to the terms and conditions of the Plan.</w:t>
      </w:r>
    </w:p>
    <w:p>
      <w:pPr>
        <w:ind w:left="560" w:hanging="560"/>
        <w:spacing w:after="0" w:line="245"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Employee shall be granted an option hereunder if such Employee, immediately after the option is granted, owns stock possessing five percent (5%) or more of the total combined voting power or value of all classes of stock of TI or a related corporation as defined in Treas. Reg. Section 1.421-1(i) (“Related Corporation”), computed in accordance with Section 423(b)(3) of the Code. No Employee shall be granted an option that permits the Employee’s rights to purchase common stock under all employee stock purchase plans of TI or a Related Corporation to accrue at a rate which exceeds $25,000 (or such other maximum as may be prescribed from time to time by the Code) of fair market value of such common stock (determined at the date of grant) for each calendar year in which such option is outstanding at any time in accordance with the provisions of Section 423(b)(8) of the Code.</w:t>
      </w:r>
    </w:p>
    <w:p>
      <w:pPr>
        <w:spacing w:after="0" w:line="185" w:lineRule="exact"/>
        <w:rPr>
          <w:rFonts w:ascii="Arial" w:cs="Arial" w:eastAsia="Arial" w:hAnsi="Arial"/>
          <w:sz w:val="16"/>
          <w:szCs w:val="16"/>
          <w:color w:val="auto"/>
        </w:rPr>
      </w:pPr>
    </w:p>
    <w:p>
      <w:pPr>
        <w:ind w:left="560" w:right="60" w:hanging="560"/>
        <w:spacing w:after="0" w:line="251"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local law prohibits payroll deductions for some or all Employees who are eligible for an offering, all Employees who are eligible for the offering in that location may authorize their employer to place the funds that otherwise would be subject to payroll deductions into bank accounts or in accounts with a trustee or other custodian in the names of the Employees or in the name of the employer or pay the funds by such other method authorized by the Committee. In such event, all of the provisions of the Plan applicable to payroll deductions shall apply to such accounts.</w:t>
      </w:r>
    </w:p>
    <w:p>
      <w:pPr>
        <w:spacing w:after="0" w:line="224"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Plan funds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All amounts held by TI in payroll deduction accounts under the Plan may be used for any corporate purpose of TI.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and stock exchange regulations</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obligation of TI to sell and deliver common stock under the Plan is subject to applicable laws and to the approval of any governmental authority required in connection with the authorization, issuance, sale or delivery of such common stock. The Company may, without liability to participating Employees, defer or cancel delivery of shares or take other action it deems appropriate in cases where applicable laws, regulations or stock exchange rules impose constraints on the normal Plan operations or delivery of shares. Such actions shall be taken in a manner which provides equal rights and privileges to all Employees granted options in an offering.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plan</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No offering shall be made hereunder after April 17, 2024. Further, no offering hereunder shall be made after any day upon which participating Employees elect to participate for a number of shares equal to or greater than the number of shares remaining available for purchase. If the number of shares for which Employees elect to participate shall be greater than the shares remaining available, the available shares shall at the end of the Enrollment Period be allocated among such participating Employees pro rata on the basis of the number of shares for which each has elected to participate.</w:t>
      </w:r>
    </w:p>
    <w:p>
      <w:pPr>
        <w:spacing w:after="0" w:line="194"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A-4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EXHIBIT B</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TEXAS INSTRUMENTS 2009 LONG-TERM INCENTIVE PLAN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amended January 19, 2012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i w:val="1"/>
          <w:iCs w:val="1"/>
          <w:color w:val="auto"/>
        </w:rPr>
        <w:t>Purpose.</w:t>
      </w:r>
    </w:p>
    <w:p>
      <w:pPr>
        <w:spacing w:after="0" w:line="206"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The Texas Instruments 2009 Long-Term Incentive Plan is intended as a successor plan to the Company’s 2000 Long-Term Incentive Plan, 2003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i w:val="1"/>
          <w:iCs w:val="1"/>
          <w:color w:val="auto"/>
        </w:rPr>
        <w:t>Definitions.</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used in the Plan, the following terms shall have the meanings set forth in this Section 2. Any definition of a performance measure used in connection with an Award described by Section 11(f) shall have the meaning commonly ascribed to such term by generally acceptable accounting principles as practiced in the United States.</w:t>
      </w:r>
    </w:p>
    <w:p>
      <w:pPr>
        <w:spacing w:after="0" w:line="1" w:lineRule="exact"/>
        <w:rPr>
          <w:sz w:val="20"/>
          <w:szCs w:val="20"/>
          <w:color w:val="auto"/>
        </w:rPr>
      </w:pPr>
    </w:p>
    <w:p>
      <w:pPr>
        <w:ind w:left="600" w:right="320" w:hanging="412"/>
        <w:spacing w:after="0" w:line="244" w:lineRule="auto"/>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“Affiliate” shall mean (i) any entity that, directly or indirectly, is controlled by the Company and (ii) any entity in which the Company has a significant equity interest, in either case as determined by the Committee.</w:t>
      </w:r>
    </w:p>
    <w:p>
      <w:pPr>
        <w:ind w:left="600" w:right="240" w:hanging="412"/>
        <w:spacing w:after="0" w:line="244" w:lineRule="auto"/>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“Award” shall mean any Option, award of Restricted Stock, Restricted Stock Unit, Performance Unit or Other Stock-Based Award granted under the Plan.</w:t>
      </w:r>
    </w:p>
    <w:p>
      <w:pPr>
        <w:ind w:left="600" w:right="140" w:hanging="412"/>
        <w:spacing w:after="0" w:line="244" w:lineRule="auto"/>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“Award Agreement” shall mean any written agreement, contract or other instrument or document evidencing an Award granted under the Plan, which may, but need not, be executed or acknowledged by a Participant. An Award Agreement may be in electronic form.</w:t>
      </w:r>
    </w:p>
    <w:p>
      <w:pPr>
        <w:ind w:left="600" w:hanging="41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“Board” shall mean the board of directors of the Company.</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“Cash Flow” for a period shall mean net cash provided by operating activities.</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 in Control” shall mean an event that will be deemed to have occurred:</w:t>
      </w:r>
    </w:p>
    <w:p>
      <w:pPr>
        <w:spacing w:after="0" w:line="3" w:lineRule="exact"/>
        <w:rPr>
          <w:rFonts w:ascii="Arial" w:cs="Arial" w:eastAsia="Arial" w:hAnsi="Arial"/>
          <w:sz w:val="16"/>
          <w:szCs w:val="16"/>
          <w:color w:val="auto"/>
        </w:rPr>
      </w:pPr>
    </w:p>
    <w:p>
      <w:pPr>
        <w:ind w:left="860" w:right="20" w:hanging="260"/>
        <w:spacing w:after="0" w:line="244" w:lineRule="auto"/>
        <w:tabs>
          <w:tab w:leader="none" w:pos="8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3" w:lineRule="exact"/>
        <w:rPr>
          <w:rFonts w:ascii="Arial" w:cs="Arial" w:eastAsia="Arial" w:hAnsi="Arial"/>
          <w:sz w:val="16"/>
          <w:szCs w:val="16"/>
          <w:color w:val="auto"/>
        </w:rPr>
      </w:pPr>
    </w:p>
    <w:p>
      <w:pPr>
        <w:ind w:left="860" w:right="700" w:hanging="260"/>
        <w:spacing w:after="0" w:line="244" w:lineRule="auto"/>
        <w:tabs>
          <w:tab w:leader="none" w:pos="8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On the date a majority of members of the Board is replaced during any 12-month period by directors whose appointment or election is not endorsed by a majority of the Board before the date of the appointment or election; or</w:t>
      </w:r>
    </w:p>
    <w:p>
      <w:pPr>
        <w:ind w:left="860" w:right="80" w:hanging="260"/>
        <w:spacing w:after="0" w:line="244" w:lineRule="auto"/>
        <w:tabs>
          <w:tab w:leader="none" w:pos="8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4" w:lineRule="exact"/>
        <w:rPr>
          <w:rFonts w:ascii="Arial" w:cs="Arial" w:eastAsia="Arial" w:hAnsi="Arial"/>
          <w:sz w:val="16"/>
          <w:szCs w:val="16"/>
          <w:color w:val="auto"/>
        </w:rPr>
      </w:pPr>
    </w:p>
    <w:p>
      <w:pPr>
        <w:ind w:left="860" w:hanging="260"/>
        <w:spacing w:after="0"/>
        <w:tabs>
          <w:tab w:leader="none" w:pos="8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For purposes of (i), (ii) and (iii) of this Section 2(f),</w:t>
      </w:r>
    </w:p>
    <w:p>
      <w:pPr>
        <w:spacing w:after="0" w:line="3" w:lineRule="exact"/>
        <w:rPr>
          <w:rFonts w:ascii="Arial" w:cs="Arial" w:eastAsia="Arial" w:hAnsi="Arial"/>
          <w:sz w:val="16"/>
          <w:szCs w:val="16"/>
          <w:color w:val="auto"/>
        </w:rPr>
      </w:pPr>
    </w:p>
    <w:p>
      <w:pPr>
        <w:ind w:left="1120" w:hanging="257"/>
        <w:spacing w:after="0"/>
        <w:tabs>
          <w:tab w:leader="none" w:pos="11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“Affiliate” shall have the meaning set forth in Rule 12b-2 promulgated under Section 12 of the Securities Exchange Act of 1934, as amended;</w:t>
      </w:r>
    </w:p>
    <w:p>
      <w:pPr>
        <w:spacing w:after="0" w:line="3" w:lineRule="exact"/>
        <w:rPr>
          <w:rFonts w:ascii="Arial" w:cs="Arial" w:eastAsia="Arial" w:hAnsi="Arial"/>
          <w:sz w:val="16"/>
          <w:szCs w:val="16"/>
          <w:color w:val="auto"/>
        </w:rPr>
      </w:pPr>
    </w:p>
    <w:p>
      <w:pPr>
        <w:ind w:left="1120" w:right="360" w:hanging="257"/>
        <w:spacing w:after="0" w:line="264" w:lineRule="auto"/>
        <w:tabs>
          <w:tab w:leader="none" w:pos="11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“Person” shall have the meaning given in Section 7701(a)(1) of the Code. Person shall include more than one Person acting as a group as defined by the Final Treasury Regulations issued under Section 409A of the Code; and</w:t>
      </w:r>
    </w:p>
    <w:p>
      <w:pPr>
        <w:spacing w:after="0" w:line="213"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8" w:name="page59"/>
    <w:bookmarkEnd w:id="58"/>
    <w:p>
      <w:pPr>
        <w:ind w:left="1120" w:right="180" w:hanging="282"/>
        <w:spacing w:after="0" w:line="257" w:lineRule="auto"/>
        <w:tabs>
          <w:tab w:leader="none" w:pos="1120" w:val="left"/>
        </w:tabs>
        <w:numPr>
          <w:ilvl w:val="2"/>
          <w:numId w:val="49"/>
        </w:numPr>
        <w:rPr>
          <w:rFonts w:ascii="Arial" w:cs="Arial" w:eastAsia="Arial" w:hAnsi="Arial"/>
          <w:sz w:val="16"/>
          <w:szCs w:val="16"/>
          <w:color w:val="auto"/>
        </w:rPr>
      </w:pPr>
      <w:r>
        <w:rPr>
          <w:rFonts w:ascii="Arial" w:cs="Arial" w:eastAsia="Arial" w:hAnsi="Arial"/>
          <w:sz w:val="16"/>
          <w:szCs w:val="16"/>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 w:lineRule="exact"/>
        <w:rPr>
          <w:rFonts w:ascii="Arial" w:cs="Arial" w:eastAsia="Arial" w:hAnsi="Arial"/>
          <w:sz w:val="16"/>
          <w:szCs w:val="16"/>
          <w:color w:val="auto"/>
        </w:rPr>
      </w:pPr>
    </w:p>
    <w:p>
      <w:pPr>
        <w:jc w:val="both"/>
        <w:ind w:left="840" w:right="40" w:hanging="240"/>
        <w:spacing w:after="0" w:line="244" w:lineRule="auto"/>
        <w:tabs>
          <w:tab w:leader="none" w:pos="8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Notwithstanding the foregoing, in no case will an event in (i), (ii) or (iii) of this Section 2(f) be treated as a Change in Control unless such event also constitutes a “change in control event” with respect to the Company within the meaning of Treas. Reg. § 1.409A-3(i)(5) or any successor provision.</w:t>
      </w: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“Code” shall mean the Internal Revenue Code of 1986, as amended from time to time.</w:t>
      </w:r>
    </w:p>
    <w:p>
      <w:pPr>
        <w:spacing w:after="0" w:line="3" w:lineRule="exact"/>
        <w:rPr>
          <w:rFonts w:ascii="Arial" w:cs="Arial" w:eastAsia="Arial" w:hAnsi="Arial"/>
          <w:sz w:val="16"/>
          <w:szCs w:val="16"/>
          <w:color w:val="auto"/>
        </w:rPr>
      </w:pPr>
    </w:p>
    <w:p>
      <w:pPr>
        <w:ind w:left="600" w:right="34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“Committee” shall mean a committee of the Board designated by the Board to administer the Plan. Unless otherwise determined by the Board, the Compensation Committee designated by the Board shall be the Committee under the Plan.</w:t>
      </w: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“Company” shall mean Texas Instruments Incorporated, together with any successor thereto.</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“Cycle Time” shall mean the actual time a specific process relating to a product or service of the Company takes to accomplish.</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“Earnings Before Income Taxes” shall mean income from continuing operations plus provision for income taxes.</w:t>
      </w:r>
    </w:p>
    <w:p>
      <w:pPr>
        <w:spacing w:after="0" w:line="3" w:lineRule="exact"/>
        <w:rPr>
          <w:rFonts w:ascii="Arial" w:cs="Arial" w:eastAsia="Arial" w:hAnsi="Arial"/>
          <w:sz w:val="16"/>
          <w:szCs w:val="16"/>
          <w:color w:val="auto"/>
        </w:rPr>
      </w:pPr>
    </w:p>
    <w:p>
      <w:pPr>
        <w:ind w:left="600" w:right="48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“Earnings Before Income Taxes, Depreciation and Amortization” or “EBITDA” shall mean income from continuing operations plus 1) provision for income taxes, 2) depreciation expense and 3) amortization expense.</w:t>
      </w: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“Earnings Per Share” for a period shall mean diluted earnings per common share from continuing operations before extraordinary items.</w:t>
      </w:r>
    </w:p>
    <w:p>
      <w:pPr>
        <w:spacing w:after="0" w:line="3" w:lineRule="exact"/>
        <w:rPr>
          <w:rFonts w:ascii="Arial" w:cs="Arial" w:eastAsia="Arial" w:hAnsi="Arial"/>
          <w:sz w:val="16"/>
          <w:szCs w:val="16"/>
          <w:color w:val="auto"/>
        </w:rPr>
      </w:pPr>
    </w:p>
    <w:p>
      <w:pPr>
        <w:ind w:left="600" w:right="2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“Executive Group” shall mean every person who is expected by the Committee to be both (i) a “covered employee” as defined in Section 162(m) of the Code as of the end of the taxable year in which an amount related to or arising in connection with the Award may be deducted by the Company, and</w:t>
      </w:r>
    </w:p>
    <w:p>
      <w:pPr>
        <w:ind w:left="820" w:hanging="220"/>
        <w:spacing w:after="0"/>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recipient of taxable compensation of more than $1,000,000 for that taxable year.</w:t>
      </w:r>
    </w:p>
    <w:p>
      <w:pPr>
        <w:spacing w:after="0" w:line="3" w:lineRule="exact"/>
        <w:rPr>
          <w:rFonts w:ascii="Arial" w:cs="Arial" w:eastAsia="Arial" w:hAnsi="Arial"/>
          <w:sz w:val="16"/>
          <w:szCs w:val="16"/>
          <w:color w:val="auto"/>
        </w:rPr>
      </w:pPr>
    </w:p>
    <w:p>
      <w:pPr>
        <w:ind w:left="600" w:right="6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ind w:left="600" w:right="56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“Free Cash Flow” for a period shall mean net cash provided by operating activities of continuing operations less additions to property, plant and equipment.</w:t>
      </w: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“Gross Profit” for a period shall mean net revenue less cost of revenue.</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“Gross Profit Margin” for a period shall mean Gross Profit divided by net revenue.</w:t>
      </w:r>
    </w:p>
    <w:p>
      <w:pPr>
        <w:spacing w:after="0" w:line="3" w:lineRule="exact"/>
        <w:rPr>
          <w:rFonts w:ascii="Arial" w:cs="Arial" w:eastAsia="Arial" w:hAnsi="Arial"/>
          <w:sz w:val="16"/>
          <w:szCs w:val="16"/>
          <w:color w:val="auto"/>
        </w:rPr>
      </w:pPr>
    </w:p>
    <w:p>
      <w:pPr>
        <w:ind w:left="600" w:right="24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“Incentive Stock Option” shall mean an option granted under Section 6 that is intended to meet the requirements of Section 422 of the Code, or any successor provision thereto.</w:t>
      </w:r>
    </w:p>
    <w:p>
      <w:pPr>
        <w:ind w:left="60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“Involuntary Termination” shall mean a Termination of Employment, other than for cause, due to the independent exercise of unilateral authority of TI to terminate the Participant’s services, other than due to the Participant’s implicit or explicit request, where the Participant was willing and able to continue to perform services, in accordance with Treas. Reg. § 1.409A-1(n)(1) or any successor provision.</w:t>
      </w:r>
    </w:p>
    <w:p>
      <w:pPr>
        <w:spacing w:after="0" w:line="1" w:lineRule="exact"/>
        <w:rPr>
          <w:rFonts w:ascii="Arial" w:cs="Arial" w:eastAsia="Arial" w:hAnsi="Arial"/>
          <w:sz w:val="16"/>
          <w:szCs w:val="16"/>
          <w:color w:val="auto"/>
        </w:rPr>
      </w:pP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“Manufacturing Process Yield” shall mean the good units produced as a percent of the total units processed.</w:t>
      </w:r>
    </w:p>
    <w:p>
      <w:pPr>
        <w:spacing w:after="0" w:line="3" w:lineRule="exact"/>
        <w:rPr>
          <w:rFonts w:ascii="Arial" w:cs="Arial" w:eastAsia="Arial" w:hAnsi="Arial"/>
          <w:sz w:val="16"/>
          <w:szCs w:val="16"/>
          <w:color w:val="auto"/>
        </w:rPr>
      </w:pPr>
    </w:p>
    <w:p>
      <w:pPr>
        <w:ind w:left="600" w:right="16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 Share” shall mean the percent of sales of the total available market in an industry, product line or product attained by the Company or one or more of its business units, product lines or products during a time period.</w:t>
      </w:r>
    </w:p>
    <w:p>
      <w:pPr>
        <w:ind w:left="600" w:right="260" w:hanging="412"/>
        <w:spacing w:after="0" w:line="24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Revenue Per Employee” in a period shall mean net revenue divided by the average number of employees, with average defined as the sum of the number of employees at the beginning and ending of the period divided by two.</w:t>
      </w: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“Non-Qualified Stock Option” shall mean an option granted under Section 6 that is not intended to be an Incentive Stock Option.</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“Option” shall mean an Incentive Stock Option or a Non-Qualified Stock Option.</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Stock-Based Award” shall mean any right granted under Section 10.</w:t>
      </w:r>
    </w:p>
    <w:p>
      <w:pPr>
        <w:spacing w:after="0" w:line="4" w:lineRule="exact"/>
        <w:rPr>
          <w:sz w:val="20"/>
          <w:szCs w:val="20"/>
          <w:color w:val="auto"/>
        </w:rPr>
      </w:pPr>
    </w:p>
    <w:p>
      <w:pPr>
        <w:ind w:left="600" w:hanging="412"/>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“Participant” shall mean an individual granted an Award under the Plan.</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“Performance Unit” shall mean any right granted under Section 8.</w:t>
      </w:r>
    </w:p>
    <w:p>
      <w:pPr>
        <w:spacing w:after="0" w:line="3" w:lineRule="exact"/>
        <w:rPr>
          <w:rFonts w:ascii="Arial" w:cs="Arial" w:eastAsia="Arial" w:hAnsi="Arial"/>
          <w:sz w:val="16"/>
          <w:szCs w:val="16"/>
          <w:color w:val="auto"/>
        </w:rPr>
      </w:pPr>
    </w:p>
    <w:p>
      <w:pPr>
        <w:ind w:left="600" w:hanging="412"/>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“Plan” shall mean this Texas Instruments 2009 Long-Term Incentive Plan.</w:t>
      </w:r>
    </w:p>
    <w:p>
      <w:pPr>
        <w:spacing w:after="0" w:line="3" w:lineRule="exact"/>
        <w:rPr>
          <w:rFonts w:ascii="Arial" w:cs="Arial" w:eastAsia="Arial" w:hAnsi="Arial"/>
          <w:sz w:val="16"/>
          <w:szCs w:val="16"/>
          <w:color w:val="auto"/>
        </w:rPr>
      </w:pPr>
    </w:p>
    <w:p>
      <w:pPr>
        <w:ind w:left="600" w:right="440" w:hanging="412"/>
        <w:spacing w:after="0" w:line="24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“Operating Profit” shall mean revenue less (i) cost of revenue, (ii) research and development expense and (iii) selling, general and administrative expense.</w:t>
      </w:r>
    </w:p>
    <w:p>
      <w:pPr>
        <w:ind w:left="600" w:hanging="412"/>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“Restricted Stock” shall mean any Share granted under Section 7.</w:t>
      </w:r>
    </w:p>
    <w:p>
      <w:pPr>
        <w:spacing w:after="0" w:line="3" w:lineRule="exact"/>
        <w:rPr>
          <w:rFonts w:ascii="Arial" w:cs="Arial" w:eastAsia="Arial" w:hAnsi="Arial"/>
          <w:sz w:val="16"/>
          <w:szCs w:val="16"/>
          <w:color w:val="auto"/>
        </w:rPr>
      </w:pPr>
    </w:p>
    <w:p>
      <w:pPr>
        <w:ind w:left="600" w:right="120" w:hanging="412"/>
        <w:spacing w:after="0" w:line="24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“Restricted Stock Unit”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1" w:lineRule="exact"/>
        <w:rPr>
          <w:rFonts w:ascii="Arial" w:cs="Arial" w:eastAsia="Arial" w:hAnsi="Arial"/>
          <w:sz w:val="16"/>
          <w:szCs w:val="16"/>
          <w:color w:val="auto"/>
        </w:rPr>
      </w:pPr>
    </w:p>
    <w:p>
      <w:pPr>
        <w:ind w:left="600" w:right="40" w:hanging="412"/>
        <w:spacing w:after="0" w:line="24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“Return on Assets” for a period shall mean net income divided by average total assets, with average defined as the sum of the amount of assets at the beginning and ending of the period divided by two.</w:t>
      </w:r>
    </w:p>
    <w:p>
      <w:pPr>
        <w:ind w:left="600" w:hanging="412"/>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“Return on Capital” for a period shall mean net income divided by stockholders’ equity.</w:t>
      </w:r>
    </w:p>
    <w:p>
      <w:pPr>
        <w:spacing w:after="0" w:line="3" w:lineRule="exact"/>
        <w:rPr>
          <w:rFonts w:ascii="Arial" w:cs="Arial" w:eastAsia="Arial" w:hAnsi="Arial"/>
          <w:sz w:val="16"/>
          <w:szCs w:val="16"/>
          <w:color w:val="auto"/>
        </w:rPr>
      </w:pPr>
    </w:p>
    <w:p>
      <w:pPr>
        <w:ind w:left="600" w:right="380" w:hanging="412"/>
        <w:spacing w:after="0" w:line="26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“Return on Common Equity” for a period shall mean net income divided by total stockholders’ equity, less amounts, if any, attributable to preferred stock.</w:t>
      </w:r>
    </w:p>
    <w:p>
      <w:pPr>
        <w:spacing w:after="0" w:line="176"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B-2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59" w:name="page60"/>
    <w:bookmarkEnd w:id="59"/>
    <w:p>
      <w:pPr>
        <w:ind w:left="660" w:hanging="47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“Return on Invested Capital” for a period shall mean net income divided by the sum of stockholders’ equity and long-term debt.</w:t>
      </w:r>
    </w:p>
    <w:p>
      <w:pPr>
        <w:spacing w:after="0" w:line="23" w:lineRule="exact"/>
        <w:rPr>
          <w:rFonts w:ascii="Arial" w:cs="Arial" w:eastAsia="Arial" w:hAnsi="Arial"/>
          <w:sz w:val="16"/>
          <w:szCs w:val="16"/>
          <w:color w:val="auto"/>
        </w:rPr>
      </w:pPr>
    </w:p>
    <w:p>
      <w:pPr>
        <w:ind w:left="660" w:right="380" w:hanging="472"/>
        <w:spacing w:after="0" w:line="24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“Return on Net Assets” for a period shall mean net income divided by the difference of average total assets less average non-debt liabilities, with average defined as the sum of assets or liabilities at the beginning and ending of the period divided by two.</w:t>
      </w:r>
    </w:p>
    <w:p>
      <w:pPr>
        <w:ind w:left="660" w:hanging="47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“Revenue Growth” shall mean the percentage change in revenue from one period to another.</w:t>
      </w:r>
    </w:p>
    <w:p>
      <w:pPr>
        <w:spacing w:after="0" w:line="3" w:lineRule="exact"/>
        <w:rPr>
          <w:rFonts w:ascii="Arial" w:cs="Arial" w:eastAsia="Arial" w:hAnsi="Arial"/>
          <w:sz w:val="16"/>
          <w:szCs w:val="16"/>
          <w:color w:val="auto"/>
        </w:rPr>
      </w:pPr>
    </w:p>
    <w:p>
      <w:pPr>
        <w:ind w:left="660" w:hanging="47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shall mean shares of the common stock of the Company, $1.00 par value.</w:t>
      </w:r>
    </w:p>
    <w:p>
      <w:pPr>
        <w:spacing w:after="0" w:line="3" w:lineRule="exact"/>
        <w:rPr>
          <w:rFonts w:ascii="Arial" w:cs="Arial" w:eastAsia="Arial" w:hAnsi="Arial"/>
          <w:sz w:val="16"/>
          <w:szCs w:val="16"/>
          <w:color w:val="auto"/>
        </w:rPr>
      </w:pPr>
    </w:p>
    <w:p>
      <w:pPr>
        <w:ind w:left="660" w:right="420" w:hanging="472"/>
        <w:spacing w:after="0" w:line="24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“Specified Employee” shall mean an employee who is a “specified employee” (as defined in Section 409A(2)(b)(i) of the Code) for the applicable period, as determined by the Committee in accordance with Treas. Reg. § 1.409A-1(i) or any successor provision.</w:t>
      </w:r>
    </w:p>
    <w:p>
      <w:pPr>
        <w:ind w:left="660" w:hanging="472"/>
        <w:spacing w:after="0" w:line="24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“Stock Appreciation Right” or “SAR” shall mean any right granted pursuant to Section 9 to receive, upon exercise 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1" w:lineRule="exact"/>
        <w:rPr>
          <w:rFonts w:ascii="Arial" w:cs="Arial" w:eastAsia="Arial" w:hAnsi="Arial"/>
          <w:sz w:val="16"/>
          <w:szCs w:val="16"/>
          <w:color w:val="auto"/>
        </w:rPr>
      </w:pPr>
    </w:p>
    <w:p>
      <w:pPr>
        <w:ind w:left="660" w:hanging="472"/>
        <w:spacing w:after="0" w:line="24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“Substitute Awards” shall mean Awards granted in assumption of, or in substitution for, outstanding awards previously granted by a company acquired by the Company or with which the Company combines.</w:t>
      </w:r>
    </w:p>
    <w:p>
      <w:pPr>
        <w:ind w:left="660" w:right="60" w:hanging="472"/>
        <w:spacing w:after="0" w:line="24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“Termination of Employment” shall mean the date on which the Participant has incurred a “separation from service” within the meaning of Treas. Reg. § 1.409A-1(h) or any successor provision.</w:t>
      </w:r>
    </w:p>
    <w:p>
      <w:pPr>
        <w:ind w:left="660" w:hanging="47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“TI” shall mean and include the Company and its Affiliates.</w:t>
      </w:r>
    </w:p>
    <w:p>
      <w:pPr>
        <w:spacing w:after="0" w:line="3" w:lineRule="exact"/>
        <w:rPr>
          <w:rFonts w:ascii="Arial" w:cs="Arial" w:eastAsia="Arial" w:hAnsi="Arial"/>
          <w:sz w:val="16"/>
          <w:szCs w:val="16"/>
          <w:color w:val="auto"/>
        </w:rPr>
      </w:pPr>
    </w:p>
    <w:p>
      <w:pPr>
        <w:ind w:left="660" w:hanging="47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Stockholder Return” shall mean the sum of the appreciation in stock price and dividends paid on common stock over a given period of time.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i w:val="1"/>
          <w:iCs w:val="1"/>
          <w:color w:val="auto"/>
        </w:rPr>
        <w:t>Eligibility.</w:t>
      </w:r>
    </w:p>
    <w:p>
      <w:pPr>
        <w:spacing w:after="0" w:line="206" w:lineRule="exact"/>
        <w:rPr>
          <w:sz w:val="20"/>
          <w:szCs w:val="20"/>
          <w:color w:val="auto"/>
        </w:rPr>
      </w:pPr>
    </w:p>
    <w:p>
      <w:pPr>
        <w:ind w:left="480" w:right="620" w:hanging="292"/>
        <w:spacing w:after="0" w:line="257" w:lineRule="auto"/>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1" w:lineRule="exact"/>
        <w:rPr>
          <w:rFonts w:ascii="Arial" w:cs="Arial" w:eastAsia="Arial" w:hAnsi="Arial"/>
          <w:sz w:val="16"/>
          <w:szCs w:val="16"/>
          <w:color w:val="auto"/>
        </w:rPr>
      </w:pPr>
    </w:p>
    <w:p>
      <w:pPr>
        <w:ind w:left="480" w:right="100" w:hanging="292"/>
        <w:spacing w:after="0" w:line="244" w:lineRule="auto"/>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individual who has agreed to accept employment by, or to provide services to, the Company or an Affiliate shall be deemed to be eligible for Awards hereunder as of commencement of employment.</w:t>
      </w:r>
    </w:p>
    <w:p>
      <w:pPr>
        <w:ind w:left="480" w:hanging="292"/>
        <w:spacing w:after="0"/>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Directors who are not full-time or part-time officers or employees are not eligible to receive Awards hereunder.</w:t>
      </w:r>
    </w:p>
    <w:p>
      <w:pPr>
        <w:spacing w:after="0" w:line="3" w:lineRule="exact"/>
        <w:rPr>
          <w:rFonts w:ascii="Arial" w:cs="Arial" w:eastAsia="Arial" w:hAnsi="Arial"/>
          <w:sz w:val="16"/>
          <w:szCs w:val="16"/>
          <w:color w:val="auto"/>
        </w:rPr>
      </w:pPr>
    </w:p>
    <w:p>
      <w:pPr>
        <w:ind w:left="480" w:right="340" w:hanging="292"/>
        <w:spacing w:after="0" w:line="264" w:lineRule="auto"/>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of options and other types of Awards granted by a company acquired by the Company or with which the Company combines are eligible for grant of Substitute Awards hereunder.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i w:val="1"/>
          <w:iCs w:val="1"/>
          <w:color w:val="auto"/>
        </w:rPr>
        <w:t>Administration.</w:t>
      </w:r>
    </w:p>
    <w:p>
      <w:pPr>
        <w:spacing w:after="0" w:line="206" w:lineRule="exact"/>
        <w:rPr>
          <w:sz w:val="20"/>
          <w:szCs w:val="20"/>
          <w:color w:val="auto"/>
        </w:rPr>
      </w:pPr>
    </w:p>
    <w:p>
      <w:pPr>
        <w:ind w:left="440" w:right="100" w:hanging="252"/>
        <w:spacing w:after="0" w:line="253"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be appointed by the Board. A director may serve as a member or alternate member of the Committee only during periods in which the director is (i) independent within the meaning of the rules of The NASDAQ Stock Market and the Company’s director independence standards and (ii) an “outside director” as described in Section 162(m) of the Code.</w:t>
      </w:r>
    </w:p>
    <w:p>
      <w:pPr>
        <w:ind w:left="440" w:hanging="252"/>
        <w:spacing w:after="0" w:line="245"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11(g),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84" w:lineRule="exact"/>
        <w:rPr>
          <w:rFonts w:ascii="Arial" w:cs="Arial" w:eastAsia="Arial" w:hAnsi="Arial"/>
          <w:sz w:val="16"/>
          <w:szCs w:val="16"/>
          <w:color w:val="auto"/>
        </w:rPr>
      </w:pPr>
    </w:p>
    <w:p>
      <w:pPr>
        <w:ind w:left="440" w:hanging="252"/>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decisions of the Committee shall be final, conclusive and binding upon all parties, including the Company, the stockholders and the Participants.</w:t>
      </w:r>
    </w:p>
    <w:p>
      <w:pPr>
        <w:spacing w:after="0" w:line="247"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i w:val="1"/>
          <w:iCs w:val="1"/>
          <w:color w:val="auto"/>
        </w:rPr>
        <w:t>Shares Available for Awards.</w:t>
      </w:r>
    </w:p>
    <w:p>
      <w:pPr>
        <w:spacing w:after="0" w:line="206" w:lineRule="exact"/>
        <w:rPr>
          <w:sz w:val="20"/>
          <w:szCs w:val="20"/>
          <w:color w:val="auto"/>
        </w:rPr>
      </w:pPr>
    </w:p>
    <w:p>
      <w:pPr>
        <w:ind w:left="480" w:right="240" w:hanging="292"/>
        <w:spacing w:after="0" w:line="253"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Subject to adjustment as provided in this Section 5, the number of Shares available for issuance under the Plan shall be 75,000,000 shares. Notwithstanding the foregoing and subject to adjustment as provided in Section 5(e), no Participant may receive Options and SARs under the Plan in any calendar year that relate to more than 4,000,000 Shares.</w:t>
      </w:r>
    </w:p>
    <w:p>
      <w:pPr>
        <w:ind w:left="480" w:right="20" w:hanging="292"/>
        <w:spacing w:after="0" w:line="244"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3" w:lineRule="exact"/>
        <w:rPr>
          <w:rFonts w:ascii="Arial" w:cs="Arial" w:eastAsia="Arial" w:hAnsi="Arial"/>
          <w:sz w:val="16"/>
          <w:szCs w:val="16"/>
          <w:color w:val="auto"/>
        </w:rPr>
      </w:pPr>
    </w:p>
    <w:p>
      <w:pPr>
        <w:ind w:left="480" w:hanging="292"/>
        <w:spacing w:after="0"/>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Shares underlying Substitute Awards shall not be counted against the Shares available for granting Awards.</w:t>
      </w:r>
    </w:p>
    <w:p>
      <w:pPr>
        <w:spacing w:after="0" w:line="3" w:lineRule="exact"/>
        <w:rPr>
          <w:rFonts w:ascii="Arial" w:cs="Arial" w:eastAsia="Arial" w:hAnsi="Arial"/>
          <w:sz w:val="16"/>
          <w:szCs w:val="16"/>
          <w:color w:val="auto"/>
        </w:rPr>
      </w:pPr>
    </w:p>
    <w:p>
      <w:pPr>
        <w:ind w:left="480" w:hanging="292"/>
        <w:spacing w:after="0"/>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Shares delivered pursuant to an Award may consist, in whole or in part, of authorized and unissued Shares, of treasury Shares or of both.</w:t>
      </w:r>
    </w:p>
    <w:p>
      <w:pPr>
        <w:spacing w:after="0" w:line="3" w:lineRule="exact"/>
        <w:rPr>
          <w:rFonts w:ascii="Arial" w:cs="Arial" w:eastAsia="Arial" w:hAnsi="Arial"/>
          <w:sz w:val="16"/>
          <w:szCs w:val="16"/>
          <w:color w:val="auto"/>
        </w:rPr>
      </w:pPr>
    </w:p>
    <w:p>
      <w:pPr>
        <w:ind w:left="480" w:hanging="292"/>
        <w:spacing w:after="0" w:line="246"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cash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i w:val="1"/>
          <w:iCs w:val="1"/>
          <w:color w:val="auto"/>
        </w:rPr>
        <w:t>Options.</w:t>
      </w:r>
    </w:p>
    <w:p>
      <w:pPr>
        <w:spacing w:after="0" w:line="206" w:lineRule="exact"/>
        <w:rPr>
          <w:sz w:val="20"/>
          <w:szCs w:val="20"/>
          <w:color w:val="auto"/>
        </w:rPr>
      </w:pPr>
    </w:p>
    <w:p>
      <w:pPr>
        <w:ind w:left="480" w:right="160" w:hanging="292"/>
        <w:spacing w:after="0" w:line="257"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1" w:lineRule="exact"/>
        <w:rPr>
          <w:rFonts w:ascii="Arial" w:cs="Arial" w:eastAsia="Arial" w:hAnsi="Arial"/>
          <w:sz w:val="16"/>
          <w:szCs w:val="16"/>
          <w:color w:val="auto"/>
        </w:rPr>
      </w:pPr>
    </w:p>
    <w:p>
      <w:pPr>
        <w:ind w:left="480" w:right="40" w:hanging="292"/>
        <w:spacing w:after="0" w:line="244"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purchase price per Share under an Option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Substitute Awards, such purchase price shall not be less than the Fair Market Value of a Share on the date of grant of such Option.</w:t>
      </w:r>
    </w:p>
    <w:p>
      <w:pPr>
        <w:ind w:left="480" w:right="20" w:hanging="292"/>
        <w:spacing w:after="0" w:line="244"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term of each Option shall be fixed by the Committee but shall not exceed 10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 w:lineRule="exact"/>
        <w:rPr>
          <w:rFonts w:ascii="Arial" w:cs="Arial" w:eastAsia="Arial" w:hAnsi="Arial"/>
          <w:sz w:val="16"/>
          <w:szCs w:val="16"/>
          <w:color w:val="auto"/>
        </w:rPr>
      </w:pPr>
    </w:p>
    <w:p>
      <w:pPr>
        <w:ind w:left="480" w:hanging="292"/>
        <w:spacing w:after="0" w:line="244"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 w:lineRule="exact"/>
        <w:rPr>
          <w:rFonts w:ascii="Arial" w:cs="Arial" w:eastAsia="Arial" w:hAnsi="Arial"/>
          <w:sz w:val="16"/>
          <w:szCs w:val="16"/>
          <w:color w:val="auto"/>
        </w:rPr>
      </w:pPr>
    </w:p>
    <w:p>
      <w:pPr>
        <w:ind w:left="480" w:right="300" w:hanging="292"/>
        <w:spacing w:after="0" w:line="254"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221"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B-4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i w:val="1"/>
          <w:iCs w:val="1"/>
          <w:color w:val="auto"/>
        </w:rPr>
        <w:t>Restricted Stock and Restricted Stock Units.</w:t>
      </w:r>
    </w:p>
    <w:p>
      <w:pPr>
        <w:spacing w:after="0" w:line="206" w:lineRule="exact"/>
        <w:rPr>
          <w:sz w:val="20"/>
          <w:szCs w:val="20"/>
          <w:color w:val="auto"/>
        </w:rPr>
      </w:pPr>
    </w:p>
    <w:p>
      <w:pPr>
        <w:ind w:left="480" w:right="540" w:hanging="292"/>
        <w:spacing w:after="0" w:line="253"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ind w:left="480" w:right="60" w:hanging="292"/>
        <w:spacing w:after="0" w:line="244"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 w:lineRule="exact"/>
        <w:rPr>
          <w:rFonts w:ascii="Arial" w:cs="Arial" w:eastAsia="Arial" w:hAnsi="Arial"/>
          <w:sz w:val="16"/>
          <w:szCs w:val="16"/>
          <w:color w:val="auto"/>
        </w:rPr>
      </w:pPr>
    </w:p>
    <w:p>
      <w:pPr>
        <w:ind w:left="480" w:hanging="292"/>
        <w:spacing w:after="0" w:line="244"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 w:lineRule="exact"/>
        <w:rPr>
          <w:rFonts w:ascii="Arial" w:cs="Arial" w:eastAsia="Arial" w:hAnsi="Arial"/>
          <w:sz w:val="16"/>
          <w:szCs w:val="16"/>
          <w:color w:val="auto"/>
        </w:rPr>
      </w:pPr>
    </w:p>
    <w:p>
      <w:pPr>
        <w:jc w:val="both"/>
        <w:ind w:left="480" w:right="260" w:hanging="292"/>
        <w:spacing w:after="0" w:line="249"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i w:val="1"/>
          <w:iCs w:val="1"/>
          <w:color w:val="auto"/>
        </w:rPr>
        <w:t>Performance Units.</w:t>
      </w:r>
    </w:p>
    <w:p>
      <w:pPr>
        <w:spacing w:after="0" w:line="206" w:lineRule="exact"/>
        <w:rPr>
          <w:sz w:val="20"/>
          <w:szCs w:val="20"/>
          <w:color w:val="auto"/>
        </w:rPr>
      </w:pPr>
    </w:p>
    <w:p>
      <w:pPr>
        <w:ind w:left="480" w:right="640" w:hanging="292"/>
        <w:spacing w:after="0" w:line="257"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Committee is hereby authorized to grant Performance Units to Participants with terms and conditions as the Committee shall determine not inconsistent with the provisions of the Plan.</w:t>
      </w:r>
    </w:p>
    <w:p>
      <w:pPr>
        <w:spacing w:after="0" w:line="1" w:lineRule="exact"/>
        <w:rPr>
          <w:rFonts w:ascii="Arial" w:cs="Arial" w:eastAsia="Arial" w:hAnsi="Arial"/>
          <w:sz w:val="16"/>
          <w:szCs w:val="16"/>
          <w:color w:val="auto"/>
        </w:rPr>
      </w:pPr>
    </w:p>
    <w:p>
      <w:pPr>
        <w:ind w:left="480" w:right="60" w:hanging="292"/>
        <w:spacing w:after="0" w:line="248"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i w:val="1"/>
          <w:iCs w:val="1"/>
          <w:color w:val="auto"/>
        </w:rPr>
        <w:t>Stock Appreciation Rights (SARs).</w:t>
      </w:r>
    </w:p>
    <w:p>
      <w:pPr>
        <w:spacing w:after="0" w:line="206" w:lineRule="exact"/>
        <w:rPr>
          <w:sz w:val="20"/>
          <w:szCs w:val="20"/>
          <w:color w:val="auto"/>
        </w:rPr>
      </w:pPr>
    </w:p>
    <w:p>
      <w:pPr>
        <w:ind w:left="480" w:right="60" w:hanging="292"/>
        <w:spacing w:after="0" w:line="257" w:lineRule="auto"/>
        <w:tabs>
          <w:tab w:leader="none" w:pos="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is hereby authorized to grant SARs to Participants with terms and conditions as the Committee shall determine not inconsistent with the provisions of the Plan.</w:t>
      </w:r>
    </w:p>
    <w:p>
      <w:pPr>
        <w:spacing w:after="0" w:line="1" w:lineRule="exact"/>
        <w:rPr>
          <w:rFonts w:ascii="Arial" w:cs="Arial" w:eastAsia="Arial" w:hAnsi="Arial"/>
          <w:sz w:val="16"/>
          <w:szCs w:val="16"/>
          <w:color w:val="auto"/>
        </w:rPr>
      </w:pPr>
    </w:p>
    <w:p>
      <w:pPr>
        <w:ind w:left="480" w:right="180" w:hanging="292"/>
        <w:spacing w:after="0" w:line="264" w:lineRule="auto"/>
        <w:tabs>
          <w:tab w:leader="none" w:pos="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term of each SAR shall be fixed by the Committee but shall not exceed 10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provide for a longer term to accommodate regulations in non-U.S. jurisdictions that require a minimum exercise or vesting period following a Participant’s death.</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i w:val="1"/>
          <w:iCs w:val="1"/>
          <w:color w:val="auto"/>
        </w:rPr>
        <w:t>Other Stock-based Awards.</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99"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i w:val="1"/>
          <w:iCs w:val="1"/>
          <w:color w:val="auto"/>
        </w:rPr>
        <w:t>General Provisions Applicable to Awards.</w:t>
      </w:r>
    </w:p>
    <w:p>
      <w:pPr>
        <w:spacing w:after="0" w:line="206" w:lineRule="exact"/>
        <w:rPr>
          <w:sz w:val="20"/>
          <w:szCs w:val="20"/>
          <w:color w:val="auto"/>
        </w:rPr>
      </w:pPr>
    </w:p>
    <w:p>
      <w:pPr>
        <w:ind w:left="480" w:hanging="292"/>
        <w:spacing w:after="0"/>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Awards shall be granted for no cash consideration or for such minimal cash consideration as may be required by applicable law.</w:t>
      </w:r>
    </w:p>
    <w:p>
      <w:pPr>
        <w:spacing w:after="0" w:line="23" w:lineRule="exact"/>
        <w:rPr>
          <w:rFonts w:ascii="Arial" w:cs="Arial" w:eastAsia="Arial" w:hAnsi="Arial"/>
          <w:sz w:val="16"/>
          <w:szCs w:val="16"/>
          <w:color w:val="auto"/>
        </w:rPr>
      </w:pPr>
    </w:p>
    <w:p>
      <w:pPr>
        <w:jc w:val="both"/>
        <w:ind w:left="480" w:right="80" w:hanging="292"/>
        <w:spacing w:after="0" w:line="244"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 w:lineRule="exact"/>
        <w:rPr>
          <w:rFonts w:ascii="Arial" w:cs="Arial" w:eastAsia="Arial" w:hAnsi="Arial"/>
          <w:sz w:val="16"/>
          <w:szCs w:val="16"/>
          <w:color w:val="auto"/>
        </w:rPr>
      </w:pPr>
    </w:p>
    <w:p>
      <w:pPr>
        <w:jc w:val="both"/>
        <w:ind w:left="480" w:right="40" w:hanging="292"/>
        <w:spacing w:after="0" w:line="244"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11(g)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2" w:lineRule="exact"/>
        <w:rPr>
          <w:rFonts w:ascii="Arial" w:cs="Arial" w:eastAsia="Arial" w:hAnsi="Arial"/>
          <w:sz w:val="16"/>
          <w:szCs w:val="16"/>
          <w:color w:val="auto"/>
        </w:rPr>
      </w:pPr>
    </w:p>
    <w:p>
      <w:pPr>
        <w:ind w:left="480" w:hanging="292"/>
        <w:spacing w:after="0" w:line="245"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185" w:lineRule="exact"/>
        <w:rPr>
          <w:rFonts w:ascii="Arial" w:cs="Arial" w:eastAsia="Arial" w:hAnsi="Arial"/>
          <w:sz w:val="16"/>
          <w:szCs w:val="16"/>
          <w:color w:val="auto"/>
        </w:rPr>
      </w:pPr>
    </w:p>
    <w:p>
      <w:pPr>
        <w:ind w:left="480" w:right="160" w:hanging="292"/>
        <w:spacing w:after="0" w:line="244"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2" w:lineRule="exact"/>
        <w:rPr>
          <w:rFonts w:ascii="Arial" w:cs="Arial" w:eastAsia="Arial" w:hAnsi="Arial"/>
          <w:sz w:val="16"/>
          <w:szCs w:val="16"/>
          <w:color w:val="auto"/>
        </w:rPr>
      </w:pPr>
    </w:p>
    <w:p>
      <w:pPr>
        <w:ind w:left="480" w:right="40" w:hanging="292"/>
        <w:spacing w:after="0" w:line="244"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Every Award (other than an Option or SAR) to a member of the Executive Group that the Committee intends to constitute “qualified performance-based compensation” for purposes of Section 162(m) of the Code shall include a pre-established formula, such that payment, retention or vesting of the Award is subject to the achievement during a performance period or periods, as determined by the Committee, of a level or levels, on an absolute basis or relative to other companies, as determined by the Committee, of one or more of the following performance measures: (i) Cash Flow, (ii) Cycle Time, (iii) Earnings Before Income Taxes, (iv) Earnings Per Share, (v) EBITDA, (vi) Free Cash Flow, (vii) Gross Profit, (viii) Gross Profit Margin, (ix) Manufacturing Process Yield, (x) Market Share, (xi) net income, (xii) Net Revenue Per Employee, (xiii) Operating Profit, (xiv) Return on Assets, (xv) Return on Capital, (xvi) Return on Common Equity, (xvii) Return on Invested Capital, (xviii) Return on Net Assets, (xix) Revenue Growth or (xx) Total Stockholder Return. For any Award subject to any such pre-established formula, no more than $5,000,000 can be paid in satisfaction of such Award to any Participant,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performance formula relating to such Award is expressed in Shares, the maximum limit shall be 4,000,000 Shares in lieu</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dollar limit.</w:t>
      </w:r>
    </w:p>
    <w:p>
      <w:pPr>
        <w:spacing w:after="0" w:line="4" w:lineRule="exact"/>
        <w:rPr>
          <w:rFonts w:ascii="Arial" w:cs="Arial" w:eastAsia="Arial" w:hAnsi="Arial"/>
          <w:sz w:val="16"/>
          <w:szCs w:val="16"/>
          <w:color w:val="auto"/>
        </w:rPr>
      </w:pPr>
    </w:p>
    <w:p>
      <w:pPr>
        <w:ind w:left="480" w:right="20" w:hanging="292"/>
        <w:spacing w:after="0" w:line="244"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the Committee expressly determines otherwise in the Award Agreement, any Award of an Option, SAR, or Restricted Stock is intended to qualify as a stock right exempt under Section 409A of the Code, and the terms of the Award Agreement and any related rules and procedures adopted by the Committee shall reflect such intention. Unless the Committee expressly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 or covenant that any Award granted under the Plan will comply with Section 409A.</w:t>
      </w:r>
    </w:p>
    <w:p>
      <w:pPr>
        <w:spacing w:after="0" w:line="2" w:lineRule="exact"/>
        <w:rPr>
          <w:rFonts w:ascii="Arial" w:cs="Arial" w:eastAsia="Arial" w:hAnsi="Arial"/>
          <w:sz w:val="16"/>
          <w:szCs w:val="16"/>
          <w:color w:val="auto"/>
        </w:rPr>
      </w:pPr>
    </w:p>
    <w:p>
      <w:pPr>
        <w:ind w:left="480" w:right="520" w:hanging="292"/>
        <w:spacing w:after="0" w:line="264"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Committee shall not have the authority to provide in any Award granted hereunder for the automatic award of an Option upon the exercise or settlement of such Award.</w:t>
      </w:r>
    </w:p>
    <w:p>
      <w:pPr>
        <w:spacing w:after="0" w:line="213"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B-6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3" w:name="page64"/>
    <w:bookmarkEnd w:id="63"/>
    <w:p>
      <w:pPr>
        <w:ind w:left="420" w:right="220" w:hanging="232"/>
        <w:spacing w:after="0" w:line="253" w:lineRule="auto"/>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Section 11(i) applies with respect to Awards granted on or after January 1, 2010. If a Participant experiences an Involuntary Termination within 24 months after a Change in Control, then unless specifically provided to the contrary in any Award Agreement or the Committee otherwise determines under authority granted elsewhere in the Plan,</w:t>
      </w:r>
    </w:p>
    <w:p>
      <w:pPr>
        <w:ind w:left="680" w:right="20" w:hanging="255"/>
        <w:spacing w:after="0" w:line="244" w:lineRule="auto"/>
        <w:tabs>
          <w:tab w:leader="none" w:pos="6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Awards held by the Participant shall become fully vested and exercisable, and any restrictions applicable to the Awards shall lapse, upon the effective date of such termination;</w:t>
      </w:r>
    </w:p>
    <w:p>
      <w:pPr>
        <w:ind w:left="680" w:right="140" w:hanging="255"/>
        <w:spacing w:after="0" w:line="244" w:lineRule="auto"/>
        <w:tabs>
          <w:tab w:leader="none" w:pos="6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the extent permitted without additional tax or penalty by Section 409A of the Code, the shares underlying Restricted Stock Units, Performance Units or other Stock-Based Awards held by the Participant will be issued on, or as soon as practicable (but no later than 60 days) after, the Participant’s Involuntary Termination, provided, however, that if the Participant is a Specified Employee upon such termination, the shares will be issued on, or as soon as practicable (but no more than 10 days) after, the first day of the seventh month following such Involuntary Termination; and</w:t>
      </w:r>
    </w:p>
    <w:p>
      <w:pPr>
        <w:spacing w:after="0" w:line="1" w:lineRule="exact"/>
        <w:rPr>
          <w:rFonts w:ascii="Arial" w:cs="Arial" w:eastAsia="Arial" w:hAnsi="Arial"/>
          <w:sz w:val="16"/>
          <w:szCs w:val="16"/>
          <w:color w:val="auto"/>
        </w:rPr>
      </w:pPr>
    </w:p>
    <w:p>
      <w:pPr>
        <w:ind w:left="680" w:right="140" w:hanging="255"/>
        <w:spacing w:after="0" w:line="254" w:lineRule="auto"/>
        <w:tabs>
          <w:tab w:leader="none" w:pos="6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the extent that the issuance of shares as specified in (2) above is not permitted without additional tax or penalty by Section 409A, the Award will continue to full term and the shares will be issued at the issuance date specified in the Award Agreement as if the Participant were still an employee of TI on such date.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i w:val="1"/>
          <w:iCs w:val="1"/>
          <w:color w:val="auto"/>
        </w:rPr>
        <w:t>Amendment and Termination.</w:t>
      </w:r>
    </w:p>
    <w:p>
      <w:pPr>
        <w:spacing w:after="0" w:line="206" w:lineRule="exact"/>
        <w:rPr>
          <w:sz w:val="20"/>
          <w:szCs w:val="20"/>
          <w:color w:val="auto"/>
        </w:rPr>
      </w:pPr>
    </w:p>
    <w:p>
      <w:pPr>
        <w:ind w:left="480" w:right="40" w:hanging="292"/>
        <w:spacing w:after="0" w:line="248"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4" w:lineRule="exact"/>
        <w:rPr>
          <w:rFonts w:ascii="Arial" w:cs="Arial" w:eastAsia="Arial" w:hAnsi="Arial"/>
          <w:sz w:val="16"/>
          <w:szCs w:val="16"/>
          <w:color w:val="auto"/>
        </w:rPr>
      </w:pPr>
    </w:p>
    <w:p>
      <w:pPr>
        <w:ind w:left="480" w:right="20" w:hanging="292"/>
        <w:spacing w:after="0" w:line="244"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 such action shall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“Award Value”),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12(b) will comply with Section 409A.</w:t>
      </w:r>
    </w:p>
    <w:p>
      <w:pPr>
        <w:spacing w:after="0" w:line="7" w:lineRule="exact"/>
        <w:rPr>
          <w:rFonts w:ascii="Arial" w:cs="Arial" w:eastAsia="Arial" w:hAnsi="Arial"/>
          <w:sz w:val="16"/>
          <w:szCs w:val="16"/>
          <w:color w:val="auto"/>
        </w:rPr>
      </w:pPr>
    </w:p>
    <w:p>
      <w:pPr>
        <w:ind w:left="480" w:right="20" w:hanging="292"/>
        <w:spacing w:after="0" w:line="244"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2" w:lineRule="exact"/>
        <w:rPr>
          <w:rFonts w:ascii="Arial" w:cs="Arial" w:eastAsia="Arial" w:hAnsi="Arial"/>
          <w:sz w:val="16"/>
          <w:szCs w:val="16"/>
          <w:color w:val="auto"/>
        </w:rPr>
      </w:pPr>
    </w:p>
    <w:p>
      <w:pPr>
        <w:ind w:left="480" w:right="80" w:hanging="292"/>
        <w:spacing w:after="0" w:line="264"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Committee may correct any defect, supply any omission, or reconcile any inconsistency in the Plan or any Award in the manner and to the extent it shall deem desirable to carry the Plan into effect.</w:t>
      </w:r>
    </w:p>
    <w:p>
      <w:pPr>
        <w:spacing w:after="0" w:line="213"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1"/>
          <w:szCs w:val="11"/>
          <w:b w:val="1"/>
          <w:bCs w:val="1"/>
          <w:color w:val="808285"/>
        </w:rPr>
        <w:t xml:space="preserve">2014 PROXY STATEMENT </w:t>
      </w:r>
      <w:r>
        <w:rPr>
          <w:rFonts w:ascii="Times New Roman" w:cs="Times New Roman" w:eastAsia="Times New Roman" w:hAnsi="Times New Roman"/>
          <w:sz w:val="11"/>
          <w:szCs w:val="11"/>
          <w:b w:val="1"/>
          <w:bCs w:val="1"/>
          <w:color w:val="808285"/>
        </w:rPr>
        <w:t>•</w:t>
      </w:r>
      <w:r>
        <w:rPr>
          <w:rFonts w:ascii="Arial" w:cs="Arial" w:eastAsia="Arial" w:hAnsi="Arial"/>
          <w:sz w:val="11"/>
          <w:szCs w:val="11"/>
          <w:b w:val="1"/>
          <w:bCs w:val="1"/>
          <w:color w:val="808285"/>
        </w:rPr>
        <w:t xml:space="preserve">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7710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i w:val="1"/>
          <w:iCs w:val="1"/>
          <w:color w:val="auto"/>
        </w:rPr>
        <w:t>Miscellaneous.</w:t>
      </w:r>
    </w:p>
    <w:p>
      <w:pPr>
        <w:spacing w:after="0" w:line="206" w:lineRule="exact"/>
        <w:rPr>
          <w:sz w:val="20"/>
          <w:szCs w:val="20"/>
          <w:color w:val="auto"/>
        </w:rPr>
      </w:pPr>
    </w:p>
    <w:p>
      <w:pPr>
        <w:ind w:left="480" w:right="320" w:hanging="292"/>
        <w:spacing w:after="0" w:line="253"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jc w:val="both"/>
        <w:ind w:left="480" w:right="140" w:hanging="292"/>
        <w:spacing w:after="0" w:line="24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delegation to management shall conform with the requirements of the General Corporation Law of Delaware, as in effect from time to time.</w:t>
      </w:r>
    </w:p>
    <w:p>
      <w:pPr>
        <w:spacing w:after="0" w:line="2" w:lineRule="exact"/>
        <w:rPr>
          <w:rFonts w:ascii="Arial" w:cs="Arial" w:eastAsia="Arial" w:hAnsi="Arial"/>
          <w:sz w:val="16"/>
          <w:szCs w:val="16"/>
          <w:color w:val="auto"/>
        </w:rPr>
      </w:pPr>
    </w:p>
    <w:p>
      <w:pPr>
        <w:ind w:left="480" w:right="60" w:hanging="292"/>
        <w:spacing w:after="0" w:line="24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2" w:lineRule="exact"/>
        <w:rPr>
          <w:rFonts w:ascii="Arial" w:cs="Arial" w:eastAsia="Arial" w:hAnsi="Arial"/>
          <w:sz w:val="16"/>
          <w:szCs w:val="16"/>
          <w:color w:val="auto"/>
        </w:rPr>
      </w:pPr>
    </w:p>
    <w:p>
      <w:pPr>
        <w:ind w:left="480" w:hanging="292"/>
        <w:spacing w:after="0" w:line="24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Nothing contained in the Plan shall prevent the Company from adopting or continuing in effect other or additional compensation arrangements, and such arrangements may be either generally applicable or applicable only in specific cases.</w:t>
      </w:r>
    </w:p>
    <w:p>
      <w:pPr>
        <w:jc w:val="both"/>
        <w:ind w:left="480" w:right="320" w:hanging="292"/>
        <w:spacing w:after="0" w:line="24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 w:lineRule="exact"/>
        <w:rPr>
          <w:rFonts w:ascii="Arial" w:cs="Arial" w:eastAsia="Arial" w:hAnsi="Arial"/>
          <w:sz w:val="16"/>
          <w:szCs w:val="16"/>
          <w:color w:val="auto"/>
        </w:rPr>
      </w:pPr>
    </w:p>
    <w:p>
      <w:pPr>
        <w:ind w:left="480" w:right="140" w:hanging="292"/>
        <w:spacing w:after="0" w:line="24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 w:lineRule="exact"/>
        <w:rPr>
          <w:rFonts w:ascii="Arial" w:cs="Arial" w:eastAsia="Arial" w:hAnsi="Arial"/>
          <w:sz w:val="16"/>
          <w:szCs w:val="16"/>
          <w:color w:val="auto"/>
        </w:rPr>
      </w:pPr>
    </w:p>
    <w:p>
      <w:pPr>
        <w:ind w:left="480" w:right="200" w:hanging="292"/>
        <w:spacing w:after="0" w:line="24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 w:lineRule="exact"/>
        <w:rPr>
          <w:rFonts w:ascii="Arial" w:cs="Arial" w:eastAsia="Arial" w:hAnsi="Arial"/>
          <w:sz w:val="16"/>
          <w:szCs w:val="16"/>
          <w:color w:val="auto"/>
        </w:rPr>
      </w:pPr>
    </w:p>
    <w:p>
      <w:pPr>
        <w:jc w:val="both"/>
        <w:ind w:left="480" w:right="140" w:hanging="292"/>
        <w:spacing w:after="0" w:line="25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i w:val="1"/>
          <w:iCs w:val="1"/>
          <w:color w:val="auto"/>
        </w:rPr>
        <w:t>Effective Date of the Plan.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Plan shall be effective as of the date of its approval by the stockholders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i w:val="1"/>
          <w:iCs w:val="1"/>
          <w:color w:val="auto"/>
        </w:rPr>
        <w:t>Term of the Plan.</w:t>
      </w:r>
    </w:p>
    <w:p>
      <w:pPr>
        <w:spacing w:after="0" w:line="206"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and the Board under Section 12 to amend, alter, adjust, suspend, discontinue, or terminate any such Award, or to waive any conditions or rights under any such Award, and to amend the Plan, shall extend beyond such date.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i w:val="1"/>
          <w:iCs w:val="1"/>
          <w:color w:val="auto"/>
        </w:rPr>
        <w:t>Governing Law.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Plan shall be construed in accordance with and governed by the laws of the State of Texas without giving effect to the principles of conflict of laws thereof.</w:t>
      </w:r>
    </w:p>
    <w:p>
      <w:pPr>
        <w:spacing w:after="0" w:line="242" w:lineRule="exact"/>
        <w:rPr>
          <w:sz w:val="20"/>
          <w:szCs w:val="20"/>
          <w:color w:val="auto"/>
        </w:rPr>
      </w:pPr>
    </w:p>
    <w:p>
      <w:pPr>
        <w:spacing w:after="0"/>
        <w:tabs>
          <w:tab w:leader="none" w:pos="10060" w:val="left"/>
        </w:tabs>
        <w:rPr>
          <w:sz w:val="20"/>
          <w:szCs w:val="20"/>
          <w:color w:val="auto"/>
        </w:rPr>
      </w:pPr>
      <w:r>
        <w:rPr>
          <w:rFonts w:ascii="Arial" w:cs="Arial" w:eastAsia="Arial" w:hAnsi="Arial"/>
          <w:sz w:val="13"/>
          <w:szCs w:val="13"/>
          <w:b w:val="1"/>
          <w:bCs w:val="1"/>
          <w:color w:val="808285"/>
        </w:rPr>
        <w:t xml:space="preserve">B-8 </w:t>
      </w:r>
      <w:r>
        <w:rPr>
          <w:rFonts w:ascii="Times New Roman" w:cs="Times New Roman" w:eastAsia="Times New Roman" w:hAnsi="Times New Roman"/>
          <w:sz w:val="13"/>
          <w:szCs w:val="13"/>
          <w:b w:val="1"/>
          <w:bCs w:val="1"/>
          <w:color w:val="808285"/>
        </w:rPr>
        <w:t>•</w:t>
      </w:r>
      <w:r>
        <w:rPr>
          <w:rFonts w:ascii="Arial" w:cs="Arial" w:eastAsia="Arial" w:hAnsi="Arial"/>
          <w:sz w:val="13"/>
          <w:szCs w:val="13"/>
          <w:b w:val="1"/>
          <w:bCs w:val="1"/>
          <w:color w:val="808285"/>
        </w:rPr>
        <w:t xml:space="preserve"> 2014 PROXY STATEMENT</w:t>
      </w:r>
      <w:r>
        <w:rPr>
          <w:sz w:val="20"/>
          <w:szCs w:val="20"/>
          <w:color w:val="auto"/>
        </w:rPr>
        <w:tab/>
      </w:r>
      <w:r>
        <w:rPr>
          <w:rFonts w:ascii="Arial" w:cs="Arial" w:eastAsia="Arial" w:hAnsi="Arial"/>
          <w:sz w:val="11"/>
          <w:szCs w:val="11"/>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727710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APPENDIX</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RECONCILIATIONS</w:t>
      </w:r>
    </w:p>
    <w:p>
      <w:pPr>
        <w:spacing w:after="0" w:line="18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proxy statement refers to (1) revenue excluding legacy wireless products (baseband products, and OMAP applications processors and connectivity products sold into smartphone and consumer tablet applications) and (2) ratios based on free cash flow. These are financial measures that were not prepared in accordance with generally accepted accounting principles in the U.S. (non-GAAP measures). Free cash flow is a non-GAAP measure calculated by subtracting Capital expenditures from the most directly comparable GAAP measure, Cash flows from operating activities (also referred to as Cash flow from operations). We believe revenue excluding legacy wireless products provides insight into our underlying business results. We believe free cash flow and these ratios based on it provide insight into our liquidity, our cash-generating capability and the amount of cash potentially available to return to investors, as well as insight into our financial performance. These non-GAAP measures are supplemental to the comparable GAAP measures and are reconciled in the tables below to the most directly comparable GAAP measures.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excluding legacy wireless products (amounts in millions of dollars)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ind w:right="241"/>
              <w:spacing w:after="0"/>
              <w:rPr>
                <w:sz w:val="20"/>
                <w:szCs w:val="20"/>
                <w:color w:val="auto"/>
              </w:rPr>
            </w:pPr>
            <w:r>
              <w:rPr>
                <w:rFonts w:ascii="Arial" w:cs="Arial" w:eastAsia="Arial" w:hAnsi="Arial"/>
                <w:sz w:val="13"/>
                <w:szCs w:val="13"/>
                <w:b w:val="1"/>
                <w:bCs w:val="1"/>
                <w:color w:val="auto"/>
              </w:rPr>
              <w:t>2013</w:t>
            </w:r>
          </w:p>
        </w:tc>
        <w:tc>
          <w:tcPr>
            <w:tcW w:w="760" w:type="dxa"/>
            <w:vAlign w:val="bottom"/>
          </w:tcPr>
          <w:p>
            <w:pPr>
              <w:jc w:val="right"/>
              <w:ind w:right="128"/>
              <w:spacing w:after="0"/>
              <w:rPr>
                <w:sz w:val="20"/>
                <w:szCs w:val="20"/>
                <w:color w:val="auto"/>
              </w:rPr>
            </w:pPr>
            <w:r>
              <w:rPr>
                <w:rFonts w:ascii="Arial" w:cs="Arial" w:eastAsia="Arial" w:hAnsi="Arial"/>
                <w:sz w:val="13"/>
                <w:szCs w:val="13"/>
                <w:b w:val="1"/>
                <w:bCs w:val="1"/>
                <w:color w:val="auto"/>
              </w:rPr>
              <w:t>2013</w:t>
            </w:r>
          </w:p>
        </w:tc>
      </w:tr>
      <w:tr>
        <w:trPr>
          <w:trHeight w:val="225"/>
        </w:trPr>
        <w:tc>
          <w:tcPr>
            <w:tcW w:w="5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gridSpan w:val="5"/>
          </w:tcPr>
          <w:p>
            <w:pPr>
              <w:ind w:left="20"/>
              <w:spacing w:after="0"/>
              <w:rPr>
                <w:sz w:val="20"/>
                <w:szCs w:val="20"/>
                <w:color w:val="auto"/>
              </w:rPr>
            </w:pPr>
            <w:r>
              <w:rPr>
                <w:rFonts w:ascii="Arial" w:cs="Arial" w:eastAsia="Arial" w:hAnsi="Arial"/>
                <w:sz w:val="13"/>
                <w:szCs w:val="13"/>
                <w:b w:val="1"/>
                <w:bCs w:val="1"/>
                <w:color w:val="auto"/>
                <w:w w:val="95"/>
              </w:rPr>
              <w:t>For Years Ended December 31,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One-YearThree-Year</w:t>
            </w:r>
          </w:p>
        </w:tc>
      </w:tr>
      <w:tr>
        <w:trPr>
          <w:trHeight w:val="29"/>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98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2013</w:t>
            </w:r>
          </w:p>
        </w:tc>
        <w:tc>
          <w:tcPr>
            <w:tcW w:w="86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3"/>
                <w:szCs w:val="13"/>
                <w:b w:val="1"/>
                <w:bCs w:val="1"/>
                <w:color w:val="auto"/>
              </w:rPr>
              <w:t>2010</w:t>
            </w:r>
          </w:p>
        </w:tc>
        <w:tc>
          <w:tcPr>
            <w:tcW w:w="940" w:type="dxa"/>
            <w:vAlign w:val="bottom"/>
          </w:tcPr>
          <w:p>
            <w:pPr>
              <w:jc w:val="right"/>
              <w:ind w:right="161"/>
              <w:spacing w:after="0"/>
              <w:rPr>
                <w:sz w:val="20"/>
                <w:szCs w:val="20"/>
                <w:color w:val="auto"/>
              </w:rPr>
            </w:pPr>
            <w:r>
              <w:rPr>
                <w:rFonts w:ascii="Arial" w:cs="Arial" w:eastAsia="Arial" w:hAnsi="Arial"/>
                <w:sz w:val="13"/>
                <w:szCs w:val="13"/>
                <w:b w:val="1"/>
                <w:bCs w:val="1"/>
                <w:color w:val="auto"/>
              </w:rPr>
              <w:t>Growth</w:t>
            </w:r>
          </w:p>
        </w:tc>
        <w:tc>
          <w:tcPr>
            <w:tcW w:w="760" w:type="dxa"/>
            <w:vAlign w:val="bottom"/>
          </w:tcPr>
          <w:p>
            <w:pPr>
              <w:jc w:val="right"/>
              <w:ind w:right="68"/>
              <w:spacing w:after="0"/>
              <w:rPr>
                <w:sz w:val="20"/>
                <w:szCs w:val="20"/>
                <w:color w:val="auto"/>
              </w:rPr>
            </w:pPr>
            <w:r>
              <w:rPr>
                <w:rFonts w:ascii="Arial" w:cs="Arial" w:eastAsia="Arial" w:hAnsi="Arial"/>
                <w:sz w:val="13"/>
                <w:szCs w:val="13"/>
                <w:b w:val="1"/>
                <w:bCs w:val="1"/>
                <w:color w:val="auto"/>
              </w:rPr>
              <w:t>CAGR*</w:t>
            </w:r>
          </w:p>
        </w:tc>
      </w:tr>
      <w:tr>
        <w:trPr>
          <w:trHeight w:val="29"/>
        </w:trPr>
        <w:tc>
          <w:tcPr>
            <w:tcW w:w="5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5160" w:type="dxa"/>
            <w:vAlign w:val="bottom"/>
            <w:shd w:val="clear" w:color="auto" w:fill="E9E9E9"/>
          </w:tcPr>
          <w:p>
            <w:pPr>
              <w:spacing w:after="0"/>
              <w:rPr>
                <w:sz w:val="20"/>
                <w:szCs w:val="20"/>
                <w:color w:val="auto"/>
              </w:rPr>
            </w:pPr>
            <w:r>
              <w:rPr>
                <w:rFonts w:ascii="Arial" w:cs="Arial" w:eastAsia="Arial" w:hAnsi="Arial"/>
                <w:sz w:val="16"/>
                <w:szCs w:val="16"/>
                <w:color w:val="auto"/>
              </w:rPr>
              <w:t>Revenue (GAAP)</w:t>
            </w:r>
          </w:p>
        </w:tc>
        <w:tc>
          <w:tcPr>
            <w:tcW w:w="198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b w:val="1"/>
                <w:bCs w:val="1"/>
                <w:color w:val="auto"/>
              </w:rPr>
              <w:t>$ 12,205</w:t>
            </w:r>
          </w:p>
        </w:tc>
        <w:tc>
          <w:tcPr>
            <w:tcW w:w="86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rPr>
              <w:t>$12,825</w:t>
            </w:r>
          </w:p>
        </w:tc>
        <w:tc>
          <w:tcPr>
            <w:tcW w:w="160" w:type="dxa"/>
            <w:vAlign w:val="bottom"/>
            <w:shd w:val="clear" w:color="auto" w:fill="E9E9E9"/>
          </w:tcPr>
          <w:p>
            <w:pPr>
              <w:spacing w:after="0"/>
              <w:rPr>
                <w:sz w:val="18"/>
                <w:szCs w:val="18"/>
                <w:color w:val="auto"/>
              </w:rPr>
            </w:pPr>
          </w:p>
        </w:tc>
        <w:tc>
          <w:tcPr>
            <w:tcW w:w="700" w:type="dxa"/>
            <w:vAlign w:val="bottom"/>
            <w:shd w:val="clear" w:color="auto" w:fill="E9E9E9"/>
          </w:tcPr>
          <w:p>
            <w:pPr>
              <w:jc w:val="right"/>
              <w:ind w:right="23"/>
              <w:spacing w:after="0"/>
              <w:rPr>
                <w:sz w:val="20"/>
                <w:szCs w:val="20"/>
                <w:color w:val="auto"/>
              </w:rPr>
            </w:pPr>
            <w:r>
              <w:rPr>
                <w:rFonts w:ascii="Arial" w:cs="Arial" w:eastAsia="Arial" w:hAnsi="Arial"/>
                <w:sz w:val="16"/>
                <w:szCs w:val="16"/>
                <w:color w:val="auto"/>
              </w:rPr>
              <w:t>$13,735</w:t>
            </w:r>
          </w:p>
        </w:tc>
        <w:tc>
          <w:tcPr>
            <w:tcW w:w="140" w:type="dxa"/>
            <w:vAlign w:val="bottom"/>
            <w:shd w:val="clear" w:color="auto" w:fill="E9E9E9"/>
          </w:tcPr>
          <w:p>
            <w:pPr>
              <w:spacing w:after="0"/>
              <w:rPr>
                <w:sz w:val="18"/>
                <w:szCs w:val="18"/>
                <w:color w:val="auto"/>
              </w:rPr>
            </w:pPr>
          </w:p>
        </w:tc>
        <w:tc>
          <w:tcPr>
            <w:tcW w:w="72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rPr>
              <w:t>$13,966</w:t>
            </w:r>
          </w:p>
        </w:tc>
        <w:tc>
          <w:tcPr>
            <w:tcW w:w="940" w:type="dxa"/>
            <w:vAlign w:val="bottom"/>
            <w:shd w:val="clear" w:color="auto" w:fill="E9E9E9"/>
          </w:tcPr>
          <w:p>
            <w:pPr>
              <w:jc w:val="right"/>
              <w:ind w:right="161"/>
              <w:spacing w:after="0"/>
              <w:rPr>
                <w:sz w:val="20"/>
                <w:szCs w:val="20"/>
                <w:color w:val="auto"/>
              </w:rPr>
            </w:pPr>
            <w:r>
              <w:rPr>
                <w:rFonts w:ascii="Arial" w:cs="Arial" w:eastAsia="Arial" w:hAnsi="Arial"/>
                <w:sz w:val="16"/>
                <w:szCs w:val="16"/>
                <w:b w:val="1"/>
                <w:bCs w:val="1"/>
                <w:color w:val="auto"/>
              </w:rPr>
              <w:t>-4.8%</w:t>
            </w:r>
          </w:p>
        </w:tc>
        <w:tc>
          <w:tcPr>
            <w:tcW w:w="760" w:type="dxa"/>
            <w:vAlign w:val="bottom"/>
            <w:shd w:val="clear" w:color="auto" w:fill="E9E9E9"/>
          </w:tcPr>
          <w:p>
            <w:pPr>
              <w:jc w:val="right"/>
              <w:ind w:right="48"/>
              <w:spacing w:after="0"/>
              <w:rPr>
                <w:sz w:val="20"/>
                <w:szCs w:val="20"/>
                <w:color w:val="auto"/>
              </w:rPr>
            </w:pPr>
            <w:r>
              <w:rPr>
                <w:rFonts w:ascii="Arial" w:cs="Arial" w:eastAsia="Arial" w:hAnsi="Arial"/>
                <w:sz w:val="16"/>
                <w:szCs w:val="16"/>
                <w:b w:val="1"/>
                <w:bCs w:val="1"/>
                <w:color w:val="auto"/>
              </w:rPr>
              <w:t>-4.4%</w:t>
            </w:r>
          </w:p>
        </w:tc>
      </w:tr>
      <w:tr>
        <w:trPr>
          <w:trHeight w:val="225"/>
        </w:trPr>
        <w:tc>
          <w:tcPr>
            <w:tcW w:w="5160" w:type="dxa"/>
            <w:vAlign w:val="bottom"/>
          </w:tcPr>
          <w:p>
            <w:pPr>
              <w:spacing w:after="0"/>
              <w:rPr>
                <w:sz w:val="20"/>
                <w:szCs w:val="20"/>
                <w:color w:val="auto"/>
              </w:rPr>
            </w:pPr>
            <w:r>
              <w:rPr>
                <w:rFonts w:ascii="Arial" w:cs="Arial" w:eastAsia="Arial" w:hAnsi="Arial"/>
                <w:sz w:val="16"/>
                <w:szCs w:val="16"/>
                <w:color w:val="auto"/>
              </w:rPr>
              <w:t>Legacy wireless revenue</w:t>
            </w: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auto"/>
              </w:rPr>
              <w:t>(470)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(1,200)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(2,391)</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(2,870)</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3"/>
        </w:trPr>
        <w:tc>
          <w:tcPr>
            <w:tcW w:w="5160" w:type="dxa"/>
            <w:vAlign w:val="bottom"/>
            <w:tcBorders>
              <w:top w:val="single" w:sz="8" w:color="E9E9E9"/>
              <w:bottom w:val="single" w:sz="8" w:color="E9E9E9"/>
            </w:tcBorders>
            <w:shd w:val="clear" w:color="auto" w:fill="E9E9E9"/>
          </w:tcPr>
          <w:p>
            <w:pPr>
              <w:spacing w:after="0"/>
              <w:rPr>
                <w:sz w:val="20"/>
                <w:szCs w:val="20"/>
                <w:color w:val="auto"/>
              </w:rPr>
            </w:pPr>
            <w:r>
              <w:rPr>
                <w:rFonts w:ascii="Arial" w:cs="Arial" w:eastAsia="Arial" w:hAnsi="Arial"/>
                <w:sz w:val="16"/>
                <w:szCs w:val="16"/>
                <w:color w:val="auto"/>
              </w:rPr>
              <w:t>TI Revenue less legacy wireless revenue (non-GAAP)</w:t>
            </w:r>
          </w:p>
        </w:tc>
        <w:tc>
          <w:tcPr>
            <w:tcW w:w="1260" w:type="dxa"/>
            <w:vAlign w:val="bottom"/>
            <w:tcBorders>
              <w:top w:val="single" w:sz="8" w:color="E9E9E9"/>
              <w:bottom w:val="single" w:sz="8" w:color="E9E9E9"/>
            </w:tcBorders>
            <w:shd w:val="clear" w:color="auto" w:fill="E9E9E9"/>
          </w:tcPr>
          <w:p>
            <w:pPr>
              <w:spacing w:after="0"/>
              <w:rPr>
                <w:sz w:val="19"/>
                <w:szCs w:val="19"/>
                <w:color w:val="auto"/>
              </w:rPr>
            </w:pPr>
          </w:p>
        </w:tc>
        <w:tc>
          <w:tcPr>
            <w:tcW w:w="720" w:type="dxa"/>
            <w:vAlign w:val="bottom"/>
            <w:tcBorders>
              <w:top w:val="single" w:sz="8" w:color="auto"/>
              <w:bottom w:val="single" w:sz="8" w:color="auto"/>
            </w:tcBorders>
            <w:shd w:val="clear" w:color="auto" w:fill="E9E9E9"/>
          </w:tcPr>
          <w:p>
            <w:pPr>
              <w:jc w:val="right"/>
              <w:ind w:right="19"/>
              <w:spacing w:after="0"/>
              <w:rPr>
                <w:sz w:val="20"/>
                <w:szCs w:val="20"/>
                <w:color w:val="auto"/>
              </w:rPr>
            </w:pPr>
            <w:r>
              <w:rPr>
                <w:rFonts w:ascii="Arial" w:cs="Arial" w:eastAsia="Arial" w:hAnsi="Arial"/>
                <w:sz w:val="16"/>
                <w:szCs w:val="16"/>
                <w:b w:val="1"/>
                <w:bCs w:val="1"/>
                <w:color w:val="auto"/>
                <w:w w:val="96"/>
              </w:rPr>
              <w:t>$ 11,735</w:t>
            </w:r>
          </w:p>
        </w:tc>
        <w:tc>
          <w:tcPr>
            <w:tcW w:w="140" w:type="dxa"/>
            <w:vAlign w:val="bottom"/>
            <w:tcBorders>
              <w:top w:val="single" w:sz="8" w:color="E9E9E9"/>
              <w:bottom w:val="single" w:sz="8" w:color="E9E9E9"/>
            </w:tcBorders>
            <w:shd w:val="clear" w:color="auto" w:fill="E9E9E9"/>
          </w:tcPr>
          <w:p>
            <w:pPr>
              <w:spacing w:after="0"/>
              <w:rPr>
                <w:sz w:val="19"/>
                <w:szCs w:val="19"/>
                <w:color w:val="auto"/>
              </w:rPr>
            </w:pPr>
          </w:p>
        </w:tc>
        <w:tc>
          <w:tcPr>
            <w:tcW w:w="720" w:type="dxa"/>
            <w:vAlign w:val="bottom"/>
            <w:tcBorders>
              <w:top w:val="single" w:sz="8" w:color="auto"/>
              <w:bottom w:val="single" w:sz="8" w:color="auto"/>
            </w:tcBorders>
            <w:shd w:val="clear" w:color="auto" w:fill="E9E9E9"/>
          </w:tcPr>
          <w:p>
            <w:pPr>
              <w:jc w:val="right"/>
              <w:ind w:right="19"/>
              <w:spacing w:after="0"/>
              <w:rPr>
                <w:sz w:val="20"/>
                <w:szCs w:val="20"/>
                <w:color w:val="auto"/>
              </w:rPr>
            </w:pPr>
            <w:r>
              <w:rPr>
                <w:rFonts w:ascii="Arial" w:cs="Arial" w:eastAsia="Arial" w:hAnsi="Arial"/>
                <w:sz w:val="16"/>
                <w:szCs w:val="16"/>
                <w:color w:val="auto"/>
                <w:w w:val="96"/>
              </w:rPr>
              <w:t>$ 11,625</w:t>
            </w:r>
          </w:p>
        </w:tc>
        <w:tc>
          <w:tcPr>
            <w:tcW w:w="160" w:type="dxa"/>
            <w:vAlign w:val="bottom"/>
            <w:tcBorders>
              <w:top w:val="single" w:sz="8" w:color="E9E9E9"/>
              <w:bottom w:val="single" w:sz="8" w:color="E9E9E9"/>
            </w:tcBorders>
            <w:shd w:val="clear" w:color="auto" w:fill="E9E9E9"/>
          </w:tcPr>
          <w:p>
            <w:pPr>
              <w:spacing w:after="0"/>
              <w:rPr>
                <w:sz w:val="19"/>
                <w:szCs w:val="19"/>
                <w:color w:val="auto"/>
              </w:rPr>
            </w:pPr>
          </w:p>
        </w:tc>
        <w:tc>
          <w:tcPr>
            <w:tcW w:w="700" w:type="dxa"/>
            <w:vAlign w:val="bottom"/>
            <w:tcBorders>
              <w:top w:val="single" w:sz="8" w:color="auto"/>
              <w:bottom w:val="single" w:sz="8" w:color="auto"/>
            </w:tcBorders>
            <w:shd w:val="clear" w:color="auto" w:fill="E9E9E9"/>
          </w:tcPr>
          <w:p>
            <w:pPr>
              <w:jc w:val="right"/>
              <w:ind w:right="23"/>
              <w:spacing w:after="0"/>
              <w:rPr>
                <w:sz w:val="20"/>
                <w:szCs w:val="20"/>
                <w:color w:val="auto"/>
              </w:rPr>
            </w:pPr>
            <w:r>
              <w:rPr>
                <w:rFonts w:ascii="Arial" w:cs="Arial" w:eastAsia="Arial" w:hAnsi="Arial"/>
                <w:sz w:val="16"/>
                <w:szCs w:val="16"/>
                <w:color w:val="auto"/>
                <w:w w:val="93"/>
              </w:rPr>
              <w:t>$ 11,344</w:t>
            </w:r>
          </w:p>
        </w:tc>
        <w:tc>
          <w:tcPr>
            <w:tcW w:w="140" w:type="dxa"/>
            <w:vAlign w:val="bottom"/>
            <w:tcBorders>
              <w:top w:val="single" w:sz="8" w:color="E9E9E9"/>
              <w:bottom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E9E9E9"/>
            </w:tcBorders>
            <w:shd w:val="clear" w:color="auto" w:fill="E9E9E9"/>
          </w:tcPr>
          <w:p>
            <w:pPr>
              <w:spacing w:after="0"/>
              <w:rPr>
                <w:sz w:val="19"/>
                <w:szCs w:val="19"/>
                <w:color w:val="auto"/>
              </w:rPr>
            </w:pPr>
          </w:p>
        </w:tc>
        <w:tc>
          <w:tcPr>
            <w:tcW w:w="700" w:type="dxa"/>
            <w:vAlign w:val="bottom"/>
            <w:tcBorders>
              <w:top w:val="single" w:sz="8" w:color="auto"/>
              <w:bottom w:val="single" w:sz="8" w:color="auto"/>
            </w:tcBorders>
            <w:shd w:val="clear" w:color="auto" w:fill="E9E9E9"/>
          </w:tcPr>
          <w:p>
            <w:pPr>
              <w:jc w:val="right"/>
              <w:ind w:right="19"/>
              <w:spacing w:after="0"/>
              <w:rPr>
                <w:sz w:val="20"/>
                <w:szCs w:val="20"/>
                <w:color w:val="auto"/>
              </w:rPr>
            </w:pPr>
            <w:r>
              <w:rPr>
                <w:rFonts w:ascii="Arial" w:cs="Arial" w:eastAsia="Arial" w:hAnsi="Arial"/>
                <w:sz w:val="16"/>
                <w:szCs w:val="16"/>
                <w:color w:val="auto"/>
                <w:w w:val="93"/>
              </w:rPr>
              <w:t>$ 11,096</w:t>
            </w:r>
          </w:p>
        </w:tc>
        <w:tc>
          <w:tcPr>
            <w:tcW w:w="940" w:type="dxa"/>
            <w:vAlign w:val="bottom"/>
            <w:tcBorders>
              <w:top w:val="single" w:sz="8" w:color="E9E9E9"/>
              <w:bottom w:val="single" w:sz="8" w:color="E9E9E9"/>
            </w:tcBorders>
            <w:shd w:val="clear" w:color="auto" w:fill="E9E9E9"/>
          </w:tcPr>
          <w:p>
            <w:pPr>
              <w:jc w:val="right"/>
              <w:ind w:right="161"/>
              <w:spacing w:after="0"/>
              <w:rPr>
                <w:sz w:val="20"/>
                <w:szCs w:val="20"/>
                <w:color w:val="auto"/>
              </w:rPr>
            </w:pPr>
            <w:r>
              <w:rPr>
                <w:rFonts w:ascii="Arial" w:cs="Arial" w:eastAsia="Arial" w:hAnsi="Arial"/>
                <w:sz w:val="16"/>
                <w:szCs w:val="16"/>
                <w:b w:val="1"/>
                <w:bCs w:val="1"/>
                <w:color w:val="auto"/>
              </w:rPr>
              <w:t>0.9%</w:t>
            </w:r>
          </w:p>
        </w:tc>
        <w:tc>
          <w:tcPr>
            <w:tcW w:w="760" w:type="dxa"/>
            <w:vAlign w:val="bottom"/>
            <w:tcBorders>
              <w:top w:val="single" w:sz="8" w:color="E9E9E9"/>
              <w:bottom w:val="single" w:sz="8" w:color="E9E9E9"/>
            </w:tcBorders>
            <w:shd w:val="clear" w:color="auto" w:fill="E9E9E9"/>
          </w:tcPr>
          <w:p>
            <w:pPr>
              <w:jc w:val="right"/>
              <w:ind w:right="48"/>
              <w:spacing w:after="0"/>
              <w:rPr>
                <w:sz w:val="20"/>
                <w:szCs w:val="20"/>
                <w:color w:val="auto"/>
              </w:rPr>
            </w:pPr>
            <w:r>
              <w:rPr>
                <w:rFonts w:ascii="Arial" w:cs="Arial" w:eastAsia="Arial" w:hAnsi="Arial"/>
                <w:sz w:val="16"/>
                <w:szCs w:val="16"/>
                <w:b w:val="1"/>
                <w:bCs w:val="1"/>
                <w:color w:val="auto"/>
              </w:rPr>
              <w:t>1.9%</w:t>
            </w:r>
          </w:p>
        </w:tc>
      </w:tr>
    </w:tbl>
    <w:p>
      <w:pPr>
        <w:spacing w:after="0" w:line="212" w:lineRule="exact"/>
        <w:rPr>
          <w:sz w:val="20"/>
          <w:szCs w:val="20"/>
          <w:color w:val="auto"/>
        </w:rPr>
      </w:pPr>
    </w:p>
    <w:p>
      <w:pPr>
        <w:ind w:right="2560"/>
        <w:spacing w:after="0" w:line="222" w:lineRule="auto"/>
        <w:tabs>
          <w:tab w:leader="none" w:pos="250" w:val="left"/>
        </w:tabs>
        <w:numPr>
          <w:ilvl w:val="0"/>
          <w:numId w:val="65"/>
        </w:numPr>
        <w:rPr>
          <w:rFonts w:ascii="Arial" w:cs="Arial" w:eastAsia="Arial" w:hAnsi="Arial"/>
          <w:sz w:val="33"/>
          <w:szCs w:val="33"/>
          <w:color w:val="auto"/>
          <w:vertAlign w:val="superscript"/>
        </w:rPr>
      </w:pPr>
      <w:r>
        <w:rPr>
          <w:rFonts w:ascii="Arial" w:cs="Arial" w:eastAsia="Arial" w:hAnsi="Arial"/>
          <w:sz w:val="16"/>
          <w:szCs w:val="16"/>
          <w:color w:val="auto"/>
        </w:rPr>
        <w:t>CAGR (compound annual growth rate) is calculated using the formula: (Ending Value/Beginning Value)</w:t>
      </w:r>
      <w:r>
        <w:rPr>
          <w:rFonts w:ascii="Arial" w:cs="Arial" w:eastAsia="Arial" w:hAnsi="Arial"/>
          <w:sz w:val="27"/>
          <w:szCs w:val="27"/>
          <w:color w:val="auto"/>
          <w:vertAlign w:val="superscript"/>
        </w:rPr>
        <w:t>1/number of years</w:t>
      </w:r>
      <w:r>
        <w:rPr>
          <w:rFonts w:ascii="Arial" w:cs="Arial" w:eastAsia="Arial" w:hAnsi="Arial"/>
          <w:sz w:val="16"/>
          <w:szCs w:val="16"/>
          <w:color w:val="auto"/>
        </w:rPr>
        <w:t xml:space="preserve">-1. </w:t>
      </w:r>
      <w:r>
        <w:rPr>
          <w:rFonts w:ascii="Arial" w:cs="Arial" w:eastAsia="Arial" w:hAnsi="Arial"/>
          <w:sz w:val="16"/>
          <w:szCs w:val="16"/>
          <w:u w:val="single" w:color="auto"/>
          <w:color w:val="auto"/>
        </w:rPr>
        <w:t>Free cash flow as a percentage of revenue (amounts in millions of dollars)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ind w:left="120"/>
              <w:spacing w:after="0"/>
              <w:rPr>
                <w:sz w:val="20"/>
                <w:szCs w:val="20"/>
                <w:color w:val="auto"/>
              </w:rPr>
            </w:pPr>
            <w:r>
              <w:rPr>
                <w:rFonts w:ascii="Arial" w:cs="Arial" w:eastAsia="Arial" w:hAnsi="Arial"/>
                <w:sz w:val="13"/>
                <w:szCs w:val="13"/>
                <w:b w:val="1"/>
                <w:bCs w:val="1"/>
                <w:color w:val="auto"/>
              </w:rPr>
              <w:t>Percentage of Revenue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7"/>
          </w:tcPr>
          <w:p>
            <w:pPr>
              <w:jc w:val="right"/>
              <w:ind w:right="222"/>
              <w:spacing w:after="0"/>
              <w:rPr>
                <w:sz w:val="20"/>
                <w:szCs w:val="20"/>
                <w:color w:val="auto"/>
              </w:rPr>
            </w:pPr>
            <w:r>
              <w:rPr>
                <w:rFonts w:ascii="Arial" w:cs="Arial" w:eastAsia="Arial" w:hAnsi="Arial"/>
                <w:sz w:val="13"/>
                <w:szCs w:val="13"/>
                <w:b w:val="1"/>
                <w:bCs w:val="1"/>
                <w:color w:val="auto"/>
              </w:rPr>
              <w:t>For Years Ended December 31,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10"/>
          </w:tcPr>
          <w:p>
            <w:pPr>
              <w:ind w:left="280"/>
              <w:spacing w:after="0"/>
              <w:rPr>
                <w:sz w:val="20"/>
                <w:szCs w:val="20"/>
                <w:color w:val="auto"/>
              </w:rPr>
            </w:pPr>
            <w:r>
              <w:rPr>
                <w:rFonts w:ascii="Arial" w:cs="Arial" w:eastAsia="Arial" w:hAnsi="Arial"/>
                <w:sz w:val="13"/>
                <w:szCs w:val="13"/>
                <w:b w:val="1"/>
                <w:bCs w:val="1"/>
                <w:color w:val="auto"/>
              </w:rPr>
              <w:t>For Years Ended 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2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2"/>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2"/>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2012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left="163"/>
              <w:spacing w:after="0"/>
              <w:rPr>
                <w:sz w:val="20"/>
                <w:szCs w:val="20"/>
                <w:color w:val="auto"/>
              </w:rPr>
            </w:pPr>
            <w:r>
              <w:rPr>
                <w:rFonts w:ascii="Arial" w:cs="Arial" w:eastAsia="Arial" w:hAnsi="Arial"/>
                <w:sz w:val="13"/>
                <w:szCs w:val="13"/>
                <w:b w:val="1"/>
                <w:bCs w:val="1"/>
                <w:color w:val="auto"/>
                <w:w w:val="89"/>
              </w:rPr>
              <w:t>2011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41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Revenue</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b w:val="1"/>
                <w:bCs w:val="1"/>
                <w:color w:val="auto"/>
                <w:w w:val="98"/>
              </w:rPr>
              <w:t>12,205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12,825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13,735</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$ 38,765</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6"/>
                <w:szCs w:val="16"/>
                <w:color w:val="auto"/>
              </w:rPr>
              <w:t>Cash flow from operations (GAAP)</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25"/>
              <w:spacing w:after="0"/>
              <w:rPr>
                <w:sz w:val="20"/>
                <w:szCs w:val="20"/>
                <w:color w:val="auto"/>
              </w:rPr>
            </w:pPr>
            <w:r>
              <w:rPr>
                <w:rFonts w:ascii="Arial" w:cs="Arial" w:eastAsia="Arial" w:hAnsi="Arial"/>
                <w:sz w:val="16"/>
                <w:szCs w:val="16"/>
                <w:b w:val="1"/>
                <w:bCs w:val="1"/>
                <w:color w:val="auto"/>
              </w:rPr>
              <w:t>3,384</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3,414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3,256</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$ 10,054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23.7%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(816)</w:t>
            </w: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(1,723)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6"/>
                <w:szCs w:val="16"/>
                <w:color w:val="auto"/>
              </w:rPr>
              <w:t>Free cash flow (non-GAAP)</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2,972</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2,919</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2,440</w:t>
            </w: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8,331</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7220" w:type="dxa"/>
            <w:vAlign w:val="bottom"/>
            <w:gridSpan w:val="11"/>
          </w:tcPr>
          <w:p>
            <w:pPr>
              <w:spacing w:after="0"/>
              <w:rPr>
                <w:sz w:val="20"/>
                <w:szCs w:val="20"/>
                <w:color w:val="auto"/>
              </w:rPr>
            </w:pPr>
            <w:r>
              <w:rPr>
                <w:rFonts w:ascii="Arial" w:cs="Arial" w:eastAsia="Arial" w:hAnsi="Arial"/>
                <w:sz w:val="16"/>
                <w:szCs w:val="16"/>
                <w:color w:val="auto"/>
              </w:rPr>
              <w:t>Total cash returned to shareholders as a percentage of free cash flow (amounts in millions of dollars)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4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10"/>
          </w:tcPr>
          <w:p>
            <w:pPr>
              <w:ind w:left="60"/>
              <w:spacing w:after="0"/>
              <w:rPr>
                <w:sz w:val="20"/>
                <w:szCs w:val="20"/>
                <w:color w:val="auto"/>
              </w:rPr>
            </w:pPr>
            <w:r>
              <w:rPr>
                <w:rFonts w:ascii="Arial" w:cs="Arial" w:eastAsia="Arial" w:hAnsi="Arial"/>
                <w:sz w:val="13"/>
                <w:szCs w:val="13"/>
                <w:b w:val="1"/>
                <w:bCs w:val="1"/>
                <w:color w:val="auto"/>
              </w:rPr>
              <w:t>For Years Ended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23"/>
              <w:spacing w:after="0"/>
              <w:rPr>
                <w:sz w:val="20"/>
                <w:szCs w:val="20"/>
                <w:color w:val="auto"/>
              </w:rPr>
            </w:pPr>
            <w:r>
              <w:rPr>
                <w:rFonts w:ascii="Arial" w:cs="Arial" w:eastAsia="Arial" w:hAnsi="Arial"/>
                <w:sz w:val="13"/>
                <w:szCs w:val="13"/>
                <w:b w:val="1"/>
                <w:bCs w:val="1"/>
                <w:color w:val="auto"/>
              </w:rPr>
              <w:t>2011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4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6"/>
                <w:szCs w:val="16"/>
                <w:color w:val="auto"/>
              </w:rPr>
              <w:t>Dividends paid</w:t>
            </w:r>
          </w:p>
        </w:tc>
        <w:tc>
          <w:tcPr>
            <w:tcW w:w="6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600" w:type="dxa"/>
            <w:vAlign w:val="bottom"/>
            <w:tcBorders>
              <w:top w:val="single" w:sz="8" w:color="auto"/>
            </w:tcBorders>
            <w:shd w:val="clear" w:color="auto" w:fill="E9E9E9"/>
          </w:tcPr>
          <w:p>
            <w:pPr>
              <w:spacing w:after="0"/>
              <w:rPr>
                <w:sz w:val="18"/>
                <w:szCs w:val="18"/>
                <w:color w:val="auto"/>
              </w:rPr>
            </w:pPr>
          </w:p>
        </w:tc>
        <w:tc>
          <w:tcPr>
            <w:tcW w:w="16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620" w:type="dxa"/>
            <w:vAlign w:val="bottom"/>
            <w:tcBorders>
              <w:top w:val="single" w:sz="8" w:color="auto"/>
            </w:tcBorders>
            <w:shd w:val="clear" w:color="auto" w:fill="E9E9E9"/>
          </w:tcPr>
          <w:p>
            <w:pPr>
              <w:spacing w:after="0"/>
              <w:rPr>
                <w:sz w:val="18"/>
                <w:szCs w:val="18"/>
                <w:color w:val="auto"/>
              </w:rPr>
            </w:pPr>
          </w:p>
        </w:tc>
        <w:tc>
          <w:tcPr>
            <w:tcW w:w="14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620" w:type="dxa"/>
            <w:vAlign w:val="bottom"/>
            <w:tcBorders>
              <w:top w:val="single" w:sz="8" w:color="auto"/>
            </w:tcBorders>
            <w:shd w:val="clear" w:color="auto" w:fill="E9E9E9"/>
          </w:tcPr>
          <w:p>
            <w:pPr>
              <w:spacing w:after="0"/>
              <w:rPr>
                <w:sz w:val="18"/>
                <w:szCs w:val="18"/>
                <w:color w:val="auto"/>
              </w:rPr>
            </w:pPr>
          </w:p>
        </w:tc>
        <w:tc>
          <w:tcPr>
            <w:tcW w:w="880" w:type="dxa"/>
            <w:vAlign w:val="bottom"/>
            <w:tcBorders>
              <w:top w:val="single" w:sz="8" w:color="auto"/>
            </w:tcBorders>
            <w:gridSpan w:val="4"/>
            <w:shd w:val="clear" w:color="auto" w:fill="E9E9E9"/>
          </w:tcPr>
          <w:p>
            <w:pPr>
              <w:jc w:val="right"/>
              <w:ind w:right="20"/>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gridSpan w:val="2"/>
            <w:shd w:val="clear" w:color="auto" w:fill="E9E9E9"/>
          </w:tcPr>
          <w:p>
            <w:pPr>
              <w:jc w:val="right"/>
              <w:spacing w:after="0"/>
              <w:rPr>
                <w:sz w:val="20"/>
                <w:szCs w:val="20"/>
                <w:color w:val="auto"/>
              </w:rPr>
            </w:pPr>
            <w:r>
              <w:rPr>
                <w:rFonts w:ascii="Arial" w:cs="Arial" w:eastAsia="Arial" w:hAnsi="Arial"/>
                <w:sz w:val="16"/>
                <w:szCs w:val="16"/>
                <w:b w:val="1"/>
                <w:bCs w:val="1"/>
                <w:color w:val="auto"/>
              </w:rPr>
              <w:t>1,175</w:t>
            </w:r>
          </w:p>
        </w:tc>
        <w:tc>
          <w:tcPr>
            <w:tcW w:w="200" w:type="dxa"/>
            <w:vAlign w:val="bottom"/>
            <w:tcBorders>
              <w:top w:val="single" w:sz="8" w:color="auto"/>
            </w:tcBorders>
            <w:shd w:val="clear" w:color="auto" w:fill="E9E9E9"/>
          </w:tcPr>
          <w:p>
            <w:pPr>
              <w:spacing w:after="0"/>
              <w:rPr>
                <w:sz w:val="18"/>
                <w:szCs w:val="18"/>
                <w:color w:val="auto"/>
              </w:rPr>
            </w:pPr>
          </w:p>
        </w:tc>
        <w:tc>
          <w:tcPr>
            <w:tcW w:w="160" w:type="dxa"/>
            <w:vAlign w:val="bottom"/>
            <w:tcBorders>
              <w:top w:val="single" w:sz="8" w:color="auto"/>
            </w:tcBorders>
            <w:gridSpan w:val="2"/>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gridSpan w:val="2"/>
            <w:shd w:val="clear" w:color="auto" w:fill="E9E9E9"/>
          </w:tcPr>
          <w:p>
            <w:pPr>
              <w:jc w:val="right"/>
              <w:ind w:right="137"/>
              <w:spacing w:after="0"/>
              <w:rPr>
                <w:sz w:val="20"/>
                <w:szCs w:val="20"/>
                <w:color w:val="auto"/>
              </w:rPr>
            </w:pPr>
            <w:r>
              <w:rPr>
                <w:rFonts w:ascii="Arial" w:cs="Arial" w:eastAsia="Arial" w:hAnsi="Arial"/>
                <w:sz w:val="16"/>
                <w:szCs w:val="16"/>
                <w:color w:val="auto"/>
              </w:rPr>
              <w:t>819</w:t>
            </w:r>
          </w:p>
        </w:tc>
        <w:tc>
          <w:tcPr>
            <w:tcW w:w="140" w:type="dxa"/>
            <w:vAlign w:val="bottom"/>
            <w:tcBorders>
              <w:top w:val="single" w:sz="8" w:color="auto"/>
            </w:tcBorders>
            <w:gridSpan w:val="2"/>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644</w:t>
            </w:r>
          </w:p>
        </w:tc>
        <w:tc>
          <w:tcPr>
            <w:tcW w:w="180" w:type="dxa"/>
            <w:vAlign w:val="bottom"/>
            <w:tcBorders>
              <w:top w:val="single" w:sz="8" w:color="auto"/>
            </w:tcBorders>
            <w:shd w:val="clear" w:color="auto" w:fill="E9E9E9"/>
          </w:tcPr>
          <w:p>
            <w:pPr>
              <w:spacing w:after="0"/>
              <w:rPr>
                <w:sz w:val="18"/>
                <w:szCs w:val="18"/>
                <w:color w:val="auto"/>
              </w:rPr>
            </w:pPr>
          </w:p>
        </w:tc>
        <w:tc>
          <w:tcPr>
            <w:tcW w:w="160" w:type="dxa"/>
            <w:vAlign w:val="bottom"/>
            <w:tcBorders>
              <w:top w:val="single" w:sz="8" w:color="auto"/>
            </w:tcBorders>
            <w:gridSpan w:val="2"/>
            <w:shd w:val="clear" w:color="auto" w:fill="E9E9E9"/>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6"/>
                <w:szCs w:val="16"/>
                <w:b w:val="1"/>
                <w:bCs w:val="1"/>
                <w:color w:val="auto"/>
              </w:rPr>
              <w:t>2,638</w:t>
            </w:r>
          </w:p>
        </w:tc>
        <w:tc>
          <w:tcPr>
            <w:tcW w:w="100" w:type="dxa"/>
            <w:vAlign w:val="bottom"/>
            <w:tcBorders>
              <w:top w:val="single" w:sz="8" w:color="auto"/>
            </w:tcBorders>
            <w:shd w:val="clear" w:color="auto" w:fill="E9E9E9"/>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Stock repurchases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2,868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37"/>
              <w:spacing w:after="0"/>
              <w:rPr>
                <w:sz w:val="20"/>
                <w:szCs w:val="20"/>
                <w:color w:val="auto"/>
              </w:rPr>
            </w:pPr>
            <w:r>
              <w:rPr>
                <w:rFonts w:ascii="Arial" w:cs="Arial" w:eastAsia="Arial" w:hAnsi="Arial"/>
                <w:sz w:val="16"/>
                <w:szCs w:val="16"/>
                <w:color w:val="auto"/>
              </w:rPr>
              <w:t>1,800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6,641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E9E9E9"/>
              <w:bottom w:val="single" w:sz="8" w:color="E9E9E9"/>
            </w:tcBorders>
            <w:shd w:val="clear" w:color="auto" w:fill="E9E9E9"/>
          </w:tcPr>
          <w:p>
            <w:pPr>
              <w:spacing w:after="0"/>
              <w:rPr>
                <w:sz w:val="20"/>
                <w:szCs w:val="20"/>
                <w:color w:val="auto"/>
              </w:rPr>
            </w:pPr>
            <w:r>
              <w:rPr>
                <w:rFonts w:ascii="Arial" w:cs="Arial" w:eastAsia="Arial" w:hAnsi="Arial"/>
                <w:sz w:val="16"/>
                <w:szCs w:val="16"/>
                <w:color w:val="auto"/>
              </w:rPr>
              <w:t>Total cash returned to shareholders</w:t>
            </w:r>
          </w:p>
        </w:tc>
        <w:tc>
          <w:tcPr>
            <w:tcW w:w="620" w:type="dxa"/>
            <w:vAlign w:val="bottom"/>
            <w:tcBorders>
              <w:top w:val="single" w:sz="8" w:color="E9E9E9"/>
              <w:bottom w:val="single" w:sz="8" w:color="E9E9E9"/>
            </w:tcBorders>
            <w:shd w:val="clear" w:color="auto" w:fill="E9E9E9"/>
          </w:tcPr>
          <w:p>
            <w:pPr>
              <w:spacing w:after="0"/>
              <w:rPr>
                <w:sz w:val="19"/>
                <w:szCs w:val="19"/>
                <w:color w:val="auto"/>
              </w:rPr>
            </w:pPr>
          </w:p>
        </w:tc>
        <w:tc>
          <w:tcPr>
            <w:tcW w:w="100" w:type="dxa"/>
            <w:vAlign w:val="bottom"/>
            <w:tcBorders>
              <w:top w:val="single" w:sz="8" w:color="E9E9E9"/>
              <w:bottom w:val="single" w:sz="8" w:color="E9E9E9"/>
            </w:tcBorders>
            <w:shd w:val="clear" w:color="auto" w:fill="E9E9E9"/>
          </w:tcPr>
          <w:p>
            <w:pPr>
              <w:spacing w:after="0"/>
              <w:rPr>
                <w:sz w:val="19"/>
                <w:szCs w:val="19"/>
                <w:color w:val="auto"/>
              </w:rPr>
            </w:pPr>
          </w:p>
        </w:tc>
        <w:tc>
          <w:tcPr>
            <w:tcW w:w="600" w:type="dxa"/>
            <w:vAlign w:val="bottom"/>
            <w:tcBorders>
              <w:top w:val="single" w:sz="8" w:color="E9E9E9"/>
              <w:bottom w:val="single" w:sz="8" w:color="E9E9E9"/>
            </w:tcBorders>
            <w:shd w:val="clear" w:color="auto" w:fill="E9E9E9"/>
          </w:tcPr>
          <w:p>
            <w:pPr>
              <w:spacing w:after="0"/>
              <w:rPr>
                <w:sz w:val="19"/>
                <w:szCs w:val="19"/>
                <w:color w:val="auto"/>
              </w:rPr>
            </w:pPr>
          </w:p>
        </w:tc>
        <w:tc>
          <w:tcPr>
            <w:tcW w:w="160" w:type="dxa"/>
            <w:vAlign w:val="bottom"/>
            <w:tcBorders>
              <w:top w:val="single" w:sz="8" w:color="E9E9E9"/>
              <w:bottom w:val="single" w:sz="8" w:color="E9E9E9"/>
            </w:tcBorders>
            <w:shd w:val="clear" w:color="auto" w:fill="E9E9E9"/>
          </w:tcPr>
          <w:p>
            <w:pPr>
              <w:spacing w:after="0"/>
              <w:rPr>
                <w:sz w:val="19"/>
                <w:szCs w:val="19"/>
                <w:color w:val="auto"/>
              </w:rPr>
            </w:pPr>
          </w:p>
        </w:tc>
        <w:tc>
          <w:tcPr>
            <w:tcW w:w="100" w:type="dxa"/>
            <w:vAlign w:val="bottom"/>
            <w:tcBorders>
              <w:top w:val="single" w:sz="8" w:color="E9E9E9"/>
              <w:bottom w:val="single" w:sz="8" w:color="E9E9E9"/>
            </w:tcBorders>
            <w:shd w:val="clear" w:color="auto" w:fill="E9E9E9"/>
          </w:tcPr>
          <w:p>
            <w:pPr>
              <w:spacing w:after="0"/>
              <w:rPr>
                <w:sz w:val="19"/>
                <w:szCs w:val="19"/>
                <w:color w:val="auto"/>
              </w:rPr>
            </w:pPr>
          </w:p>
        </w:tc>
        <w:tc>
          <w:tcPr>
            <w:tcW w:w="620" w:type="dxa"/>
            <w:vAlign w:val="bottom"/>
            <w:tcBorders>
              <w:top w:val="single" w:sz="8" w:color="E9E9E9"/>
              <w:bottom w:val="single" w:sz="8" w:color="E9E9E9"/>
            </w:tcBorders>
            <w:shd w:val="clear" w:color="auto" w:fill="E9E9E9"/>
          </w:tcPr>
          <w:p>
            <w:pPr>
              <w:spacing w:after="0"/>
              <w:rPr>
                <w:sz w:val="19"/>
                <w:szCs w:val="19"/>
                <w:color w:val="auto"/>
              </w:rPr>
            </w:pPr>
          </w:p>
        </w:tc>
        <w:tc>
          <w:tcPr>
            <w:tcW w:w="140" w:type="dxa"/>
            <w:vAlign w:val="bottom"/>
            <w:tcBorders>
              <w:top w:val="single" w:sz="8" w:color="E9E9E9"/>
              <w:bottom w:val="single" w:sz="8" w:color="E9E9E9"/>
            </w:tcBorders>
            <w:shd w:val="clear" w:color="auto" w:fill="E9E9E9"/>
          </w:tcPr>
          <w:p>
            <w:pPr>
              <w:spacing w:after="0"/>
              <w:rPr>
                <w:sz w:val="19"/>
                <w:szCs w:val="19"/>
                <w:color w:val="auto"/>
              </w:rPr>
            </w:pPr>
          </w:p>
        </w:tc>
        <w:tc>
          <w:tcPr>
            <w:tcW w:w="100" w:type="dxa"/>
            <w:vAlign w:val="bottom"/>
            <w:tcBorders>
              <w:top w:val="single" w:sz="8" w:color="E9E9E9"/>
              <w:bottom w:val="single" w:sz="8" w:color="E9E9E9"/>
            </w:tcBorders>
            <w:shd w:val="clear" w:color="auto" w:fill="E9E9E9"/>
          </w:tcPr>
          <w:p>
            <w:pPr>
              <w:spacing w:after="0"/>
              <w:rPr>
                <w:sz w:val="19"/>
                <w:szCs w:val="19"/>
                <w:color w:val="auto"/>
              </w:rPr>
            </w:pPr>
          </w:p>
        </w:tc>
        <w:tc>
          <w:tcPr>
            <w:tcW w:w="620" w:type="dxa"/>
            <w:vAlign w:val="bottom"/>
            <w:tcBorders>
              <w:top w:val="single" w:sz="8" w:color="E9E9E9"/>
              <w:bottom w:val="single" w:sz="8" w:color="E9E9E9"/>
            </w:tcBorders>
            <w:shd w:val="clear" w:color="auto" w:fill="E9E9E9"/>
          </w:tcPr>
          <w:p>
            <w:pPr>
              <w:spacing w:after="0"/>
              <w:rPr>
                <w:sz w:val="19"/>
                <w:szCs w:val="19"/>
                <w:color w:val="auto"/>
              </w:rPr>
            </w:pPr>
          </w:p>
        </w:tc>
        <w:tc>
          <w:tcPr>
            <w:tcW w:w="760" w:type="dxa"/>
            <w:vAlign w:val="bottom"/>
            <w:tcBorders>
              <w:top w:val="single" w:sz="8" w:color="E9E9E9"/>
              <w:bottom w:val="single" w:sz="8" w:color="E9E9E9"/>
            </w:tcBorders>
            <w:gridSpan w:val="2"/>
            <w:shd w:val="clear" w:color="auto" w:fill="E9E9E9"/>
          </w:tcPr>
          <w:p>
            <w:pPr>
              <w:spacing w:after="0"/>
              <w:rPr>
                <w:sz w:val="19"/>
                <w:szCs w:val="19"/>
                <w:color w:val="auto"/>
              </w:rPr>
            </w:pPr>
          </w:p>
        </w:tc>
        <w:tc>
          <w:tcPr>
            <w:tcW w:w="120" w:type="dxa"/>
            <w:vAlign w:val="bottom"/>
            <w:tcBorders>
              <w:top w:val="single" w:sz="8" w:color="auto"/>
              <w:bottom w:val="single" w:sz="8" w:color="auto"/>
            </w:tcBorders>
            <w:gridSpan w:val="2"/>
            <w:shd w:val="clear" w:color="auto" w:fill="E9E9E9"/>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auto"/>
            </w:tcBorders>
            <w:gridSpan w:val="2"/>
            <w:shd w:val="clear" w:color="auto" w:fill="E9E9E9"/>
          </w:tcPr>
          <w:p>
            <w:pPr>
              <w:jc w:val="right"/>
              <w:spacing w:after="0"/>
              <w:rPr>
                <w:sz w:val="20"/>
                <w:szCs w:val="20"/>
                <w:color w:val="auto"/>
              </w:rPr>
            </w:pPr>
            <w:r>
              <w:rPr>
                <w:rFonts w:ascii="Arial" w:cs="Arial" w:eastAsia="Arial" w:hAnsi="Arial"/>
                <w:sz w:val="16"/>
                <w:szCs w:val="16"/>
                <w:b w:val="1"/>
                <w:bCs w:val="1"/>
                <w:color w:val="auto"/>
              </w:rPr>
              <w:t>4,043</w:t>
            </w:r>
          </w:p>
        </w:tc>
        <w:tc>
          <w:tcPr>
            <w:tcW w:w="200" w:type="dxa"/>
            <w:vAlign w:val="bottom"/>
            <w:tcBorders>
              <w:top w:val="single" w:sz="8" w:color="E9E9E9"/>
              <w:bottom w:val="single" w:sz="8" w:color="E9E9E9"/>
            </w:tcBorders>
            <w:shd w:val="clear" w:color="auto" w:fill="E9E9E9"/>
          </w:tcPr>
          <w:p>
            <w:pPr>
              <w:spacing w:after="0"/>
              <w:rPr>
                <w:sz w:val="19"/>
                <w:szCs w:val="19"/>
                <w:color w:val="auto"/>
              </w:rPr>
            </w:pPr>
          </w:p>
        </w:tc>
        <w:tc>
          <w:tcPr>
            <w:tcW w:w="60" w:type="dxa"/>
            <w:vAlign w:val="bottom"/>
            <w:tcBorders>
              <w:top w:val="single" w:sz="8" w:color="E9E9E9"/>
              <w:bottom w:val="single" w:sz="8" w:color="E9E9E9"/>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2,619</w:t>
            </w:r>
          </w:p>
        </w:tc>
        <w:tc>
          <w:tcPr>
            <w:tcW w:w="220" w:type="dxa"/>
            <w:vAlign w:val="bottom"/>
            <w:tcBorders>
              <w:top w:val="single" w:sz="8" w:color="E9E9E9"/>
              <w:bottom w:val="single" w:sz="8" w:color="E9E9E9"/>
            </w:tcBorders>
            <w:shd w:val="clear" w:color="auto" w:fill="E9E9E9"/>
          </w:tcPr>
          <w:p>
            <w:pPr>
              <w:spacing w:after="0"/>
              <w:rPr>
                <w:sz w:val="19"/>
                <w:szCs w:val="19"/>
                <w:color w:val="auto"/>
              </w:rPr>
            </w:pPr>
          </w:p>
        </w:tc>
        <w:tc>
          <w:tcPr>
            <w:tcW w:w="40" w:type="dxa"/>
            <w:vAlign w:val="bottom"/>
            <w:tcBorders>
              <w:top w:val="single" w:sz="8" w:color="E9E9E9"/>
              <w:bottom w:val="single" w:sz="8" w:color="E9E9E9"/>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6"/>
                <w:szCs w:val="16"/>
                <w:color w:val="auto"/>
              </w:rPr>
              <w:t>2,617</w:t>
            </w:r>
          </w:p>
        </w:tc>
        <w:tc>
          <w:tcPr>
            <w:tcW w:w="180" w:type="dxa"/>
            <w:vAlign w:val="bottom"/>
            <w:tcBorders>
              <w:top w:val="single" w:sz="8" w:color="E9E9E9"/>
              <w:bottom w:val="single" w:sz="8" w:color="E9E9E9"/>
            </w:tcBorders>
            <w:shd w:val="clear" w:color="auto" w:fill="E9E9E9"/>
          </w:tcPr>
          <w:p>
            <w:pPr>
              <w:spacing w:after="0"/>
              <w:rPr>
                <w:sz w:val="19"/>
                <w:szCs w:val="19"/>
                <w:color w:val="auto"/>
              </w:rPr>
            </w:pPr>
          </w:p>
        </w:tc>
        <w:tc>
          <w:tcPr>
            <w:tcW w:w="60" w:type="dxa"/>
            <w:vAlign w:val="bottom"/>
            <w:tcBorders>
              <w:top w:val="single" w:sz="8" w:color="E9E9E9"/>
              <w:bottom w:val="single" w:sz="8" w:color="E9E9E9"/>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6"/>
                <w:szCs w:val="16"/>
                <w:b w:val="1"/>
                <w:bCs w:val="1"/>
                <w:color w:val="auto"/>
              </w:rPr>
              <w:t>9,279</w:t>
            </w:r>
          </w:p>
        </w:tc>
        <w:tc>
          <w:tcPr>
            <w:tcW w:w="100" w:type="dxa"/>
            <w:vAlign w:val="bottom"/>
            <w:tcBorders>
              <w:top w:val="single" w:sz="8" w:color="E9E9E9"/>
              <w:bottom w:val="single" w:sz="8" w:color="E9E9E9"/>
            </w:tcBorders>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140" w:type="dxa"/>
            <w:vAlign w:val="bottom"/>
            <w:shd w:val="clear" w:color="auto" w:fill="E9E9E9"/>
          </w:tcPr>
          <w:p>
            <w:pPr>
              <w:spacing w:after="0"/>
              <w:rPr>
                <w:sz w:val="20"/>
                <w:szCs w:val="20"/>
                <w:color w:val="auto"/>
              </w:rPr>
            </w:pPr>
            <w:r>
              <w:rPr>
                <w:rFonts w:ascii="Arial" w:cs="Arial" w:eastAsia="Arial" w:hAnsi="Arial"/>
                <w:sz w:val="16"/>
                <w:szCs w:val="16"/>
                <w:color w:val="auto"/>
              </w:rPr>
              <w:t>Percentage of Cash flow from operations (GAAP)</w:t>
            </w:r>
          </w:p>
        </w:tc>
        <w:tc>
          <w:tcPr>
            <w:tcW w:w="6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60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760" w:type="dxa"/>
            <w:vAlign w:val="bottom"/>
            <w:gridSpan w:val="3"/>
            <w:shd w:val="clear" w:color="auto" w:fill="E9E9E9"/>
          </w:tcPr>
          <w:p>
            <w:pPr>
              <w:jc w:val="right"/>
              <w:ind w:right="200"/>
              <w:spacing w:after="0"/>
              <w:rPr>
                <w:sz w:val="20"/>
                <w:szCs w:val="20"/>
                <w:color w:val="auto"/>
              </w:rPr>
            </w:pPr>
            <w:r>
              <w:rPr>
                <w:rFonts w:ascii="Arial" w:cs="Arial" w:eastAsia="Arial" w:hAnsi="Arial"/>
                <w:sz w:val="16"/>
                <w:szCs w:val="16"/>
                <w:b w:val="1"/>
                <w:bCs w:val="1"/>
                <w:color w:val="auto"/>
                <w:w w:val="99"/>
              </w:rPr>
              <w:t>119.5%</w:t>
            </w:r>
          </w:p>
        </w:tc>
        <w:tc>
          <w:tcPr>
            <w:tcW w:w="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680" w:type="dxa"/>
            <w:vAlign w:val="bottom"/>
            <w:gridSpan w:val="2"/>
            <w:shd w:val="clear" w:color="auto" w:fill="E9E9E9"/>
          </w:tcPr>
          <w:p>
            <w:pPr>
              <w:jc w:val="right"/>
              <w:ind w:right="137"/>
              <w:spacing w:after="0"/>
              <w:rPr>
                <w:sz w:val="20"/>
                <w:szCs w:val="20"/>
                <w:color w:val="auto"/>
              </w:rPr>
            </w:pPr>
            <w:r>
              <w:rPr>
                <w:rFonts w:ascii="Arial" w:cs="Arial" w:eastAsia="Arial" w:hAnsi="Arial"/>
                <w:sz w:val="16"/>
                <w:szCs w:val="16"/>
                <w:color w:val="auto"/>
              </w:rPr>
              <w:t>76.7%</w:t>
            </w:r>
          </w:p>
        </w:tc>
        <w:tc>
          <w:tcPr>
            <w:tcW w:w="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80.4%</w:t>
            </w:r>
          </w:p>
        </w:tc>
        <w:tc>
          <w:tcPr>
            <w:tcW w:w="1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560" w:type="dxa"/>
            <w:vAlign w:val="bottom"/>
            <w:shd w:val="clear" w:color="auto" w:fill="E9E9E9"/>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shd w:val="clear" w:color="auto" w:fill="E9E9E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Percentage of free cash flow (non-GAAP)</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9"/>
              </w:rPr>
              <w:t>136.0%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37"/>
              <w:spacing w:after="0"/>
              <w:rPr>
                <w:sz w:val="20"/>
                <w:szCs w:val="20"/>
                <w:color w:val="auto"/>
              </w:rPr>
            </w:pPr>
            <w:r>
              <w:rPr>
                <w:rFonts w:ascii="Arial" w:cs="Arial" w:eastAsia="Arial" w:hAnsi="Arial"/>
                <w:sz w:val="16"/>
                <w:szCs w:val="16"/>
                <w:color w:val="auto"/>
              </w:rPr>
              <w:t>89.7%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9"/>
              </w:rPr>
              <w:t>111.4%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160" w:type="dxa"/>
            <w:vAlign w:val="bottom"/>
            <w:gridSpan w:val="2"/>
          </w:tcPr>
          <w:p>
            <w:pPr>
              <w:spacing w:after="0"/>
              <w:rPr>
                <w:sz w:val="20"/>
                <w:szCs w:val="20"/>
                <w:color w:val="auto"/>
              </w:rPr>
            </w:pPr>
            <w:r>
              <w:rPr>
                <w:rFonts w:ascii="Arial" w:cs="Arial" w:eastAsia="Arial" w:hAnsi="Arial"/>
                <w:sz w:val="13"/>
                <w:szCs w:val="13"/>
                <w:b w:val="1"/>
                <w:bCs w:val="1"/>
                <w:color w:val="808285"/>
              </w:rPr>
              <w:t>TEXAS INSTRUMENTS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10"/>
          </w:tcPr>
          <w:p>
            <w:pPr>
              <w:ind w:left="40"/>
              <w:spacing w:after="0"/>
              <w:rPr>
                <w:sz w:val="20"/>
                <w:szCs w:val="20"/>
                <w:color w:val="auto"/>
              </w:rPr>
            </w:pPr>
            <w:r>
              <w:rPr>
                <w:rFonts w:ascii="Arial" w:cs="Arial" w:eastAsia="Arial" w:hAnsi="Arial"/>
                <w:sz w:val="13"/>
                <w:szCs w:val="13"/>
                <w:b w:val="1"/>
                <w:bCs w:val="1"/>
                <w:color w:val="808285"/>
                <w:w w:val="99"/>
              </w:rPr>
              <w:t xml:space="preserve">2014 PROXY STATEMENT </w:t>
            </w:r>
            <w:r>
              <w:rPr>
                <w:rFonts w:ascii="Times New Roman" w:cs="Times New Roman" w:eastAsia="Times New Roman" w:hAnsi="Times New Roman"/>
                <w:sz w:val="13"/>
                <w:szCs w:val="13"/>
                <w:b w:val="1"/>
                <w:bCs w:val="1"/>
                <w:color w:val="808285"/>
                <w:w w:val="99"/>
              </w:rPr>
              <w:t>•</w:t>
            </w:r>
            <w:r>
              <w:rPr>
                <w:rFonts w:ascii="Arial" w:cs="Arial" w:eastAsia="Arial" w:hAnsi="Arial"/>
                <w:sz w:val="13"/>
                <w:szCs w:val="13"/>
                <w:b w:val="1"/>
                <w:bCs w:val="1"/>
                <w:color w:val="808285"/>
                <w:w w:val="99"/>
              </w:rPr>
              <w:t xml:space="preserve"> C-1</w:t>
            </w:r>
          </w:p>
        </w:tc>
        <w:tc>
          <w:tcPr>
            <w:tcW w:w="0" w:type="dxa"/>
            <w:vAlign w:val="bottom"/>
          </w:tcPr>
          <w:p>
            <w:pPr>
              <w:spacing w:after="0"/>
              <w:rPr>
                <w:sz w:val="1"/>
                <w:szCs w:val="1"/>
                <w:color w:val="auto"/>
              </w:rPr>
            </w:pPr>
          </w:p>
        </w:tc>
      </w:tr>
      <w:tr>
        <w:trPr>
          <w:trHeight w:val="363"/>
        </w:trPr>
        <w:tc>
          <w:tcPr>
            <w:tcW w:w="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6" w:right="199" w:bottom="1440" w:gutter="0" w:footer="0" w:header="0"/>
        </w:sectPr>
      </w:pPr>
    </w:p>
    <w:bookmarkStart w:id="66" w:name="page67"/>
    <w:bookmarkEnd w:id="66"/>
    <w:p>
      <w:pPr>
        <w:ind w:left="50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501650</wp:posOffset>
            </wp:positionH>
            <wp:positionV relativeFrom="page">
              <wp:posOffset>231775</wp:posOffset>
            </wp:positionV>
            <wp:extent cx="1151255" cy="412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151255" cy="412750"/>
                    </a:xfrm>
                    <a:prstGeom prst="rect">
                      <a:avLst/>
                    </a:prstGeom>
                    <a:noFill/>
                  </pic:spPr>
                </pic:pic>
              </a:graphicData>
            </a:graphic>
          </wp:anchor>
        </w:drawing>
        <w:t>TEXAS INSTRUMENTS INCORPORATED</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ATTN: JANE NAHRA</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P.O. BOX 655474</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MS 3999</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DALLAS, TX 75265-5474</w:t>
      </w:r>
    </w:p>
    <w:p>
      <w:pPr>
        <w:spacing w:after="0" w:line="184"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 xml:space="preserve">For registered shares, your proxy must be received by 11:59 P.M. (Eastern time) on </w:t>
      </w:r>
      <w:r>
        <w:rPr>
          <w:rFonts w:ascii="Arial" w:cs="Arial" w:eastAsia="Arial" w:hAnsi="Arial"/>
          <w:sz w:val="13"/>
          <w:szCs w:val="13"/>
          <w:b w:val="1"/>
          <w:bCs w:val="1"/>
          <w:i w:val="1"/>
          <w:iCs w:val="1"/>
          <w:color w:val="auto"/>
        </w:rPr>
        <w:t>April 16,</w:t>
      </w:r>
    </w:p>
    <w:p>
      <w:pPr>
        <w:spacing w:after="0" w:line="4" w:lineRule="exact"/>
        <w:rPr>
          <w:sz w:val="20"/>
          <w:szCs w:val="20"/>
          <w:color w:val="auto"/>
        </w:rPr>
      </w:pPr>
    </w:p>
    <w:p>
      <w:pPr>
        <w:ind w:left="5320"/>
        <w:spacing w:after="0"/>
        <w:rPr>
          <w:sz w:val="20"/>
          <w:szCs w:val="20"/>
          <w:color w:val="auto"/>
        </w:rPr>
      </w:pPr>
      <w:r>
        <w:rPr>
          <w:rFonts w:ascii="Arial" w:cs="Arial" w:eastAsia="Arial" w:hAnsi="Arial"/>
          <w:sz w:val="13"/>
          <w:szCs w:val="13"/>
          <w:b w:val="1"/>
          <w:bCs w:val="1"/>
          <w:i w:val="1"/>
          <w:iCs w:val="1"/>
          <w:color w:val="auto"/>
        </w:rPr>
        <w:t>2014.</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For shares allocable to a benefit plan account, your proxy must be received by 11:59 P.M.</w:t>
      </w:r>
    </w:p>
    <w:p>
      <w:pPr>
        <w:spacing w:after="0" w:line="4"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 xml:space="preserve">(Eastern time) on </w:t>
      </w:r>
      <w:r>
        <w:rPr>
          <w:rFonts w:ascii="Arial" w:cs="Arial" w:eastAsia="Arial" w:hAnsi="Arial"/>
          <w:sz w:val="13"/>
          <w:szCs w:val="13"/>
          <w:b w:val="1"/>
          <w:bCs w:val="1"/>
          <w:i w:val="1"/>
          <w:iCs w:val="1"/>
          <w:color w:val="auto"/>
        </w:rPr>
        <w:t>April 14, 2014</w:t>
      </w:r>
      <w:r>
        <w:rPr>
          <w:rFonts w:ascii="Arial" w:cs="Arial" w:eastAsia="Arial" w:hAnsi="Arial"/>
          <w:sz w:val="13"/>
          <w:szCs w:val="13"/>
          <w:b w:val="1"/>
          <w:bCs w:val="1"/>
          <w:color w:val="auto"/>
        </w:rPr>
        <w:t>.</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ind w:left="5320"/>
        <w:spacing w:after="0" w:line="227"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w:t>
      </w:r>
    </w:p>
    <w:p>
      <w:pPr>
        <w:ind w:left="5320"/>
        <w:spacing w:after="0" w:line="221" w:lineRule="auto"/>
        <w:rPr>
          <w:sz w:val="20"/>
          <w:szCs w:val="20"/>
          <w:color w:val="auto"/>
        </w:rPr>
      </w:pPr>
      <w:r>
        <w:rPr>
          <w:rFonts w:ascii="Arial" w:cs="Arial" w:eastAsia="Arial" w:hAnsi="Arial"/>
          <w:sz w:val="13"/>
          <w:szCs w:val="13"/>
          <w:color w:val="auto"/>
        </w:rPr>
        <w:t>the applicable cut-off date and time above. Have your proxy card in hand when you access the web</w:t>
      </w:r>
    </w:p>
    <w:p>
      <w:pPr>
        <w:ind w:left="5320"/>
        <w:spacing w:after="0" w:line="220" w:lineRule="auto"/>
        <w:rPr>
          <w:sz w:val="20"/>
          <w:szCs w:val="20"/>
          <w:color w:val="auto"/>
        </w:rPr>
      </w:pPr>
      <w:r>
        <w:rPr>
          <w:rFonts w:ascii="Arial" w:cs="Arial" w:eastAsia="Arial" w:hAnsi="Arial"/>
          <w:sz w:val="13"/>
          <w:szCs w:val="13"/>
          <w:color w:val="auto"/>
        </w:rPr>
        <w:t>site and follow the instructions to obtain your records and to create an electronic voting instruction</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form.</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ELECTRONIC DELIVERY OF FUTURE PROXY MATERIALS</w:t>
      </w:r>
    </w:p>
    <w:p>
      <w:pPr>
        <w:ind w:left="5320"/>
        <w:spacing w:after="0" w:line="227" w:lineRule="auto"/>
        <w:rPr>
          <w:sz w:val="20"/>
          <w:szCs w:val="20"/>
          <w:color w:val="auto"/>
        </w:rPr>
      </w:pPr>
      <w:r>
        <w:rPr>
          <w:rFonts w:ascii="Arial" w:cs="Arial" w:eastAsia="Arial" w:hAnsi="Arial"/>
          <w:sz w:val="13"/>
          <w:szCs w:val="13"/>
          <w:color w:val="auto"/>
        </w:rPr>
        <w:t>If you would like to reduce the costs incurred by our company in mailing proxy materials, you can</w:t>
      </w:r>
    </w:p>
    <w:p>
      <w:pPr>
        <w:ind w:left="5320"/>
        <w:spacing w:after="0" w:line="221" w:lineRule="auto"/>
        <w:rPr>
          <w:sz w:val="20"/>
          <w:szCs w:val="20"/>
          <w:color w:val="auto"/>
        </w:rPr>
      </w:pPr>
      <w:r>
        <w:rPr>
          <w:rFonts w:ascii="Arial" w:cs="Arial" w:eastAsia="Arial" w:hAnsi="Arial"/>
          <w:sz w:val="13"/>
          <w:szCs w:val="13"/>
          <w:color w:val="auto"/>
        </w:rPr>
        <w:t>consent to receiving all future proxy statements, proxy cards and annual reports electronically via e-</w:t>
      </w:r>
    </w:p>
    <w:p>
      <w:pPr>
        <w:ind w:left="5320"/>
        <w:spacing w:after="0" w:line="220" w:lineRule="auto"/>
        <w:rPr>
          <w:sz w:val="20"/>
          <w:szCs w:val="20"/>
          <w:color w:val="auto"/>
        </w:rPr>
      </w:pPr>
      <w:r>
        <w:rPr>
          <w:rFonts w:ascii="Arial" w:cs="Arial" w:eastAsia="Arial" w:hAnsi="Arial"/>
          <w:sz w:val="13"/>
          <w:szCs w:val="13"/>
          <w:color w:val="auto"/>
        </w:rPr>
        <w:t>mail or the Internet. To sign up for electronic delivery, please follow the instructions above to vote</w:t>
      </w:r>
    </w:p>
    <w:p>
      <w:pPr>
        <w:ind w:left="5320"/>
        <w:spacing w:after="0" w:line="221" w:lineRule="auto"/>
        <w:rPr>
          <w:sz w:val="20"/>
          <w:szCs w:val="20"/>
          <w:color w:val="auto"/>
        </w:rPr>
      </w:pPr>
      <w:r>
        <w:rPr>
          <w:rFonts w:ascii="Arial" w:cs="Arial" w:eastAsia="Arial" w:hAnsi="Arial"/>
          <w:sz w:val="13"/>
          <w:szCs w:val="13"/>
          <w:color w:val="auto"/>
        </w:rPr>
        <w:t>using the Internet and, when prompted, indicate that you agree to receive or access proxy materials</w:t>
      </w:r>
    </w:p>
    <w:p>
      <w:pPr>
        <w:ind w:left="5320"/>
        <w:spacing w:after="0"/>
        <w:rPr>
          <w:sz w:val="20"/>
          <w:szCs w:val="20"/>
          <w:color w:val="auto"/>
        </w:rPr>
      </w:pPr>
      <w:r>
        <w:rPr>
          <w:rFonts w:ascii="Arial" w:cs="Arial" w:eastAsia="Arial" w:hAnsi="Arial"/>
          <w:sz w:val="13"/>
          <w:szCs w:val="13"/>
          <w:color w:val="auto"/>
        </w:rPr>
        <w:t>electronically in future years.</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VOTE BY PHONE - 1-800-690-6903</w:t>
      </w:r>
    </w:p>
    <w:p>
      <w:pPr>
        <w:ind w:left="5320"/>
        <w:spacing w:after="0" w:line="227" w:lineRule="auto"/>
        <w:rPr>
          <w:sz w:val="20"/>
          <w:szCs w:val="20"/>
          <w:color w:val="auto"/>
        </w:rPr>
      </w:pPr>
      <w:r>
        <w:rPr>
          <w:rFonts w:ascii="Arial" w:cs="Arial" w:eastAsia="Arial" w:hAnsi="Arial"/>
          <w:sz w:val="13"/>
          <w:szCs w:val="13"/>
          <w:color w:val="auto"/>
        </w:rPr>
        <w:t>Use any touch-tone telephone to transmit your voting instructions until the applicable cut-off date and</w:t>
      </w:r>
    </w:p>
    <w:p>
      <w:pPr>
        <w:ind w:left="5320"/>
        <w:spacing w:after="0"/>
        <w:rPr>
          <w:sz w:val="20"/>
          <w:szCs w:val="20"/>
          <w:color w:val="auto"/>
        </w:rPr>
      </w:pPr>
      <w:r>
        <w:rPr>
          <w:rFonts w:ascii="Arial" w:cs="Arial" w:eastAsia="Arial" w:hAnsi="Arial"/>
          <w:sz w:val="13"/>
          <w:szCs w:val="13"/>
          <w:color w:val="auto"/>
        </w:rPr>
        <w:t>time above. Have your proxy card in hand when you call and then follow the instructions.</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VOTE BY MAIL</w:t>
      </w:r>
    </w:p>
    <w:p>
      <w:pPr>
        <w:ind w:left="5320"/>
        <w:spacing w:after="0" w:line="227" w:lineRule="auto"/>
        <w:rPr>
          <w:sz w:val="20"/>
          <w:szCs w:val="20"/>
          <w:color w:val="auto"/>
        </w:rPr>
      </w:pPr>
      <w:r>
        <w:rPr>
          <w:rFonts w:ascii="Arial" w:cs="Arial" w:eastAsia="Arial" w:hAnsi="Arial"/>
          <w:sz w:val="13"/>
          <w:szCs w:val="13"/>
          <w:color w:val="auto"/>
        </w:rPr>
        <w:t>Mark, sign and date your proxy card and return it in the postage-paid envelope we have provided or</w:t>
      </w:r>
    </w:p>
    <w:p>
      <w:pPr>
        <w:ind w:left="5320"/>
        <w:spacing w:after="0" w:line="221" w:lineRule="auto"/>
        <w:rPr>
          <w:sz w:val="20"/>
          <w:szCs w:val="20"/>
          <w:color w:val="auto"/>
        </w:rPr>
      </w:pPr>
      <w:r>
        <w:rPr>
          <w:rFonts w:ascii="Arial" w:cs="Arial" w:eastAsia="Arial" w:hAnsi="Arial"/>
          <w:sz w:val="13"/>
          <w:szCs w:val="13"/>
          <w:color w:val="auto"/>
        </w:rPr>
        <w:t>return it to Vote Processing, c/o Broadridge, 51 Mercedes Way, Edgewood, NY 11717, so that it is</w:t>
      </w:r>
    </w:p>
    <w:p>
      <w:pPr>
        <w:ind w:left="5320"/>
        <w:spacing w:after="0"/>
        <w:rPr>
          <w:sz w:val="20"/>
          <w:szCs w:val="20"/>
          <w:color w:val="auto"/>
        </w:rPr>
      </w:pPr>
      <w:r>
        <w:rPr>
          <w:rFonts w:ascii="Arial" w:cs="Arial" w:eastAsia="Arial" w:hAnsi="Arial"/>
          <w:sz w:val="13"/>
          <w:szCs w:val="13"/>
          <w:color w:val="auto"/>
        </w:rPr>
        <w:t>received by the applicable date and time above.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480" w:type="dxa"/>
            <w:vAlign w:val="bottom"/>
          </w:tcPr>
          <w:p>
            <w:pPr>
              <w:ind w:left="7260"/>
              <w:spacing w:after="0"/>
              <w:rPr>
                <w:sz w:val="20"/>
                <w:szCs w:val="20"/>
                <w:color w:val="auto"/>
              </w:rPr>
            </w:pPr>
            <w:r>
              <w:rPr>
                <w:rFonts w:ascii="Arial" w:cs="Arial" w:eastAsia="Arial" w:hAnsi="Arial"/>
                <w:sz w:val="13"/>
                <w:szCs w:val="13"/>
                <w:color w:val="auto"/>
              </w:rPr>
              <w:t>M66495-P46257</w:t>
            </w:r>
          </w:p>
        </w:tc>
        <w:tc>
          <w:tcPr>
            <w:tcW w:w="3040" w:type="dxa"/>
            <w:vAlign w:val="bottom"/>
            <w:gridSpan w:val="2"/>
          </w:tcPr>
          <w:p>
            <w:pPr>
              <w:jc w:val="right"/>
              <w:ind w:right="10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13"/>
        </w:trPr>
        <w:tc>
          <w:tcPr>
            <w:tcW w:w="8480" w:type="dxa"/>
            <w:vAlign w:val="bottom"/>
          </w:tcPr>
          <w:p>
            <w:pPr>
              <w:ind w:left="28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040" w:type="dxa"/>
            <w:vAlign w:val="bottom"/>
            <w:gridSpan w:val="2"/>
          </w:tcPr>
          <w:p>
            <w:pPr>
              <w:jc w:val="right"/>
              <w:ind w:right="10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25"/>
        </w:trPr>
        <w:tc>
          <w:tcPr>
            <w:tcW w:w="84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4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TEXAS INSTRUMENTS INCORPORATED</w:t>
            </w:r>
          </w:p>
        </w:tc>
        <w:tc>
          <w:tcPr>
            <w:tcW w:w="25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48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7309485" cy="41783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9485" cy="4178300"/>
                    </a:xfrm>
                    <a:prstGeom prst="rect">
                      <a:avLst/>
                    </a:prstGeom>
                    <a:noFill/>
                  </pic:spPr>
                </pic:pic>
              </a:graphicData>
            </a:graphic>
          </wp:anchor>
        </w:drawing>
      </w:r>
    </w:p>
    <w:p>
      <w:pPr>
        <w:sectPr>
          <w:pgSz w:w="11900" w:h="16838" w:orient="portrait"/>
          <w:cols w:equalWidth="0" w:num="1">
            <w:col w:w="11520"/>
          </w:cols>
          <w:pgMar w:left="240" w:top="1048" w:right="139" w:bottom="1440" w:gutter="0" w:footer="0" w:header="0"/>
        </w:sectPr>
      </w:pPr>
    </w:p>
    <w:p>
      <w:pPr>
        <w:ind w:left="180" w:right="2040"/>
        <w:spacing w:after="0" w:line="238" w:lineRule="auto"/>
        <w:rPr>
          <w:sz w:val="20"/>
          <w:szCs w:val="20"/>
          <w:color w:val="auto"/>
        </w:rPr>
      </w:pPr>
      <w:r>
        <w:rPr>
          <w:rFonts w:ascii="Arial" w:cs="Arial" w:eastAsia="Arial" w:hAnsi="Arial"/>
          <w:sz w:val="13"/>
          <w:szCs w:val="13"/>
          <w:color w:val="auto"/>
        </w:rPr>
        <w:t xml:space="preserve">The board of directors recommends you vote </w:t>
      </w:r>
      <w:r>
        <w:rPr>
          <w:rFonts w:ascii="Arial" w:cs="Arial" w:eastAsia="Arial" w:hAnsi="Arial"/>
          <w:sz w:val="13"/>
          <w:szCs w:val="13"/>
          <w:b w:val="1"/>
          <w:bCs w:val="1"/>
          <w:color w:val="auto"/>
        </w:rPr>
        <w:t>FOR</w:t>
      </w:r>
      <w:r>
        <w:rPr>
          <w:rFonts w:ascii="Arial" w:cs="Arial" w:eastAsia="Arial" w:hAnsi="Arial"/>
          <w:sz w:val="13"/>
          <w:szCs w:val="13"/>
          <w:color w:val="auto"/>
        </w:rPr>
        <w:t xml:space="preserve"> each of the nominees for director and </w:t>
      </w:r>
      <w:r>
        <w:rPr>
          <w:rFonts w:ascii="Arial" w:cs="Arial" w:eastAsia="Arial" w:hAnsi="Arial"/>
          <w:sz w:val="13"/>
          <w:szCs w:val="13"/>
          <w:b w:val="1"/>
          <w:bCs w:val="1"/>
          <w:color w:val="auto"/>
        </w:rPr>
        <w:t>FOR</w:t>
      </w:r>
      <w:r>
        <w:rPr>
          <w:rFonts w:ascii="Arial" w:cs="Arial" w:eastAsia="Arial" w:hAnsi="Arial"/>
          <w:sz w:val="13"/>
          <w:szCs w:val="13"/>
          <w:color w:val="auto"/>
        </w:rPr>
        <w:t xml:space="preserve"> Proposals 2 through 5.</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Vote on Directors</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 Election of Directors</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175"/>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640" w:type="dxa"/>
            <w:vAlign w:val="bottom"/>
          </w:tcPr>
          <w:p>
            <w:pPr>
              <w:jc w:val="center"/>
              <w:ind w:left="1160"/>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340"/>
        </w:trPr>
        <w:tc>
          <w:tcPr>
            <w:tcW w:w="240" w:type="dxa"/>
            <w:vAlign w:val="bottom"/>
          </w:tcPr>
          <w:p>
            <w:pPr>
              <w:spacing w:after="0"/>
              <w:rPr>
                <w:sz w:val="20"/>
                <w:szCs w:val="20"/>
                <w:color w:val="auto"/>
              </w:rPr>
            </w:pPr>
            <w:r>
              <w:rPr>
                <w:rFonts w:ascii="Arial" w:cs="Arial" w:eastAsia="Arial" w:hAnsi="Arial"/>
                <w:sz w:val="13"/>
                <w:szCs w:val="13"/>
                <w:color w:val="auto"/>
              </w:rPr>
              <w:t>1a.</w:t>
            </w:r>
          </w:p>
        </w:tc>
        <w:tc>
          <w:tcPr>
            <w:tcW w:w="2260" w:type="dxa"/>
            <w:vAlign w:val="bottom"/>
          </w:tcPr>
          <w:p>
            <w:pPr>
              <w:ind w:left="60"/>
              <w:spacing w:after="0"/>
              <w:rPr>
                <w:sz w:val="20"/>
                <w:szCs w:val="20"/>
                <w:color w:val="auto"/>
              </w:rPr>
            </w:pPr>
            <w:r>
              <w:rPr>
                <w:rFonts w:ascii="Arial" w:cs="Arial" w:eastAsia="Arial" w:hAnsi="Arial"/>
                <w:sz w:val="13"/>
                <w:szCs w:val="13"/>
                <w:color w:val="auto"/>
              </w:rPr>
              <w:t>R. W. Babb, Jr.</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1b.</w:t>
            </w:r>
          </w:p>
        </w:tc>
        <w:tc>
          <w:tcPr>
            <w:tcW w:w="2260" w:type="dxa"/>
            <w:vAlign w:val="bottom"/>
          </w:tcPr>
          <w:p>
            <w:pPr>
              <w:ind w:left="60"/>
              <w:spacing w:after="0"/>
              <w:rPr>
                <w:sz w:val="20"/>
                <w:szCs w:val="20"/>
                <w:color w:val="auto"/>
              </w:rPr>
            </w:pPr>
            <w:r>
              <w:rPr>
                <w:rFonts w:ascii="Arial" w:cs="Arial" w:eastAsia="Arial" w:hAnsi="Arial"/>
                <w:sz w:val="13"/>
                <w:szCs w:val="13"/>
                <w:color w:val="auto"/>
              </w:rPr>
              <w:t>M. A. Blinn</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1c.</w:t>
            </w:r>
          </w:p>
        </w:tc>
        <w:tc>
          <w:tcPr>
            <w:tcW w:w="2260" w:type="dxa"/>
            <w:vAlign w:val="bottom"/>
          </w:tcPr>
          <w:p>
            <w:pPr>
              <w:ind w:left="60"/>
              <w:spacing w:after="0"/>
              <w:rPr>
                <w:sz w:val="20"/>
                <w:szCs w:val="20"/>
                <w:color w:val="auto"/>
              </w:rPr>
            </w:pPr>
            <w:r>
              <w:rPr>
                <w:rFonts w:ascii="Arial" w:cs="Arial" w:eastAsia="Arial" w:hAnsi="Arial"/>
                <w:sz w:val="13"/>
                <w:szCs w:val="13"/>
                <w:color w:val="auto"/>
              </w:rPr>
              <w:t>D. A. Carp</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1d.</w:t>
            </w:r>
          </w:p>
        </w:tc>
        <w:tc>
          <w:tcPr>
            <w:tcW w:w="2260" w:type="dxa"/>
            <w:vAlign w:val="bottom"/>
          </w:tcPr>
          <w:p>
            <w:pPr>
              <w:ind w:left="60"/>
              <w:spacing w:after="0"/>
              <w:rPr>
                <w:sz w:val="20"/>
                <w:szCs w:val="20"/>
                <w:color w:val="auto"/>
              </w:rPr>
            </w:pPr>
            <w:r>
              <w:rPr>
                <w:rFonts w:ascii="Arial" w:cs="Arial" w:eastAsia="Arial" w:hAnsi="Arial"/>
                <w:sz w:val="13"/>
                <w:szCs w:val="13"/>
                <w:color w:val="auto"/>
              </w:rPr>
              <w:t>C. S. Cox</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1e.</w:t>
            </w:r>
          </w:p>
        </w:tc>
        <w:tc>
          <w:tcPr>
            <w:tcW w:w="2260" w:type="dxa"/>
            <w:vAlign w:val="bottom"/>
          </w:tcPr>
          <w:p>
            <w:pPr>
              <w:ind w:left="60"/>
              <w:spacing w:after="0"/>
              <w:rPr>
                <w:sz w:val="20"/>
                <w:szCs w:val="20"/>
                <w:color w:val="auto"/>
              </w:rPr>
            </w:pPr>
            <w:r>
              <w:rPr>
                <w:rFonts w:ascii="Arial" w:cs="Arial" w:eastAsia="Arial" w:hAnsi="Arial"/>
                <w:sz w:val="13"/>
                <w:szCs w:val="13"/>
                <w:color w:val="auto"/>
              </w:rPr>
              <w:t>R. Kirk</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1f.</w:t>
            </w:r>
          </w:p>
        </w:tc>
        <w:tc>
          <w:tcPr>
            <w:tcW w:w="2260" w:type="dxa"/>
            <w:vAlign w:val="bottom"/>
          </w:tcPr>
          <w:p>
            <w:pPr>
              <w:ind w:left="60"/>
              <w:spacing w:after="0"/>
              <w:rPr>
                <w:sz w:val="20"/>
                <w:szCs w:val="20"/>
                <w:color w:val="auto"/>
              </w:rPr>
            </w:pPr>
            <w:r>
              <w:rPr>
                <w:rFonts w:ascii="Arial" w:cs="Arial" w:eastAsia="Arial" w:hAnsi="Arial"/>
                <w:sz w:val="13"/>
                <w:szCs w:val="13"/>
                <w:color w:val="auto"/>
              </w:rPr>
              <w:t>P. H. Patsley</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1g.</w:t>
            </w:r>
          </w:p>
        </w:tc>
        <w:tc>
          <w:tcPr>
            <w:tcW w:w="2260" w:type="dxa"/>
            <w:vAlign w:val="bottom"/>
          </w:tcPr>
          <w:p>
            <w:pPr>
              <w:ind w:left="60"/>
              <w:spacing w:after="0"/>
              <w:rPr>
                <w:sz w:val="20"/>
                <w:szCs w:val="20"/>
                <w:color w:val="auto"/>
              </w:rPr>
            </w:pPr>
            <w:r>
              <w:rPr>
                <w:rFonts w:ascii="Arial" w:cs="Arial" w:eastAsia="Arial" w:hAnsi="Arial"/>
                <w:sz w:val="13"/>
                <w:szCs w:val="13"/>
                <w:color w:val="auto"/>
              </w:rPr>
              <w:t>R. E. Sanchez</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1h.</w:t>
            </w:r>
          </w:p>
        </w:tc>
        <w:tc>
          <w:tcPr>
            <w:tcW w:w="2260" w:type="dxa"/>
            <w:vAlign w:val="bottom"/>
          </w:tcPr>
          <w:p>
            <w:pPr>
              <w:ind w:left="60"/>
              <w:spacing w:after="0"/>
              <w:rPr>
                <w:sz w:val="20"/>
                <w:szCs w:val="20"/>
                <w:color w:val="auto"/>
              </w:rPr>
            </w:pPr>
            <w:r>
              <w:rPr>
                <w:rFonts w:ascii="Arial" w:cs="Arial" w:eastAsia="Arial" w:hAnsi="Arial"/>
                <w:sz w:val="13"/>
                <w:szCs w:val="13"/>
                <w:color w:val="auto"/>
              </w:rPr>
              <w:t>W. R. Sanders</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1i.</w:t>
            </w:r>
          </w:p>
        </w:tc>
        <w:tc>
          <w:tcPr>
            <w:tcW w:w="2260" w:type="dxa"/>
            <w:vAlign w:val="bottom"/>
          </w:tcPr>
          <w:p>
            <w:pPr>
              <w:ind w:left="60"/>
              <w:spacing w:after="0"/>
              <w:rPr>
                <w:sz w:val="20"/>
                <w:szCs w:val="20"/>
                <w:color w:val="auto"/>
              </w:rPr>
            </w:pPr>
            <w:r>
              <w:rPr>
                <w:rFonts w:ascii="Arial" w:cs="Arial" w:eastAsia="Arial" w:hAnsi="Arial"/>
                <w:sz w:val="13"/>
                <w:szCs w:val="13"/>
                <w:color w:val="auto"/>
              </w:rPr>
              <w:t>R. J. Simmons</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1j.</w:t>
            </w:r>
          </w:p>
        </w:tc>
        <w:tc>
          <w:tcPr>
            <w:tcW w:w="2260" w:type="dxa"/>
            <w:vAlign w:val="bottom"/>
          </w:tcPr>
          <w:p>
            <w:pPr>
              <w:ind w:left="60"/>
              <w:spacing w:after="0"/>
              <w:rPr>
                <w:sz w:val="20"/>
                <w:szCs w:val="20"/>
                <w:color w:val="auto"/>
              </w:rPr>
            </w:pPr>
            <w:r>
              <w:rPr>
                <w:rFonts w:ascii="Arial" w:cs="Arial" w:eastAsia="Arial" w:hAnsi="Arial"/>
                <w:sz w:val="13"/>
                <w:szCs w:val="13"/>
                <w:color w:val="auto"/>
              </w:rPr>
              <w:t>R. K. Templeton</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350"/>
        </w:trPr>
        <w:tc>
          <w:tcPr>
            <w:tcW w:w="240" w:type="dxa"/>
            <w:vAlign w:val="bottom"/>
          </w:tcPr>
          <w:p>
            <w:pPr>
              <w:spacing w:after="0"/>
              <w:rPr>
                <w:sz w:val="20"/>
                <w:szCs w:val="20"/>
                <w:color w:val="auto"/>
              </w:rPr>
            </w:pPr>
            <w:r>
              <w:rPr>
                <w:rFonts w:ascii="Arial" w:cs="Arial" w:eastAsia="Arial" w:hAnsi="Arial"/>
                <w:sz w:val="13"/>
                <w:szCs w:val="13"/>
                <w:color w:val="auto"/>
              </w:rPr>
              <w:t>1k.</w:t>
            </w:r>
          </w:p>
        </w:tc>
        <w:tc>
          <w:tcPr>
            <w:tcW w:w="2260" w:type="dxa"/>
            <w:vAlign w:val="bottom"/>
          </w:tcPr>
          <w:p>
            <w:pPr>
              <w:ind w:left="60"/>
              <w:spacing w:after="0"/>
              <w:rPr>
                <w:sz w:val="20"/>
                <w:szCs w:val="20"/>
                <w:color w:val="auto"/>
              </w:rPr>
            </w:pPr>
            <w:r>
              <w:rPr>
                <w:rFonts w:ascii="Arial" w:cs="Arial" w:eastAsia="Arial" w:hAnsi="Arial"/>
                <w:sz w:val="13"/>
                <w:szCs w:val="13"/>
                <w:color w:val="auto"/>
              </w:rPr>
              <w:t>C. T. Whitman</w:t>
            </w:r>
          </w:p>
        </w:tc>
        <w:tc>
          <w:tcPr>
            <w:tcW w:w="1640" w:type="dxa"/>
            <w:vAlign w:val="bottom"/>
          </w:tcPr>
          <w:p>
            <w:pPr>
              <w:jc w:val="center"/>
              <w:ind w:left="1160"/>
              <w:spacing w:after="0"/>
              <w:rPr>
                <w:sz w:val="20"/>
                <w:szCs w:val="20"/>
                <w:color w:val="auto"/>
              </w:rPr>
            </w:pPr>
            <w:r>
              <w:rPr>
                <w:rFonts w:ascii="Times New Roman" w:cs="Times New Roman" w:eastAsia="Times New Roman" w:hAnsi="Times New Roman"/>
                <w:sz w:val="16"/>
                <w:szCs w:val="16"/>
                <w:color w:val="auto"/>
                <w:w w:val="99"/>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278"/>
        </w:trPr>
        <w:tc>
          <w:tcPr>
            <w:tcW w:w="16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4060" w:type="dxa"/>
            <w:vAlign w:val="bottom"/>
          </w:tcPr>
          <w:p>
            <w:pPr>
              <w:ind w:left="60"/>
              <w:spacing w:after="0"/>
              <w:rPr>
                <w:sz w:val="20"/>
                <w:szCs w:val="20"/>
                <w:color w:val="auto"/>
              </w:rPr>
            </w:pPr>
            <w:r>
              <w:rPr>
                <w:rFonts w:ascii="Arial" w:cs="Arial" w:eastAsia="Arial" w:hAnsi="Arial"/>
                <w:sz w:val="13"/>
                <w:szCs w:val="13"/>
                <w:color w:val="auto"/>
              </w:rPr>
              <w:t>Board proposal regarding advisory approval of the Company’s</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169"/>
        </w:trPr>
        <w:tc>
          <w:tcPr>
            <w:tcW w:w="160" w:type="dxa"/>
            <w:vAlign w:val="bottom"/>
          </w:tcPr>
          <w:p>
            <w:pPr>
              <w:spacing w:after="0"/>
              <w:rPr>
                <w:sz w:val="14"/>
                <w:szCs w:val="14"/>
                <w:color w:val="auto"/>
              </w:rPr>
            </w:pPr>
          </w:p>
        </w:tc>
        <w:tc>
          <w:tcPr>
            <w:tcW w:w="4060" w:type="dxa"/>
            <w:vAlign w:val="bottom"/>
          </w:tcPr>
          <w:p>
            <w:pPr>
              <w:ind w:left="60"/>
              <w:spacing w:after="0"/>
              <w:rPr>
                <w:sz w:val="20"/>
                <w:szCs w:val="20"/>
                <w:color w:val="auto"/>
              </w:rPr>
            </w:pPr>
            <w:r>
              <w:rPr>
                <w:rFonts w:ascii="Arial" w:cs="Arial" w:eastAsia="Arial" w:hAnsi="Arial"/>
                <w:sz w:val="13"/>
                <w:szCs w:val="13"/>
                <w:color w:val="auto"/>
              </w:rPr>
              <w:t>executive compensation.</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4060" w:type="dxa"/>
            <w:vAlign w:val="bottom"/>
          </w:tcPr>
          <w:p>
            <w:pPr>
              <w:ind w:left="60"/>
              <w:spacing w:after="0"/>
              <w:rPr>
                <w:sz w:val="20"/>
                <w:szCs w:val="20"/>
                <w:color w:val="auto"/>
              </w:rPr>
            </w:pPr>
            <w:r>
              <w:rPr>
                <w:rFonts w:ascii="Arial" w:cs="Arial" w:eastAsia="Arial" w:hAnsi="Arial"/>
                <w:sz w:val="13"/>
                <w:szCs w:val="13"/>
                <w:color w:val="auto"/>
                <w:w w:val="99"/>
              </w:rPr>
              <w:t>Board proposal to ratify the appointment of Ernst &amp; Young LLP as the</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169"/>
        </w:trPr>
        <w:tc>
          <w:tcPr>
            <w:tcW w:w="160" w:type="dxa"/>
            <w:vAlign w:val="bottom"/>
          </w:tcPr>
          <w:p>
            <w:pPr>
              <w:spacing w:after="0"/>
              <w:rPr>
                <w:sz w:val="14"/>
                <w:szCs w:val="14"/>
                <w:color w:val="auto"/>
              </w:rPr>
            </w:pPr>
          </w:p>
        </w:tc>
        <w:tc>
          <w:tcPr>
            <w:tcW w:w="4060" w:type="dxa"/>
            <w:vAlign w:val="bottom"/>
          </w:tcPr>
          <w:p>
            <w:pPr>
              <w:ind w:left="60"/>
              <w:spacing w:after="0"/>
              <w:rPr>
                <w:sz w:val="20"/>
                <w:szCs w:val="20"/>
                <w:color w:val="auto"/>
              </w:rPr>
            </w:pPr>
            <w:r>
              <w:rPr>
                <w:rFonts w:ascii="Arial" w:cs="Arial" w:eastAsia="Arial" w:hAnsi="Arial"/>
                <w:sz w:val="13"/>
                <w:szCs w:val="13"/>
                <w:color w:val="auto"/>
              </w:rPr>
              <w:t>Company's independent registered public accounting firm for 2014.</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4060" w:type="dxa"/>
            <w:vAlign w:val="bottom"/>
          </w:tcPr>
          <w:p>
            <w:pPr>
              <w:ind w:left="60"/>
              <w:spacing w:after="0"/>
              <w:rPr>
                <w:sz w:val="20"/>
                <w:szCs w:val="20"/>
                <w:color w:val="auto"/>
              </w:rPr>
            </w:pPr>
            <w:r>
              <w:rPr>
                <w:rFonts w:ascii="Arial" w:cs="Arial" w:eastAsia="Arial" w:hAnsi="Arial"/>
                <w:sz w:val="13"/>
                <w:szCs w:val="13"/>
                <w:color w:val="auto"/>
              </w:rPr>
              <w:t>Board proposal to approve the TI Employees 2014 Stock Purchase</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169"/>
        </w:trPr>
        <w:tc>
          <w:tcPr>
            <w:tcW w:w="160" w:type="dxa"/>
            <w:vAlign w:val="bottom"/>
          </w:tcPr>
          <w:p>
            <w:pPr>
              <w:spacing w:after="0"/>
              <w:rPr>
                <w:sz w:val="14"/>
                <w:szCs w:val="14"/>
                <w:color w:val="auto"/>
              </w:rPr>
            </w:pPr>
          </w:p>
        </w:tc>
        <w:tc>
          <w:tcPr>
            <w:tcW w:w="4060" w:type="dxa"/>
            <w:vAlign w:val="bottom"/>
          </w:tcPr>
          <w:p>
            <w:pPr>
              <w:ind w:left="60"/>
              <w:spacing w:after="0"/>
              <w:rPr>
                <w:sz w:val="20"/>
                <w:szCs w:val="20"/>
                <w:color w:val="auto"/>
              </w:rPr>
            </w:pPr>
            <w:r>
              <w:rPr>
                <w:rFonts w:ascii="Arial" w:cs="Arial" w:eastAsia="Arial" w:hAnsi="Arial"/>
                <w:sz w:val="13"/>
                <w:szCs w:val="13"/>
                <w:color w:val="auto"/>
              </w:rPr>
              <w:t>Plan.</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3"/>
                <w:szCs w:val="13"/>
                <w:color w:val="auto"/>
                <w:w w:val="73"/>
              </w:rPr>
              <w:t>5.</w:t>
            </w:r>
          </w:p>
        </w:tc>
        <w:tc>
          <w:tcPr>
            <w:tcW w:w="4060" w:type="dxa"/>
            <w:vAlign w:val="bottom"/>
          </w:tcPr>
          <w:p>
            <w:pPr>
              <w:ind w:left="60"/>
              <w:spacing w:after="0"/>
              <w:rPr>
                <w:sz w:val="20"/>
                <w:szCs w:val="20"/>
                <w:color w:val="auto"/>
              </w:rPr>
            </w:pPr>
            <w:r>
              <w:rPr>
                <w:rFonts w:ascii="Arial" w:cs="Arial" w:eastAsia="Arial" w:hAnsi="Arial"/>
                <w:sz w:val="13"/>
                <w:szCs w:val="13"/>
                <w:color w:val="auto"/>
              </w:rPr>
              <w:t>Board proposal to reapprove the material terms of the performance</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t>
            </w:r>
          </w:p>
        </w:tc>
      </w:tr>
      <w:tr>
        <w:trPr>
          <w:trHeight w:val="169"/>
        </w:trPr>
        <w:tc>
          <w:tcPr>
            <w:tcW w:w="160" w:type="dxa"/>
            <w:vAlign w:val="bottom"/>
          </w:tcPr>
          <w:p>
            <w:pPr>
              <w:spacing w:after="0"/>
              <w:rPr>
                <w:sz w:val="14"/>
                <w:szCs w:val="14"/>
                <w:color w:val="auto"/>
              </w:rPr>
            </w:pPr>
          </w:p>
        </w:tc>
        <w:tc>
          <w:tcPr>
            <w:tcW w:w="4060" w:type="dxa"/>
            <w:vAlign w:val="bottom"/>
          </w:tcPr>
          <w:p>
            <w:pPr>
              <w:ind w:left="60"/>
              <w:spacing w:after="0"/>
              <w:rPr>
                <w:sz w:val="20"/>
                <w:szCs w:val="20"/>
                <w:color w:val="auto"/>
              </w:rPr>
            </w:pPr>
            <w:r>
              <w:rPr>
                <w:rFonts w:ascii="Arial" w:cs="Arial" w:eastAsia="Arial" w:hAnsi="Arial"/>
                <w:sz w:val="13"/>
                <w:szCs w:val="13"/>
                <w:color w:val="auto"/>
              </w:rPr>
              <w:t>goals under the Texas Instruments 2009 Long-Term Incentive Plan.</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252" w:lineRule="exact"/>
        <w:rPr>
          <w:sz w:val="20"/>
          <w:szCs w:val="20"/>
          <w:color w:val="auto"/>
        </w:rPr>
      </w:pPr>
    </w:p>
    <w:p>
      <w:pPr>
        <w:ind w:right="1420"/>
        <w:spacing w:after="0" w:line="252" w:lineRule="auto"/>
        <w:rPr>
          <w:sz w:val="20"/>
          <w:szCs w:val="20"/>
          <w:color w:val="auto"/>
        </w:rPr>
      </w:pPr>
      <w:r>
        <w:rPr>
          <w:rFonts w:ascii="Arial" w:cs="Arial" w:eastAsia="Arial" w:hAnsi="Arial"/>
          <w:sz w:val="13"/>
          <w:szCs w:val="13"/>
          <w:b w:val="1"/>
          <w:bCs w:val="1"/>
          <w:color w:val="auto"/>
        </w:rPr>
        <w:t>NOTE</w:t>
      </w:r>
      <w:r>
        <w:rPr>
          <w:rFonts w:ascii="Arial" w:cs="Arial" w:eastAsia="Arial" w:hAnsi="Arial"/>
          <w:sz w:val="13"/>
          <w:szCs w:val="13"/>
          <w:color w:val="auto"/>
        </w:rPr>
        <w:t>: Such other business as may properly come before the meeting or</w:t>
      </w:r>
      <w:r>
        <w:rPr>
          <w:rFonts w:ascii="Arial" w:cs="Arial" w:eastAsia="Arial" w:hAnsi="Arial"/>
          <w:sz w:val="13"/>
          <w:szCs w:val="13"/>
          <w:b w:val="1"/>
          <w:bCs w:val="1"/>
          <w:color w:val="auto"/>
        </w:rPr>
        <w:t xml:space="preserve"> </w:t>
      </w:r>
      <w:r>
        <w:rPr>
          <w:rFonts w:ascii="Arial" w:cs="Arial" w:eastAsia="Arial" w:hAnsi="Arial"/>
          <w:sz w:val="13"/>
          <w:szCs w:val="13"/>
          <w:color w:val="auto"/>
        </w:rPr>
        <w:t>any adjournment thereof.</w:t>
      </w:r>
    </w:p>
    <w:p>
      <w:pPr>
        <w:spacing w:after="0" w:line="1261" w:lineRule="exact"/>
        <w:rPr>
          <w:sz w:val="20"/>
          <w:szCs w:val="20"/>
          <w:color w:val="auto"/>
        </w:rPr>
      </w:pPr>
    </w:p>
    <w:p>
      <w:pPr>
        <w:sectPr>
          <w:pgSz w:w="11900" w:h="16838" w:orient="portrait"/>
          <w:cols w:equalWidth="0" w:num="2">
            <w:col w:w="5660" w:space="280"/>
            <w:col w:w="5580"/>
          </w:cols>
          <w:pgMar w:left="240" w:top="1048" w:right="139" w:bottom="1440" w:gutter="0" w:footer="0" w:header="0"/>
          <w:type w:val="continuous"/>
        </w:sectPr>
      </w:pPr>
    </w:p>
    <w:p>
      <w:pPr>
        <w:ind w:left="260" w:right="2240"/>
        <w:spacing w:after="0" w:line="341" w:lineRule="auto"/>
        <w:rPr>
          <w:sz w:val="20"/>
          <w:szCs w:val="20"/>
          <w:color w:val="auto"/>
        </w:rPr>
      </w:pPr>
      <w:r>
        <w:rPr>
          <w:rFonts w:ascii="Arial" w:cs="Arial" w:eastAsia="Arial" w:hAnsi="Arial"/>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6" w:lineRule="exact"/>
        <w:rPr>
          <w:sz w:val="20"/>
          <w:szCs w:val="20"/>
          <w:color w:val="auto"/>
        </w:rPr>
      </w:pPr>
    </w:p>
    <w:p>
      <w:pPr>
        <w:ind w:left="260"/>
        <w:spacing w:after="0"/>
        <w:tabs>
          <w:tab w:leader="none" w:pos="3280" w:val="left"/>
          <w:tab w:leader="none" w:pos="5580" w:val="left"/>
          <w:tab w:leader="none" w:pos="86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278765</wp:posOffset>
            </wp:positionV>
            <wp:extent cx="727710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520"/>
          </w:cols>
          <w:pgMar w:left="240" w:top="1048" w:right="139" w:bottom="1440" w:gutter="0" w:footer="0" w:header="0"/>
          <w:type w:val="continuous"/>
        </w:sectPr>
      </w:pPr>
    </w:p>
    <w:bookmarkStart w:id="67" w:name="page68"/>
    <w:bookmarkEnd w:id="67"/>
    <w:p>
      <w:pPr>
        <w:jc w:val="center"/>
        <w:ind w:right="2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3209290</wp:posOffset>
            </wp:positionH>
            <wp:positionV relativeFrom="page">
              <wp:posOffset>358775</wp:posOffset>
            </wp:positionV>
            <wp:extent cx="1151255" cy="4127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151255" cy="412750"/>
                    </a:xfrm>
                    <a:prstGeom prst="rect">
                      <a:avLst/>
                    </a:prstGeom>
                    <a:noFill/>
                  </pic:spPr>
                </pic:pic>
              </a:graphicData>
            </a:graphic>
          </wp:anchor>
        </w:drawing>
        <w:t>NOTICE OF ANNUAL MEETING OF STOCKHOLDERS</w:t>
      </w: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APRIL 17, 2014</w:t>
      </w:r>
    </w:p>
    <w:p>
      <w:pPr>
        <w:spacing w:after="0" w:line="206" w:lineRule="exact"/>
        <w:rPr>
          <w:sz w:val="20"/>
          <w:szCs w:val="20"/>
          <w:color w:val="auto"/>
        </w:rPr>
      </w:pPr>
    </w:p>
    <w:p>
      <w:pPr>
        <w:jc w:val="both"/>
        <w:ind w:left="220" w:right="500"/>
        <w:spacing w:after="0" w:line="253" w:lineRule="auto"/>
        <w:rPr>
          <w:sz w:val="20"/>
          <w:szCs w:val="20"/>
          <w:color w:val="auto"/>
        </w:rPr>
      </w:pPr>
      <w:r>
        <w:rPr>
          <w:rFonts w:ascii="Arial" w:cs="Arial" w:eastAsia="Arial" w:hAnsi="Arial"/>
          <w:sz w:val="16"/>
          <w:szCs w:val="16"/>
          <w:color w:val="auto"/>
        </w:rPr>
        <w:t>You are invited to attend the 2014 annual meeting of stockholders on Thursday, April 17, 2014, at the cafeteria on our property at 12500 TI Boulevard, Dallas, Texas, at 10:00 a.m. (Central time). At the meeting we will consider the election of directors, advisory approval of the Company's executive compensation, ratification of the appointment of Ernst &amp; Young LLP as the Company’s independent registered public accounting firm for 2014, a Board proposal to approve the TI Employees 2014 Stock Purchase Plan, a Board proposal to reapprove the material terms of the performance goals under the Texas Instruments 2009 Long-Term Incentive Plan, and such other matters as may properly come before the meeting.</w:t>
      </w:r>
    </w:p>
    <w:p>
      <w:pPr>
        <w:spacing w:after="0" w:line="160"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u w:val="single" w:color="auto"/>
          <w:color w:val="auto"/>
        </w:rPr>
        <w:t>Electronic Delivery of Proxy Materials</w:t>
      </w:r>
    </w:p>
    <w:p>
      <w:pPr>
        <w:spacing w:after="0" w:line="206" w:lineRule="exact"/>
        <w:rPr>
          <w:sz w:val="20"/>
          <w:szCs w:val="20"/>
          <w:color w:val="auto"/>
        </w:rPr>
      </w:pPr>
    </w:p>
    <w:p>
      <w:pPr>
        <w:jc w:val="both"/>
        <w:ind w:left="220" w:right="500"/>
        <w:spacing w:after="0" w:line="290" w:lineRule="auto"/>
        <w:rPr>
          <w:sz w:val="20"/>
          <w:szCs w:val="20"/>
          <w:color w:val="auto"/>
        </w:rPr>
      </w:pPr>
      <w:r>
        <w:rPr>
          <w:rFonts w:ascii="Arial" w:cs="Arial" w:eastAsia="Arial" w:hAnsi="Arial"/>
          <w:sz w:val="16"/>
          <w:szCs w:val="16"/>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The 2014 Notice and Proxy Statement and 2013 Annual Report are also available at www.proxyvote.com.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M66496-P46257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40005</wp:posOffset>
            </wp:positionV>
            <wp:extent cx="7245350" cy="31172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5350" cy="3117215"/>
                    </a:xfrm>
                    <a:prstGeom prst="rect">
                      <a:avLst/>
                    </a:prstGeom>
                    <a:noFill/>
                  </pic:spPr>
                </pic:pic>
              </a:graphicData>
            </a:graphic>
          </wp:anchor>
        </w:drawing>
      </w:r>
    </w:p>
    <w:p>
      <w:pPr>
        <w:spacing w:after="0" w:line="238"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PROXY FOR ANNUAL MEETING</w:t>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TO BE HELD APRIL 17, 2014</w:t>
      </w:r>
    </w:p>
    <w:p>
      <w:pPr>
        <w:jc w:val="center"/>
        <w:ind w:right="280"/>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184" w:lineRule="exact"/>
        <w:rPr>
          <w:sz w:val="20"/>
          <w:szCs w:val="20"/>
          <w:color w:val="auto"/>
        </w:rPr>
      </w:pPr>
    </w:p>
    <w:p>
      <w:pPr>
        <w:jc w:val="both"/>
        <w:ind w:right="280"/>
        <w:spacing w:after="0" w:line="252" w:lineRule="auto"/>
        <w:rPr>
          <w:sz w:val="20"/>
          <w:szCs w:val="20"/>
          <w:color w:val="auto"/>
        </w:rPr>
      </w:pPr>
      <w:r>
        <w:rPr>
          <w:rFonts w:ascii="Arial" w:cs="Arial" w:eastAsia="Arial" w:hAnsi="Arial"/>
          <w:sz w:val="16"/>
          <w:szCs w:val="16"/>
          <w:color w:val="auto"/>
        </w:rPr>
        <w:t xml:space="preserve">The undersigned hereby appoints RALPH W. BABB, JR., CARRIE S. COX, CHRISTINE T. WHITMAN, RICHARD K. TEMPLETON, or any one or more of them, the true and lawful attorneys of the undersigned with power of substitution, to vote as proxies for the undersigned at the annual meeting of stockholders of Texas Instruments Incorporated to be held in Dallas, Texas, on April 17, 2014, at 10:00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6"/>
          <w:szCs w:val="16"/>
          <w:b w:val="1"/>
          <w:bCs w:val="1"/>
          <w:color w:val="auto"/>
        </w:rPr>
        <w:t>If no contrary indication is made,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proxy will be voted FOR the election of each director nominee and FOR Proposals 2 through 5. </w:t>
      </w:r>
      <w:r>
        <w:rPr>
          <w:rFonts w:ascii="Arial" w:cs="Arial" w:eastAsia="Arial" w:hAnsi="Arial"/>
          <w:sz w:val="16"/>
          <w:szCs w:val="16"/>
          <w:color w:val="auto"/>
        </w:rPr>
        <w:t>If other matters come before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proxy will be voted in the discretion of the named proxies.</w:t>
      </w:r>
    </w:p>
    <w:p>
      <w:pPr>
        <w:spacing w:after="0" w:line="161" w:lineRule="exact"/>
        <w:rPr>
          <w:sz w:val="20"/>
          <w:szCs w:val="20"/>
          <w:color w:val="auto"/>
        </w:rPr>
      </w:pPr>
    </w:p>
    <w:p>
      <w:pPr>
        <w:jc w:val="both"/>
        <w:ind w:right="280"/>
        <w:spacing w:after="0" w:line="251"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14, 2014,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352"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IMPORTANT - On the reverse side of this card are procedures on how to vote the shares.</w:t>
      </w:r>
    </w:p>
    <w:p>
      <w:pPr>
        <w:spacing w:after="0" w:line="26"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347345</wp:posOffset>
            </wp:positionV>
            <wp:extent cx="727710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140"/>
          </w:cols>
          <w:pgMar w:left="520" w:top="1396"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PROXYVOTE.COM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You received this e-mail because you are enrolled to receive TEXAS INSTRUMENTS INCORPORATED communications and vote by proxy via the Internet.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Important Notice Regarding the Availability of Proxy Materials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2014 TEXAS INSTRUMENTS INCORPORATED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MEETING DATE: April 17, 2014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RECORD DATE: February 18, 2014</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CUSIP NUMBER: 882508104</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This e-mail represents all shares in the following account(s).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CONTROL NUMBER: 012345678901</w:t>
      </w:r>
    </w:p>
    <w:p>
      <w:pPr>
        <w:spacing w:after="0" w:line="204"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You can enter your voting instructions and view the shareholder material at the Internet site below. If your browser supports secure transactions, you will automatically be directed to a secure site.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http://www.proxyvote.com/0012345678901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Note: If your e-mail software supports it, you can simply click on the above link.</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To access ProxyVote, you will need the above CONTROL NUMBER and your four digit PIN:</w:t>
      </w:r>
    </w:p>
    <w:p>
      <w:pPr>
        <w:spacing w:after="0" w:line="204" w:lineRule="exact"/>
        <w:rPr>
          <w:sz w:val="20"/>
          <w:szCs w:val="20"/>
          <w:color w:val="auto"/>
        </w:rPr>
      </w:pPr>
    </w:p>
    <w:p>
      <w:pPr>
        <w:ind w:left="520" w:right="240" w:hanging="245"/>
        <w:spacing w:after="0" w:line="290" w:lineRule="auto"/>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you are a shareholder who consented to receive proxy materials electronically, your PIN is the four digit number you selected at the time of your enrollment.</w:t>
      </w:r>
    </w:p>
    <w:p>
      <w:pPr>
        <w:spacing w:after="0" w:line="118" w:lineRule="exact"/>
        <w:rPr>
          <w:rFonts w:ascii="Arial" w:cs="Arial" w:eastAsia="Arial" w:hAnsi="Arial"/>
          <w:sz w:val="16"/>
          <w:szCs w:val="16"/>
          <w:color w:val="auto"/>
        </w:rPr>
      </w:pPr>
    </w:p>
    <w:p>
      <w:pPr>
        <w:ind w:left="520" w:right="280" w:hanging="245"/>
        <w:spacing w:after="0" w:line="290" w:lineRule="auto"/>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you have forgotten your PIN or if your PIN is not accepted, please try the last four digits of your Social Security number. If you are still unable to access the site, please follow the "Forgot PIN" instructions on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727710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200"/>
          </w:cols>
          <w:pgMar w:left="240" w:top="548" w:right="459" w:bottom="1440" w:gutter="0" w:footer="0" w:header="0"/>
        </w:sectPr>
      </w:pPr>
    </w:p>
    <w:bookmarkStart w:id="69" w:name="page70"/>
    <w:bookmarkEnd w:id="69"/>
    <w:p>
      <w:pPr>
        <w:ind w:right="320"/>
        <w:spacing w:after="0" w:line="290" w:lineRule="auto"/>
        <w:rPr>
          <w:sz w:val="20"/>
          <w:szCs w:val="20"/>
          <w:color w:val="auto"/>
        </w:rPr>
      </w:pPr>
      <w:r>
        <w:rPr>
          <w:rFonts w:ascii="Arial" w:cs="Arial" w:eastAsia="Arial" w:hAnsi="Arial"/>
          <w:sz w:val="16"/>
          <w:szCs w:val="16"/>
          <w:color w:val="auto"/>
        </w:rPr>
        <w:t>For registered shares, you may vote by Internet up until 11:59 p.m. Eastern time on April 16, 2014. For shares allocable to a benefit plan account, voting instructions must be received no later than 11:59 p.m. Eastern time on April 14, 2014.</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To view the documents below, you may need Adobe Acrobat Reader. To download the Adobe Reader, click on the URL address below:</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http://www.adobe.com/products/acrobat/readstep2.html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relevant supporting documentations can also be found at the following Internet site(s):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Annual Report and Proxy Statement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http://materials.proxyvote.com/882508</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*interactive*</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00" w:type="dxa"/>
            <w:vAlign w:val="bottom"/>
          </w:tcPr>
          <w:p>
            <w:pPr>
              <w:spacing w:after="0"/>
              <w:rPr>
                <w:sz w:val="20"/>
                <w:szCs w:val="20"/>
                <w:color w:val="auto"/>
              </w:rPr>
            </w:pPr>
            <w:r>
              <w:rPr>
                <w:rFonts w:ascii="Arial" w:cs="Arial" w:eastAsia="Arial" w:hAnsi="Arial"/>
                <w:sz w:val="16"/>
                <w:szCs w:val="16"/>
                <w:color w:val="auto"/>
              </w:rPr>
              <w:t>Your InvestorDelivery Enrollment Number is:</w:t>
            </w:r>
          </w:p>
        </w:tc>
        <w:tc>
          <w:tcPr>
            <w:tcW w:w="1720" w:type="dxa"/>
            <w:vAlign w:val="bottom"/>
          </w:tcPr>
          <w:p>
            <w:pPr>
              <w:ind w:left="500"/>
              <w:spacing w:after="0"/>
              <w:rPr>
                <w:sz w:val="20"/>
                <w:szCs w:val="20"/>
                <w:color w:val="auto"/>
              </w:rPr>
            </w:pPr>
            <w:r>
              <w:rPr>
                <w:rFonts w:ascii="Arial" w:cs="Arial" w:eastAsia="Arial" w:hAnsi="Arial"/>
                <w:sz w:val="16"/>
                <w:szCs w:val="16"/>
                <w:color w:val="auto"/>
                <w:w w:val="99"/>
              </w:rPr>
              <w:t>M012345678901</w:t>
            </w:r>
          </w:p>
        </w:tc>
      </w:tr>
    </w:tbl>
    <w:p>
      <w:pPr>
        <w:spacing w:after="0" w:line="200" w:lineRule="exact"/>
        <w:rPr>
          <w:sz w:val="20"/>
          <w:szCs w:val="20"/>
          <w:color w:val="auto"/>
        </w:rPr>
      </w:pPr>
    </w:p>
    <w:p>
      <w:pPr>
        <w:spacing w:after="0" w:line="219"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There are no charges for this service. There may be costs associated with electronic access, such as usage charges from Internet access providers and telephone companies, which must be borne by the stockholder.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Please do not send any e-mail to ID@ProxyVote.com. Please REPLY to this e-mail with any comments or questions about ProxyVote.com.</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(Include the original text and subject line of this message for identification purposes).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AOL users: Please highlight the entire message before clicking the reply button.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27710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p>
      <w:pPr>
        <w:sectPr>
          <w:pgSz w:w="11900" w:h="16838" w:orient="portrait"/>
          <w:cols w:equalWidth="0" w:num="1">
            <w:col w:w="11240"/>
          </w:cols>
          <w:pgMar w:left="240" w:top="548" w:right="419" w:bottom="1440" w:gutter="0" w:footer="0" w:header="0"/>
        </w:sectPr>
      </w:pPr>
    </w:p>
    <w:bookmarkStart w:id="70" w:name="page71"/>
    <w:bookmarkEnd w:id="70"/>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06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TEXAS INSTRUMENTS INCORPORATED</w:t>
            </w:r>
          </w:p>
        </w:tc>
        <w:tc>
          <w:tcPr>
            <w:tcW w:w="12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ind w:left="1820"/>
              <w:spacing w:after="0"/>
              <w:rPr>
                <w:sz w:val="20"/>
                <w:szCs w:val="20"/>
                <w:color w:val="auto"/>
              </w:rPr>
            </w:pPr>
            <w:r>
              <w:rPr>
                <w:rFonts w:ascii="Arial" w:cs="Arial" w:eastAsia="Arial" w:hAnsi="Arial"/>
                <w:sz w:val="16"/>
                <w:szCs w:val="16"/>
                <w:b w:val="1"/>
                <w:bCs w:val="1"/>
                <w:color w:val="auto"/>
              </w:rPr>
              <w:t>Control#</w:t>
            </w:r>
          </w:p>
        </w:tc>
      </w:tr>
      <w:tr>
        <w:trPr>
          <w:trHeight w:val="338"/>
        </w:trPr>
        <w:tc>
          <w:tcPr>
            <w:tcW w:w="5060" w:type="dxa"/>
            <w:vAlign w:val="bottom"/>
          </w:tcPr>
          <w:p>
            <w:pPr>
              <w:spacing w:after="0"/>
              <w:rPr>
                <w:sz w:val="24"/>
                <w:szCs w:val="24"/>
                <w:color w:val="auto"/>
              </w:rPr>
            </w:pPr>
          </w:p>
        </w:tc>
        <w:tc>
          <w:tcPr>
            <w:tcW w:w="6360" w:type="dxa"/>
            <w:vAlign w:val="bottom"/>
            <w:gridSpan w:val="3"/>
          </w:tcPr>
          <w:p>
            <w:pPr>
              <w:ind w:left="1220"/>
              <w:spacing w:after="0"/>
              <w:rPr>
                <w:sz w:val="20"/>
                <w:szCs w:val="20"/>
                <w:color w:val="auto"/>
              </w:rPr>
            </w:pPr>
            <w:r>
              <w:rPr>
                <w:rFonts w:ascii="Arial" w:cs="Arial" w:eastAsia="Arial" w:hAnsi="Arial"/>
                <w:sz w:val="16"/>
                <w:szCs w:val="16"/>
                <w:b w:val="1"/>
                <w:bCs w:val="1"/>
                <w:color w:val="auto"/>
              </w:rPr>
              <w:t>Meeting Material(s)</w:t>
            </w:r>
          </w:p>
        </w:tc>
      </w:tr>
      <w:tr>
        <w:trPr>
          <w:trHeight w:val="180"/>
        </w:trPr>
        <w:tc>
          <w:tcPr>
            <w:tcW w:w="5060" w:type="dxa"/>
            <w:vAlign w:val="bottom"/>
          </w:tcPr>
          <w:p>
            <w:pPr>
              <w:spacing w:after="0" w:line="160" w:lineRule="exact"/>
              <w:rPr>
                <w:sz w:val="20"/>
                <w:szCs w:val="20"/>
                <w:color w:val="auto"/>
              </w:rPr>
            </w:pPr>
            <w:r>
              <w:rPr>
                <w:rFonts w:ascii="Arial" w:cs="Arial" w:eastAsia="Arial" w:hAnsi="Arial"/>
                <w:sz w:val="16"/>
                <w:szCs w:val="16"/>
                <w:b w:val="1"/>
                <w:bCs w:val="1"/>
                <w:color w:val="auto"/>
              </w:rPr>
              <w:t>2014 Annual Meeting of Shareholders</w:t>
            </w:r>
          </w:p>
        </w:tc>
        <w:tc>
          <w:tcPr>
            <w:tcW w:w="6360" w:type="dxa"/>
            <w:vAlign w:val="bottom"/>
            <w:gridSpan w:val="3"/>
          </w:tcPr>
          <w:p>
            <w:pPr>
              <w:ind w:left="1220"/>
              <w:spacing w:after="0" w:line="160" w:lineRule="exact"/>
              <w:rPr>
                <w:sz w:val="20"/>
                <w:szCs w:val="20"/>
                <w:color w:val="auto"/>
              </w:rPr>
            </w:pPr>
            <w:r>
              <w:rPr>
                <w:rFonts w:ascii="Arial" w:cs="Arial" w:eastAsia="Arial" w:hAnsi="Arial"/>
                <w:sz w:val="16"/>
                <w:szCs w:val="16"/>
                <w:color w:val="auto"/>
              </w:rPr>
              <w:t>Annual Report and Proxy Statement</w:t>
            </w:r>
          </w:p>
        </w:tc>
      </w:tr>
      <w:tr>
        <w:trPr>
          <w:trHeight w:val="428"/>
        </w:trPr>
        <w:tc>
          <w:tcPr>
            <w:tcW w:w="5060" w:type="dxa"/>
            <w:vAlign w:val="bottom"/>
          </w:tcPr>
          <w:p>
            <w:pPr>
              <w:spacing w:after="0"/>
              <w:rPr>
                <w:sz w:val="20"/>
                <w:szCs w:val="20"/>
                <w:color w:val="auto"/>
              </w:rPr>
            </w:pPr>
            <w:r>
              <w:rPr>
                <w:rFonts w:ascii="Arial" w:cs="Arial" w:eastAsia="Arial" w:hAnsi="Arial"/>
                <w:sz w:val="16"/>
                <w:szCs w:val="16"/>
                <w:b w:val="1"/>
                <w:bCs w:val="1"/>
                <w:color w:val="auto"/>
              </w:rPr>
              <w:t>Thursday, April 17, 2014</w:t>
            </w:r>
          </w:p>
        </w:tc>
        <w:tc>
          <w:tcPr>
            <w:tcW w:w="122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r>
      <w:tr>
        <w:trPr>
          <w:trHeight w:val="388"/>
        </w:trPr>
        <w:tc>
          <w:tcPr>
            <w:tcW w:w="5060" w:type="dxa"/>
            <w:vAlign w:val="bottom"/>
          </w:tcPr>
          <w:p>
            <w:pPr>
              <w:spacing w:after="0"/>
              <w:rPr>
                <w:sz w:val="20"/>
                <w:szCs w:val="20"/>
                <w:color w:val="auto"/>
              </w:rPr>
            </w:pPr>
            <w:r>
              <w:rPr>
                <w:rFonts w:ascii="Arial" w:cs="Arial" w:eastAsia="Arial" w:hAnsi="Arial"/>
                <w:sz w:val="16"/>
                <w:szCs w:val="16"/>
                <w:b w:val="1"/>
                <w:bCs w:val="1"/>
                <w:color w:val="auto"/>
              </w:rPr>
              <w:t>For holders as of: Tuesday, February 18, 2014</w:t>
            </w:r>
          </w:p>
        </w:tc>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5"/>
        </w:trPr>
        <w:tc>
          <w:tcPr>
            <w:tcW w:w="5060" w:type="dxa"/>
            <w:vAlign w:val="bottom"/>
          </w:tcPr>
          <w:p>
            <w:pPr>
              <w:spacing w:after="0"/>
              <w:rPr>
                <w:sz w:val="20"/>
                <w:szCs w:val="20"/>
                <w:color w:val="auto"/>
              </w:rPr>
            </w:pPr>
            <w:r>
              <w:rPr>
                <w:rFonts w:ascii="Arial" w:cs="Arial" w:eastAsia="Arial" w:hAnsi="Arial"/>
                <w:sz w:val="16"/>
                <w:szCs w:val="16"/>
                <w:b w:val="1"/>
                <w:bCs w:val="1"/>
                <w:color w:val="auto"/>
              </w:rPr>
              <w:t>Cusip: 882508</w:t>
            </w:r>
          </w:p>
        </w:tc>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0" w:lineRule="exact"/>
        <w:rPr>
          <w:sz w:val="20"/>
          <w:szCs w:val="20"/>
          <w:color w:val="auto"/>
        </w:rPr>
      </w:pPr>
    </w:p>
    <w:p>
      <w:pPr>
        <w:spacing w:after="0" w:line="346"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b w:val="1"/>
          <w:bCs w:val="1"/>
          <w:color w:val="FF0000"/>
        </w:rPr>
        <w:t>As your vote is very important, we recommend that all voting instructions be received at least one business day prior to the voting cut-off time stated in the proxy materials. Scroll down for proxy instructions and voting.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vote via telephone, call </w:t>
      </w:r>
      <w:r>
        <w:rPr>
          <w:rFonts w:ascii="Arial" w:cs="Arial" w:eastAsia="Arial" w:hAnsi="Arial"/>
          <w:sz w:val="16"/>
          <w:szCs w:val="16"/>
          <w:b w:val="1"/>
          <w:bCs w:val="1"/>
          <w:color w:val="auto"/>
        </w:rPr>
        <w:t>1-800-690-6903.</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455"/>
        </w:trPr>
        <w:tc>
          <w:tcPr>
            <w:tcW w:w="3820" w:type="dxa"/>
            <w:vAlign w:val="bottom"/>
            <w:tcBorders>
              <w:top w:val="single" w:sz="8" w:color="auto"/>
              <w:left w:val="single" w:sz="8" w:color="auto"/>
              <w:bottom w:val="single" w:sz="8" w:color="auto"/>
              <w:right w:val="single" w:sz="8" w:color="auto"/>
            </w:tcBorders>
          </w:tcPr>
          <w:p>
            <w:pPr>
              <w:ind w:left="1440"/>
              <w:spacing w:after="0" w:line="455" w:lineRule="exact"/>
              <w:rPr>
                <w:sz w:val="20"/>
                <w:szCs w:val="20"/>
                <w:color w:val="auto"/>
              </w:rPr>
            </w:pPr>
            <w:r>
              <w:rPr>
                <w:rFonts w:ascii="Arial" w:cs="Arial" w:eastAsia="Arial" w:hAnsi="Arial"/>
                <w:sz w:val="40"/>
                <w:szCs w:val="40"/>
                <w:b w:val="1"/>
                <w:bCs w:val="1"/>
                <w:color w:val="auto"/>
              </w:rPr>
              <w:t xml:space="preserve">1. </w:t>
            </w:r>
            <w:r>
              <w:rPr>
                <w:rFonts w:ascii="Arial" w:cs="Arial" w:eastAsia="Arial" w:hAnsi="Arial"/>
                <w:sz w:val="22"/>
                <w:szCs w:val="22"/>
                <w:b w:val="1"/>
                <w:bCs w:val="1"/>
                <w:color w:val="auto"/>
              </w:rPr>
              <w:t>Vote</w:t>
            </w:r>
          </w:p>
        </w:tc>
        <w:tc>
          <w:tcPr>
            <w:tcW w:w="3920" w:type="dxa"/>
            <w:vAlign w:val="bottom"/>
            <w:tcBorders>
              <w:top w:val="single" w:sz="8" w:color="auto"/>
              <w:bottom w:val="single" w:sz="8" w:color="auto"/>
              <w:right w:val="single" w:sz="8" w:color="auto"/>
            </w:tcBorders>
          </w:tcPr>
          <w:p>
            <w:pPr>
              <w:ind w:left="1380"/>
              <w:spacing w:after="0" w:line="455" w:lineRule="exact"/>
              <w:rPr>
                <w:sz w:val="20"/>
                <w:szCs w:val="20"/>
                <w:color w:val="auto"/>
              </w:rPr>
            </w:pPr>
            <w:r>
              <w:rPr>
                <w:rFonts w:ascii="Arial" w:cs="Arial" w:eastAsia="Arial" w:hAnsi="Arial"/>
                <w:sz w:val="40"/>
                <w:szCs w:val="40"/>
                <w:b w:val="1"/>
                <w:bCs w:val="1"/>
                <w:color w:val="auto"/>
              </w:rPr>
              <w:t xml:space="preserve">2. </w:t>
            </w:r>
            <w:r>
              <w:rPr>
                <w:rFonts w:ascii="Arial" w:cs="Arial" w:eastAsia="Arial" w:hAnsi="Arial"/>
                <w:sz w:val="22"/>
                <w:szCs w:val="22"/>
                <w:b w:val="1"/>
                <w:bCs w:val="1"/>
                <w:color w:val="auto"/>
              </w:rPr>
              <w:t>Review</w:t>
            </w:r>
          </w:p>
        </w:tc>
        <w:tc>
          <w:tcPr>
            <w:tcW w:w="3700" w:type="dxa"/>
            <w:vAlign w:val="bottom"/>
            <w:tcBorders>
              <w:top w:val="single" w:sz="8" w:color="auto"/>
              <w:bottom w:val="single" w:sz="8" w:color="auto"/>
              <w:right w:val="single" w:sz="8" w:color="auto"/>
            </w:tcBorders>
          </w:tcPr>
          <w:p>
            <w:pPr>
              <w:ind w:left="1100"/>
              <w:spacing w:after="0" w:line="455" w:lineRule="exact"/>
              <w:rPr>
                <w:sz w:val="20"/>
                <w:szCs w:val="20"/>
                <w:color w:val="auto"/>
              </w:rPr>
            </w:pPr>
            <w:r>
              <w:rPr>
                <w:rFonts w:ascii="Arial" w:cs="Arial" w:eastAsia="Arial" w:hAnsi="Arial"/>
                <w:sz w:val="40"/>
                <w:szCs w:val="40"/>
                <w:b w:val="1"/>
                <w:bCs w:val="1"/>
                <w:color w:val="auto"/>
              </w:rPr>
              <w:t xml:space="preserve">3. </w:t>
            </w:r>
            <w:r>
              <w:rPr>
                <w:rFonts w:ascii="Arial" w:cs="Arial" w:eastAsia="Arial" w:hAnsi="Arial"/>
                <w:sz w:val="22"/>
                <w:szCs w:val="22"/>
                <w:b w:val="1"/>
                <w:bCs w:val="1"/>
                <w:color w:val="auto"/>
              </w:rPr>
              <w:t>Confirmed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5149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1225" cy="51498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BALLOT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TEXAS INSTRUMENTS INCORPORATED</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2014 Annual Meeting of Shareholders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be held on Thursday, April 17, 2014 for holders of record as of Tuesday, February 18, 2014</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FOR ANNUAL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17, 2014</w:t>
      </w:r>
    </w:p>
    <w:p>
      <w:pPr>
        <w:jc w:val="center"/>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184" w:lineRule="exact"/>
        <w:rPr>
          <w:sz w:val="20"/>
          <w:szCs w:val="20"/>
          <w:color w:val="auto"/>
        </w:rPr>
      </w:pPr>
    </w:p>
    <w:p>
      <w:pPr>
        <w:jc w:val="both"/>
        <w:ind w:left="240" w:right="220"/>
        <w:spacing w:after="0" w:line="254" w:lineRule="auto"/>
        <w:rPr>
          <w:sz w:val="20"/>
          <w:szCs w:val="20"/>
          <w:color w:val="auto"/>
        </w:rPr>
      </w:pPr>
      <w:r>
        <w:rPr>
          <w:rFonts w:ascii="Arial" w:cs="Arial" w:eastAsia="Arial" w:hAnsi="Arial"/>
          <w:sz w:val="16"/>
          <w:szCs w:val="16"/>
          <w:color w:val="auto"/>
        </w:rPr>
        <w:t>The undersigned hereby appoints RALPH W. BABB, JR., CARRIE S. COX, CHRISTINE T. WHITMAN, RICHARD K. TEMPLETON, or any one or more of them, the true and lawful attorneys of the undersigned with power of substitution, to vote as proxies for the undersigned at the annual meeting of stockholders of Texas Instruments Incorporated to be held in Dallas, Texas, on April 17, 2014, at 10:00 a.m. (Central time) and at any or all adjournments thereof, according to the number of shares of common stock that the undersigned would be entitled to vote if then personally present, in</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the election of directors, upon the board proposals and upon other matters properly coming before the meeting. </w:t>
      </w:r>
      <w:r>
        <w:rPr>
          <w:rFonts w:ascii="Arial" w:cs="Arial" w:eastAsia="Arial" w:hAnsi="Arial"/>
          <w:sz w:val="16"/>
          <w:szCs w:val="16"/>
          <w:b w:val="1"/>
          <w:bCs w:val="1"/>
          <w:color w:val="auto"/>
        </w:rPr>
        <w:t>If no contrary indication is made, this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proxy will be voted FOR the election of each director nominee and FOR Proposals 2 through 5. </w:t>
      </w:r>
      <w:r>
        <w:rPr>
          <w:rFonts w:ascii="Arial" w:cs="Arial" w:eastAsia="Arial" w:hAnsi="Arial"/>
          <w:sz w:val="16"/>
          <w:szCs w:val="16"/>
          <w:color w:val="auto"/>
        </w:rPr>
        <w:t>If other matters come before the meeting, this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proxy will be voted in the discretion of the named proxies.</w:t>
      </w:r>
    </w:p>
    <w:p>
      <w:pPr>
        <w:spacing w:after="0" w:line="184" w:lineRule="exact"/>
        <w:rPr>
          <w:sz w:val="20"/>
          <w:szCs w:val="20"/>
          <w:color w:val="auto"/>
        </w:rPr>
      </w:pPr>
    </w:p>
    <w:p>
      <w:pPr>
        <w:jc w:val="both"/>
        <w:ind w:left="240" w:right="220"/>
        <w:spacing w:after="0" w:line="252"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14, 2014,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You are encouraged to specify your choices by marking the appropriate boxes below. To submit your vote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instructions, please select the SUBMIT button at the bottom of the agenda.</w:t>
      </w:r>
    </w:p>
    <w:p>
      <w:pPr>
        <w:spacing w:after="0" w:line="4" w:lineRule="exact"/>
        <w:rPr>
          <w:sz w:val="20"/>
          <w:szCs w:val="20"/>
          <w:color w:val="auto"/>
        </w:rPr>
      </w:pPr>
    </w:p>
    <w:p>
      <w:pPr>
        <w:ind w:left="2100" w:right="1700" w:hanging="433"/>
        <w:spacing w:after="0" w:line="264" w:lineRule="auto"/>
        <w:rPr>
          <w:sz w:val="20"/>
          <w:szCs w:val="20"/>
          <w:color w:val="auto"/>
        </w:rPr>
      </w:pPr>
      <w:r>
        <w:rPr>
          <w:rFonts w:ascii="Arial" w:cs="Arial" w:eastAsia="Arial" w:hAnsi="Arial"/>
          <w:sz w:val="16"/>
          <w:szCs w:val="16"/>
          <w:color w:val="auto"/>
        </w:rPr>
        <w:t>If you select the SUBMIT button at the bottom of the agenda without specifying choices among the boxes below, your vote instructions will be cast in accordance with the recommendations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40" w:type="dxa"/>
            <w:vAlign w:val="bottom"/>
            <w:tcBorders>
              <w:top w:val="single" w:sz="8" w:color="auto"/>
              <w:left w:val="single" w:sz="8" w:color="auto"/>
              <w:right w:val="single" w:sz="8" w:color="auto"/>
            </w:tcBorders>
          </w:tcPr>
          <w:p>
            <w:pPr>
              <w:spacing w:after="0"/>
              <w:rPr>
                <w:sz w:val="18"/>
                <w:szCs w:val="18"/>
                <w:color w:val="auto"/>
              </w:rPr>
            </w:pPr>
          </w:p>
        </w:tc>
        <w:tc>
          <w:tcPr>
            <w:tcW w:w="690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Recommendations</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r>
      <w:tr>
        <w:trPr>
          <w:trHeight w:val="225"/>
        </w:trPr>
        <w:tc>
          <w:tcPr>
            <w:tcW w:w="340" w:type="dxa"/>
            <w:vAlign w:val="bottom"/>
            <w:tcBorders>
              <w:left w:val="single" w:sz="8" w:color="auto"/>
              <w:right w:val="single" w:sz="8" w:color="auto"/>
            </w:tcBorders>
          </w:tcPr>
          <w:p>
            <w:pPr>
              <w:spacing w:after="0"/>
              <w:rPr>
                <w:sz w:val="19"/>
                <w:szCs w:val="19"/>
                <w:color w:val="auto"/>
              </w:rPr>
            </w:pPr>
          </w:p>
        </w:tc>
        <w:tc>
          <w:tcPr>
            <w:tcW w:w="6900" w:type="dxa"/>
            <w:vAlign w:val="bottom"/>
            <w:tcBorders>
              <w:right w:val="single" w:sz="8" w:color="auto"/>
            </w:tcBorders>
          </w:tcPr>
          <w:p>
            <w:pPr>
              <w:ind w:left="3080"/>
              <w:spacing w:after="0"/>
              <w:rPr>
                <w:sz w:val="20"/>
                <w:szCs w:val="20"/>
                <w:color w:val="auto"/>
              </w:rPr>
            </w:pPr>
            <w:r>
              <w:rPr>
                <w:rFonts w:ascii="Arial" w:cs="Arial" w:eastAsia="Arial" w:hAnsi="Arial"/>
                <w:sz w:val="13"/>
                <w:szCs w:val="13"/>
                <w:b w:val="1"/>
                <w:bCs w:val="1"/>
                <w:color w:val="auto"/>
              </w:rPr>
              <w:t>Proposal(s)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of the Board of</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w w:val="98"/>
              </w:rPr>
              <w:t>Vote Options</w:t>
            </w:r>
          </w:p>
        </w:tc>
        <w:tc>
          <w:tcPr>
            <w:tcW w:w="820" w:type="dxa"/>
            <w:vAlign w:val="bottom"/>
            <w:tcBorders>
              <w:right w:val="single" w:sz="8" w:color="auto"/>
            </w:tcBorders>
          </w:tcPr>
          <w:p>
            <w:pPr>
              <w:spacing w:after="0"/>
              <w:rPr>
                <w:sz w:val="19"/>
                <w:szCs w:val="19"/>
                <w:color w:val="auto"/>
              </w:rPr>
            </w:pPr>
          </w:p>
        </w:tc>
      </w:tr>
      <w:tr>
        <w:trPr>
          <w:trHeight w:val="225"/>
        </w:trPr>
        <w:tc>
          <w:tcPr>
            <w:tcW w:w="340" w:type="dxa"/>
            <w:vAlign w:val="bottom"/>
            <w:tcBorders>
              <w:left w:val="single" w:sz="8" w:color="auto"/>
              <w:right w:val="single" w:sz="8" w:color="auto"/>
            </w:tcBorders>
          </w:tcPr>
          <w:p>
            <w:pPr>
              <w:spacing w:after="0"/>
              <w:rPr>
                <w:sz w:val="19"/>
                <w:szCs w:val="19"/>
                <w:color w:val="auto"/>
              </w:rPr>
            </w:pPr>
          </w:p>
        </w:tc>
        <w:tc>
          <w:tcPr>
            <w:tcW w:w="690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Directors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r>
      <w:tr>
        <w:trPr>
          <w:trHeight w:val="29"/>
        </w:trPr>
        <w:tc>
          <w:tcPr>
            <w:tcW w:w="340" w:type="dxa"/>
            <w:vAlign w:val="bottom"/>
            <w:tcBorders>
              <w:left w:val="single" w:sz="8" w:color="auto"/>
              <w:bottom w:val="single" w:sz="8" w:color="auto"/>
              <w:right w:val="single" w:sz="8" w:color="auto"/>
            </w:tcBorders>
          </w:tcPr>
          <w:p>
            <w:pPr>
              <w:spacing w:after="0"/>
              <w:rPr>
                <w:sz w:val="2"/>
                <w:szCs w:val="2"/>
                <w:color w:val="auto"/>
              </w:rPr>
            </w:pPr>
          </w:p>
        </w:tc>
        <w:tc>
          <w:tcPr>
            <w:tcW w:w="69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10"/>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1A.</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R.W. BABB, JR.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1B.</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M.A. BLINN</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1C.</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D.A. CARP</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1D.</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C.S. COX</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1E.</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 KIRK</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1F.</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P.H. PATSLEY</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1G.</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R.E. SANCHEZ</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1H.</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W.R. SANDERS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1I.</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R.J. SIMMONS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1J.</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R.K. TEMPLETON</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1K.</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ELECTION OF DIRECTOR: C.T. WHITMAN</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2.</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BOARD PROPOSAL REGARDING ADVISORY APPROVAL OF THE COMPANY'S EXECUTIVE COMPENSATION.</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200"/>
        </w:trPr>
        <w:tc>
          <w:tcPr>
            <w:tcW w:w="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BOARD PROPOSAL TO RATIFY THE APPOINTMENT OF ERNST &amp; YOUNG LLP AS THE COMPANY'S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Arial" w:cs="Arial" w:eastAsia="Arial" w:hAnsi="Arial"/>
                <w:sz w:val="13"/>
                <w:szCs w:val="13"/>
                <w:color w:val="auto"/>
              </w:rPr>
              <w:t>For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Abstain</w:t>
            </w:r>
          </w:p>
        </w:tc>
      </w:tr>
      <w:tr>
        <w:trPr>
          <w:trHeight w:val="125"/>
        </w:trPr>
        <w:tc>
          <w:tcPr>
            <w:tcW w:w="340" w:type="dxa"/>
            <w:vAlign w:val="bottom"/>
            <w:tcBorders>
              <w:left w:val="single" w:sz="8" w:color="auto"/>
              <w:bottom w:val="single" w:sz="8" w:color="auto"/>
              <w:right w:val="single" w:sz="8" w:color="auto"/>
            </w:tcBorders>
          </w:tcPr>
          <w:p>
            <w:pPr>
              <w:spacing w:after="0"/>
              <w:rPr>
                <w:sz w:val="10"/>
                <w:szCs w:val="10"/>
                <w:color w:val="auto"/>
              </w:rPr>
            </w:pPr>
          </w:p>
        </w:tc>
        <w:tc>
          <w:tcPr>
            <w:tcW w:w="690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3"/>
                <w:szCs w:val="13"/>
                <w:b w:val="1"/>
                <w:bCs w:val="1"/>
                <w:color w:val="auto"/>
              </w:rPr>
              <w:t>INDEPENDENT REGISTERED PUBLIC ACCOUNTING FIRM FOR 2014.</w:t>
            </w:r>
          </w:p>
        </w:tc>
        <w:tc>
          <w:tcPr>
            <w:tcW w:w="16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-7620</wp:posOffset>
            </wp:positionV>
            <wp:extent cx="8255"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1968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-7620</wp:posOffset>
            </wp:positionV>
            <wp:extent cx="8255"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968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-7620</wp:posOffset>
            </wp:positionV>
            <wp:extent cx="825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96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25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968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-7620</wp:posOffset>
            </wp:positionV>
            <wp:extent cx="8255"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19685"/>
                    </a:xfrm>
                    <a:prstGeom prst="rect">
                      <a:avLst/>
                    </a:prstGeom>
                    <a:noFill/>
                  </pic:spPr>
                </pic:pic>
              </a:graphicData>
            </a:graphic>
          </wp:anchor>
        </w:drawing>
      </w:r>
    </w:p>
    <w:p>
      <w:pPr>
        <w:sectPr>
          <w:pgSz w:w="11900" w:h="16882" w:orient="portrait"/>
          <w:cols w:equalWidth="0" w:num="1">
            <w:col w:w="11420"/>
          </w:cols>
          <w:pgMar w:left="240" w:top="345" w:right="239" w:bottom="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225"/>
        </w:trPr>
        <w:tc>
          <w:tcPr>
            <w:tcW w:w="340" w:type="dxa"/>
            <w:vAlign w:val="bottom"/>
            <w:tcBorders>
              <w:left w:val="single" w:sz="8" w:color="auto"/>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4.</w:t>
            </w: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BOARD PROPOSAL TO APPROVE THE TI EMPLOYEES 2014 STOCK PURCHASE PLAN.</w:t>
            </w:r>
          </w:p>
        </w:tc>
        <w:tc>
          <w:tcPr>
            <w:tcW w:w="16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3"/>
                <w:szCs w:val="13"/>
                <w:b w:val="1"/>
                <w:bCs w:val="1"/>
                <w:color w:val="auto"/>
              </w:rPr>
              <w:t>For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Abstain</w:t>
            </w:r>
          </w:p>
        </w:tc>
      </w:tr>
      <w:tr>
        <w:trPr>
          <w:trHeight w:val="193"/>
        </w:trPr>
        <w:tc>
          <w:tcPr>
            <w:tcW w:w="340" w:type="dxa"/>
            <w:vAlign w:val="bottom"/>
            <w:tcBorders>
              <w:left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5.</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BOARD PROPOSAL TO REAPPROVE THE MATERIAL TERMS OF THE PERFORMANCE GOALS UNDER THE</w:t>
            </w:r>
          </w:p>
        </w:tc>
        <w:tc>
          <w:tcPr>
            <w:tcW w:w="1640" w:type="dxa"/>
            <w:vAlign w:val="bottom"/>
            <w:tcBorders>
              <w:right w:val="single" w:sz="8" w:color="auto"/>
            </w:tcBorders>
          </w:tcPr>
          <w:p>
            <w:pPr>
              <w:ind w:left="700"/>
              <w:spacing w:after="0"/>
              <w:rPr>
                <w:sz w:val="20"/>
                <w:szCs w:val="20"/>
                <w:color w:val="auto"/>
              </w:rPr>
            </w:pPr>
            <w:r>
              <w:rPr>
                <w:rFonts w:ascii="Arial" w:cs="Arial" w:eastAsia="Arial" w:hAnsi="Arial"/>
                <w:sz w:val="13"/>
                <w:szCs w:val="13"/>
                <w:b w:val="1"/>
                <w:bCs w:val="1"/>
                <w:color w:val="auto"/>
              </w:rPr>
              <w:t>For</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Arial" w:cs="Arial" w:eastAsia="Arial" w:hAnsi="Arial"/>
                <w:sz w:val="13"/>
                <w:szCs w:val="13"/>
                <w:color w:val="auto"/>
              </w:rPr>
              <w:t>For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3"/>
                <w:szCs w:val="13"/>
                <w:color w:val="auto"/>
              </w:rPr>
              <w:t>Against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Abstain</w:t>
            </w:r>
          </w:p>
        </w:tc>
      </w:tr>
      <w:tr>
        <w:trPr>
          <w:trHeight w:val="125"/>
        </w:trPr>
        <w:tc>
          <w:tcPr>
            <w:tcW w:w="340" w:type="dxa"/>
            <w:vAlign w:val="bottom"/>
            <w:tcBorders>
              <w:left w:val="single" w:sz="8" w:color="auto"/>
              <w:bottom w:val="single" w:sz="8" w:color="auto"/>
              <w:right w:val="single" w:sz="8" w:color="auto"/>
            </w:tcBorders>
          </w:tcPr>
          <w:p>
            <w:pPr>
              <w:spacing w:after="0"/>
              <w:rPr>
                <w:sz w:val="10"/>
                <w:szCs w:val="10"/>
                <w:color w:val="auto"/>
              </w:rPr>
            </w:pPr>
          </w:p>
        </w:tc>
        <w:tc>
          <w:tcPr>
            <w:tcW w:w="690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3"/>
                <w:szCs w:val="13"/>
                <w:b w:val="1"/>
                <w:bCs w:val="1"/>
                <w:color w:val="auto"/>
              </w:rPr>
              <w:t>TEXAS INSTRUMENTS 2009 LONG-TERM INCENTIVE PLAN.</w:t>
            </w:r>
          </w:p>
        </w:tc>
        <w:tc>
          <w:tcPr>
            <w:tcW w:w="16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Click to see: "Letter to our clients regarding voting authority"</w:t>
      </w:r>
    </w:p>
    <w:p>
      <w:pPr>
        <w:spacing w:after="0" w:line="246" w:lineRule="exact"/>
        <w:rPr>
          <w:sz w:val="20"/>
          <w:szCs w:val="20"/>
          <w:color w:val="auto"/>
        </w:rPr>
      </w:pPr>
    </w:p>
    <w:p>
      <w:pPr>
        <w:jc w:val="center"/>
        <w:ind w:right="5200"/>
        <w:spacing w:after="0"/>
        <w:rPr>
          <w:sz w:val="20"/>
          <w:szCs w:val="20"/>
          <w:color w:val="auto"/>
        </w:rPr>
      </w:pPr>
      <w:r>
        <w:rPr>
          <w:rFonts w:ascii="Arial" w:cs="Arial" w:eastAsia="Arial" w:hAnsi="Arial"/>
          <w:sz w:val="16"/>
          <w:szCs w:val="16"/>
          <w:color w:val="auto"/>
        </w:rPr>
        <w:t>Submit</w:t>
      </w:r>
      <w:r>
        <w:rPr>
          <w:sz w:val="1"/>
          <w:szCs w:val="1"/>
          <w:color w:val="auto"/>
        </w:rPr>
        <w:drawing>
          <wp:inline distT="0" distB="0" distL="0" distR="0">
            <wp:extent cx="20955" cy="14795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955" cy="147955"/>
                    </a:xfrm>
                    <a:prstGeom prst="rect">
                      <a:avLst/>
                    </a:prstGeom>
                    <a:noFill/>
                    <a:ln>
                      <a:noFill/>
                    </a:ln>
                  </pic:spPr>
                </pic:pic>
              </a:graphicData>
            </a:graphic>
          </wp:inline>
        </w:drawing>
      </w:r>
      <w:r>
        <w:rPr>
          <w:rFonts w:ascii="Arial" w:cs="Arial" w:eastAsia="Arial" w:hAnsi="Arial"/>
          <w:sz w:val="16"/>
          <w:szCs w:val="16"/>
          <w:color w:val="auto"/>
          <w:highlight w:val="white"/>
        </w:rPr>
        <w:t>Reset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-147320</wp:posOffset>
            </wp:positionV>
            <wp:extent cx="647700" cy="147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7700"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727710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7100" cy="2095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upperLetter"/>
      <w:start w:val="24"/>
    </w:lvl>
  </w:abstractNum>
  <w:abstractNum w:abstractNumId="1">
    <w:nsid w:val="614FD4A1"/>
    <w:multiLevelType w:val="hybridMultilevel"/>
    <w:lvl w:ilvl="0">
      <w:lvlJc w:val="left"/>
      <w:lvlText w:val="[%1]"/>
      <w:numFmt w:val="upperLetter"/>
      <w:start w:val="24"/>
    </w:lvl>
  </w:abstractNum>
  <w:abstractNum w:abstractNumId="2">
    <w:nsid w:val="419AC241"/>
    <w:multiLevelType w:val="hybridMultilevel"/>
    <w:lvl w:ilvl="0">
      <w:lvlJc w:val="left"/>
      <w:lvlText w:val="["/>
      <w:numFmt w:val="bullet"/>
      <w:start w:val="1"/>
    </w:lvl>
    <w:lvl w:ilvl="1">
      <w:lvlJc w:val="left"/>
      <w:lvlText w:val="%2)"/>
      <w:numFmt w:val="decimal"/>
      <w:start w:val="1"/>
    </w:lvl>
  </w:abstractNum>
  <w:abstractNum w:abstractNumId="3">
    <w:nsid w:val="5577F8E1"/>
    <w:multiLevelType w:val="hybridMultilevel"/>
    <w:lvl w:ilvl="0">
      <w:lvlJc w:val="left"/>
      <w:lvlText w:val="["/>
      <w:numFmt w:val="bullet"/>
      <w:start w:val="1"/>
    </w:lvl>
    <w:lvl w:ilvl="1">
      <w:lvlJc w:val="left"/>
      <w:lvlText w:val="%2)"/>
      <w:numFmt w:val="decimal"/>
      <w:start w:val="1"/>
    </w:lvl>
  </w:abstractNum>
  <w:abstractNum w:abstractNumId="4">
    <w:nsid w:val="440BADFC"/>
    <w:multiLevelType w:val="hybridMultilevel"/>
    <w:lvl w:ilvl="0">
      <w:lvlJc w:val="left"/>
      <w:lvlText w:val="%1."/>
      <w:numFmt w:val="upperLetter"/>
      <w:start w:val="1"/>
    </w:lvl>
    <w:lvl w:ilvl="1">
      <w:lvlJc w:val="left"/>
      <w:lvlText w:val="%2."/>
      <w:numFmt w:val="decimal"/>
      <w:start w:val="1"/>
    </w:lvl>
  </w:abstractNum>
  <w:abstractNum w:abstractNumId="5">
    <w:nsid w:val="5072367"/>
    <w:multiLevelType w:val="hybridMultilevel"/>
    <w:lvl w:ilvl="0">
      <w:lvlJc w:val="left"/>
      <w:lvlText w:val="%1"/>
      <w:numFmt w:val="upperLetter"/>
      <w:start w:val="1"/>
    </w:lvl>
    <w:lvl w:ilvl="1">
      <w:lvlJc w:val="left"/>
      <w:lvlText w:val="%2."/>
      <w:numFmt w:val="decimal"/>
      <w:start w:val="4"/>
    </w:lvl>
  </w:abstractNum>
  <w:abstractNum w:abstractNumId="6">
    <w:nsid w:val="3804823E"/>
    <w:multiLevelType w:val="hybridMultilevel"/>
    <w:lvl w:ilvl="0">
      <w:lvlJc w:val="left"/>
      <w:lvlText w:val="%1."/>
      <w:numFmt w:val="upperLetter"/>
      <w:start w:val="2"/>
    </w:lvl>
    <w:lvl w:ilvl="1">
      <w:lvlJc w:val="left"/>
      <w:lvlText w:val="%2."/>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4"/>
    </w:lvl>
  </w:abstractNum>
  <w:abstractNum w:abstractNumId="9">
    <w:nsid w:val="5C482A97"/>
    <w:multiLevelType w:val="hybridMultilevel"/>
    <w:lvl w:ilvl="0">
      <w:lvlJc w:val="left"/>
      <w:lvlText w:val="(%1)"/>
      <w:numFmt w:val="decimal"/>
      <w:start w:val="5"/>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2"/>
      <w:numFmt w:val="bullet"/>
      <w:start w:val="1"/>
    </w:lvl>
  </w:abstractNum>
  <w:abstractNum w:abstractNumId="17">
    <w:nsid w:val="70A64E2A"/>
    <w:multiLevelType w:val="hybridMultilevel"/>
    <w:lvl w:ilvl="0">
      <w:lvlJc w:val="left"/>
      <w:lvlText w:val="3"/>
      <w:numFmt w:val="bullet"/>
      <w:start w:val="1"/>
    </w:lvl>
  </w:abstractNum>
  <w:abstractNum w:abstractNumId="18">
    <w:nsid w:val="6A2342EC"/>
    <w:multiLevelType w:val="hybridMultilevel"/>
    <w:lvl w:ilvl="0">
      <w:lvlJc w:val="left"/>
      <w:lvlText w:val="4"/>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5"/>
      <w:numFmt w:val="bullet"/>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4"/>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3"/>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lowerRoman"/>
      <w:start w:val="3"/>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4"/>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decimal"/>
      <w:start w:val="2"/>
    </w:lvl>
  </w:abstractNum>
  <w:abstractNum w:abstractNumId="42">
    <w:nsid w:val="4F4EF005"/>
    <w:multiLevelType w:val="hybridMultilevel"/>
    <w:lvl w:ilvl="0">
      <w:lvlJc w:val="left"/>
      <w:lvlText w:val="(%1)"/>
      <w:numFmt w:val="decimal"/>
      <w:start w:val="3"/>
    </w:lvl>
    <w:lvl w:ilvl="1">
      <w:lvlJc w:val="left"/>
      <w:lvlText w:val="(%2)"/>
      <w:numFmt w:val="lowerLetter"/>
      <w:start w:val="1"/>
    </w:lvl>
  </w:abstractNum>
  <w:abstractNum w:abstractNumId="43">
    <w:nsid w:val="23F9C13C"/>
    <w:multiLevelType w:val="hybridMultilevel"/>
    <w:lvl w:ilvl="0">
      <w:lvlJc w:val="left"/>
      <w:lvlText w:val="%1."/>
      <w:numFmt w:val="decimal"/>
      <w:start w:val="1"/>
    </w:lvl>
    <w:lvl w:ilvl="1">
      <w:lvlJc w:val="left"/>
      <w:lvlText w:val="(%2)"/>
      <w:numFmt w:val="lowerLetter"/>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2"/>
    </w:lvl>
    <w:lvl w:ilvl="1">
      <w:lvlJc w:val="left"/>
      <w:lvlText w:val="(%2)"/>
      <w:numFmt w:val="lowerLetter"/>
      <w:start w:val="1"/>
    </w:lvl>
  </w:abstractNum>
  <w:abstractNum w:abstractNumId="46">
    <w:nsid w:val="39386575"/>
    <w:multiLevelType w:val="hybridMultilevel"/>
    <w:lvl w:ilvl="0">
      <w:lvlJc w:val="left"/>
      <w:lvlText w:val="(%1)"/>
      <w:numFmt w:val="decimal"/>
      <w:start w:val="5"/>
    </w:lvl>
  </w:abstractNum>
  <w:abstractNum w:abstractNumId="47">
    <w:nsid w:val="1CF10F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49">
    <w:nsid w:val="235BA861"/>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50">
    <w:nsid w:val="47398C89"/>
    <w:multiLevelType w:val="hybridMultilevel"/>
    <w:lvl w:ilvl="0">
      <w:lvlJc w:val="left"/>
      <w:lvlText w:val="(%1)"/>
      <w:numFmt w:val="lowerLetter"/>
      <w:start w:val="7"/>
    </w:lvl>
    <w:lvl w:ilvl="1">
      <w:lvlJc w:val="left"/>
      <w:lvlText w:val="(%2)"/>
      <w:numFmt w:val="lowerLetter"/>
      <w:start w:val="35"/>
    </w:lvl>
    <w:lvl w:ilvl="2">
      <w:lvlJc w:val="left"/>
      <w:lvlText w:val="%3"/>
      <w:numFmt w:val="upperLetter"/>
      <w:start w:val="1"/>
    </w:lvl>
  </w:abstractNum>
  <w:abstractNum w:abstractNumId="51">
    <w:nsid w:val="354FE9F9"/>
    <w:multiLevelType w:val="hybridMultilevel"/>
    <w:lvl w:ilvl="0">
      <w:lvlJc w:val="left"/>
      <w:lvlText w:val="(%1)"/>
      <w:numFmt w:val="lowerLetter"/>
      <w:start w:val="27"/>
    </w:lvl>
  </w:abstractNum>
  <w:abstractNum w:abstractNumId="52">
    <w:nsid w:val="15B5AF5C"/>
    <w:multiLevelType w:val="hybridMultilevel"/>
    <w:lvl w:ilvl="0">
      <w:lvlJc w:val="left"/>
      <w:lvlText w:val="(%1)"/>
      <w:numFmt w:val="lowerLetter"/>
      <w:start w:val="36"/>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Roman"/>
      <w:start w:val="1"/>
    </w:lvl>
    <w:lvl w:ilvl="1">
      <w:lvlJc w:val="left"/>
      <w:lvlText w:val="(%2)"/>
      <w:numFmt w:val="decimal"/>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2019-12-05T15:03:39Z</dcterms:created>
  <dcterms:modified xsi:type="dcterms:W3CDTF">2019-12-05T15:03:39Z</dcterms:modified>
</cp:coreProperties>
</file>