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10" w:lineRule="exact"/>
        <w:rPr>
          <w:sz w:val="24"/>
          <w:szCs w:val="24"/>
          <w:color w:val="auto"/>
        </w:rPr>
      </w:pPr>
    </w:p>
    <w:p>
      <w:pPr>
        <w:ind w:left="2840"/>
        <w:spacing w:after="0"/>
        <w:tabs>
          <w:tab w:leader="none" w:pos="4800" w:val="left"/>
        </w:tabs>
        <w:rPr>
          <w:sz w:val="20"/>
          <w:szCs w:val="20"/>
          <w:color w:val="auto"/>
        </w:rPr>
      </w:pPr>
      <w:r>
        <w:rPr>
          <w:rFonts w:ascii="Courier New" w:cs="Courier New" w:eastAsia="Courier New" w:hAnsi="Courier New"/>
          <w:sz w:val="17"/>
          <w:szCs w:val="17"/>
          <w:color w:val="auto"/>
        </w:rPr>
        <w:t>Washington, D. C.</w:t>
        <w:tab/>
        <w:t>20549</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10-K</w:t>
      </w:r>
    </w:p>
    <w:p>
      <w:pPr>
        <w:spacing w:after="0" w:line="210" w:lineRule="exact"/>
        <w:rPr>
          <w:sz w:val="24"/>
          <w:szCs w:val="24"/>
          <w:color w:val="auto"/>
        </w:rPr>
      </w:pPr>
    </w:p>
    <w:p>
      <w:pPr>
        <w:ind w:left="1780"/>
        <w:spacing w:after="0"/>
        <w:rPr>
          <w:sz w:val="20"/>
          <w:szCs w:val="20"/>
          <w:color w:val="auto"/>
        </w:rPr>
      </w:pPr>
      <w:r>
        <w:rPr>
          <w:rFonts w:ascii="Courier New" w:cs="Courier New" w:eastAsia="Courier New" w:hAnsi="Courier New"/>
          <w:sz w:val="17"/>
          <w:szCs w:val="17"/>
          <w:color w:val="auto"/>
        </w:rPr>
        <w:t>ANNUAL REPORT PURSUANT TO SECTION 13 OR 15(d)</w:t>
      </w:r>
    </w:p>
    <w:p>
      <w:pPr>
        <w:spacing w:after="0" w:line="41"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178"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For the Fiscal Year Ended December 31, 1997</w:t>
      </w:r>
    </w:p>
    <w:p>
      <w:pPr>
        <w:spacing w:after="0" w:line="41"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Commission File Number 1-3761</w:t>
      </w:r>
    </w:p>
    <w:p>
      <w:pPr>
        <w:spacing w:after="0" w:line="178"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TEXAS INSTRUMENTS INCORPORATED</w:t>
      </w:r>
    </w:p>
    <w:p>
      <w:pPr>
        <w:spacing w:after="0" w:line="41"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78" w:lineRule="exact"/>
        <w:rPr>
          <w:sz w:val="24"/>
          <w:szCs w:val="24"/>
          <w:color w:val="auto"/>
        </w:rPr>
      </w:pPr>
    </w:p>
    <w:tbl>
      <w:tblPr>
        <w:tblLayout w:type="fixed"/>
        <w:tblInd w:w="640" w:type="dxa"/>
        <w:tblCellMar>
          <w:top w:w="0" w:type="dxa"/>
          <w:left w:w="0" w:type="dxa"/>
          <w:bottom w:w="0" w:type="dxa"/>
          <w:right w:w="0" w:type="dxa"/>
        </w:tblCellMar>
      </w:tblPr>
      <w:tr>
        <w:trPr>
          <w:trHeight w:val="201"/>
        </w:trPr>
        <w:tc>
          <w:tcPr>
            <w:tcW w:w="2880" w:type="dxa"/>
            <w:vAlign w:val="bottom"/>
          </w:tcPr>
          <w:p>
            <w:pPr>
              <w:jc w:val="center"/>
              <w:ind w:right="285"/>
              <w:spacing w:after="0"/>
              <w:rPr>
                <w:sz w:val="20"/>
                <w:szCs w:val="20"/>
                <w:color w:val="auto"/>
              </w:rPr>
            </w:pPr>
            <w:r>
              <w:rPr>
                <w:rFonts w:ascii="Courier New" w:cs="Courier New" w:eastAsia="Courier New" w:hAnsi="Courier New"/>
                <w:sz w:val="17"/>
                <w:szCs w:val="17"/>
                <w:color w:val="auto"/>
              </w:rPr>
              <w:t>Delaware</w:t>
            </w:r>
          </w:p>
        </w:tc>
        <w:tc>
          <w:tcPr>
            <w:tcW w:w="414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75-0289970</w:t>
            </w:r>
          </w:p>
        </w:tc>
        <w:tc>
          <w:tcPr>
            <w:tcW w:w="0" w:type="dxa"/>
            <w:vAlign w:val="bottom"/>
          </w:tcPr>
          <w:p>
            <w:pPr>
              <w:spacing w:after="0"/>
              <w:rPr>
                <w:sz w:val="1"/>
                <w:szCs w:val="1"/>
                <w:color w:val="auto"/>
              </w:rPr>
            </w:pPr>
          </w:p>
        </w:tc>
      </w:tr>
      <w:tr>
        <w:trPr>
          <w:trHeight w:val="201"/>
        </w:trPr>
        <w:tc>
          <w:tcPr>
            <w:tcW w:w="2880" w:type="dxa"/>
            <w:vAlign w:val="bottom"/>
            <w:vMerge w:val="restart"/>
          </w:tcPr>
          <w:p>
            <w:pPr>
              <w:jc w:val="center"/>
              <w:ind w:right="305"/>
              <w:spacing w:after="0"/>
              <w:rPr>
                <w:sz w:val="20"/>
                <w:szCs w:val="20"/>
                <w:color w:val="auto"/>
              </w:rPr>
            </w:pPr>
            <w:r>
              <w:rPr>
                <w:rFonts w:ascii="Courier New" w:cs="Courier New" w:eastAsia="Courier New" w:hAnsi="Courier New"/>
                <w:sz w:val="20"/>
                <w:szCs w:val="20"/>
                <w:color w:val="auto"/>
                <w:w w:val="71"/>
                <w:vertAlign w:val="subscript"/>
              </w:rPr>
              <w:t>(State</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ofIncorporation)</w:t>
            </w:r>
          </w:p>
        </w:tc>
        <w:tc>
          <w:tcPr>
            <w:tcW w:w="4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12"/>
        </w:trPr>
        <w:tc>
          <w:tcPr>
            <w:tcW w:w="2880" w:type="dxa"/>
            <w:vAlign w:val="bottom"/>
            <w:vMerge w:val="continue"/>
          </w:tcPr>
          <w:p>
            <w:pPr>
              <w:spacing w:after="0"/>
              <w:rPr>
                <w:sz w:val="24"/>
                <w:szCs w:val="24"/>
                <w:color w:val="auto"/>
              </w:rPr>
            </w:pPr>
          </w:p>
        </w:tc>
        <w:tc>
          <w:tcPr>
            <w:tcW w:w="4140" w:type="dxa"/>
            <w:vAlign w:val="bottom"/>
          </w:tcPr>
          <w:p>
            <w:pPr>
              <w:ind w:left="360"/>
              <w:spacing w:after="0"/>
              <w:rPr>
                <w:sz w:val="20"/>
                <w:szCs w:val="20"/>
                <w:color w:val="auto"/>
              </w:rPr>
            </w:pPr>
            <w:r>
              <w:rPr>
                <w:rFonts w:ascii="Courier New" w:cs="Courier New" w:eastAsia="Courier New" w:hAnsi="Courier New"/>
                <w:sz w:val="17"/>
                <w:szCs w:val="17"/>
                <w:color w:val="auto"/>
              </w:rPr>
              <w:t>(I.R.S. Employer Identification No.)</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8505 Forest Lane, P.O. Box 660199, Dallas, Texas 75266-0199</w:t>
      </w:r>
    </w:p>
    <w:p>
      <w:pPr>
        <w:spacing w:after="0" w:line="41"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320"/>
        <w:spacing w:after="0"/>
        <w:tabs>
          <w:tab w:leader="none" w:pos="70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7"/>
          <w:szCs w:val="17"/>
          <w:color w:val="auto"/>
        </w:rPr>
        <w:t>(Zip Code)</w:t>
      </w:r>
    </w:p>
    <w:p>
      <w:pPr>
        <w:spacing w:after="0" w:line="178"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Registrant's telephone number, including area code 972-995-3773</w:t>
      </w:r>
    </w:p>
    <w:p>
      <w:pPr>
        <w:spacing w:after="0" w:line="210"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4400" w:type="dxa"/>
            <w:vAlign w:val="bottom"/>
            <w:vMerge w:val="restart"/>
          </w:tcPr>
          <w:p>
            <w:pPr>
              <w:spacing w:after="0"/>
              <w:rPr>
                <w:sz w:val="20"/>
                <w:szCs w:val="20"/>
                <w:color w:val="auto"/>
              </w:rPr>
            </w:pPr>
            <w:r>
              <w:rPr>
                <w:rFonts w:ascii="Courier New" w:cs="Courier New" w:eastAsia="Courier New" w:hAnsi="Courier New"/>
                <w:sz w:val="17"/>
                <w:szCs w:val="17"/>
                <w:color w:val="auto"/>
              </w:rPr>
              <w:t>Title of each class</w:t>
            </w:r>
          </w:p>
        </w:tc>
        <w:tc>
          <w:tcPr>
            <w:tcW w:w="3880" w:type="dxa"/>
            <w:vAlign w:val="bottom"/>
          </w:tcPr>
          <w:p>
            <w:pPr>
              <w:ind w:left="1160"/>
              <w:spacing w:after="0"/>
              <w:rPr>
                <w:sz w:val="20"/>
                <w:szCs w:val="20"/>
                <w:color w:val="auto"/>
              </w:rPr>
            </w:pPr>
            <w:r>
              <w:rPr>
                <w:rFonts w:ascii="Courier New" w:cs="Courier New" w:eastAsia="Courier New" w:hAnsi="Courier New"/>
                <w:sz w:val="17"/>
                <w:szCs w:val="17"/>
                <w:color w:val="auto"/>
              </w:rPr>
              <w:t>Name of each exchange on</w:t>
            </w:r>
          </w:p>
        </w:tc>
        <w:tc>
          <w:tcPr>
            <w:tcW w:w="0" w:type="dxa"/>
            <w:vAlign w:val="bottom"/>
          </w:tcPr>
          <w:p>
            <w:pPr>
              <w:spacing w:after="0"/>
              <w:rPr>
                <w:sz w:val="1"/>
                <w:szCs w:val="1"/>
                <w:color w:val="auto"/>
              </w:rPr>
            </w:pPr>
          </w:p>
        </w:tc>
      </w:tr>
      <w:tr>
        <w:trPr>
          <w:trHeight w:val="201"/>
        </w:trPr>
        <w:tc>
          <w:tcPr>
            <w:tcW w:w="4400" w:type="dxa"/>
            <w:vAlign w:val="bottom"/>
            <w:vMerge w:val="continue"/>
          </w:tcPr>
          <w:p>
            <w:pPr>
              <w:spacing w:after="0"/>
              <w:rPr>
                <w:sz w:val="17"/>
                <w:szCs w:val="17"/>
                <w:color w:val="auto"/>
              </w:rPr>
            </w:pPr>
          </w:p>
        </w:tc>
        <w:tc>
          <w:tcPr>
            <w:tcW w:w="3880" w:type="dxa"/>
            <w:vAlign w:val="bottom"/>
          </w:tcPr>
          <w:p>
            <w:pPr>
              <w:ind w:left="1480"/>
              <w:spacing w:after="0"/>
              <w:rPr>
                <w:sz w:val="20"/>
                <w:szCs w:val="20"/>
                <w:color w:val="auto"/>
              </w:rPr>
            </w:pPr>
            <w:r>
              <w:rPr>
                <w:rFonts w:ascii="Courier New" w:cs="Courier New" w:eastAsia="Courier New" w:hAnsi="Courier New"/>
                <w:sz w:val="17"/>
                <w:szCs w:val="17"/>
                <w:color w:val="auto"/>
              </w:rPr>
              <w:t>which registered</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880" w:type="dxa"/>
            <w:vAlign w:val="bottom"/>
          </w:tcPr>
          <w:p>
            <w:pPr>
              <w:ind w:left="136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Courier New" w:cs="Courier New" w:eastAsia="Courier New" w:hAnsi="Courier New"/>
                <w:sz w:val="17"/>
                <w:szCs w:val="17"/>
                <w:color w:val="auto"/>
              </w:rPr>
              <w:t>Common Stock, par value $1.00</w:t>
            </w:r>
          </w:p>
        </w:tc>
        <w:tc>
          <w:tcPr>
            <w:tcW w:w="3880" w:type="dxa"/>
            <w:vAlign w:val="bottom"/>
          </w:tcPr>
          <w:p>
            <w:pPr>
              <w:ind w:left="1160"/>
              <w:spacing w:after="0"/>
              <w:rPr>
                <w:sz w:val="20"/>
                <w:szCs w:val="20"/>
                <w:color w:val="auto"/>
              </w:rPr>
            </w:pPr>
            <w:r>
              <w:rPr>
                <w:rFonts w:ascii="Courier New" w:cs="Courier New" w:eastAsia="Courier New" w:hAnsi="Courier New"/>
                <w:sz w:val="17"/>
                <w:szCs w:val="17"/>
                <w:color w:val="auto"/>
              </w:rPr>
              <w:t>New York Stock Exchange</w:t>
            </w:r>
          </w:p>
        </w:tc>
        <w:tc>
          <w:tcPr>
            <w:tcW w:w="0" w:type="dxa"/>
            <w:vAlign w:val="bottom"/>
          </w:tcPr>
          <w:p>
            <w:pPr>
              <w:spacing w:after="0"/>
              <w:rPr>
                <w:sz w:val="1"/>
                <w:szCs w:val="1"/>
                <w:color w:val="auto"/>
              </w:rPr>
            </w:pPr>
          </w:p>
        </w:tc>
      </w:tr>
      <w:tr>
        <w:trPr>
          <w:trHeight w:val="201"/>
        </w:trPr>
        <w:tc>
          <w:tcPr>
            <w:tcW w:w="4400" w:type="dxa"/>
            <w:vAlign w:val="bottom"/>
            <w:vMerge w:val="restart"/>
          </w:tcPr>
          <w:p>
            <w:pPr>
              <w:spacing w:after="0"/>
              <w:rPr>
                <w:sz w:val="20"/>
                <w:szCs w:val="20"/>
                <w:color w:val="auto"/>
              </w:rPr>
            </w:pPr>
            <w:r>
              <w:rPr>
                <w:rFonts w:ascii="Courier New" w:cs="Courier New" w:eastAsia="Courier New" w:hAnsi="Courier New"/>
                <w:sz w:val="17"/>
                <w:szCs w:val="17"/>
                <w:color w:val="auto"/>
              </w:rPr>
              <w:t>Preferred Stock Purchase Rights</w:t>
            </w:r>
          </w:p>
        </w:tc>
        <w:tc>
          <w:tcPr>
            <w:tcW w:w="3880" w:type="dxa"/>
            <w:vAlign w:val="bottom"/>
          </w:tcPr>
          <w:p>
            <w:pPr>
              <w:ind w:left="1160"/>
              <w:spacing w:after="0"/>
              <w:rPr>
                <w:sz w:val="20"/>
                <w:szCs w:val="20"/>
                <w:color w:val="auto"/>
              </w:rPr>
            </w:pPr>
            <w:r>
              <w:rPr>
                <w:rFonts w:ascii="Courier New" w:cs="Courier New" w:eastAsia="Courier New" w:hAnsi="Courier New"/>
                <w:sz w:val="17"/>
                <w:szCs w:val="17"/>
                <w:color w:val="auto"/>
              </w:rPr>
              <w:t>The Swiss Exchange</w:t>
            </w:r>
          </w:p>
        </w:tc>
        <w:tc>
          <w:tcPr>
            <w:tcW w:w="0" w:type="dxa"/>
            <w:vAlign w:val="bottom"/>
          </w:tcPr>
          <w:p>
            <w:pPr>
              <w:spacing w:after="0"/>
              <w:rPr>
                <w:sz w:val="1"/>
                <w:szCs w:val="1"/>
                <w:color w:val="auto"/>
              </w:rPr>
            </w:pPr>
          </w:p>
        </w:tc>
      </w:tr>
      <w:tr>
        <w:trPr>
          <w:trHeight w:val="295"/>
        </w:trPr>
        <w:tc>
          <w:tcPr>
            <w:tcW w:w="4400" w:type="dxa"/>
            <w:vAlign w:val="bottom"/>
            <w:vMerge w:val="continue"/>
          </w:tcPr>
          <w:p>
            <w:pPr>
              <w:spacing w:after="0"/>
              <w:rPr>
                <w:sz w:val="24"/>
                <w:szCs w:val="24"/>
                <w:color w:val="auto"/>
              </w:rPr>
            </w:pPr>
          </w:p>
        </w:tc>
        <w:tc>
          <w:tcPr>
            <w:tcW w:w="3880" w:type="dxa"/>
            <w:vAlign w:val="bottom"/>
          </w:tcPr>
          <w:p>
            <w:pPr>
              <w:ind w:left="1160"/>
              <w:spacing w:after="0"/>
              <w:rPr>
                <w:sz w:val="20"/>
                <w:szCs w:val="20"/>
                <w:color w:val="auto"/>
              </w:rPr>
            </w:pPr>
            <w:r>
              <w:rPr>
                <w:rFonts w:ascii="Courier New" w:cs="Courier New" w:eastAsia="Courier New" w:hAnsi="Courier New"/>
                <w:sz w:val="17"/>
                <w:szCs w:val="17"/>
                <w:color w:val="auto"/>
              </w:rPr>
              <w:t>New York Stock Exchange</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right="2139"/>
        <w:spacing w:after="0" w:line="283"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73" w:lineRule="exact"/>
        <w:rPr>
          <w:sz w:val="24"/>
          <w:szCs w:val="24"/>
          <w:color w:val="auto"/>
        </w:rPr>
      </w:pPr>
    </w:p>
    <w:p>
      <w:pPr>
        <w:ind w:right="2039"/>
        <w:spacing w:after="0" w:line="283"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73" w:lineRule="exact"/>
        <w:rPr>
          <w:sz w:val="24"/>
          <w:szCs w:val="24"/>
          <w:color w:val="auto"/>
        </w:rPr>
      </w:pPr>
    </w:p>
    <w:p>
      <w:pPr>
        <w:ind w:right="2679"/>
        <w:spacing w:after="0" w:line="379" w:lineRule="auto"/>
        <w:rPr>
          <w:sz w:val="20"/>
          <w:szCs w:val="20"/>
          <w:color w:val="auto"/>
        </w:rPr>
      </w:pPr>
      <w:r>
        <w:rPr>
          <w:rFonts w:ascii="Courier New" w:cs="Courier New" w:eastAsia="Courier New" w:hAnsi="Courier New"/>
          <w:sz w:val="17"/>
          <w:szCs w:val="17"/>
          <w:color w:val="auto"/>
        </w:rPr>
        <w:t>The aggregate market value of voting stock held by non-affiliates of the Registrant was approximately $17,423,000,000 as of December 31, 1997.</w:t>
      </w:r>
    </w:p>
    <w:p>
      <w:pPr>
        <w:spacing w:after="0" w:line="197"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389,498,552</w:t>
      </w:r>
    </w:p>
    <w:p>
      <w:pPr>
        <w:spacing w:after="0" w:line="41"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(Number of shares of common stock outstanding as of December 31, 1997)</w:t>
      </w:r>
    </w:p>
    <w:p>
      <w:pPr>
        <w:spacing w:after="0" w:line="178" w:lineRule="exact"/>
        <w:rPr>
          <w:sz w:val="24"/>
          <w:szCs w:val="24"/>
          <w:color w:val="auto"/>
        </w:rPr>
      </w:pPr>
    </w:p>
    <w:p>
      <w:pPr>
        <w:ind w:right="2039"/>
        <w:spacing w:after="0" w:line="293" w:lineRule="auto"/>
        <w:rPr>
          <w:sz w:val="20"/>
          <w:szCs w:val="20"/>
          <w:color w:val="auto"/>
        </w:rPr>
      </w:pPr>
      <w:r>
        <w:rPr>
          <w:rFonts w:ascii="Courier New" w:cs="Courier New" w:eastAsia="Courier New" w:hAnsi="Courier New"/>
          <w:sz w:val="17"/>
          <w:szCs w:val="17"/>
          <w:color w:val="auto"/>
        </w:rPr>
        <w:t>Parts I, II and IV hereof incorporate information by reference to the Registrant's 1997 annual report to stockholders. Part III hereof incorporates information by reference to the Registrant's proxy statement for the 1998 annual meeting of stockholders.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Business.</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Semiconductors</w:t>
      </w:r>
    </w:p>
    <w:p>
      <w:pPr>
        <w:spacing w:after="0" w:line="4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4"/>
          <w:szCs w:val="24"/>
          <w:color w:val="auto"/>
        </w:rPr>
      </w:pPr>
    </w:p>
    <w:p>
      <w:pPr>
        <w:ind w:right="2039"/>
        <w:spacing w:after="0" w:line="265" w:lineRule="auto"/>
        <w:rPr>
          <w:sz w:val="20"/>
          <w:szCs w:val="20"/>
          <w:color w:val="auto"/>
        </w:rPr>
      </w:pPr>
      <w:r>
        <w:rPr>
          <w:rFonts w:ascii="Courier New" w:cs="Courier New" w:eastAsia="Courier New" w:hAnsi="Courier New"/>
          <w:sz w:val="17"/>
          <w:szCs w:val="17"/>
          <w:color w:val="auto"/>
        </w:rPr>
        <w:t>Texas Instruments Incorporated ("TI," or the "Registrant," including subsidiaries except where the context indicates otherwise) is a global semiconductor company and the world's leading designer and supplier of digital signal processing solutions, the engines driving the digitization of electronics. These digital signal processing solutions consist primarily of digital signal processors and mixed-signal/analog devices that convert the analog signals of the real world into digital data, then back again as analog output. They enable a wide range of new products and features for TI's more than 30,000 customers in industrial, commercial and government end-equipment markets.</w:t>
      </w:r>
    </w:p>
    <w:p>
      <w:pPr>
        <w:sectPr>
          <w:pgSz w:w="11900" w:h="16838" w:orient="portrait"/>
          <w:cols w:equalWidth="0" w:num="1">
            <w:col w:w="10219"/>
          </w:cols>
          <w:pgMar w:left="240" w:top="217" w:right="1440" w:bottom="0" w:gutter="0" w:footer="0" w:header="0"/>
        </w:sectPr>
      </w:pPr>
    </w:p>
    <w:bookmarkStart w:id="1" w:name="page2"/>
    <w:bookmarkEnd w:id="1"/>
    <w:p>
      <w:pPr>
        <w:spacing w:after="0" w:line="103" w:lineRule="exact"/>
        <w:rPr>
          <w:sz w:val="20"/>
          <w:szCs w:val="20"/>
          <w:color w:val="auto"/>
        </w:rPr>
      </w:pPr>
    </w:p>
    <w:p>
      <w:pPr>
        <w:ind w:right="3099"/>
        <w:spacing w:after="0" w:line="293" w:lineRule="auto"/>
        <w:rPr>
          <w:sz w:val="20"/>
          <w:szCs w:val="20"/>
          <w:color w:val="auto"/>
        </w:rPr>
      </w:pPr>
      <w:r>
        <w:rPr>
          <w:rFonts w:ascii="Courier New" w:cs="Courier New" w:eastAsia="Courier New" w:hAnsi="Courier New"/>
          <w:sz w:val="17"/>
          <w:szCs w:val="17"/>
          <w:color w:val="auto"/>
        </w:rPr>
        <w:t>TI also is a world leader in the design and manufacturing of other semiconductor products. Those products include application-specific integrated circuits, reduced instruction-set microprocessors, microcontrollers, standard logic, and memories.</w:t>
      </w:r>
    </w:p>
    <w:p>
      <w:pPr>
        <w:spacing w:after="0" w:line="67" w:lineRule="exact"/>
        <w:rPr>
          <w:sz w:val="20"/>
          <w:szCs w:val="20"/>
          <w:color w:val="auto"/>
        </w:rPr>
      </w:pPr>
    </w:p>
    <w:p>
      <w:pPr>
        <w:ind w:right="2139"/>
        <w:spacing w:after="0" w:line="269" w:lineRule="auto"/>
        <w:rPr>
          <w:sz w:val="20"/>
          <w:szCs w:val="20"/>
          <w:color w:val="auto"/>
        </w:rPr>
      </w:pPr>
      <w:r>
        <w:rPr>
          <w:rFonts w:ascii="Courier New" w:cs="Courier New" w:eastAsia="Courier New" w:hAnsi="Courier New"/>
          <w:sz w:val="17"/>
          <w:szCs w:val="17"/>
          <w:color w:val="auto"/>
        </w:rPr>
        <w:t>Semiconductors comprised 83% of TI's total revenues in 1997. TI's semiconductor products are used in a diverse range of electronic systems, including digital cell phones, pagers, computers, printers, mass storage devices, modems, networking equipment, digital cameras and video recorders, motor controls, autos, and home appliances. Products are sold primarily to original-equipment manufacturers and through distributors. In addition, TI's semiconductor patent portfolio has been established as an ongoing contributor to semiconductor revenues.</w:t>
      </w:r>
    </w:p>
    <w:p>
      <w:pPr>
        <w:spacing w:after="0" w:line="86" w:lineRule="exact"/>
        <w:rPr>
          <w:sz w:val="20"/>
          <w:szCs w:val="20"/>
          <w:color w:val="auto"/>
        </w:rPr>
      </w:pPr>
    </w:p>
    <w:p>
      <w:pPr>
        <w:ind w:right="2039"/>
        <w:spacing w:after="0" w:line="276" w:lineRule="auto"/>
        <w:rPr>
          <w:sz w:val="20"/>
          <w:szCs w:val="20"/>
          <w:color w:val="auto"/>
        </w:rPr>
      </w:pPr>
      <w:r>
        <w:rPr>
          <w:rFonts w:ascii="Courier New" w:cs="Courier New" w:eastAsia="Courier New" w:hAnsi="Courier New"/>
          <w:sz w:val="17"/>
          <w:szCs w:val="17"/>
          <w:color w:val="auto"/>
        </w:rPr>
        <w:t>The semiconductor business is intensely competitive, subject to rapid technological change, and requires high rates of investment. TI faces strong competition in all of its semiconductor product lines. The rapid pace of change and technological breakthroughs constantly create new opportunities for existing competitors and start-ups, which can quickly render existing technologies less valuable.</w:t>
      </w:r>
    </w:p>
    <w:p>
      <w:pPr>
        <w:spacing w:after="0" w:line="81" w:lineRule="exact"/>
        <w:rPr>
          <w:sz w:val="20"/>
          <w:szCs w:val="20"/>
          <w:color w:val="auto"/>
        </w:rPr>
      </w:pPr>
    </w:p>
    <w:p>
      <w:pPr>
        <w:ind w:right="2039"/>
        <w:spacing w:after="0" w:line="293" w:lineRule="auto"/>
        <w:rPr>
          <w:sz w:val="20"/>
          <w:szCs w:val="20"/>
          <w:color w:val="auto"/>
        </w:rPr>
      </w:pPr>
      <w:r>
        <w:rPr>
          <w:rFonts w:ascii="Courier New" w:cs="Courier New" w:eastAsia="Courier New" w:hAnsi="Courier New"/>
          <w:sz w:val="17"/>
          <w:szCs w:val="17"/>
          <w:color w:val="auto"/>
        </w:rPr>
        <w:t>In digital signal processors, TI competes with a growing number of large and smaller companies, both U.S.-based and international. New product development capabilities, applications support, software knowledge and advanced technology are the primary competitive factors in this business.</w:t>
      </w:r>
    </w:p>
    <w:p>
      <w:pPr>
        <w:spacing w:after="0" w:line="67" w:lineRule="exact"/>
        <w:rPr>
          <w:sz w:val="20"/>
          <w:szCs w:val="20"/>
          <w:color w:val="auto"/>
        </w:rPr>
      </w:pPr>
    </w:p>
    <w:p>
      <w:pPr>
        <w:ind w:right="2139"/>
        <w:spacing w:after="0" w:line="283" w:lineRule="auto"/>
        <w:rPr>
          <w:sz w:val="20"/>
          <w:szCs w:val="20"/>
          <w:color w:val="auto"/>
        </w:rPr>
      </w:pPr>
      <w:r>
        <w:rPr>
          <w:rFonts w:ascii="Courier New" w:cs="Courier New" w:eastAsia="Courier New" w:hAnsi="Courier New"/>
          <w:sz w:val="17"/>
          <w:szCs w:val="17"/>
          <w:color w:val="auto"/>
        </w:rPr>
        <w:t>The market for mixed-signal/analog devices is highly fragmented. TI competes with many large and smaller companies, both U.S.-based and international. Primary competitive factors in this business are the availability of innovative designs, a broad range of process technologies and applications support and in the standard products area, price.</w:t>
      </w:r>
    </w:p>
    <w:p>
      <w:pPr>
        <w:spacing w:after="0" w:line="73" w:lineRule="exact"/>
        <w:rPr>
          <w:sz w:val="20"/>
          <w:szCs w:val="20"/>
          <w:color w:val="auto"/>
        </w:rPr>
      </w:pPr>
    </w:p>
    <w:p>
      <w:pPr>
        <w:ind w:right="2139"/>
        <w:spacing w:after="0" w:line="293" w:lineRule="auto"/>
        <w:rPr>
          <w:sz w:val="20"/>
          <w:szCs w:val="20"/>
          <w:color w:val="auto"/>
        </w:rPr>
      </w:pPr>
      <w:r>
        <w:rPr>
          <w:rFonts w:ascii="Courier New" w:cs="Courier New" w:eastAsia="Courier New" w:hAnsi="Courier New"/>
          <w:sz w:val="17"/>
          <w:szCs w:val="17"/>
          <w:color w:val="auto"/>
        </w:rPr>
        <w:t>In memory, TI competes with a number of very large companies, primarily in Japan and Korea. TI is among the smaller competitors in this highly volatile market. Competitive factors in this business are primarily price and performance.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and Divestitures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p>
      <w:pPr>
        <w:ind w:right="2559"/>
        <w:spacing w:after="0" w:line="315" w:lineRule="auto"/>
        <w:rPr>
          <w:sz w:val="20"/>
          <w:szCs w:val="20"/>
          <w:color w:val="auto"/>
        </w:rPr>
      </w:pPr>
      <w:r>
        <w:rPr>
          <w:rFonts w:ascii="Courier New" w:cs="Courier New" w:eastAsia="Courier New" w:hAnsi="Courier New"/>
          <w:sz w:val="17"/>
          <w:szCs w:val="17"/>
          <w:color w:val="auto"/>
        </w:rPr>
        <w:t>From time to time TI considers acquisitions and divestitures that may strengthen its business portfolio. TI may effect one or more of these transactions at such time or times as it determines to be appropriate. In</w:t>
      </w: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pacing w:after="0" w:line="210" w:lineRule="exact"/>
        <w:rPr>
          <w:sz w:val="20"/>
          <w:szCs w:val="20"/>
          <w:color w:val="auto"/>
        </w:rPr>
      </w:pPr>
    </w:p>
    <w:p>
      <w:pPr>
        <w:ind w:right="2039"/>
        <w:spacing w:after="0" w:line="265" w:lineRule="auto"/>
        <w:rPr>
          <w:sz w:val="20"/>
          <w:szCs w:val="20"/>
          <w:color w:val="auto"/>
        </w:rPr>
      </w:pPr>
      <w:r>
        <w:rPr>
          <w:rFonts w:ascii="Courier New" w:cs="Courier New" w:eastAsia="Courier New" w:hAnsi="Courier New"/>
          <w:sz w:val="17"/>
          <w:szCs w:val="17"/>
          <w:color w:val="auto"/>
        </w:rPr>
        <w:t>1997, as TI tightened its focus on digital signal processing solutions, it announced the acquisition of technology companies that brought unique expertise to its core business. In the first quarter, TI acquired Intersect Technologies, Inc., a developer and designer of hardware, software and firmware for the mass storage market, a market that increasingly uses digital signal processing solutions. In the fourth quarter, TI acquired Amati Communications Corporation, the leading developer of technology for high-speed Internet connections, a market expected to reach $6 billion over the next decade. TI also acquired GO DSP Corporation, a developer of software for digital signal processors, in the first quarter of 1998.</w:t>
      </w:r>
    </w:p>
    <w:p>
      <w:pPr>
        <w:spacing w:after="0" w:line="89" w:lineRule="exact"/>
        <w:rPr>
          <w:sz w:val="20"/>
          <w:szCs w:val="20"/>
          <w:color w:val="auto"/>
        </w:rPr>
      </w:pPr>
    </w:p>
    <w:p>
      <w:pPr>
        <w:ind w:right="2039"/>
        <w:spacing w:after="0" w:line="262" w:lineRule="auto"/>
        <w:rPr>
          <w:sz w:val="20"/>
          <w:szCs w:val="20"/>
          <w:color w:val="auto"/>
        </w:rPr>
      </w:pPr>
      <w:r>
        <w:rPr>
          <w:rFonts w:ascii="Courier New" w:cs="Courier New" w:eastAsia="Courier New" w:hAnsi="Courier New"/>
          <w:sz w:val="17"/>
          <w:szCs w:val="17"/>
          <w:color w:val="auto"/>
        </w:rPr>
        <w:t>In 1997 TI divested various business units. These divestitures included the sale of the mobile computing business to The Acer Group in the first quarter, the software business to Sterling Software, Inc. in the second quarter, and the defense systems and electronics business (DSE) to Raytheon Company ("Raytheon") in the third quarter. In accordance with generally accepted accounting principles, the consolidated financial statements have been restated to classify DSE as discontinued operations. Operating results, net asset and other information for discontinued operations appear in the note to the financial statements captioned "Discontinued Operations" on pages 20-21 of TI's 1997 annual report to stockholders; unless otherwise indicated, the financial amounts in this Form 10-K have been adjusted to reflect continuing operations only.</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TI Businesses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p>
      <w:pPr>
        <w:ind w:right="2039"/>
        <w:spacing w:after="0" w:line="269" w:lineRule="auto"/>
        <w:rPr>
          <w:sz w:val="20"/>
          <w:szCs w:val="20"/>
          <w:color w:val="auto"/>
        </w:rPr>
      </w:pPr>
      <w:r>
        <w:rPr>
          <w:rFonts w:ascii="Courier New" w:cs="Courier New" w:eastAsia="Courier New" w:hAnsi="Courier New"/>
          <w:sz w:val="17"/>
          <w:szCs w:val="17"/>
          <w:color w:val="auto"/>
        </w:rPr>
        <w:t>In addition to semiconductors, TI has two other principal segments. The largest, representing 10% of TI's revenues, is materials and controls. This business sells electrical and electronic controls, electronic connectors, sensors, radio-frequency identification systems and clad metals into markets such as automotive, heating and air conditioning, and home appliances. While the top supplier in some product areas, TI faces strong multinational competitors. The primary competitive factors in this business are product reliability, manufacturing costs, and engineering expertise. The products of</w:t>
      </w:r>
    </w:p>
    <w:p>
      <w:pPr>
        <w:sectPr>
          <w:pgSz w:w="11900" w:h="16941" w:orient="portrait"/>
          <w:cols w:equalWidth="0" w:num="1">
            <w:col w:w="10219"/>
          </w:cols>
          <w:pgMar w:left="240" w:top="311" w:right="1440" w:bottom="0" w:gutter="0" w:footer="0" w:header="0"/>
        </w:sectPr>
      </w:pPr>
    </w:p>
    <w:bookmarkStart w:id="2" w:name="page3"/>
    <w:bookmarkEnd w:id="2"/>
    <w:p>
      <w:pPr>
        <w:ind w:right="2779"/>
        <w:spacing w:after="0" w:line="376" w:lineRule="auto"/>
        <w:rPr>
          <w:sz w:val="20"/>
          <w:szCs w:val="20"/>
          <w:color w:val="auto"/>
        </w:rPr>
      </w:pPr>
      <w:r>
        <w:rPr>
          <w:rFonts w:ascii="Courier New" w:cs="Courier New" w:eastAsia="Courier New" w:hAnsi="Courier New"/>
          <w:sz w:val="17"/>
          <w:szCs w:val="17"/>
          <w:color w:val="auto"/>
        </w:rPr>
        <w:t>this business are sold directly to original-equipment manufacturers and through distributors.</w:t>
      </w:r>
    </w:p>
    <w:p>
      <w:pPr>
        <w:spacing w:after="0" w:line="1" w:lineRule="exact"/>
        <w:rPr>
          <w:sz w:val="20"/>
          <w:szCs w:val="20"/>
          <w:color w:val="auto"/>
        </w:rPr>
      </w:pPr>
    </w:p>
    <w:p>
      <w:pPr>
        <w:ind w:right="2039"/>
        <w:spacing w:after="0" w:line="273" w:lineRule="auto"/>
        <w:rPr>
          <w:sz w:val="20"/>
          <w:szCs w:val="20"/>
          <w:color w:val="auto"/>
        </w:rPr>
      </w:pPr>
      <w:r>
        <w:rPr>
          <w:rFonts w:ascii="Courier New" w:cs="Courier New" w:eastAsia="Courier New" w:hAnsi="Courier New"/>
          <w:sz w:val="17"/>
          <w:szCs w:val="17"/>
          <w:color w:val="auto"/>
        </w:rPr>
        <w:t>Educational &amp; Productivity Solutions (E&amp;PS) represents 5 percent of TI's revenues and consists largely of educational and graphing calculators. This business sells primarily through retailers and to schools through instructional dealers. TI's principal competitors in this business are several Japanese companies. Technology expertise, price and infrastructure for education and market understanding are primary competitive factors in this business.</w:t>
      </w:r>
    </w:p>
    <w:p>
      <w:pPr>
        <w:spacing w:after="0" w:line="297" w:lineRule="exact"/>
        <w:rPr>
          <w:sz w:val="20"/>
          <w:szCs w:val="20"/>
          <w:color w:val="auto"/>
        </w:rPr>
      </w:pPr>
    </w:p>
    <w:p>
      <w:pPr>
        <w:ind w:right="2139"/>
        <w:spacing w:after="0" w:line="269" w:lineRule="auto"/>
        <w:rPr>
          <w:sz w:val="20"/>
          <w:szCs w:val="20"/>
          <w:color w:val="auto"/>
        </w:rPr>
      </w:pPr>
      <w:r>
        <w:rPr>
          <w:rFonts w:ascii="Courier New" w:cs="Courier New" w:eastAsia="Courier New" w:hAnsi="Courier New"/>
          <w:sz w:val="17"/>
          <w:szCs w:val="17"/>
          <w:color w:val="auto"/>
        </w:rPr>
        <w:t>In addition, TI continues to invest in digital imaging, an emerging business that produces micro-mirror-based devices that enable revolutionary brightness and clarity in large-screen video displays. The primary sales route is directly to original-equipment manufacturers. TI faces competition in this business primarily from a competing technology known as liquid crystal displays from Asian manufacturers. Primary competitive factors in this business are price, brightness and performance of the display, and in some applications, size and weight.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Information</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p>
      <w:pPr>
        <w:ind w:right="2139"/>
        <w:spacing w:after="0" w:line="315" w:lineRule="auto"/>
        <w:rPr>
          <w:sz w:val="20"/>
          <w:szCs w:val="20"/>
          <w:color w:val="auto"/>
        </w:rPr>
      </w:pPr>
      <w:r>
        <w:rPr>
          <w:rFonts w:ascii="Courier New" w:cs="Courier New" w:eastAsia="Courier New" w:hAnsi="Courier New"/>
          <w:sz w:val="17"/>
          <w:szCs w:val="17"/>
          <w:color w:val="auto"/>
        </w:rPr>
        <w:t>TI is headquartered in Dallas, Texas, and has manufacturing, design or sales operations in more than 25 countries. TI's largest geographic markets are in the United States, Japan and Europe. TI has been in operation since 1930.</w:t>
      </w: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pacing w:after="0" w:line="210" w:lineRule="exact"/>
        <w:rPr>
          <w:sz w:val="20"/>
          <w:szCs w:val="20"/>
          <w:color w:val="auto"/>
        </w:rPr>
      </w:pPr>
    </w:p>
    <w:p>
      <w:pPr>
        <w:ind w:right="2039" w:firstLine="1152"/>
        <w:spacing w:after="0" w:line="283" w:lineRule="auto"/>
        <w:rPr>
          <w:sz w:val="20"/>
          <w:szCs w:val="20"/>
          <w:color w:val="auto"/>
        </w:rPr>
      </w:pPr>
      <w:r>
        <w:rPr>
          <w:rFonts w:ascii="Courier New" w:cs="Courier New" w:eastAsia="Courier New" w:hAnsi="Courier New"/>
          <w:sz w:val="17"/>
          <w:szCs w:val="17"/>
          <w:color w:val="auto"/>
        </w:rPr>
        <w:t>The financial information with respect to TI's business segments and operations outside the United States, which is contained in the note to the financial statements captioned "Business Segment and Geographic Area Data" on pages 30-32 of TI's 1997 annual report to stockholders, is incorporated herein by reference to such annual report.</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65" w:lineRule="auto"/>
        <w:rPr>
          <w:sz w:val="20"/>
          <w:szCs w:val="20"/>
          <w:color w:val="auto"/>
        </w:rPr>
      </w:pPr>
      <w:r>
        <w:rPr>
          <w:rFonts w:ascii="Courier New" w:cs="Courier New" w:eastAsia="Courier New" w:hAnsi="Courier New"/>
          <w:sz w:val="17"/>
          <w:szCs w:val="17"/>
          <w:color w:val="auto"/>
        </w:rPr>
        <w:t>The dollar amount of backlog of orders believed by the Registrant to be firm was $1623 million as of December 31, 1997 and 1996. The Registrant's backlog does not represent actual revenues and is only an indication of future revenues which may be entered on the books of account of the Registrant. Backlog orders are, under certain circumstances, subject to cancellation by the purchaser without penalty and do not reflect any potential adjustments for price decreases.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Raw Materials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73" w:lineRule="auto"/>
        <w:rPr>
          <w:sz w:val="20"/>
          <w:szCs w:val="20"/>
          <w:color w:val="auto"/>
        </w:rPr>
      </w:pPr>
      <w:r>
        <w:rPr>
          <w:rFonts w:ascii="Courier New" w:cs="Courier New" w:eastAsia="Courier New" w:hAnsi="Courier New"/>
          <w:sz w:val="17"/>
          <w:szCs w:val="17"/>
          <w:color w:val="auto"/>
        </w:rPr>
        <w:t>The Registrant purchases materials, parts and supplies from a number of suppliers. The materials, parts and supplies essential to the Registrant's business are generally available at present and the Registrant believes at this time that such materials, parts and supplies will be available in the foreseeable future.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Trademarks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139" w:firstLine="1047"/>
        <w:spacing w:after="0" w:line="260" w:lineRule="auto"/>
        <w:rPr>
          <w:sz w:val="20"/>
          <w:szCs w:val="20"/>
          <w:color w:val="auto"/>
        </w:rPr>
      </w:pPr>
      <w:r>
        <w:rPr>
          <w:rFonts w:ascii="Courier New" w:cs="Courier New" w:eastAsia="Courier New" w:hAnsi="Courier New"/>
          <w:sz w:val="17"/>
          <w:szCs w:val="17"/>
          <w:color w:val="auto"/>
        </w:rPr>
        <w:t>The Registrant owns many patents in the United States and other countries in fields relating to its business. The Registrant has developed a strong, broad-based patent portfolio. The Registrant also has several agreements with other companies involving license rights and anticipates that other licenses may be negotiated in the future. The Registrant does not consider its business materially dependent upon any one patent or patent license, although taken as a whole, the rights of the Registrant and the products made and sold under patents and patent licenses are important to the Registrant's business. The Registrant's patent portfolio has been established as an ongoing contributor to the revenues of the Registrant.</w:t>
      </w:r>
    </w:p>
    <w:p>
      <w:pPr>
        <w:spacing w:after="0" w:line="97" w:lineRule="exact"/>
        <w:rPr>
          <w:sz w:val="20"/>
          <w:szCs w:val="20"/>
          <w:color w:val="auto"/>
        </w:rPr>
      </w:pPr>
    </w:p>
    <w:p>
      <w:pPr>
        <w:jc w:val="both"/>
        <w:ind w:right="2259" w:firstLine="1047"/>
        <w:spacing w:after="0" w:line="315" w:lineRule="auto"/>
        <w:rPr>
          <w:sz w:val="20"/>
          <w:szCs w:val="20"/>
          <w:color w:val="auto"/>
        </w:rPr>
      </w:pPr>
      <w:r>
        <w:rPr>
          <w:rFonts w:ascii="Courier New" w:cs="Courier New" w:eastAsia="Courier New" w:hAnsi="Courier New"/>
          <w:sz w:val="17"/>
          <w:szCs w:val="17"/>
          <w:color w:val="auto"/>
        </w:rPr>
        <w:t>The Registrant owns trademarks that are used in the conduct of its business. These trademarks are valuable assets, the most important of which are "Texas Instruments" and the Registrant's corporate monogram.</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139" w:firstLine="1047"/>
        <w:spacing w:after="0" w:line="273" w:lineRule="auto"/>
        <w:rPr>
          <w:sz w:val="20"/>
          <w:szCs w:val="20"/>
          <w:color w:val="auto"/>
        </w:rPr>
      </w:pPr>
      <w:r>
        <w:rPr>
          <w:rFonts w:ascii="Courier New" w:cs="Courier New" w:eastAsia="Courier New" w:hAnsi="Courier New"/>
          <w:sz w:val="17"/>
          <w:szCs w:val="17"/>
          <w:color w:val="auto"/>
        </w:rPr>
        <w:t>The Registrant's research and development expense was $1536 million in 1997, compared with $1181 million in 1996 and $842 million in 1995. Included is a charge for the value of in-process research and development of $461 million in 1997 and $192 million in 1996 as a result of the acquisitions of Amati Communications Corporation and Silicon Systems, Inc., respectively.</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The Registrant's revenues are subject to some seasonal variation.</w:t>
      </w:r>
    </w:p>
    <w:p>
      <w:pPr>
        <w:sectPr>
          <w:pgSz w:w="11900" w:h="16838" w:orient="portrait"/>
          <w:cols w:equalWidth="0" w:num="1">
            <w:col w:w="10219"/>
          </w:cols>
          <w:pgMar w:left="240" w:top="110" w:right="1440" w:bottom="0" w:gutter="0" w:footer="0" w:header="0"/>
        </w:sectPr>
      </w:pPr>
    </w:p>
    <w:bookmarkStart w:id="3" w:name="page4"/>
    <w:bookmarkEnd w:id="3"/>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359" w:firstLine="1047"/>
        <w:spacing w:after="0" w:line="280" w:lineRule="auto"/>
        <w:rPr>
          <w:sz w:val="20"/>
          <w:szCs w:val="20"/>
          <w:color w:val="auto"/>
        </w:rPr>
      </w:pPr>
      <w:r>
        <w:rPr>
          <w:rFonts w:ascii="Courier New" w:cs="Courier New" w:eastAsia="Courier New" w:hAnsi="Courier New"/>
          <w:sz w:val="17"/>
          <w:szCs w:val="17"/>
          <w:color w:val="auto"/>
        </w:rPr>
        <w:t>The information concerning the number of persons employed by the Registrant, at December 31, 1997 on page 35 of the Registrant's 1997 annual report to stockholders is incorporated herein by reference to such annual report.</w:t>
      </w: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Properties.</w:t>
      </w:r>
    </w:p>
    <w:p>
      <w:pPr>
        <w:spacing w:after="0" w:line="210" w:lineRule="exact"/>
        <w:rPr>
          <w:sz w:val="20"/>
          <w:szCs w:val="20"/>
          <w:color w:val="auto"/>
        </w:rPr>
      </w:pPr>
    </w:p>
    <w:p>
      <w:pPr>
        <w:ind w:right="2039" w:firstLine="1047"/>
        <w:spacing w:after="0" w:line="276" w:lineRule="auto"/>
        <w:rPr>
          <w:sz w:val="20"/>
          <w:szCs w:val="20"/>
          <w:color w:val="auto"/>
        </w:rPr>
      </w:pPr>
      <w:r>
        <w:rPr>
          <w:rFonts w:ascii="Courier New" w:cs="Courier New" w:eastAsia="Courier New" w:hAnsi="Courier New"/>
          <w:sz w:val="17"/>
          <w:szCs w:val="17"/>
          <w:color w:val="auto"/>
        </w:rPr>
        <w:t>The Registrant's principal executive offices are located at 8505 Forest Lane, Dallas, Texas. The Registrant owns and leases plants in the United States and 15 other countries for manufacturing and related purposes. The following table indicates the general location of the principal plants of the Registrant and the business segments which make major use of them. Except as otherwise indicated, the principal plants are owned by the Registrant.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60" w:type="dxa"/>
            <w:vAlign w:val="bottom"/>
          </w:tcPr>
          <w:p>
            <w:pPr>
              <w:spacing w:after="0"/>
              <w:rPr>
                <w:sz w:val="17"/>
                <w:szCs w:val="17"/>
                <w:color w:val="auto"/>
              </w:rPr>
            </w:pPr>
          </w:p>
        </w:tc>
        <w:tc>
          <w:tcPr>
            <w:tcW w:w="15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Semiconductor</w:t>
            </w:r>
          </w:p>
        </w:tc>
        <w:tc>
          <w:tcPr>
            <w:tcW w:w="1680" w:type="dxa"/>
            <w:vAlign w:val="bottom"/>
          </w:tcPr>
          <w:p>
            <w:pPr>
              <w:jc w:val="center"/>
              <w:ind w:right="133"/>
              <w:spacing w:after="0"/>
              <w:rPr>
                <w:sz w:val="20"/>
                <w:szCs w:val="20"/>
                <w:color w:val="auto"/>
              </w:rPr>
            </w:pPr>
            <w:r>
              <w:rPr>
                <w:rFonts w:ascii="Courier New" w:cs="Courier New" w:eastAsia="Courier New" w:hAnsi="Courier New"/>
                <w:sz w:val="17"/>
                <w:szCs w:val="17"/>
                <w:color w:val="auto"/>
              </w:rPr>
              <w:t>Materials</w:t>
            </w:r>
          </w:p>
        </w:tc>
        <w:tc>
          <w:tcPr>
            <w:tcW w:w="680" w:type="dxa"/>
            <w:vAlign w:val="bottom"/>
            <w:vMerge w:val="restart"/>
          </w:tcPr>
          <w:p>
            <w:pPr>
              <w:ind w:left="260"/>
              <w:spacing w:after="0"/>
              <w:rPr>
                <w:sz w:val="20"/>
                <w:szCs w:val="20"/>
                <w:color w:val="auto"/>
              </w:rPr>
            </w:pPr>
            <w:r>
              <w:rPr>
                <w:rFonts w:ascii="Courier New" w:cs="Courier New" w:eastAsia="Courier New" w:hAnsi="Courier New"/>
                <w:sz w:val="17"/>
                <w:szCs w:val="17"/>
                <w:color w:val="auto"/>
                <w:w w:val="97"/>
              </w:rPr>
              <w:t>E&amp;PS</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680" w:type="dxa"/>
            <w:vAlign w:val="bottom"/>
          </w:tcPr>
          <w:p>
            <w:pPr>
              <w:ind w:left="160"/>
              <w:spacing w:after="0"/>
              <w:rPr>
                <w:sz w:val="20"/>
                <w:szCs w:val="20"/>
                <w:color w:val="auto"/>
              </w:rPr>
            </w:pPr>
            <w:r>
              <w:rPr>
                <w:rFonts w:ascii="Courier New" w:cs="Courier New" w:eastAsia="Courier New" w:hAnsi="Courier New"/>
                <w:sz w:val="17"/>
                <w:szCs w:val="17"/>
                <w:color w:val="auto"/>
              </w:rPr>
              <w:t>and Controls</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vMerge w:val="restart"/>
          </w:tcPr>
          <w:p>
            <w:pPr>
              <w:spacing w:after="0"/>
              <w:rPr>
                <w:sz w:val="20"/>
                <w:szCs w:val="20"/>
                <w:color w:val="auto"/>
              </w:rPr>
            </w:pPr>
            <w:r>
              <w:rPr>
                <w:rFonts w:ascii="Courier New" w:cs="Courier New" w:eastAsia="Courier New" w:hAnsi="Courier New"/>
                <w:sz w:val="17"/>
                <w:szCs w:val="17"/>
                <w:color w:val="auto"/>
              </w:rPr>
              <w:t>Dallas, Texas(1)</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01"/>
        </w:trPr>
        <w:tc>
          <w:tcPr>
            <w:tcW w:w="2360" w:type="dxa"/>
            <w:vAlign w:val="bottom"/>
            <w:vMerge w:val="continue"/>
          </w:tcPr>
          <w:p>
            <w:pPr>
              <w:spacing w:after="0"/>
              <w:rPr>
                <w:sz w:val="17"/>
                <w:szCs w:val="17"/>
                <w:color w:val="auto"/>
              </w:rPr>
            </w:pP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jc w:val="center"/>
              <w:ind w:right="133"/>
              <w:spacing w:after="0"/>
              <w:rPr>
                <w:sz w:val="20"/>
                <w:szCs w:val="20"/>
                <w:color w:val="auto"/>
              </w:rPr>
            </w:pPr>
            <w:r>
              <w:rPr>
                <w:rFonts w:ascii="Courier New" w:cs="Courier New" w:eastAsia="Courier New" w:hAnsi="Courier New"/>
                <w:sz w:val="17"/>
                <w:szCs w:val="17"/>
                <w:color w:val="auto"/>
                <w:w w:val="97"/>
              </w:rPr>
              <w:t>X</w:t>
            </w:r>
          </w:p>
        </w:tc>
        <w:tc>
          <w:tcPr>
            <w:tcW w:w="680" w:type="dxa"/>
            <w:vAlign w:val="bottom"/>
          </w:tcPr>
          <w:p>
            <w:pPr>
              <w:ind w:left="460"/>
              <w:spacing w:after="0"/>
              <w:rPr>
                <w:sz w:val="20"/>
                <w:szCs w:val="20"/>
                <w:color w:val="auto"/>
              </w:rPr>
            </w:pPr>
            <w:r>
              <w:rPr>
                <w:rFonts w:ascii="Courier New" w:cs="Courier New" w:eastAsia="Courier New" w:hAnsi="Courier New"/>
                <w:sz w:val="17"/>
                <w:szCs w:val="17"/>
                <w:color w:val="auto"/>
              </w:rPr>
              <w:t>X</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Houston, Texas</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Lubbock, Texas</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Sherman, Texas(1)(2)</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Santa Cruz, California</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vMerge w:val="restart"/>
          </w:tcPr>
          <w:p>
            <w:pPr>
              <w:jc w:val="center"/>
              <w:ind w:right="133"/>
              <w:spacing w:after="0"/>
              <w:rPr>
                <w:sz w:val="20"/>
                <w:szCs w:val="20"/>
                <w:color w:val="auto"/>
              </w:rPr>
            </w:pPr>
            <w:r>
              <w:rPr>
                <w:rFonts w:ascii="Courier New" w:cs="Courier New" w:eastAsia="Courier New" w:hAnsi="Courier New"/>
                <w:sz w:val="17"/>
                <w:szCs w:val="17"/>
                <w:color w:val="auto"/>
                <w:w w:val="97"/>
              </w:rPr>
              <w:t>X</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Attleboro,</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Massachusetts</w:t>
            </w:r>
          </w:p>
        </w:tc>
        <w:tc>
          <w:tcPr>
            <w:tcW w:w="1580" w:type="dxa"/>
            <w:vAlign w:val="bottom"/>
            <w:vMerge w:val="restart"/>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vMerge w:val="restart"/>
          </w:tcPr>
          <w:p>
            <w:pPr>
              <w:jc w:val="center"/>
              <w:ind w:right="133"/>
              <w:spacing w:after="0"/>
              <w:rPr>
                <w:sz w:val="20"/>
                <w:szCs w:val="20"/>
                <w:color w:val="auto"/>
              </w:rPr>
            </w:pPr>
            <w:r>
              <w:rPr>
                <w:rFonts w:ascii="Courier New" w:cs="Courier New" w:eastAsia="Courier New" w:hAnsi="Courier New"/>
                <w:sz w:val="17"/>
                <w:szCs w:val="17"/>
                <w:color w:val="auto"/>
                <w:w w:val="97"/>
              </w:rPr>
              <w:t>X</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Freising, Germany</w:t>
            </w:r>
          </w:p>
        </w:tc>
        <w:tc>
          <w:tcPr>
            <w:tcW w:w="15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Avezzano, Italy(3)</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Baguio,</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Philippines(4)</w:t>
            </w:r>
          </w:p>
        </w:tc>
        <w:tc>
          <w:tcPr>
            <w:tcW w:w="1580" w:type="dxa"/>
            <w:vAlign w:val="bottom"/>
            <w:vMerge w:val="restart"/>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Hiji, Japan</w:t>
            </w:r>
          </w:p>
        </w:tc>
        <w:tc>
          <w:tcPr>
            <w:tcW w:w="1580" w:type="dxa"/>
            <w:vAlign w:val="bottom"/>
            <w:vMerge w:val="continue"/>
          </w:tcPr>
          <w:p>
            <w:pPr>
              <w:spacing w:after="0"/>
              <w:rPr>
                <w:sz w:val="17"/>
                <w:szCs w:val="17"/>
                <w:color w:val="auto"/>
              </w:rPr>
            </w:pPr>
          </w:p>
        </w:tc>
        <w:tc>
          <w:tcPr>
            <w:tcW w:w="1680" w:type="dxa"/>
            <w:vAlign w:val="bottom"/>
            <w:vMerge w:val="restart"/>
          </w:tcPr>
          <w:p>
            <w:pPr>
              <w:jc w:val="center"/>
              <w:ind w:right="133"/>
              <w:spacing w:after="0"/>
              <w:rPr>
                <w:sz w:val="20"/>
                <w:szCs w:val="20"/>
                <w:color w:val="auto"/>
              </w:rPr>
            </w:pPr>
            <w:r>
              <w:rPr>
                <w:rFonts w:ascii="Courier New" w:cs="Courier New" w:eastAsia="Courier New" w:hAnsi="Courier New"/>
                <w:sz w:val="17"/>
                <w:szCs w:val="17"/>
                <w:color w:val="auto"/>
                <w:w w:val="97"/>
              </w:rPr>
              <w:t>X</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Kuala Lumpur,</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Malaysia(2)</w:t>
            </w:r>
          </w:p>
        </w:tc>
        <w:tc>
          <w:tcPr>
            <w:tcW w:w="1580" w:type="dxa"/>
            <w:vAlign w:val="bottom"/>
            <w:vMerge w:val="restart"/>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Miho, Japan</w:t>
            </w:r>
          </w:p>
        </w:tc>
        <w:tc>
          <w:tcPr>
            <w:tcW w:w="15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Singapore(4)</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Taipei, Taiwan</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vMerge w:val="restart"/>
          </w:tcPr>
          <w:p>
            <w:pPr>
              <w:jc w:val="center"/>
              <w:ind w:right="133"/>
              <w:spacing w:after="0"/>
              <w:rPr>
                <w:sz w:val="20"/>
                <w:szCs w:val="20"/>
                <w:color w:val="auto"/>
              </w:rPr>
            </w:pPr>
            <w:r>
              <w:rPr>
                <w:rFonts w:ascii="Courier New" w:cs="Courier New" w:eastAsia="Courier New" w:hAnsi="Courier New"/>
                <w:sz w:val="17"/>
                <w:szCs w:val="17"/>
                <w:color w:val="auto"/>
                <w:w w:val="97"/>
              </w:rPr>
              <w:t>X</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Aguascalientes, Mexico</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X</w:t>
            </w:r>
          </w:p>
        </w:tc>
        <w:tc>
          <w:tcPr>
            <w:tcW w:w="16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60" w:type="dxa"/>
            <w:vAlign w:val="bottom"/>
          </w:tcPr>
          <w:p>
            <w:pPr>
              <w:spacing w:after="0"/>
              <w:rPr>
                <w:sz w:val="20"/>
                <w:szCs w:val="20"/>
                <w:color w:val="auto"/>
              </w:rPr>
            </w:pPr>
            <w:r>
              <w:rPr>
                <w:rFonts w:ascii="Courier New" w:cs="Courier New" w:eastAsia="Courier New" w:hAnsi="Courier New"/>
                <w:sz w:val="17"/>
                <w:szCs w:val="17"/>
                <w:color w:val="auto"/>
              </w:rPr>
              <w:t>____________________</w:t>
            </w: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2359" w:firstLine="7"/>
        <w:spacing w:after="0" w:line="251" w:lineRule="auto"/>
        <w:tabs>
          <w:tab w:leader="none" w:pos="52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plants or portions thereof in Dallas and Sherman are leased to Raytheon or Raytheon-related entities in connection with the sale of DSE.</w:t>
      </w:r>
    </w:p>
    <w:p>
      <w:pPr>
        <w:ind w:left="540" w:hanging="533"/>
        <w:spacing w:after="0"/>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Leased or primarily leased.</w:t>
      </w:r>
    </w:p>
    <w:p>
      <w:pPr>
        <w:spacing w:after="0" w:line="8"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Owned, subject to mortgage.</w:t>
      </w:r>
    </w:p>
    <w:p>
      <w:pPr>
        <w:spacing w:after="0" w:line="8"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Owned on leased land.</w:t>
      </w:r>
    </w:p>
    <w:p>
      <w:pPr>
        <w:spacing w:after="0" w:line="380" w:lineRule="exact"/>
        <w:rPr>
          <w:sz w:val="20"/>
          <w:szCs w:val="20"/>
          <w:color w:val="auto"/>
        </w:rPr>
      </w:pPr>
    </w:p>
    <w:p>
      <w:pPr>
        <w:ind w:right="2139" w:firstLine="1047"/>
        <w:spacing w:after="0" w:line="283" w:lineRule="auto"/>
        <w:rPr>
          <w:sz w:val="20"/>
          <w:szCs w:val="20"/>
          <w:color w:val="auto"/>
        </w:rPr>
      </w:pPr>
      <w:r>
        <w:rPr>
          <w:rFonts w:ascii="Courier New" w:cs="Courier New" w:eastAsia="Courier New" w:hAnsi="Courier New"/>
          <w:sz w:val="17"/>
          <w:szCs w:val="17"/>
          <w:color w:val="auto"/>
        </w:rPr>
        <w:t>The Registrant's facilities in the United States contained approximately 17,900,000 square feet as of December 31, 1997, of which approximately 3,700,000 square feet were leased. The Registrant's facilities outside the United States contained approximately 7,000,000 square feet as of December 31, 1997, of which approximately 1,700,000 square feet were leased.</w:t>
      </w:r>
    </w:p>
    <w:p>
      <w:pPr>
        <w:spacing w:after="0" w:line="73" w:lineRule="exact"/>
        <w:rPr>
          <w:sz w:val="20"/>
          <w:szCs w:val="20"/>
          <w:color w:val="auto"/>
        </w:rPr>
      </w:pPr>
    </w:p>
    <w:p>
      <w:pPr>
        <w:ind w:right="2459" w:firstLine="1047"/>
        <w:spacing w:after="0" w:line="293" w:lineRule="auto"/>
        <w:rPr>
          <w:sz w:val="20"/>
          <w:szCs w:val="20"/>
          <w:color w:val="auto"/>
        </w:rPr>
      </w:pPr>
      <w:r>
        <w:rPr>
          <w:rFonts w:ascii="Courier New" w:cs="Courier New" w:eastAsia="Courier New" w:hAnsi="Courier New"/>
          <w:sz w:val="17"/>
          <w:szCs w:val="17"/>
          <w:color w:val="auto"/>
        </w:rPr>
        <w:t>The Registrant believes that its existing properties are in good condition and suitable for the manufacture of its products. At the end of 1997, the Registrant utilized substantially all of the space in its facilities.</w:t>
      </w:r>
    </w:p>
    <w:p>
      <w:pPr>
        <w:spacing w:after="0" w:line="67" w:lineRule="exact"/>
        <w:rPr>
          <w:sz w:val="20"/>
          <w:szCs w:val="20"/>
          <w:color w:val="auto"/>
        </w:rPr>
      </w:pPr>
    </w:p>
    <w:p>
      <w:pPr>
        <w:ind w:right="2039" w:firstLine="1047"/>
        <w:spacing w:after="0" w:line="283" w:lineRule="auto"/>
        <w:rPr>
          <w:sz w:val="20"/>
          <w:szCs w:val="20"/>
          <w:color w:val="auto"/>
        </w:rPr>
      </w:pPr>
      <w:r>
        <w:rPr>
          <w:rFonts w:ascii="Courier New" w:cs="Courier New" w:eastAsia="Courier New" w:hAnsi="Courier New"/>
          <w:sz w:val="17"/>
          <w:szCs w:val="17"/>
          <w:color w:val="auto"/>
        </w:rPr>
        <w:t>Leases covering the Registrant's leased facilities expire at varying dates generally within the next 10 years. The Registrant anticipates no difficulty in either retaining occupancy through lease renewals, month-to-month occupancy or purchases of leased facilities, or replacing the leased facilities with equivalent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Legal Proceedings.</w:t>
      </w:r>
    </w:p>
    <w:p>
      <w:pPr>
        <w:spacing w:after="0" w:line="200" w:lineRule="exact"/>
        <w:rPr>
          <w:sz w:val="20"/>
          <w:szCs w:val="20"/>
          <w:color w:val="auto"/>
        </w:rPr>
      </w:pPr>
    </w:p>
    <w:p>
      <w:pPr>
        <w:spacing w:after="0" w:line="212" w:lineRule="exact"/>
        <w:rPr>
          <w:sz w:val="20"/>
          <w:szCs w:val="20"/>
          <w:color w:val="auto"/>
        </w:rPr>
      </w:pPr>
    </w:p>
    <w:p>
      <w:pPr>
        <w:ind w:right="2139" w:firstLine="1047"/>
        <w:spacing w:after="0" w:line="293" w:lineRule="auto"/>
        <w:rPr>
          <w:sz w:val="20"/>
          <w:szCs w:val="20"/>
          <w:color w:val="auto"/>
        </w:rPr>
      </w:pPr>
      <w:r>
        <w:rPr>
          <w:rFonts w:ascii="Courier New" w:cs="Courier New" w:eastAsia="Courier New" w:hAnsi="Courier New"/>
          <w:sz w:val="17"/>
          <w:szCs w:val="17"/>
          <w:color w:val="auto"/>
        </w:rPr>
        <w:t>On July 19, 1991, the Registrant filed a lawsuit in Tokyo District Court against Fujitsu Limited of Japan ("Fujitsu") seeking injunctive relief, alleging that Fujitsu's manufacture and sale of certain DRAMs infringe the Registrant's Japanese patent on the invention of the integrated circuit (the</w:t>
      </w:r>
    </w:p>
    <w:p>
      <w:pPr>
        <w:sectPr>
          <w:pgSz w:w="11900" w:h="16961" w:orient="portrait"/>
          <w:cols w:equalWidth="0" w:num="1">
            <w:col w:w="10219"/>
          </w:cols>
          <w:pgMar w:left="240" w:top="110" w:right="1440" w:bottom="0" w:gutter="0" w:footer="0" w:header="0"/>
        </w:sectPr>
      </w:pPr>
    </w:p>
    <w:bookmarkStart w:id="4" w:name="page5"/>
    <w:bookmarkEnd w:id="4"/>
    <w:p>
      <w:pPr>
        <w:ind w:right="2039"/>
        <w:spacing w:after="0" w:line="276" w:lineRule="auto"/>
        <w:rPr>
          <w:sz w:val="20"/>
          <w:szCs w:val="20"/>
          <w:color w:val="auto"/>
        </w:rPr>
      </w:pPr>
      <w:r>
        <w:rPr>
          <w:rFonts w:ascii="Courier New" w:cs="Courier New" w:eastAsia="Courier New" w:hAnsi="Courier New"/>
          <w:sz w:val="17"/>
          <w:szCs w:val="17"/>
          <w:color w:val="auto"/>
        </w:rPr>
        <w:t>"Kilby" patent). Concurrently, Fujitsu brought a lawsuit in the same court against the Registrant, seeking a declaration that Fujitsu is not infringing the Kilby patent. On August 31, 1994, the district court ruled that Fujitsu's production of 1-megabit and 4-megabit DRAMs and 32K EPROMs does not infringe the Kilby patent. The Registrant appealed the court's decision to the Tokyo High Court.</w:t>
      </w:r>
    </w:p>
    <w:p>
      <w:pPr>
        <w:spacing w:after="0" w:line="81" w:lineRule="exact"/>
        <w:rPr>
          <w:sz w:val="20"/>
          <w:szCs w:val="20"/>
          <w:color w:val="auto"/>
        </w:rPr>
      </w:pPr>
    </w:p>
    <w:p>
      <w:pPr>
        <w:ind w:right="2039" w:firstLine="1047"/>
        <w:spacing w:after="0" w:line="273" w:lineRule="auto"/>
        <w:rPr>
          <w:sz w:val="20"/>
          <w:szCs w:val="20"/>
          <w:color w:val="auto"/>
        </w:rPr>
      </w:pPr>
      <w:r>
        <w:rPr>
          <w:rFonts w:ascii="Courier New" w:cs="Courier New" w:eastAsia="Courier New" w:hAnsi="Courier New"/>
          <w:sz w:val="17"/>
          <w:szCs w:val="17"/>
          <w:color w:val="auto"/>
        </w:rPr>
        <w:t>In September 1997, the Tokyo High Court upheld the decision that Fujitsu's production of such products does not infringe TI's Kilby patent. The Registrant has appealed the ruling to the Japan Supreme Court. In November, the Japan Patent Office invalidated the Kilby patent. The Registrant plans to appeal this decision to the Tokyo High Court. Since the Kilby patent expires in 2001, the Registrant does not expect the outcome of either appeal to be material.</w:t>
      </w:r>
    </w:p>
    <w:p>
      <w:pPr>
        <w:spacing w:after="0" w:line="297" w:lineRule="exact"/>
        <w:rPr>
          <w:sz w:val="20"/>
          <w:szCs w:val="20"/>
          <w:color w:val="auto"/>
        </w:rPr>
      </w:pPr>
    </w:p>
    <w:p>
      <w:pPr>
        <w:ind w:right="2039" w:firstLine="1047"/>
        <w:spacing w:after="0" w:line="269" w:lineRule="auto"/>
        <w:rPr>
          <w:sz w:val="20"/>
          <w:szCs w:val="20"/>
          <w:color w:val="auto"/>
        </w:rPr>
      </w:pPr>
      <w:r>
        <w:rPr>
          <w:rFonts w:ascii="Courier New" w:cs="Courier New" w:eastAsia="Courier New" w:hAnsi="Courier New"/>
          <w:sz w:val="17"/>
          <w:szCs w:val="17"/>
          <w:color w:val="auto"/>
        </w:rPr>
        <w:t>The Registrant is involved in various investigations and proceedings conducted by the federal Environmental Protection Agency and certain state environmental agencies regarding disposal of waste materials. Although the factual situations and the progress of each of these matters differ, the Registrant believes that the amount of its liability will not have a material adverse effect upon its financial position or results of operations and, in most cases, the Registrant's liability will be limited to sharing clean-up or other remedial costs with other potentially responsible parties.</w:t>
      </w:r>
    </w:p>
    <w:p>
      <w:pPr>
        <w:spacing w:after="0" w:line="8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210" w:lineRule="exact"/>
        <w:rPr>
          <w:sz w:val="20"/>
          <w:szCs w:val="20"/>
          <w:color w:val="auto"/>
        </w:rPr>
      </w:pPr>
    </w:p>
    <w:p>
      <w:pPr>
        <w:ind w:right="2259" w:firstLine="1047"/>
        <w:spacing w:after="0" w:line="315" w:lineRule="auto"/>
        <w:rPr>
          <w:sz w:val="20"/>
          <w:szCs w:val="20"/>
          <w:color w:val="auto"/>
        </w:rPr>
      </w:pPr>
      <w:r>
        <w:rPr>
          <w:rFonts w:ascii="Courier New" w:cs="Courier New" w:eastAsia="Courier New" w:hAnsi="Courier New"/>
          <w:sz w:val="17"/>
          <w:szCs w:val="17"/>
          <w:color w:val="auto"/>
        </w:rPr>
        <w:t>The following is an alphabetical list of the names and ages of the executive officers of the Registrant and the positions or offices with the Registrant presently held by each person named: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680" w:type="dxa"/>
            <w:vAlign w:val="bottom"/>
          </w:tcPr>
          <w:p>
            <w:pPr>
              <w:ind w:left="740"/>
              <w:spacing w:after="0"/>
              <w:rPr>
                <w:sz w:val="20"/>
                <w:szCs w:val="20"/>
                <w:color w:val="auto"/>
              </w:rPr>
            </w:pPr>
            <w:r>
              <w:rPr>
                <w:rFonts w:ascii="Courier New" w:cs="Courier New" w:eastAsia="Courier New" w:hAnsi="Courier New"/>
                <w:sz w:val="17"/>
                <w:szCs w:val="17"/>
                <w:color w:val="auto"/>
              </w:rPr>
              <w:t>Name</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Age</w:t>
            </w:r>
          </w:p>
        </w:tc>
        <w:tc>
          <w:tcPr>
            <w:tcW w:w="168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Position</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58</w:t>
            </w:r>
          </w:p>
        </w:tc>
        <w:tc>
          <w:tcPr>
            <w:tcW w:w="3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Director; Chairman of the Board</w:t>
            </w:r>
          </w:p>
        </w:tc>
      </w:tr>
      <w:tr>
        <w:trPr>
          <w:trHeight w:val="309"/>
        </w:trPr>
        <w:tc>
          <w:tcPr>
            <w:tcW w:w="2680" w:type="dxa"/>
            <w:vAlign w:val="bottom"/>
          </w:tcPr>
          <w:p>
            <w:pPr>
              <w:spacing w:after="0"/>
              <w:rPr>
                <w:sz w:val="20"/>
                <w:szCs w:val="20"/>
                <w:color w:val="auto"/>
              </w:rPr>
            </w:pPr>
            <w:r>
              <w:rPr>
                <w:rFonts w:ascii="Courier New" w:cs="Courier New" w:eastAsia="Courier New" w:hAnsi="Courier New"/>
                <w:sz w:val="17"/>
                <w:szCs w:val="17"/>
                <w:color w:val="auto"/>
              </w:rPr>
              <w:t>Richard J. Agnich</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54</w:t>
            </w:r>
          </w:p>
        </w:tc>
        <w:tc>
          <w:tcPr>
            <w:tcW w:w="1680" w:type="dxa"/>
            <w:vAlign w:val="bottom"/>
          </w:tcPr>
          <w:p>
            <w:pPr>
              <w:ind w:left="460"/>
              <w:spacing w:after="0"/>
              <w:rPr>
                <w:sz w:val="20"/>
                <w:szCs w:val="20"/>
                <w:color w:val="auto"/>
              </w:rPr>
            </w:pPr>
            <w:r>
              <w:rPr>
                <w:rFonts w:ascii="Courier New" w:cs="Courier New" w:eastAsia="Courier New" w:hAnsi="Courier New"/>
                <w:sz w:val="17"/>
                <w:szCs w:val="17"/>
                <w:color w:val="auto"/>
              </w:rPr>
              <w:t>Senior Vice</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President, Secretary</w:t>
            </w:r>
          </w:p>
        </w:tc>
      </w:tr>
      <w:tr>
        <w:trPr>
          <w:trHeight w:val="295"/>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ind w:left="460"/>
              <w:spacing w:after="0"/>
              <w:rPr>
                <w:sz w:val="20"/>
                <w:szCs w:val="20"/>
                <w:color w:val="auto"/>
              </w:rPr>
            </w:pPr>
            <w:r>
              <w:rPr>
                <w:rFonts w:ascii="Courier New" w:cs="Courier New" w:eastAsia="Courier New" w:hAnsi="Courier New"/>
                <w:sz w:val="17"/>
                <w:szCs w:val="17"/>
                <w:color w:val="auto"/>
              </w:rPr>
              <w:t>and General</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Counsel</w:t>
            </w:r>
          </w:p>
        </w:tc>
      </w:tr>
      <w:tr>
        <w:trPr>
          <w:trHeight w:val="309"/>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A. Aylesworth</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55</w:t>
            </w:r>
          </w:p>
        </w:tc>
        <w:tc>
          <w:tcPr>
            <w:tcW w:w="1680" w:type="dxa"/>
            <w:vAlign w:val="bottom"/>
          </w:tcPr>
          <w:p>
            <w:pPr>
              <w:ind w:left="460"/>
              <w:spacing w:after="0"/>
              <w:rPr>
                <w:sz w:val="20"/>
                <w:szCs w:val="20"/>
                <w:color w:val="auto"/>
              </w:rPr>
            </w:pPr>
            <w:r>
              <w:rPr>
                <w:rFonts w:ascii="Courier New" w:cs="Courier New" w:eastAsia="Courier New" w:hAnsi="Courier New"/>
                <w:sz w:val="17"/>
                <w:szCs w:val="17"/>
                <w:color w:val="auto"/>
              </w:rPr>
              <w:t>Senior Vice</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President,</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Treasurer and Chief Financial</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Officer (Chief Accounting</w:t>
            </w:r>
          </w:p>
        </w:tc>
      </w:tr>
      <w:tr>
        <w:trPr>
          <w:trHeight w:val="295"/>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ind w:left="460"/>
              <w:spacing w:after="0"/>
              <w:rPr>
                <w:sz w:val="20"/>
                <w:szCs w:val="20"/>
                <w:color w:val="auto"/>
              </w:rPr>
            </w:pPr>
            <w:r>
              <w:rPr>
                <w:rFonts w:ascii="Courier New" w:cs="Courier New" w:eastAsia="Courier New" w:hAnsi="Courier New"/>
                <w:sz w:val="17"/>
                <w:szCs w:val="17"/>
                <w:color w:val="auto"/>
              </w:rPr>
              <w:t>Officer)</w:t>
            </w:r>
          </w:p>
        </w:tc>
        <w:tc>
          <w:tcPr>
            <w:tcW w:w="2140" w:type="dxa"/>
            <w:vAlign w:val="bottom"/>
          </w:tcPr>
          <w:p>
            <w:pPr>
              <w:spacing w:after="0"/>
              <w:rPr>
                <w:sz w:val="24"/>
                <w:szCs w:val="24"/>
                <w:color w:val="auto"/>
              </w:rPr>
            </w:pPr>
          </w:p>
        </w:tc>
      </w:tr>
      <w:tr>
        <w:trPr>
          <w:trHeight w:val="309"/>
        </w:trPr>
        <w:tc>
          <w:tcPr>
            <w:tcW w:w="2680" w:type="dxa"/>
            <w:vAlign w:val="bottom"/>
          </w:tcPr>
          <w:p>
            <w:pPr>
              <w:spacing w:after="0"/>
              <w:rPr>
                <w:sz w:val="20"/>
                <w:szCs w:val="20"/>
                <w:color w:val="auto"/>
              </w:rPr>
            </w:pPr>
            <w:r>
              <w:rPr>
                <w:rFonts w:ascii="Courier New" w:cs="Courier New" w:eastAsia="Courier New" w:hAnsi="Courier New"/>
                <w:sz w:val="17"/>
                <w:szCs w:val="17"/>
                <w:color w:val="auto"/>
              </w:rPr>
              <w:t>Gary D. Clubb</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51</w:t>
            </w:r>
          </w:p>
        </w:tc>
        <w:tc>
          <w:tcPr>
            <w:tcW w:w="3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Executive Vice President</w:t>
            </w:r>
          </w:p>
        </w:tc>
      </w:tr>
      <w:tr>
        <w:trPr>
          <w:trHeight w:val="295"/>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ind w:left="460"/>
              <w:spacing w:after="0"/>
              <w:rPr>
                <w:sz w:val="20"/>
                <w:szCs w:val="20"/>
                <w:color w:val="auto"/>
              </w:rPr>
            </w:pPr>
            <w:r>
              <w:rPr>
                <w:rFonts w:ascii="Courier New" w:cs="Courier New" w:eastAsia="Courier New" w:hAnsi="Courier New"/>
                <w:sz w:val="17"/>
                <w:szCs w:val="17"/>
                <w:color w:val="auto"/>
              </w:rPr>
              <w:t>(President,</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Digital Imaging)</w:t>
            </w:r>
          </w:p>
        </w:tc>
      </w:tr>
      <w:tr>
        <w:trPr>
          <w:trHeight w:val="309"/>
        </w:trPr>
        <w:tc>
          <w:tcPr>
            <w:tcW w:w="268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45</w:t>
            </w:r>
          </w:p>
        </w:tc>
        <w:tc>
          <w:tcPr>
            <w:tcW w:w="3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Director; President and</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Chief Executive</w:t>
            </w:r>
          </w:p>
        </w:tc>
      </w:tr>
      <w:tr>
        <w:trPr>
          <w:trHeight w:val="295"/>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ind w:left="460"/>
              <w:spacing w:after="0"/>
              <w:rPr>
                <w:sz w:val="20"/>
                <w:szCs w:val="20"/>
                <w:color w:val="auto"/>
              </w:rPr>
            </w:pPr>
            <w:r>
              <w:rPr>
                <w:rFonts w:ascii="Courier New" w:cs="Courier New" w:eastAsia="Courier New" w:hAnsi="Courier New"/>
                <w:sz w:val="17"/>
                <w:szCs w:val="17"/>
                <w:color w:val="auto"/>
              </w:rPr>
              <w:t>Officer</w:t>
            </w:r>
          </w:p>
        </w:tc>
        <w:tc>
          <w:tcPr>
            <w:tcW w:w="2140" w:type="dxa"/>
            <w:vAlign w:val="bottom"/>
          </w:tcPr>
          <w:p>
            <w:pPr>
              <w:spacing w:after="0"/>
              <w:rPr>
                <w:sz w:val="24"/>
                <w:szCs w:val="24"/>
                <w:color w:val="auto"/>
              </w:rPr>
            </w:pPr>
          </w:p>
        </w:tc>
      </w:tr>
    </w:tbl>
    <w:p>
      <w:pPr>
        <w:sectPr>
          <w:pgSz w:w="11900" w:h="16838" w:orient="portrait"/>
          <w:cols w:equalWidth="0" w:num="1">
            <w:col w:w="10219"/>
          </w:cols>
          <w:pgMar w:left="240" w:top="110" w:right="1440" w:bottom="0" w:gutter="0" w:footer="0" w:header="0"/>
        </w:sectPr>
      </w:pPr>
    </w:p>
    <w:bookmarkStart w:id="5" w:name="page6"/>
    <w:bookmarkEnd w:id="5"/>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620" w:type="dxa"/>
            <w:vAlign w:val="bottom"/>
          </w:tcPr>
          <w:p>
            <w:pPr>
              <w:spacing w:after="0"/>
              <w:rPr>
                <w:sz w:val="20"/>
                <w:szCs w:val="20"/>
                <w:color w:val="auto"/>
              </w:rPr>
            </w:pPr>
            <w:r>
              <w:rPr>
                <w:rFonts w:ascii="Courier New" w:cs="Courier New" w:eastAsia="Courier New" w:hAnsi="Courier New"/>
                <w:sz w:val="17"/>
                <w:szCs w:val="17"/>
                <w:color w:val="auto"/>
              </w:rPr>
              <w:t>David D. Martin</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58</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Executive Vice</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President</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Charles F. Nielson</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60</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Vice President</w:t>
            </w:r>
          </w:p>
        </w:tc>
        <w:tc>
          <w:tcPr>
            <w:tcW w:w="1840" w:type="dxa"/>
            <w:vAlign w:val="bottom"/>
          </w:tcPr>
          <w:p>
            <w:pPr>
              <w:spacing w:after="0"/>
              <w:rPr>
                <w:sz w:val="24"/>
                <w:szCs w:val="24"/>
                <w:color w:val="auto"/>
              </w:rPr>
            </w:pP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Elwin L. Skiles, Jr.</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56</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Vice President</w:t>
            </w:r>
          </w:p>
        </w:tc>
        <w:tc>
          <w:tcPr>
            <w:tcW w:w="1840" w:type="dxa"/>
            <w:vAlign w:val="bottom"/>
          </w:tcPr>
          <w:p>
            <w:pPr>
              <w:spacing w:after="0"/>
              <w:rPr>
                <w:sz w:val="24"/>
                <w:szCs w:val="24"/>
                <w:color w:val="auto"/>
              </w:rPr>
            </w:pPr>
          </w:p>
        </w:tc>
      </w:tr>
      <w:tr>
        <w:trPr>
          <w:trHeight w:val="309"/>
        </w:trPr>
        <w:tc>
          <w:tcPr>
            <w:tcW w:w="2620" w:type="dxa"/>
            <w:vAlign w:val="bottom"/>
          </w:tcPr>
          <w:p>
            <w:pPr>
              <w:spacing w:after="0"/>
              <w:rPr>
                <w:sz w:val="20"/>
                <w:szCs w:val="20"/>
                <w:color w:val="auto"/>
              </w:rPr>
            </w:pPr>
            <w:r>
              <w:rPr>
                <w:rFonts w:ascii="Courier New" w:cs="Courier New" w:eastAsia="Courier New" w:hAnsi="Courier New"/>
                <w:sz w:val="17"/>
                <w:szCs w:val="17"/>
                <w:color w:val="auto"/>
              </w:rPr>
              <w:t>Richard K. Templeton</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39</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Executive Vice</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President</w:t>
            </w:r>
          </w:p>
        </w:tc>
      </w:tr>
      <w:tr>
        <w:trPr>
          <w:trHeight w:val="295"/>
        </w:trPr>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(President, Semiconductor Group)</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57</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Director; Vice</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Chairman</w:t>
            </w:r>
          </w:p>
        </w:tc>
      </w:tr>
    </w:tbl>
    <w:p>
      <w:pPr>
        <w:spacing w:after="0" w:line="107" w:lineRule="exact"/>
        <w:rPr>
          <w:sz w:val="20"/>
          <w:szCs w:val="20"/>
          <w:color w:val="auto"/>
        </w:rPr>
      </w:pPr>
    </w:p>
    <w:p>
      <w:pPr>
        <w:ind w:right="2039" w:firstLine="1047"/>
        <w:spacing w:after="0" w:line="262" w:lineRule="auto"/>
        <w:rPr>
          <w:sz w:val="20"/>
          <w:szCs w:val="20"/>
          <w:color w:val="auto"/>
        </w:rPr>
      </w:pPr>
      <w:r>
        <w:rPr>
          <w:rFonts w:ascii="Courier New" w:cs="Courier New" w:eastAsia="Courier New" w:hAnsi="Courier New"/>
          <w:sz w:val="17"/>
          <w:szCs w:val="17"/>
          <w:color w:val="auto"/>
        </w:rPr>
        <w:t>The term of office of each of the above listed officers is from the date of his election until his successor shall have been elected and qualified, and the most recent date of election of each of them was April 17, 1997. Mr. Adams, who has been a director of the Registrant since 1989, was Group President of SBC Communications Inc. from 1992 until his retirement in 1995, and President and Chief Executive Officer of Southwestern Bell Telephone Company from 1988 to 1992. Messrs. Agnich, Aylesworth, Martin, Nielson, Skiles and Weber have served as officers of the Registrant for more than five years. Messrs. Clubb and Engibous have served as officers of the Registrant since 1993. Messrs. Adams and Templeton have served as officers of the Registrant since 1996. Messrs. Clubb, Engibous and Templeton have been employees of the Registrant for more than five years.</w:t>
      </w:r>
    </w:p>
    <w:p>
      <w:pPr>
        <w:spacing w:after="0" w:line="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left="1060" w:right="2779" w:hanging="1046"/>
        <w:spacing w:after="0" w:line="376" w:lineRule="auto"/>
        <w:tabs>
          <w:tab w:leader="none" w:pos="104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Market for Registrant's Common Equity and Related Stockholder Matters.</w:t>
      </w:r>
    </w:p>
    <w:p>
      <w:pPr>
        <w:spacing w:after="0" w:line="1" w:lineRule="exact"/>
        <w:rPr>
          <w:sz w:val="20"/>
          <w:szCs w:val="20"/>
          <w:color w:val="auto"/>
        </w:rPr>
      </w:pPr>
    </w:p>
    <w:p>
      <w:pPr>
        <w:ind w:right="2359" w:firstLine="1047"/>
        <w:spacing w:after="0" w:line="276" w:lineRule="auto"/>
        <w:rPr>
          <w:sz w:val="20"/>
          <w:szCs w:val="20"/>
          <w:color w:val="auto"/>
        </w:rPr>
      </w:pPr>
      <w:r>
        <w:rPr>
          <w:rFonts w:ascii="Courier New" w:cs="Courier New" w:eastAsia="Courier New" w:hAnsi="Courier New"/>
          <w:sz w:val="17"/>
          <w:szCs w:val="17"/>
          <w:color w:val="auto"/>
        </w:rPr>
        <w:t>The information which is contained in the note to the financial statements captioned "Common Stock Prices and Dividends" on page 41 of the Registrant's 1997 annual report to stockholders, and the information concerning the number of stockholders of record at December 31, 1997 on page 35 of such annual report, are incorporated herein by reference to such annual report.</w:t>
      </w:r>
    </w:p>
    <w:p>
      <w:pPr>
        <w:spacing w:after="0" w:line="28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Selected Financial Data.</w:t>
      </w:r>
    </w:p>
    <w:p>
      <w:pPr>
        <w:spacing w:after="0" w:line="210" w:lineRule="exact"/>
        <w:rPr>
          <w:sz w:val="20"/>
          <w:szCs w:val="20"/>
          <w:color w:val="auto"/>
        </w:rPr>
      </w:pPr>
    </w:p>
    <w:p>
      <w:pPr>
        <w:ind w:right="2139" w:firstLine="1047"/>
        <w:spacing w:after="0" w:line="315" w:lineRule="auto"/>
        <w:rPr>
          <w:sz w:val="20"/>
          <w:szCs w:val="20"/>
          <w:color w:val="auto"/>
        </w:rPr>
      </w:pPr>
      <w:r>
        <w:rPr>
          <w:rFonts w:ascii="Courier New" w:cs="Courier New" w:eastAsia="Courier New" w:hAnsi="Courier New"/>
          <w:sz w:val="17"/>
          <w:szCs w:val="17"/>
          <w:color w:val="auto"/>
        </w:rPr>
        <w:t>The "Summary of Selected Financial Data" for the years 1993 through 1997 which appears on page 35 of the Registrant's 1997 annual report to stockholders is incorporated herein by reference to such annual report.</w:t>
      </w:r>
    </w:p>
    <w:p>
      <w:pPr>
        <w:spacing w:after="0" w:line="47" w:lineRule="exact"/>
        <w:rPr>
          <w:sz w:val="20"/>
          <w:szCs w:val="20"/>
          <w:color w:val="auto"/>
        </w:rPr>
      </w:pPr>
    </w:p>
    <w:p>
      <w:pPr>
        <w:ind w:left="1060" w:right="2559" w:hanging="1046"/>
        <w:spacing w:after="0" w:line="376" w:lineRule="auto"/>
        <w:tabs>
          <w:tab w:leader="none" w:pos="104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Management's Discussion and Analysis of Financial Condition and Results of Operations.</w:t>
      </w:r>
    </w:p>
    <w:p>
      <w:pPr>
        <w:spacing w:after="0" w:line="1" w:lineRule="exact"/>
        <w:rPr>
          <w:sz w:val="20"/>
          <w:szCs w:val="20"/>
          <w:color w:val="auto"/>
        </w:rPr>
      </w:pPr>
    </w:p>
    <w:p>
      <w:pPr>
        <w:ind w:right="2139" w:firstLine="1047"/>
        <w:spacing w:after="0" w:line="293" w:lineRule="auto"/>
        <w:rPr>
          <w:sz w:val="20"/>
          <w:szCs w:val="20"/>
          <w:color w:val="auto"/>
        </w:rPr>
      </w:pPr>
      <w:r>
        <w:rPr>
          <w:rFonts w:ascii="Courier New" w:cs="Courier New" w:eastAsia="Courier New" w:hAnsi="Courier New"/>
          <w:sz w:val="17"/>
          <w:szCs w:val="17"/>
          <w:color w:val="auto"/>
        </w:rPr>
        <w:t>The information contained under the caption "Management Discussion and Analysis of Financial Condition and Results of Operations" on pages 36-41 of such annual report are incorporated herein by reference to such annual report.</w:t>
      </w:r>
    </w:p>
    <w:p>
      <w:pPr>
        <w:spacing w:after="0" w:line="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7"/>
          <w:szCs w:val="17"/>
          <w:color w:val="auto"/>
        </w:rPr>
        <w:t>Financial Statements and Supplementary Data.</w:t>
      </w:r>
    </w:p>
    <w:p>
      <w:pPr>
        <w:spacing w:after="0" w:line="210" w:lineRule="exact"/>
        <w:rPr>
          <w:sz w:val="20"/>
          <w:szCs w:val="20"/>
          <w:color w:val="auto"/>
        </w:rPr>
      </w:pPr>
    </w:p>
    <w:p>
      <w:pPr>
        <w:ind w:right="2039" w:firstLine="1047"/>
        <w:spacing w:after="0" w:line="283" w:lineRule="auto"/>
        <w:rPr>
          <w:sz w:val="20"/>
          <w:szCs w:val="20"/>
          <w:color w:val="auto"/>
        </w:rPr>
      </w:pPr>
      <w:r>
        <w:rPr>
          <w:rFonts w:ascii="Courier New" w:cs="Courier New" w:eastAsia="Courier New" w:hAnsi="Courier New"/>
          <w:sz w:val="17"/>
          <w:szCs w:val="17"/>
          <w:color w:val="auto"/>
        </w:rPr>
        <w:t>The consolidated financial statements of the Registrant at December 31, 1997 and 1996 and for each of the three years in the period ended December 31, 1997, and the report thereon of the independent auditors, on pages 14-34 of the Registrant's 1997 annual report to stockholders, are incorporated herein by reference to such annual report.</w:t>
      </w:r>
    </w:p>
    <w:p>
      <w:pPr>
        <w:spacing w:after="0" w:line="73" w:lineRule="exact"/>
        <w:rPr>
          <w:sz w:val="20"/>
          <w:szCs w:val="20"/>
          <w:color w:val="auto"/>
        </w:rPr>
      </w:pPr>
    </w:p>
    <w:p>
      <w:pPr>
        <w:ind w:right="2039" w:firstLine="1047"/>
        <w:spacing w:after="0" w:line="315" w:lineRule="auto"/>
        <w:rPr>
          <w:sz w:val="20"/>
          <w:szCs w:val="20"/>
          <w:color w:val="auto"/>
        </w:rPr>
      </w:pPr>
      <w:r>
        <w:rPr>
          <w:rFonts w:ascii="Courier New" w:cs="Courier New" w:eastAsia="Courier New" w:hAnsi="Courier New"/>
          <w:sz w:val="17"/>
          <w:szCs w:val="17"/>
          <w:color w:val="auto"/>
        </w:rPr>
        <w:t>The "Quarterly Financial Data" on page 42-43 of the Registrant's 1997 annual report to stockholders is also incorporated herein by reference to such annual report.</w:t>
      </w:r>
    </w:p>
    <w:p>
      <w:pPr>
        <w:spacing w:after="0" w:line="47" w:lineRule="exact"/>
        <w:rPr>
          <w:sz w:val="20"/>
          <w:szCs w:val="20"/>
          <w:color w:val="auto"/>
        </w:rPr>
      </w:pPr>
    </w:p>
    <w:p>
      <w:pPr>
        <w:ind w:left="1060" w:right="2559" w:hanging="1046"/>
        <w:spacing w:after="0" w:line="376" w:lineRule="auto"/>
        <w:tabs>
          <w:tab w:leader="none" w:pos="104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Changes in and Disagreements with Accountants on Accounting and Financial Disclosure.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III</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10.</w:t>
        <w:tab/>
        <w:t>Directors and Executive Officers of the Registrant.</w:t>
      </w:r>
    </w:p>
    <w:p>
      <w:pPr>
        <w:spacing w:after="0" w:line="210" w:lineRule="exact"/>
        <w:rPr>
          <w:sz w:val="20"/>
          <w:szCs w:val="20"/>
          <w:color w:val="auto"/>
        </w:rPr>
      </w:pPr>
    </w:p>
    <w:p>
      <w:pPr>
        <w:ind w:right="2259" w:firstLine="1047"/>
        <w:spacing w:after="0" w:line="283" w:lineRule="auto"/>
        <w:rPr>
          <w:sz w:val="20"/>
          <w:szCs w:val="20"/>
          <w:color w:val="auto"/>
        </w:rPr>
      </w:pPr>
      <w:r>
        <w:rPr>
          <w:rFonts w:ascii="Courier New" w:cs="Courier New" w:eastAsia="Courier New" w:hAnsi="Courier New"/>
          <w:sz w:val="17"/>
          <w:szCs w:val="17"/>
          <w:color w:val="auto"/>
        </w:rPr>
        <w:t>The information with respect to directors' names, ages, positions, term of office and periods of service, which is contained under the caption "Nominees for Directorship" in the Registrant's proxy statement for the 1998 annual meeting of stockholders is incorporated herein by reference to such proxy statement.</w:t>
      </w:r>
    </w:p>
    <w:p>
      <w:pPr>
        <w:spacing w:after="0" w:line="73" w:lineRule="exact"/>
        <w:rPr>
          <w:sz w:val="20"/>
          <w:szCs w:val="20"/>
          <w:color w:val="auto"/>
        </w:rPr>
      </w:pPr>
    </w:p>
    <w:p>
      <w:pPr>
        <w:ind w:right="2459" w:firstLine="1047"/>
        <w:spacing w:after="0" w:line="379" w:lineRule="auto"/>
        <w:rPr>
          <w:sz w:val="20"/>
          <w:szCs w:val="20"/>
          <w:color w:val="auto"/>
        </w:rPr>
      </w:pPr>
      <w:r>
        <w:rPr>
          <w:rFonts w:ascii="Courier New" w:cs="Courier New" w:eastAsia="Courier New" w:hAnsi="Courier New"/>
          <w:sz w:val="17"/>
          <w:szCs w:val="17"/>
          <w:color w:val="auto"/>
        </w:rPr>
        <w:t>Information concerning executive officers is set forth in Part I hereof under the caption "Executive Officers of the Registrant."</w:t>
      </w:r>
    </w:p>
    <w:p>
      <w:pPr>
        <w:sectPr>
          <w:pgSz w:w="11900" w:h="17031" w:orient="portrait"/>
          <w:cols w:equalWidth="0" w:num="1">
            <w:col w:w="10219"/>
          </w:cols>
          <w:pgMar w:left="240" w:top="110" w:right="1440" w:bottom="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7"/>
          <w:szCs w:val="17"/>
          <w:color w:val="auto"/>
        </w:rPr>
        <w:t>ITEM 11.</w:t>
        <w:tab/>
        <w:t>Executive Compensation.</w:t>
      </w:r>
    </w:p>
    <w:p>
      <w:pPr>
        <w:spacing w:after="0" w:line="210" w:lineRule="exact"/>
        <w:rPr>
          <w:sz w:val="20"/>
          <w:szCs w:val="20"/>
          <w:color w:val="auto"/>
        </w:rPr>
      </w:pPr>
    </w:p>
    <w:p>
      <w:pPr>
        <w:ind w:right="2359" w:firstLine="1047"/>
        <w:spacing w:after="0" w:line="283" w:lineRule="auto"/>
        <w:rPr>
          <w:sz w:val="20"/>
          <w:szCs w:val="20"/>
          <w:color w:val="auto"/>
        </w:rPr>
      </w:pPr>
      <w:r>
        <w:rPr>
          <w:rFonts w:ascii="Courier New" w:cs="Courier New" w:eastAsia="Courier New" w:hAnsi="Courier New"/>
          <w:sz w:val="17"/>
          <w:szCs w:val="17"/>
          <w:color w:val="auto"/>
        </w:rPr>
        <w:t>The information which is contained under the captions "Directors Compensation," "Executive Compensation" and "Section 16(a) Beneficial Ownership Reporting Compliance" in the Registrant's proxy statement for the 1998 annual meeting of stockholders is incorporated herein by reference to such proxy statement.</w:t>
      </w:r>
    </w:p>
    <w:p>
      <w:pPr>
        <w:spacing w:after="0" w:line="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12.</w:t>
        <w:tab/>
        <w:t>Security Ownership of Certain Beneficial Owners and Management.</w:t>
      </w:r>
    </w:p>
    <w:p>
      <w:pPr>
        <w:spacing w:after="0" w:line="210" w:lineRule="exact"/>
        <w:rPr>
          <w:sz w:val="20"/>
          <w:szCs w:val="20"/>
          <w:color w:val="auto"/>
        </w:rPr>
      </w:pPr>
    </w:p>
    <w:p>
      <w:pPr>
        <w:ind w:right="2039" w:firstLine="1047"/>
        <w:spacing w:after="0" w:line="255" w:lineRule="auto"/>
        <w:rPr>
          <w:sz w:val="20"/>
          <w:szCs w:val="20"/>
          <w:color w:val="auto"/>
        </w:rPr>
      </w:pPr>
      <w:r>
        <w:rPr>
          <w:rFonts w:ascii="Courier New" w:cs="Courier New" w:eastAsia="Courier New" w:hAnsi="Courier New"/>
          <w:sz w:val="17"/>
          <w:szCs w:val="17"/>
          <w:color w:val="auto"/>
        </w:rPr>
        <w:t>The information concerning (a) the only persons that have reported beneficial ownership of more than 5% of the common stock of the Registrant, and (b) the ownership of the Registrant's common stock by the Chief Executive Officer and the four other most highly compensated executive officers, and all executive officers and directors as a group, which is contained under the caption "Voting Securities" in the Registrant's proxy statement for the 1998 annual meeting of stockholders, is incorporated herein by reference to such proxy statement. The information concerning ownership of the Registrant's</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pacing w:after="0" w:line="178" w:lineRule="exact"/>
        <w:rPr>
          <w:sz w:val="20"/>
          <w:szCs w:val="20"/>
          <w:color w:val="auto"/>
        </w:rPr>
      </w:pPr>
    </w:p>
    <w:p>
      <w:pPr>
        <w:ind w:right="2359"/>
        <w:spacing w:after="0" w:line="315" w:lineRule="auto"/>
        <w:rPr>
          <w:sz w:val="20"/>
          <w:szCs w:val="20"/>
          <w:color w:val="auto"/>
        </w:rPr>
      </w:pPr>
      <w:r>
        <w:rPr>
          <w:rFonts w:ascii="Courier New" w:cs="Courier New" w:eastAsia="Courier New" w:hAnsi="Courier New"/>
          <w:sz w:val="17"/>
          <w:szCs w:val="17"/>
          <w:color w:val="auto"/>
        </w:rPr>
        <w:t>common stock by each of the directors, which is contained under the caption "Nominees for Directorship" in such proxy statement, is also incorporated herein by reference to such proxy statement.</w:t>
      </w:r>
    </w:p>
    <w:p>
      <w:pPr>
        <w:spacing w:after="0" w:line="47" w:lineRule="exact"/>
        <w:rPr>
          <w:sz w:val="20"/>
          <w:szCs w:val="20"/>
          <w:color w:val="auto"/>
        </w:rPr>
      </w:pPr>
    </w:p>
    <w:p>
      <w:pPr>
        <w:ind w:right="2039" w:firstLine="1047"/>
        <w:spacing w:after="0" w:line="283" w:lineRule="auto"/>
        <w:rPr>
          <w:sz w:val="20"/>
          <w:szCs w:val="20"/>
          <w:color w:val="auto"/>
        </w:rPr>
      </w:pPr>
      <w:r>
        <w:rPr>
          <w:rFonts w:ascii="Courier New" w:cs="Courier New" w:eastAsia="Courier New" w:hAnsi="Courier New"/>
          <w:sz w:val="17"/>
          <w:szCs w:val="17"/>
          <w:color w:val="auto"/>
        </w:rPr>
        <w:t>The aggregate market value of voting stock held by non-affiliates of the Registrant shown on the cover page hereof excludes the shares held by the Registrant's directors, some of whom disclaim affiliate status, executive vice presidents and senior vice presidents. These holdings were considered to include shares credited to certain individuals' profit sharing accounts.</w:t>
      </w:r>
    </w:p>
    <w:p>
      <w:pPr>
        <w:spacing w:after="0" w:line="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13.</w:t>
        <w:tab/>
        <w:t>Certain Relationships and Related Transactions.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PART IV</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14.</w:t>
        <w:tab/>
        <w:t>Exhibits, Financial Statement Schedules, and Reports on Form 8-K.</w:t>
      </w:r>
    </w:p>
    <w:p>
      <w:pPr>
        <w:spacing w:after="0" w:line="210" w:lineRule="exact"/>
        <w:rPr>
          <w:sz w:val="20"/>
          <w:szCs w:val="20"/>
          <w:color w:val="auto"/>
        </w:rPr>
      </w:pPr>
    </w:p>
    <w:p>
      <w:pPr>
        <w:ind w:left="2620" w:right="2979" w:hanging="1565"/>
        <w:spacing w:after="0" w:line="376" w:lineRule="auto"/>
        <w:tabs>
          <w:tab w:leader="none" w:pos="157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and 2. Financial Statements and Financial Statement Schedules:</w:t>
      </w:r>
    </w:p>
    <w:p>
      <w:pPr>
        <w:spacing w:after="0" w:line="1" w:lineRule="exact"/>
        <w:rPr>
          <w:sz w:val="20"/>
          <w:szCs w:val="20"/>
          <w:color w:val="auto"/>
        </w:rPr>
      </w:pPr>
    </w:p>
    <w:p>
      <w:pPr>
        <w:ind w:left="1060" w:right="2679"/>
        <w:spacing w:after="0" w:line="376" w:lineRule="auto"/>
        <w:rPr>
          <w:sz w:val="20"/>
          <w:szCs w:val="20"/>
          <w:color w:val="auto"/>
        </w:rPr>
      </w:pPr>
      <w:r>
        <w:rPr>
          <w:rFonts w:ascii="Courier New" w:cs="Courier New" w:eastAsia="Courier New" w:hAnsi="Courier New"/>
          <w:sz w:val="17"/>
          <w:szCs w:val="17"/>
          <w:color w:val="auto"/>
        </w:rPr>
        <w:t>The financial statements and financial statement schedules are listed in the index on page 16 hereof.</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95"/>
        </w:trPr>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w:t>
            </w:r>
          </w:p>
        </w:tc>
        <w:tc>
          <w:tcPr>
            <w:tcW w:w="5560" w:type="dxa"/>
            <w:vAlign w:val="bottom"/>
          </w:tcPr>
          <w:p>
            <w:pPr>
              <w:spacing w:after="0"/>
              <w:rPr>
                <w:sz w:val="20"/>
                <w:szCs w:val="20"/>
                <w:color w:val="auto"/>
              </w:rPr>
            </w:pPr>
            <w:r>
              <w:rPr>
                <w:rFonts w:ascii="Courier New" w:cs="Courier New" w:eastAsia="Courier New" w:hAnsi="Courier New"/>
                <w:sz w:val="17"/>
                <w:szCs w:val="17"/>
                <w:color w:val="auto"/>
              </w:rPr>
              <w:t>Exhibits:</w:t>
            </w:r>
          </w:p>
        </w:tc>
        <w:tc>
          <w:tcPr>
            <w:tcW w:w="0" w:type="dxa"/>
            <w:vAlign w:val="bottom"/>
          </w:tcPr>
          <w:p>
            <w:pPr>
              <w:spacing w:after="0"/>
              <w:rPr>
                <w:sz w:val="1"/>
                <w:szCs w:val="1"/>
                <w:color w:val="auto"/>
              </w:rPr>
            </w:pPr>
          </w:p>
        </w:tc>
      </w:tr>
      <w:tr>
        <w:trPr>
          <w:trHeight w:val="309"/>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Designation</w:t>
            </w:r>
          </w:p>
        </w:tc>
        <w:tc>
          <w:tcPr>
            <w:tcW w:w="55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0" w:type="dxa"/>
            <w:vAlign w:val="bottom"/>
          </w:tcPr>
          <w:p>
            <w:pPr>
              <w:spacing w:after="0"/>
              <w:rPr>
                <w:sz w:val="1"/>
                <w:szCs w:val="1"/>
                <w:color w:val="auto"/>
              </w:rPr>
            </w:pPr>
          </w:p>
        </w:tc>
      </w:tr>
      <w:tr>
        <w:trPr>
          <w:trHeight w:val="201"/>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Exhibit in</w:t>
            </w:r>
          </w:p>
        </w:tc>
        <w:tc>
          <w:tcPr>
            <w:tcW w:w="5560" w:type="dxa"/>
            <w:vAlign w:val="bottom"/>
            <w:vMerge w:val="restart"/>
          </w:tcPr>
          <w:p>
            <w:pPr>
              <w:ind w:left="1480"/>
              <w:spacing w:after="0"/>
              <w:rPr>
                <w:sz w:val="20"/>
                <w:szCs w:val="20"/>
                <w:color w:val="auto"/>
              </w:rPr>
            </w:pPr>
            <w:r>
              <w:rPr>
                <w:rFonts w:ascii="Courier New" w:cs="Courier New" w:eastAsia="Courier New" w:hAnsi="Courier New"/>
                <w:sz w:val="17"/>
                <w:szCs w:val="17"/>
                <w:color w:val="auto"/>
              </w:rPr>
              <w:t>Description of Exhibit</w:t>
            </w:r>
          </w:p>
        </w:tc>
        <w:tc>
          <w:tcPr>
            <w:tcW w:w="0" w:type="dxa"/>
            <w:vAlign w:val="bottom"/>
          </w:tcPr>
          <w:p>
            <w:pPr>
              <w:spacing w:after="0"/>
              <w:rPr>
                <w:sz w:val="1"/>
                <w:szCs w:val="1"/>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this Report</w:t>
            </w:r>
          </w:p>
        </w:tc>
        <w:tc>
          <w:tcPr>
            <w:tcW w:w="5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w w:val="93"/>
              </w:rPr>
              <w:t>--------------</w:t>
            </w:r>
          </w:p>
        </w:tc>
        <w:tc>
          <w:tcPr>
            <w:tcW w:w="5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40" w:right="2039" w:hanging="1357"/>
        <w:spacing w:after="0" w:line="278" w:lineRule="auto"/>
        <w:tabs>
          <w:tab w:leader="none" w:pos="3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 Purchase Agreement dated as of January 4, 1997 between the Registrant and Raytheon Company (exhibits and schedules omitted) (incorporated by reference to Exhibit 2.1 to the Registrant's Current Report on Form 8-K dated January 4, 1997).</w:t>
      </w:r>
    </w:p>
    <w:p>
      <w:pPr>
        <w:spacing w:after="0" w:line="295" w:lineRule="exact"/>
        <w:rPr>
          <w:sz w:val="20"/>
          <w:szCs w:val="20"/>
          <w:color w:val="auto"/>
        </w:rPr>
      </w:pPr>
    </w:p>
    <w:p>
      <w:pPr>
        <w:ind w:left="3040" w:right="2139" w:hanging="1359"/>
        <w:spacing w:after="0" w:line="293" w:lineRule="auto"/>
        <w:tabs>
          <w:tab w:leader="none" w:pos="3020" w:val="left"/>
        </w:tabs>
        <w:rPr>
          <w:sz w:val="20"/>
          <w:szCs w:val="20"/>
          <w:color w:val="auto"/>
        </w:rPr>
      </w:pPr>
      <w:r>
        <w:rPr>
          <w:rFonts w:ascii="Courier New" w:cs="Courier New" w:eastAsia="Courier New" w:hAnsi="Courier New"/>
          <w:sz w:val="17"/>
          <w:szCs w:val="17"/>
          <w:color w:val="auto"/>
        </w:rPr>
        <w:t>3(a)</w:t>
      </w:r>
      <w:r>
        <w:rPr>
          <w:sz w:val="20"/>
          <w:szCs w:val="20"/>
          <w:color w:val="auto"/>
        </w:rPr>
        <w:tab/>
      </w:r>
      <w:r>
        <w:rPr>
          <w:rFonts w:ascii="Courier New" w:cs="Courier New" w:eastAsia="Courier New" w:hAnsi="Courier New"/>
          <w:sz w:val="17"/>
          <w:szCs w:val="17"/>
          <w:color w:val="auto"/>
        </w:rPr>
        <w:t>Restated Certificate of Incorporation of the Registrant (incorporated by reference to Exhibit 3(a) to the Registrant's Annual Report on Form 10-K for the year 1993).</w:t>
      </w:r>
    </w:p>
    <w:p>
      <w:pPr>
        <w:spacing w:after="0" w:line="67" w:lineRule="exact"/>
        <w:rPr>
          <w:sz w:val="20"/>
          <w:szCs w:val="20"/>
          <w:color w:val="auto"/>
        </w:rPr>
      </w:pPr>
    </w:p>
    <w:p>
      <w:pPr>
        <w:jc w:val="both"/>
        <w:ind w:left="3040" w:right="2139" w:hanging="1359"/>
        <w:spacing w:after="0" w:line="293" w:lineRule="auto"/>
        <w:tabs>
          <w:tab w:leader="none" w:pos="3020" w:val="left"/>
        </w:tabs>
        <w:rPr>
          <w:sz w:val="20"/>
          <w:szCs w:val="20"/>
          <w:color w:val="auto"/>
        </w:rPr>
      </w:pPr>
      <w:r>
        <w:rPr>
          <w:rFonts w:ascii="Courier New" w:cs="Courier New" w:eastAsia="Courier New" w:hAnsi="Courier New"/>
          <w:sz w:val="17"/>
          <w:szCs w:val="17"/>
          <w:color w:val="auto"/>
        </w:rPr>
        <w:t>3(b)</w:t>
      </w:r>
      <w:r>
        <w:rPr>
          <w:sz w:val="20"/>
          <w:szCs w:val="20"/>
          <w:color w:val="auto"/>
        </w:rPr>
        <w:tab/>
      </w:r>
      <w:r>
        <w:rPr>
          <w:rFonts w:ascii="Courier New" w:cs="Courier New" w:eastAsia="Courier New" w:hAnsi="Courier New"/>
          <w:sz w:val="17"/>
          <w:szCs w:val="17"/>
          <w:color w:val="auto"/>
        </w:rPr>
        <w:t>Certificate of Amendment to Restated Certificate of Incorporation of the Registrant (incorporated by reference to Exhibit 3(b) to the Registrant's Annual Report on Form 10-K for the year 1993).</w:t>
      </w:r>
    </w:p>
    <w:p>
      <w:pPr>
        <w:spacing w:after="0" w:line="67" w:lineRule="exact"/>
        <w:rPr>
          <w:sz w:val="20"/>
          <w:szCs w:val="20"/>
          <w:color w:val="auto"/>
        </w:rPr>
      </w:pPr>
    </w:p>
    <w:p>
      <w:pPr>
        <w:jc w:val="both"/>
        <w:ind w:left="3040" w:right="2139" w:hanging="1359"/>
        <w:spacing w:after="0" w:line="293" w:lineRule="auto"/>
        <w:tabs>
          <w:tab w:leader="none" w:pos="3020" w:val="left"/>
        </w:tabs>
        <w:rPr>
          <w:sz w:val="20"/>
          <w:szCs w:val="20"/>
          <w:color w:val="auto"/>
        </w:rPr>
      </w:pPr>
      <w:r>
        <w:rPr>
          <w:rFonts w:ascii="Courier New" w:cs="Courier New" w:eastAsia="Courier New" w:hAnsi="Courier New"/>
          <w:sz w:val="17"/>
          <w:szCs w:val="17"/>
          <w:color w:val="auto"/>
        </w:rPr>
        <w:t>3(c)</w:t>
      </w:r>
      <w:r>
        <w:rPr>
          <w:sz w:val="20"/>
          <w:szCs w:val="20"/>
          <w:color w:val="auto"/>
        </w:rPr>
        <w:tab/>
      </w:r>
      <w:r>
        <w:rPr>
          <w:rFonts w:ascii="Courier New" w:cs="Courier New" w:eastAsia="Courier New" w:hAnsi="Courier New"/>
          <w:sz w:val="17"/>
          <w:szCs w:val="17"/>
          <w:color w:val="auto"/>
        </w:rPr>
        <w:t>Certificate of Amendment to Restated Certificate of Incorporation of the Registrant (incorporated by reference to Exhibit 3(c) to the Registrant's Annual Report on Form 10-K for the year 1993).</w:t>
      </w:r>
    </w:p>
    <w:p>
      <w:pPr>
        <w:spacing w:after="0" w:line="67" w:lineRule="exact"/>
        <w:rPr>
          <w:sz w:val="20"/>
          <w:szCs w:val="20"/>
          <w:color w:val="auto"/>
        </w:rPr>
      </w:pPr>
    </w:p>
    <w:p>
      <w:pPr>
        <w:ind w:left="3040" w:right="2139" w:hanging="1359"/>
        <w:spacing w:after="0" w:line="283" w:lineRule="auto"/>
        <w:tabs>
          <w:tab w:leader="none" w:pos="3020" w:val="left"/>
        </w:tabs>
        <w:rPr>
          <w:sz w:val="20"/>
          <w:szCs w:val="20"/>
          <w:color w:val="auto"/>
        </w:rPr>
      </w:pPr>
      <w:r>
        <w:rPr>
          <w:rFonts w:ascii="Courier New" w:cs="Courier New" w:eastAsia="Courier New" w:hAnsi="Courier New"/>
          <w:sz w:val="17"/>
          <w:szCs w:val="17"/>
          <w:color w:val="auto"/>
        </w:rPr>
        <w:t>3(d)</w:t>
      </w:r>
      <w:r>
        <w:rPr>
          <w:sz w:val="20"/>
          <w:szCs w:val="20"/>
          <w:color w:val="auto"/>
        </w:rPr>
        <w:tab/>
      </w:r>
      <w:r>
        <w:rPr>
          <w:rFonts w:ascii="Courier New" w:cs="Courier New" w:eastAsia="Courier New" w:hAnsi="Courier New"/>
          <w:sz w:val="17"/>
          <w:szCs w:val="17"/>
          <w:color w:val="auto"/>
        </w:rPr>
        <w:t>Certificate of Amendment to Restated Certificate of Incorporation of the Registrant (incorporated by reference to Exhibit 3 to the Registrant's Quarterly Report on Form 10-Q for the quarter ended June 30, 1996).</w:t>
      </w:r>
    </w:p>
    <w:p>
      <w:pPr>
        <w:sectPr>
          <w:pgSz w:w="11900" w:h="16838" w:orient="portrait"/>
          <w:cols w:equalWidth="0" w:num="1">
            <w:col w:w="10219"/>
          </w:cols>
          <w:pgMar w:left="240" w:top="311" w:right="1440" w:bottom="0" w:gutter="0" w:footer="0" w:header="0"/>
        </w:sectPr>
      </w:pPr>
    </w:p>
    <w:bookmarkStart w:id="7" w:name="page8"/>
    <w:bookmarkEnd w:id="7"/>
    <w:p>
      <w:pPr>
        <w:spacing w:after="0" w:line="81"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9</w:t>
      </w:r>
    </w:p>
    <w:p>
      <w:pPr>
        <w:spacing w:after="0" w:line="210" w:lineRule="exact"/>
        <w:rPr>
          <w:sz w:val="20"/>
          <w:szCs w:val="20"/>
          <w:color w:val="auto"/>
        </w:rPr>
      </w:pPr>
    </w:p>
    <w:p>
      <w:pPr>
        <w:ind w:left="1840" w:right="2139" w:hanging="1359"/>
        <w:spacing w:after="0" w:line="283" w:lineRule="auto"/>
        <w:tabs>
          <w:tab w:leader="none" w:pos="1820" w:val="left"/>
        </w:tabs>
        <w:rPr>
          <w:sz w:val="20"/>
          <w:szCs w:val="20"/>
          <w:color w:val="auto"/>
        </w:rPr>
      </w:pPr>
      <w:r>
        <w:rPr>
          <w:rFonts w:ascii="Courier New" w:cs="Courier New" w:eastAsia="Courier New" w:hAnsi="Courier New"/>
          <w:sz w:val="17"/>
          <w:szCs w:val="17"/>
          <w:color w:val="auto"/>
        </w:rPr>
        <w:t>3(e)</w:t>
      </w:r>
      <w:r>
        <w:rPr>
          <w:sz w:val="20"/>
          <w:szCs w:val="20"/>
          <w:color w:val="auto"/>
        </w:rPr>
        <w:tab/>
      </w:r>
      <w:r>
        <w:rPr>
          <w:rFonts w:ascii="Courier New" w:cs="Courier New" w:eastAsia="Courier New" w:hAnsi="Courier New"/>
          <w:sz w:val="17"/>
          <w:szCs w:val="17"/>
          <w:color w:val="auto"/>
        </w:rPr>
        <w:t>Certificate of Designations relating to the Registrant's Participating Cumulative Preferred Stock (incorporated by reference to Exhibit 3(d) to the Registrant's Annual Report on Form 10-K for the year 1993).</w:t>
      </w:r>
    </w:p>
    <w:p>
      <w:pPr>
        <w:spacing w:after="0" w:line="73" w:lineRule="exact"/>
        <w:rPr>
          <w:sz w:val="20"/>
          <w:szCs w:val="20"/>
          <w:color w:val="auto"/>
        </w:rPr>
      </w:pPr>
    </w:p>
    <w:p>
      <w:pPr>
        <w:ind w:left="1840" w:right="2139" w:hanging="1359"/>
        <w:spacing w:after="0" w:line="283" w:lineRule="auto"/>
        <w:tabs>
          <w:tab w:leader="none" w:pos="1820" w:val="left"/>
        </w:tabs>
        <w:rPr>
          <w:sz w:val="20"/>
          <w:szCs w:val="20"/>
          <w:color w:val="auto"/>
        </w:rPr>
      </w:pPr>
      <w:r>
        <w:rPr>
          <w:rFonts w:ascii="Courier New" w:cs="Courier New" w:eastAsia="Courier New" w:hAnsi="Courier New"/>
          <w:sz w:val="17"/>
          <w:szCs w:val="17"/>
          <w:color w:val="auto"/>
        </w:rPr>
        <w:t>3(f)</w:t>
      </w:r>
      <w:r>
        <w:rPr>
          <w:sz w:val="20"/>
          <w:szCs w:val="20"/>
          <w:color w:val="auto"/>
        </w:rPr>
        <w:tab/>
      </w:r>
      <w:r>
        <w:rPr>
          <w:rFonts w:ascii="Courier New" w:cs="Courier New" w:eastAsia="Courier New" w:hAnsi="Courier New"/>
          <w:sz w:val="17"/>
          <w:szCs w:val="17"/>
          <w:color w:val="auto"/>
        </w:rPr>
        <w:t>Certificate of Ownership Merging Texas Instruments Automation Controls, Inc. into the Registrant (incorporated by reference to Exhibit 3(e) to the Registrant's Annual Report on Form 10-K for the year 1993).</w:t>
      </w:r>
    </w:p>
    <w:p>
      <w:pPr>
        <w:spacing w:after="0" w:line="73" w:lineRule="exact"/>
        <w:rPr>
          <w:sz w:val="20"/>
          <w:szCs w:val="20"/>
          <w:color w:val="auto"/>
        </w:rPr>
      </w:pPr>
    </w:p>
    <w:p>
      <w:pPr>
        <w:ind w:left="1840" w:right="2139" w:hanging="1359"/>
        <w:spacing w:after="0" w:line="293" w:lineRule="auto"/>
        <w:tabs>
          <w:tab w:leader="none" w:pos="1820" w:val="left"/>
        </w:tabs>
        <w:rPr>
          <w:sz w:val="20"/>
          <w:szCs w:val="20"/>
          <w:color w:val="auto"/>
        </w:rPr>
      </w:pPr>
      <w:r>
        <w:rPr>
          <w:rFonts w:ascii="Courier New" w:cs="Courier New" w:eastAsia="Courier New" w:hAnsi="Courier New"/>
          <w:sz w:val="17"/>
          <w:szCs w:val="17"/>
          <w:color w:val="auto"/>
        </w:rPr>
        <w:t>3(g)</w:t>
      </w:r>
      <w:r>
        <w:rPr>
          <w:sz w:val="20"/>
          <w:szCs w:val="20"/>
          <w:color w:val="auto"/>
        </w:rPr>
        <w:tab/>
      </w:r>
      <w:r>
        <w:rPr>
          <w:rFonts w:ascii="Courier New" w:cs="Courier New" w:eastAsia="Courier New" w:hAnsi="Courier New"/>
          <w:sz w:val="17"/>
          <w:szCs w:val="17"/>
          <w:color w:val="auto"/>
        </w:rPr>
        <w:t>Certificate of Elimination of Designations of Preferred Stock of the Registrant (incorporated by reference to Exhibit 3(f) to the Registrant's Annual Report on Form 10-K for the year 1993).</w:t>
      </w:r>
    </w:p>
    <w:p>
      <w:pPr>
        <w:spacing w:after="0" w:line="67" w:lineRule="exact"/>
        <w:rPr>
          <w:sz w:val="20"/>
          <w:szCs w:val="20"/>
          <w:color w:val="auto"/>
        </w:rPr>
      </w:pPr>
    </w:p>
    <w:p>
      <w:pPr>
        <w:ind w:left="1840" w:right="2039" w:hanging="1359"/>
        <w:spacing w:after="0" w:line="260" w:lineRule="auto"/>
        <w:tabs>
          <w:tab w:leader="none" w:pos="1820" w:val="left"/>
        </w:tabs>
        <w:rPr>
          <w:sz w:val="20"/>
          <w:szCs w:val="20"/>
          <w:color w:val="auto"/>
        </w:rPr>
      </w:pPr>
      <w:r>
        <w:rPr>
          <w:rFonts w:ascii="Courier New" w:cs="Courier New" w:eastAsia="Courier New" w:hAnsi="Courier New"/>
          <w:sz w:val="17"/>
          <w:szCs w:val="17"/>
          <w:color w:val="auto"/>
        </w:rPr>
        <w:t>3(h)</w:t>
      </w:r>
      <w:r>
        <w:rPr>
          <w:sz w:val="20"/>
          <w:szCs w:val="20"/>
          <w:color w:val="auto"/>
        </w:rPr>
        <w:tab/>
      </w:r>
      <w:r>
        <w:rPr>
          <w:rFonts w:ascii="Courier New" w:cs="Courier New" w:eastAsia="Courier New" w:hAnsi="Courier New"/>
          <w:sz w:val="17"/>
          <w:szCs w:val="17"/>
          <w:color w:val="auto"/>
        </w:rPr>
        <w:t>Certificate of Ownership and Merger Merging Tiburon Systems, Inc. into the Company (incorporated by reference to Exhibit 4(g) to the Registrant's Registration Statement No.</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333-41919 on Form S-8).</w:t>
      </w:r>
    </w:p>
    <w:p>
      <w:pPr>
        <w:spacing w:after="0" w:line="178" w:lineRule="exact"/>
        <w:rPr>
          <w:sz w:val="20"/>
          <w:szCs w:val="20"/>
          <w:color w:val="auto"/>
        </w:rPr>
      </w:pPr>
    </w:p>
    <w:p>
      <w:pPr>
        <w:ind w:left="1840" w:right="2359" w:hanging="1359"/>
        <w:spacing w:after="0" w:line="283" w:lineRule="auto"/>
        <w:tabs>
          <w:tab w:leader="none" w:pos="1820" w:val="left"/>
        </w:tabs>
        <w:rPr>
          <w:sz w:val="20"/>
          <w:szCs w:val="20"/>
          <w:color w:val="auto"/>
        </w:rPr>
      </w:pPr>
      <w:r>
        <w:rPr>
          <w:rFonts w:ascii="Courier New" w:cs="Courier New" w:eastAsia="Courier New" w:hAnsi="Courier New"/>
          <w:sz w:val="17"/>
          <w:szCs w:val="17"/>
          <w:color w:val="auto"/>
        </w:rPr>
        <w:t>3(i)</w:t>
      </w:r>
      <w:r>
        <w:rPr>
          <w:sz w:val="20"/>
          <w:szCs w:val="20"/>
          <w:color w:val="auto"/>
        </w:rPr>
        <w:tab/>
      </w:r>
      <w:r>
        <w:rPr>
          <w:rFonts w:ascii="Courier New" w:cs="Courier New" w:eastAsia="Courier New" w:hAnsi="Courier New"/>
          <w:sz w:val="17"/>
          <w:szCs w:val="17"/>
          <w:color w:val="auto"/>
        </w:rPr>
        <w:t>Certificate of Ownership and Merger Merging Tartan, Inc. into the Company (incorporated by reference to Exhibit 4(h) to the Registrant's Registration Statement No. 333-41919 on Form S-8).</w:t>
      </w:r>
    </w:p>
    <w:p>
      <w:pPr>
        <w:spacing w:after="0" w:line="73" w:lineRule="exact"/>
        <w:rPr>
          <w:sz w:val="20"/>
          <w:szCs w:val="20"/>
          <w:color w:val="auto"/>
        </w:rPr>
      </w:pPr>
    </w:p>
    <w:p>
      <w:pPr>
        <w:ind w:left="1840" w:right="2779" w:hanging="1359"/>
        <w:spacing w:after="0" w:line="293" w:lineRule="auto"/>
        <w:tabs>
          <w:tab w:leader="none" w:pos="1820" w:val="left"/>
        </w:tabs>
        <w:rPr>
          <w:sz w:val="20"/>
          <w:szCs w:val="20"/>
          <w:color w:val="auto"/>
        </w:rPr>
      </w:pPr>
      <w:r>
        <w:rPr>
          <w:rFonts w:ascii="Courier New" w:cs="Courier New" w:eastAsia="Courier New" w:hAnsi="Courier New"/>
          <w:sz w:val="17"/>
          <w:szCs w:val="17"/>
          <w:color w:val="auto"/>
        </w:rPr>
        <w:t>3(j)</w:t>
      </w:r>
      <w:r>
        <w:rPr>
          <w:sz w:val="20"/>
          <w:szCs w:val="20"/>
          <w:color w:val="auto"/>
        </w:rPr>
        <w:tab/>
      </w:r>
      <w:r>
        <w:rPr>
          <w:rFonts w:ascii="Courier New" w:cs="Courier New" w:eastAsia="Courier New" w:hAnsi="Courier New"/>
          <w:sz w:val="17"/>
          <w:szCs w:val="17"/>
          <w:color w:val="auto"/>
        </w:rPr>
        <w:t>By-Laws of the Registrant (incorporated by reference to Exhibit 3 to the Registrant's Current Report on Form 8-K dated December 4, 1997).</w:t>
      </w:r>
    </w:p>
    <w:p>
      <w:pPr>
        <w:spacing w:after="0" w:line="67" w:lineRule="exact"/>
        <w:rPr>
          <w:sz w:val="20"/>
          <w:szCs w:val="20"/>
          <w:color w:val="auto"/>
        </w:rPr>
      </w:pPr>
    </w:p>
    <w:p>
      <w:pPr>
        <w:ind w:left="1840" w:right="2039" w:hanging="1360"/>
        <w:spacing w:after="0" w:line="269" w:lineRule="auto"/>
        <w:tabs>
          <w:tab w:leader="none" w:pos="1820" w:val="left"/>
        </w:tabs>
        <w:rPr>
          <w:sz w:val="20"/>
          <w:szCs w:val="20"/>
          <w:color w:val="auto"/>
        </w:rPr>
      </w:pPr>
      <w:r>
        <w:rPr>
          <w:rFonts w:ascii="Courier New" w:cs="Courier New" w:eastAsia="Courier New" w:hAnsi="Courier New"/>
          <w:sz w:val="17"/>
          <w:szCs w:val="17"/>
          <w:color w:val="auto"/>
        </w:rPr>
        <w:t>4(a)(i)</w:t>
      </w:r>
      <w:r>
        <w:rPr>
          <w:sz w:val="20"/>
          <w:szCs w:val="20"/>
          <w:color w:val="auto"/>
        </w:rPr>
        <w:tab/>
      </w:r>
      <w:r>
        <w:rPr>
          <w:rFonts w:ascii="Courier New" w:cs="Courier New" w:eastAsia="Courier New" w:hAnsi="Courier New"/>
          <w:sz w:val="17"/>
          <w:szCs w:val="17"/>
          <w:color w:val="auto"/>
        </w:rPr>
        <w:t>Rights Agreement dated as of June 17, 1988 between the Registrant and First Chicago Trust Company of New York, formerly Morgan Shareholder Services Trust Company, as Rights Agent, which includes as Exhibit B the form of Rights Certificate (incorporated by reference to Exhibit 4(a)(i) to the Registrant's Annual Report on Form 10-K for the year 1993).</w:t>
      </w:r>
    </w:p>
    <w:p>
      <w:pPr>
        <w:spacing w:after="0" w:line="86" w:lineRule="exact"/>
        <w:rPr>
          <w:sz w:val="20"/>
          <w:szCs w:val="20"/>
          <w:color w:val="auto"/>
        </w:rPr>
      </w:pPr>
    </w:p>
    <w:p>
      <w:pPr>
        <w:ind w:left="1840" w:right="2139" w:hanging="1360"/>
        <w:spacing w:after="0" w:line="269" w:lineRule="auto"/>
        <w:tabs>
          <w:tab w:leader="none" w:pos="1820" w:val="left"/>
        </w:tabs>
        <w:rPr>
          <w:sz w:val="20"/>
          <w:szCs w:val="20"/>
          <w:color w:val="auto"/>
        </w:rPr>
      </w:pPr>
      <w:r>
        <w:rPr>
          <w:rFonts w:ascii="Courier New" w:cs="Courier New" w:eastAsia="Courier New" w:hAnsi="Courier New"/>
          <w:sz w:val="17"/>
          <w:szCs w:val="17"/>
          <w:color w:val="auto"/>
        </w:rPr>
        <w:t>4(a)(ii)</w:t>
      </w:r>
      <w:r>
        <w:rPr>
          <w:sz w:val="20"/>
          <w:szCs w:val="20"/>
          <w:color w:val="auto"/>
        </w:rPr>
        <w:tab/>
      </w:r>
      <w:r>
        <w:rPr>
          <w:rFonts w:ascii="Courier New" w:cs="Courier New" w:eastAsia="Courier New" w:hAnsi="Courier New"/>
          <w:sz w:val="17"/>
          <w:szCs w:val="17"/>
          <w:color w:val="auto"/>
        </w:rPr>
        <w:t>Assignment and Assumption Agreement dated as of September 24, 1992 among the Registrant, First Chicago Trust Company of New York, formerly Morgan Shareholder Services Trust Company, and Harris Trust and Savings Bank (incorporated by reference to Exhibit 4(a)(i) to the Registrant's Quarterly Report on Form 10-Q for the quarter ended September 30, 1992).</w:t>
      </w:r>
    </w:p>
    <w:p>
      <w:pPr>
        <w:spacing w:after="0" w:line="86" w:lineRule="exact"/>
        <w:rPr>
          <w:sz w:val="20"/>
          <w:szCs w:val="20"/>
          <w:color w:val="auto"/>
        </w:rPr>
      </w:pPr>
    </w:p>
    <w:p>
      <w:pPr>
        <w:ind w:left="1840" w:right="2139" w:hanging="1359"/>
        <w:spacing w:after="0" w:line="293" w:lineRule="auto"/>
        <w:tabs>
          <w:tab w:leader="none" w:pos="1820" w:val="left"/>
        </w:tabs>
        <w:rPr>
          <w:sz w:val="20"/>
          <w:szCs w:val="20"/>
          <w:color w:val="auto"/>
        </w:rPr>
      </w:pPr>
      <w:r>
        <w:rPr>
          <w:rFonts w:ascii="Courier New" w:cs="Courier New" w:eastAsia="Courier New" w:hAnsi="Courier New"/>
          <w:sz w:val="17"/>
          <w:szCs w:val="17"/>
          <w:color w:val="auto"/>
        </w:rPr>
        <w:t>4(b)</w:t>
      </w:r>
      <w:r>
        <w:rPr>
          <w:sz w:val="20"/>
          <w:szCs w:val="20"/>
          <w:color w:val="auto"/>
        </w:rPr>
        <w:tab/>
      </w:r>
      <w:r>
        <w:rPr>
          <w:rFonts w:ascii="Courier New" w:cs="Courier New" w:eastAsia="Courier New" w:hAnsi="Courier New"/>
          <w:sz w:val="17"/>
          <w:szCs w:val="17"/>
          <w:color w:val="auto"/>
        </w:rPr>
        <w:t>The Registrant agrees to provide the Commission, upon request, copies of instruments defining the rights of holders of long-term debt of the Registrant and its subsidiaries.</w:t>
      </w:r>
    </w:p>
    <w:p>
      <w:pPr>
        <w:spacing w:after="0" w:line="67" w:lineRule="exact"/>
        <w:rPr>
          <w:sz w:val="20"/>
          <w:szCs w:val="20"/>
          <w:color w:val="auto"/>
        </w:rPr>
      </w:pPr>
    </w:p>
    <w:p>
      <w:pPr>
        <w:ind w:left="1840" w:right="2259" w:hanging="1359"/>
        <w:spacing w:after="0" w:line="293" w:lineRule="auto"/>
        <w:tabs>
          <w:tab w:leader="none" w:pos="1820" w:val="left"/>
        </w:tabs>
        <w:rPr>
          <w:sz w:val="20"/>
          <w:szCs w:val="20"/>
          <w:color w:val="auto"/>
        </w:rPr>
      </w:pPr>
      <w:r>
        <w:rPr>
          <w:rFonts w:ascii="Courier New" w:cs="Courier New" w:eastAsia="Courier New" w:hAnsi="Courier New"/>
          <w:sz w:val="17"/>
          <w:szCs w:val="17"/>
          <w:color w:val="auto"/>
        </w:rPr>
        <w:t>10(a)(i)</w:t>
      </w:r>
      <w:r>
        <w:rPr>
          <w:sz w:val="20"/>
          <w:szCs w:val="20"/>
          <w:color w:val="auto"/>
        </w:rPr>
        <w:tab/>
      </w:r>
      <w:r>
        <w:rPr>
          <w:rFonts w:ascii="Courier New" w:cs="Courier New" w:eastAsia="Courier New" w:hAnsi="Courier New"/>
          <w:sz w:val="17"/>
          <w:szCs w:val="17"/>
          <w:color w:val="auto"/>
        </w:rPr>
        <w:t>TI Deferred Compensation Plan (incorporated by reference to Exhibit 10(a)(ii) to the Registrant's Annual Report on Form 10-K for the year 1994).*</w:t>
      </w:r>
    </w:p>
    <w:p>
      <w:pPr>
        <w:spacing w:after="0" w:line="67" w:lineRule="exact"/>
        <w:rPr>
          <w:sz w:val="20"/>
          <w:szCs w:val="20"/>
          <w:color w:val="auto"/>
        </w:rPr>
      </w:pPr>
    </w:p>
    <w:tbl>
      <w:tblPr>
        <w:tblLayout w:type="fixed"/>
        <w:tblInd w:w="480" w:type="dxa"/>
        <w:tblCellMar>
          <w:top w:w="0" w:type="dxa"/>
          <w:left w:w="0" w:type="dxa"/>
          <w:bottom w:w="0" w:type="dxa"/>
          <w:right w:w="0" w:type="dxa"/>
        </w:tblCellMar>
      </w:tblPr>
      <w:tr>
        <w:trPr>
          <w:trHeight w:val="295"/>
        </w:trPr>
        <w:tc>
          <w:tcPr>
            <w:tcW w:w="1200" w:type="dxa"/>
            <w:vAlign w:val="bottom"/>
          </w:tcPr>
          <w:p>
            <w:pPr>
              <w:spacing w:after="0"/>
              <w:rPr>
                <w:sz w:val="24"/>
                <w:szCs w:val="24"/>
                <w:color w:val="auto"/>
              </w:rPr>
            </w:pPr>
          </w:p>
        </w:tc>
        <w:tc>
          <w:tcPr>
            <w:tcW w:w="1580" w:type="dxa"/>
            <w:vAlign w:val="bottom"/>
          </w:tcPr>
          <w:p>
            <w:pPr>
              <w:ind w:left="1220"/>
              <w:spacing w:after="0"/>
              <w:rPr>
                <w:sz w:val="20"/>
                <w:szCs w:val="20"/>
                <w:color w:val="auto"/>
              </w:rPr>
            </w:pPr>
            <w:r>
              <w:rPr>
                <w:rFonts w:ascii="Courier New" w:cs="Courier New" w:eastAsia="Courier New" w:hAnsi="Courier New"/>
                <w:sz w:val="17"/>
                <w:szCs w:val="17"/>
                <w:color w:val="auto"/>
              </w:rPr>
              <w:t>10</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9"/>
        </w:trPr>
        <w:tc>
          <w:tcPr>
            <w:tcW w:w="1200" w:type="dxa"/>
            <w:vAlign w:val="bottom"/>
          </w:tcPr>
          <w:p>
            <w:pPr>
              <w:spacing w:after="0"/>
              <w:rPr>
                <w:sz w:val="20"/>
                <w:szCs w:val="20"/>
                <w:color w:val="auto"/>
              </w:rPr>
            </w:pPr>
            <w:r>
              <w:rPr>
                <w:rFonts w:ascii="Courier New" w:cs="Courier New" w:eastAsia="Courier New" w:hAnsi="Courier New"/>
                <w:sz w:val="17"/>
                <w:szCs w:val="17"/>
                <w:color w:val="auto"/>
              </w:rPr>
              <w:t>10(a)(ii)</w:t>
            </w: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Amendment No.</w:t>
            </w:r>
          </w:p>
        </w:tc>
        <w:tc>
          <w:tcPr>
            <w:tcW w:w="36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1 to TI Deferred Compensation Plan</w:t>
            </w:r>
          </w:p>
        </w:tc>
      </w:tr>
      <w:tr>
        <w:trPr>
          <w:trHeight w:val="201"/>
        </w:trPr>
        <w:tc>
          <w:tcPr>
            <w:tcW w:w="120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33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reference to Exhibit 10(a)(iii)</w:t>
            </w:r>
          </w:p>
        </w:tc>
      </w:tr>
      <w:tr>
        <w:trPr>
          <w:trHeight w:val="201"/>
        </w:trPr>
        <w:tc>
          <w:tcPr>
            <w:tcW w:w="120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to the Registrant's Annual Report</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on Form 10-K</w:t>
            </w:r>
          </w:p>
        </w:tc>
      </w:tr>
      <w:tr>
        <w:trPr>
          <w:trHeight w:val="295"/>
        </w:trPr>
        <w:tc>
          <w:tcPr>
            <w:tcW w:w="1200" w:type="dxa"/>
            <w:vAlign w:val="bottom"/>
          </w:tcPr>
          <w:p>
            <w:pPr>
              <w:spacing w:after="0"/>
              <w:rPr>
                <w:sz w:val="24"/>
                <w:szCs w:val="24"/>
                <w:color w:val="auto"/>
              </w:rPr>
            </w:pPr>
          </w:p>
        </w:tc>
        <w:tc>
          <w:tcPr>
            <w:tcW w:w="36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for the year 1994).*</w:t>
            </w:r>
          </w:p>
        </w:tc>
        <w:tc>
          <w:tcPr>
            <w:tcW w:w="1520" w:type="dxa"/>
            <w:vAlign w:val="bottom"/>
          </w:tcPr>
          <w:p>
            <w:pPr>
              <w:spacing w:after="0"/>
              <w:rPr>
                <w:sz w:val="24"/>
                <w:szCs w:val="24"/>
                <w:color w:val="auto"/>
              </w:rPr>
            </w:pPr>
          </w:p>
        </w:tc>
      </w:tr>
      <w:tr>
        <w:trPr>
          <w:trHeight w:val="309"/>
        </w:trPr>
        <w:tc>
          <w:tcPr>
            <w:tcW w:w="1200" w:type="dxa"/>
            <w:vAlign w:val="bottom"/>
          </w:tcPr>
          <w:p>
            <w:pPr>
              <w:spacing w:after="0"/>
              <w:rPr>
                <w:sz w:val="20"/>
                <w:szCs w:val="20"/>
                <w:color w:val="auto"/>
              </w:rPr>
            </w:pPr>
            <w:r>
              <w:rPr>
                <w:rFonts w:ascii="Courier New" w:cs="Courier New" w:eastAsia="Courier New" w:hAnsi="Courier New"/>
                <w:sz w:val="17"/>
                <w:szCs w:val="17"/>
                <w:color w:val="auto"/>
              </w:rPr>
              <w:t>10(a)(iii)</w:t>
            </w: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Amendment No.</w:t>
            </w:r>
          </w:p>
        </w:tc>
        <w:tc>
          <w:tcPr>
            <w:tcW w:w="36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2 to TI Deferred Compensation Plan</w:t>
            </w:r>
          </w:p>
        </w:tc>
      </w:tr>
      <w:tr>
        <w:trPr>
          <w:trHeight w:val="201"/>
        </w:trPr>
        <w:tc>
          <w:tcPr>
            <w:tcW w:w="120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1780" w:type="dxa"/>
            <w:vAlign w:val="bottom"/>
          </w:tcPr>
          <w:p>
            <w:pPr>
              <w:ind w:left="40"/>
              <w:spacing w:after="0"/>
              <w:rPr>
                <w:sz w:val="20"/>
                <w:szCs w:val="20"/>
                <w:color w:val="auto"/>
              </w:rPr>
            </w:pPr>
            <w:r>
              <w:rPr>
                <w:rFonts w:ascii="Courier New" w:cs="Courier New" w:eastAsia="Courier New" w:hAnsi="Courier New"/>
                <w:sz w:val="17"/>
                <w:szCs w:val="17"/>
                <w:color w:val="auto"/>
              </w:rPr>
              <w:t>reference to the</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Registrant's</w:t>
            </w:r>
          </w:p>
        </w:tc>
      </w:tr>
      <w:tr>
        <w:trPr>
          <w:trHeight w:val="201"/>
        </w:trPr>
        <w:tc>
          <w:tcPr>
            <w:tcW w:w="1200" w:type="dxa"/>
            <w:vAlign w:val="bottom"/>
          </w:tcPr>
          <w:p>
            <w:pPr>
              <w:spacing w:after="0"/>
              <w:rPr>
                <w:sz w:val="17"/>
                <w:szCs w:val="17"/>
                <w:color w:val="auto"/>
              </w:rPr>
            </w:pPr>
          </w:p>
        </w:tc>
        <w:tc>
          <w:tcPr>
            <w:tcW w:w="19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Quarterly Report</w:t>
            </w:r>
          </w:p>
        </w:tc>
        <w:tc>
          <w:tcPr>
            <w:tcW w:w="1780" w:type="dxa"/>
            <w:vAlign w:val="bottom"/>
          </w:tcPr>
          <w:p>
            <w:pPr>
              <w:ind w:left="40"/>
              <w:spacing w:after="0"/>
              <w:rPr>
                <w:sz w:val="20"/>
                <w:szCs w:val="20"/>
                <w:color w:val="auto"/>
              </w:rPr>
            </w:pPr>
            <w:r>
              <w:rPr>
                <w:rFonts w:ascii="Courier New" w:cs="Courier New" w:eastAsia="Courier New" w:hAnsi="Courier New"/>
                <w:sz w:val="17"/>
                <w:szCs w:val="17"/>
                <w:color w:val="auto"/>
              </w:rPr>
              <w:t>on Form 10-Q for</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the quarter</w:t>
            </w:r>
          </w:p>
        </w:tc>
      </w:tr>
      <w:tr>
        <w:trPr>
          <w:trHeight w:val="295"/>
        </w:trPr>
        <w:tc>
          <w:tcPr>
            <w:tcW w:w="1200" w:type="dxa"/>
            <w:vAlign w:val="bottom"/>
          </w:tcPr>
          <w:p>
            <w:pPr>
              <w:spacing w:after="0"/>
              <w:rPr>
                <w:sz w:val="24"/>
                <w:szCs w:val="24"/>
                <w:color w:val="auto"/>
              </w:rPr>
            </w:pPr>
          </w:p>
        </w:tc>
        <w:tc>
          <w:tcPr>
            <w:tcW w:w="36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ended June 30, 1997).*</w:t>
            </w:r>
          </w:p>
        </w:tc>
        <w:tc>
          <w:tcPr>
            <w:tcW w:w="1520" w:type="dxa"/>
            <w:vAlign w:val="bottom"/>
          </w:tcPr>
          <w:p>
            <w:pPr>
              <w:spacing w:after="0"/>
              <w:rPr>
                <w:sz w:val="24"/>
                <w:szCs w:val="24"/>
                <w:color w:val="auto"/>
              </w:rPr>
            </w:pPr>
          </w:p>
        </w:tc>
      </w:tr>
      <w:tr>
        <w:trPr>
          <w:trHeight w:val="309"/>
        </w:trPr>
        <w:tc>
          <w:tcPr>
            <w:tcW w:w="1200" w:type="dxa"/>
            <w:vAlign w:val="bottom"/>
          </w:tcPr>
          <w:p>
            <w:pPr>
              <w:spacing w:after="0"/>
              <w:rPr>
                <w:sz w:val="20"/>
                <w:szCs w:val="20"/>
                <w:color w:val="auto"/>
              </w:rPr>
            </w:pPr>
            <w:r>
              <w:rPr>
                <w:rFonts w:ascii="Courier New" w:cs="Courier New" w:eastAsia="Courier New" w:hAnsi="Courier New"/>
                <w:sz w:val="17"/>
                <w:szCs w:val="17"/>
                <w:color w:val="auto"/>
              </w:rPr>
              <w:t>10(a)(iv)</w:t>
            </w: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Amendment No.</w:t>
            </w:r>
          </w:p>
        </w:tc>
        <w:tc>
          <w:tcPr>
            <w:tcW w:w="36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3 to TI Deferred Compensation Plan</w:t>
            </w:r>
          </w:p>
        </w:tc>
      </w:tr>
      <w:tr>
        <w:trPr>
          <w:trHeight w:val="201"/>
        </w:trPr>
        <w:tc>
          <w:tcPr>
            <w:tcW w:w="120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1780" w:type="dxa"/>
            <w:vAlign w:val="bottom"/>
          </w:tcPr>
          <w:p>
            <w:pPr>
              <w:ind w:left="40"/>
              <w:spacing w:after="0"/>
              <w:rPr>
                <w:sz w:val="20"/>
                <w:szCs w:val="20"/>
                <w:color w:val="auto"/>
              </w:rPr>
            </w:pPr>
            <w:r>
              <w:rPr>
                <w:rFonts w:ascii="Courier New" w:cs="Courier New" w:eastAsia="Courier New" w:hAnsi="Courier New"/>
                <w:sz w:val="17"/>
                <w:szCs w:val="17"/>
                <w:color w:val="auto"/>
              </w:rPr>
              <w:t>reference to the</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Registrant's</w:t>
            </w:r>
          </w:p>
        </w:tc>
      </w:tr>
      <w:tr>
        <w:trPr>
          <w:trHeight w:val="201"/>
        </w:trPr>
        <w:tc>
          <w:tcPr>
            <w:tcW w:w="1200" w:type="dxa"/>
            <w:vAlign w:val="bottom"/>
          </w:tcPr>
          <w:p>
            <w:pPr>
              <w:spacing w:after="0"/>
              <w:rPr>
                <w:sz w:val="17"/>
                <w:szCs w:val="17"/>
                <w:color w:val="auto"/>
              </w:rPr>
            </w:pPr>
          </w:p>
        </w:tc>
        <w:tc>
          <w:tcPr>
            <w:tcW w:w="19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Quarterly Report</w:t>
            </w:r>
          </w:p>
        </w:tc>
        <w:tc>
          <w:tcPr>
            <w:tcW w:w="1780" w:type="dxa"/>
            <w:vAlign w:val="bottom"/>
          </w:tcPr>
          <w:p>
            <w:pPr>
              <w:ind w:left="40"/>
              <w:spacing w:after="0"/>
              <w:rPr>
                <w:sz w:val="20"/>
                <w:szCs w:val="20"/>
                <w:color w:val="auto"/>
              </w:rPr>
            </w:pPr>
            <w:r>
              <w:rPr>
                <w:rFonts w:ascii="Courier New" w:cs="Courier New" w:eastAsia="Courier New" w:hAnsi="Courier New"/>
                <w:sz w:val="17"/>
                <w:szCs w:val="17"/>
                <w:color w:val="auto"/>
              </w:rPr>
              <w:t>on Form 10-Q for</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the quarter</w:t>
            </w:r>
          </w:p>
        </w:tc>
      </w:tr>
      <w:tr>
        <w:trPr>
          <w:trHeight w:val="295"/>
        </w:trPr>
        <w:tc>
          <w:tcPr>
            <w:tcW w:w="1200" w:type="dxa"/>
            <w:vAlign w:val="bottom"/>
          </w:tcPr>
          <w:p>
            <w:pPr>
              <w:spacing w:after="0"/>
              <w:rPr>
                <w:sz w:val="24"/>
                <w:szCs w:val="24"/>
                <w:color w:val="auto"/>
              </w:rPr>
            </w:pPr>
          </w:p>
        </w:tc>
        <w:tc>
          <w:tcPr>
            <w:tcW w:w="36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ended September 30, 1997).*</w:t>
            </w:r>
          </w:p>
        </w:tc>
        <w:tc>
          <w:tcPr>
            <w:tcW w:w="1520" w:type="dxa"/>
            <w:vAlign w:val="bottom"/>
          </w:tcPr>
          <w:p>
            <w:pPr>
              <w:spacing w:after="0"/>
              <w:rPr>
                <w:sz w:val="24"/>
                <w:szCs w:val="24"/>
                <w:color w:val="auto"/>
              </w:rPr>
            </w:pPr>
          </w:p>
        </w:tc>
      </w:tr>
      <w:tr>
        <w:trPr>
          <w:trHeight w:val="403"/>
        </w:trPr>
        <w:tc>
          <w:tcPr>
            <w:tcW w:w="1200" w:type="dxa"/>
            <w:vAlign w:val="bottom"/>
          </w:tcPr>
          <w:p>
            <w:pPr>
              <w:spacing w:after="0"/>
              <w:rPr>
                <w:sz w:val="20"/>
                <w:szCs w:val="20"/>
                <w:color w:val="auto"/>
              </w:rPr>
            </w:pPr>
            <w:r>
              <w:rPr>
                <w:rFonts w:ascii="Courier New" w:cs="Courier New" w:eastAsia="Courier New" w:hAnsi="Courier New"/>
                <w:sz w:val="17"/>
                <w:szCs w:val="17"/>
                <w:color w:val="auto"/>
              </w:rPr>
              <w:t>10(b)</w:t>
            </w:r>
          </w:p>
        </w:tc>
        <w:tc>
          <w:tcPr>
            <w:tcW w:w="520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Texas Instruments Long-Term Incentive Plan</w:t>
            </w:r>
          </w:p>
        </w:tc>
      </w:tr>
    </w:tbl>
    <w:p>
      <w:pPr>
        <w:sectPr>
          <w:pgSz w:w="11900" w:h="16920" w:orient="portrait"/>
          <w:cols w:equalWidth="0" w:num="1">
            <w:col w:w="9019"/>
          </w:cols>
          <w:pgMar w:left="1440" w:top="110" w:right="1440" w:bottom="0" w:gutter="0" w:footer="0" w:header="0"/>
        </w:sectPr>
      </w:pPr>
    </w:p>
    <w:bookmarkStart w:id="8" w:name="page9"/>
    <w:bookmarkEnd w:id="8"/>
    <w:p>
      <w:pPr>
        <w:spacing w:after="0" w:line="14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(incorporated by reference to Exhibit 10(a)(ii)</w:t>
      </w:r>
    </w:p>
    <w:p>
      <w:pPr>
        <w:spacing w:after="0" w:line="4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to the Registrant's Annual Report on Form 10-K</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for the year 1993).*</w:t>
      </w:r>
    </w:p>
    <w:p>
      <w:pPr>
        <w:spacing w:after="0" w:line="178" w:lineRule="exact"/>
        <w:rPr>
          <w:sz w:val="20"/>
          <w:szCs w:val="20"/>
          <w:color w:val="auto"/>
        </w:rPr>
      </w:pPr>
    </w:p>
    <w:p>
      <w:pPr>
        <w:jc w:val="both"/>
        <w:ind w:left="3040" w:right="2259" w:hanging="1359"/>
        <w:spacing w:after="0" w:line="293" w:lineRule="auto"/>
        <w:tabs>
          <w:tab w:leader="none" w:pos="3020" w:val="left"/>
        </w:tabs>
        <w:rPr>
          <w:sz w:val="20"/>
          <w:szCs w:val="20"/>
          <w:color w:val="auto"/>
        </w:rPr>
      </w:pPr>
      <w:r>
        <w:rPr>
          <w:rFonts w:ascii="Courier New" w:cs="Courier New" w:eastAsia="Courier New" w:hAnsi="Courier New"/>
          <w:sz w:val="17"/>
          <w:szCs w:val="17"/>
          <w:color w:val="auto"/>
        </w:rPr>
        <w:t>10(c)</w:t>
      </w:r>
      <w:r>
        <w:rPr>
          <w:sz w:val="20"/>
          <w:szCs w:val="20"/>
          <w:color w:val="auto"/>
        </w:rPr>
        <w:tab/>
      </w:r>
      <w:r>
        <w:rPr>
          <w:rFonts w:ascii="Courier New" w:cs="Courier New" w:eastAsia="Courier New" w:hAnsi="Courier New"/>
          <w:sz w:val="17"/>
          <w:szCs w:val="17"/>
          <w:color w:val="auto"/>
        </w:rPr>
        <w:t>Texas Instruments 1996 Long-Term Incentive Plan (incorporated by reference to Exhibit 10 to the Registrant's Quarterly Report on Form 10-Q for the quarter ended June 30, 1996).*</w:t>
      </w:r>
    </w:p>
    <w:p>
      <w:pPr>
        <w:spacing w:after="0" w:line="67" w:lineRule="exact"/>
        <w:rPr>
          <w:sz w:val="20"/>
          <w:szCs w:val="20"/>
          <w:color w:val="auto"/>
        </w:rPr>
      </w:pPr>
    </w:p>
    <w:p>
      <w:pPr>
        <w:ind w:left="3040" w:right="2259" w:hanging="1359"/>
        <w:spacing w:after="0" w:line="293" w:lineRule="auto"/>
        <w:tabs>
          <w:tab w:leader="none" w:pos="3020" w:val="left"/>
        </w:tabs>
        <w:rPr>
          <w:sz w:val="20"/>
          <w:szCs w:val="20"/>
          <w:color w:val="auto"/>
        </w:rPr>
      </w:pPr>
      <w:r>
        <w:rPr>
          <w:rFonts w:ascii="Courier New" w:cs="Courier New" w:eastAsia="Courier New" w:hAnsi="Courier New"/>
          <w:sz w:val="17"/>
          <w:szCs w:val="17"/>
          <w:color w:val="auto"/>
        </w:rPr>
        <w:t>10(d)</w:t>
      </w:r>
      <w:r>
        <w:rPr>
          <w:sz w:val="20"/>
          <w:szCs w:val="20"/>
          <w:color w:val="auto"/>
        </w:rPr>
        <w:tab/>
      </w:r>
      <w:r>
        <w:rPr>
          <w:rFonts w:ascii="Courier New" w:cs="Courier New" w:eastAsia="Courier New" w:hAnsi="Courier New"/>
          <w:sz w:val="17"/>
          <w:szCs w:val="17"/>
          <w:color w:val="auto"/>
        </w:rPr>
        <w:t>Texas Instruments Executive Officer Performance Plan (incorporated by reference to the Registrant's Quarterly Report on Form 10-Q for the quarter ended March 31, 1997).*</w:t>
      </w:r>
    </w:p>
    <w:p>
      <w:pPr>
        <w:spacing w:after="0" w:line="67" w:lineRule="exact"/>
        <w:rPr>
          <w:sz w:val="20"/>
          <w:szCs w:val="20"/>
          <w:color w:val="auto"/>
        </w:rPr>
      </w:pPr>
    </w:p>
    <w:p>
      <w:pPr>
        <w:ind w:left="3040" w:right="2139" w:hanging="1359"/>
        <w:spacing w:after="0" w:line="260" w:lineRule="auto"/>
        <w:tabs>
          <w:tab w:leader="none" w:pos="3020" w:val="left"/>
        </w:tabs>
        <w:rPr>
          <w:sz w:val="20"/>
          <w:szCs w:val="20"/>
          <w:color w:val="auto"/>
        </w:rPr>
      </w:pPr>
      <w:r>
        <w:rPr>
          <w:rFonts w:ascii="Courier New" w:cs="Courier New" w:eastAsia="Courier New" w:hAnsi="Courier New"/>
          <w:sz w:val="17"/>
          <w:szCs w:val="17"/>
          <w:color w:val="auto"/>
        </w:rPr>
        <w:t>10(e)</w:t>
      </w:r>
      <w:r>
        <w:rPr>
          <w:sz w:val="20"/>
          <w:szCs w:val="20"/>
          <w:color w:val="auto"/>
        </w:rPr>
        <w:tab/>
      </w:r>
      <w:r>
        <w:rPr>
          <w:rFonts w:ascii="Courier New" w:cs="Courier New" w:eastAsia="Courier New" w:hAnsi="Courier New"/>
          <w:sz w:val="17"/>
          <w:szCs w:val="17"/>
          <w:color w:val="auto"/>
        </w:rPr>
        <w:t>Texas Instruments Restricted Stock Unit Plan for Directors (incorporated by reference to Exhibit 10(c) to the Registrant's Quarterly Report on Form 10-Q for the quarter ended</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June 30, 1996).</w:t>
      </w:r>
    </w:p>
    <w:p>
      <w:pPr>
        <w:spacing w:after="0" w:line="178" w:lineRule="exact"/>
        <w:rPr>
          <w:sz w:val="20"/>
          <w:szCs w:val="20"/>
          <w:color w:val="auto"/>
        </w:rPr>
      </w:pPr>
    </w:p>
    <w:p>
      <w:pPr>
        <w:ind w:left="3040" w:right="2039" w:hanging="1359"/>
        <w:spacing w:after="0" w:line="293" w:lineRule="auto"/>
        <w:tabs>
          <w:tab w:leader="none" w:pos="3020" w:val="left"/>
        </w:tabs>
        <w:rPr>
          <w:sz w:val="20"/>
          <w:szCs w:val="20"/>
          <w:color w:val="auto"/>
        </w:rPr>
      </w:pPr>
      <w:r>
        <w:rPr>
          <w:rFonts w:ascii="Courier New" w:cs="Courier New" w:eastAsia="Courier New" w:hAnsi="Courier New"/>
          <w:sz w:val="17"/>
          <w:szCs w:val="17"/>
          <w:color w:val="auto"/>
        </w:rPr>
        <w:t>10(f)</w:t>
      </w:r>
      <w:r>
        <w:rPr>
          <w:sz w:val="20"/>
          <w:szCs w:val="20"/>
          <w:color w:val="auto"/>
        </w:rPr>
        <w:tab/>
      </w:r>
      <w:r>
        <w:rPr>
          <w:rFonts w:ascii="Courier New" w:cs="Courier New" w:eastAsia="Courier New" w:hAnsi="Courier New"/>
          <w:sz w:val="17"/>
          <w:szCs w:val="17"/>
          <w:color w:val="auto"/>
        </w:rPr>
        <w:t>Texas Instruments Directors Deferred Compensation Plan (incorporated by reference to the Registrant's Quarterly Report on Form 10-Q for the quarter ended September 30, 1997).</w:t>
      </w:r>
    </w:p>
    <w:p>
      <w:pPr>
        <w:spacing w:after="0" w:line="67" w:lineRule="exact"/>
        <w:rPr>
          <w:sz w:val="20"/>
          <w:szCs w:val="20"/>
          <w:color w:val="auto"/>
        </w:rPr>
      </w:pPr>
    </w:p>
    <w:p>
      <w:pPr>
        <w:ind w:left="3040" w:right="2259" w:hanging="1359"/>
        <w:spacing w:after="0" w:line="283" w:lineRule="auto"/>
        <w:tabs>
          <w:tab w:leader="none" w:pos="3020" w:val="left"/>
        </w:tabs>
        <w:rPr>
          <w:sz w:val="20"/>
          <w:szCs w:val="20"/>
          <w:color w:val="auto"/>
        </w:rPr>
      </w:pPr>
      <w:r>
        <w:rPr>
          <w:rFonts w:ascii="Courier New" w:cs="Courier New" w:eastAsia="Courier New" w:hAnsi="Courier New"/>
          <w:sz w:val="17"/>
          <w:szCs w:val="17"/>
          <w:color w:val="auto"/>
        </w:rPr>
        <w:t>10(g)</w:t>
      </w:r>
      <w:r>
        <w:rPr>
          <w:sz w:val="20"/>
          <w:szCs w:val="20"/>
          <w:color w:val="auto"/>
        </w:rPr>
        <w:tab/>
      </w:r>
      <w:r>
        <w:rPr>
          <w:rFonts w:ascii="Courier New" w:cs="Courier New" w:eastAsia="Courier New" w:hAnsi="Courier New"/>
          <w:sz w:val="17"/>
          <w:szCs w:val="17"/>
          <w:color w:val="auto"/>
        </w:rPr>
        <w:t>Statement of Policy of Registrant's Board of Directors on Top Officer and Board Member Retirement Practices (incorporated by reference to Exhibit 10(b)(vi) to the Registrant's Annual Report on Form 10-K for the year 1993).*</w:t>
      </w:r>
    </w:p>
    <w:p>
      <w:pPr>
        <w:spacing w:after="0" w:line="73" w:lineRule="exact"/>
        <w:rPr>
          <w:sz w:val="20"/>
          <w:szCs w:val="20"/>
          <w:color w:val="auto"/>
        </w:rPr>
      </w:pPr>
    </w:p>
    <w:p>
      <w:pPr>
        <w:ind w:left="3040" w:right="2259" w:hanging="1357"/>
        <w:spacing w:after="0" w:line="376" w:lineRule="auto"/>
        <w:tabs>
          <w:tab w:leader="none" w:pos="3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earnings per common and dilutive potential common share.</w:t>
      </w:r>
    </w:p>
    <w:p>
      <w:pPr>
        <w:ind w:left="3040" w:right="2039" w:hanging="1357"/>
        <w:spacing w:after="0" w:line="315" w:lineRule="auto"/>
        <w:tabs>
          <w:tab w:leader="none" w:pos="3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47" w:lineRule="exact"/>
        <w:rPr>
          <w:rFonts w:ascii="Courier New" w:cs="Courier New" w:eastAsia="Courier New" w:hAnsi="Courier New"/>
          <w:sz w:val="17"/>
          <w:szCs w:val="17"/>
          <w:color w:val="auto"/>
        </w:rPr>
      </w:pPr>
    </w:p>
    <w:p>
      <w:pPr>
        <w:ind w:left="3040" w:right="2039" w:hanging="1357"/>
        <w:spacing w:after="0" w:line="272" w:lineRule="auto"/>
        <w:tabs>
          <w:tab w:leader="none" w:pos="3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1997 Annual Report to Stockholders. (With the exception of the items listed in the index to financial statements and financial statement schedules herein, and the items referred to in ITEMS 1, 5, 6, 7 and 8 hereof, the 1997 Annual Report to Stockholders is not to be deemed filed as part of this report.)</w:t>
      </w:r>
    </w:p>
    <w:p>
      <w:pPr>
        <w:spacing w:after="0" w:line="8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pacing w:after="0" w:line="210" w:lineRule="exact"/>
        <w:rPr>
          <w:sz w:val="20"/>
          <w:szCs w:val="20"/>
          <w:color w:val="auto"/>
        </w:rPr>
      </w:pPr>
    </w:p>
    <w:p>
      <w:pPr>
        <w:ind w:left="3040" w:hanging="1357"/>
        <w:spacing w:after="0"/>
        <w:tabs>
          <w:tab w:leader="none" w:pos="30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of subsidiaries of the Registrant.</w:t>
      </w:r>
    </w:p>
    <w:p>
      <w:pPr>
        <w:spacing w:after="0" w:line="210" w:lineRule="exact"/>
        <w:rPr>
          <w:rFonts w:ascii="Courier New" w:cs="Courier New" w:eastAsia="Courier New" w:hAnsi="Courier New"/>
          <w:sz w:val="17"/>
          <w:szCs w:val="17"/>
          <w:color w:val="auto"/>
        </w:rPr>
      </w:pPr>
    </w:p>
    <w:p>
      <w:pPr>
        <w:ind w:left="3040" w:hanging="1357"/>
        <w:spacing w:after="0"/>
        <w:tabs>
          <w:tab w:leader="none" w:pos="30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Ernst &amp; Young LLP.</w:t>
      </w:r>
    </w:p>
    <w:p>
      <w:pPr>
        <w:spacing w:after="0" w:line="210" w:lineRule="exact"/>
        <w:rPr>
          <w:rFonts w:ascii="Courier New" w:cs="Courier New" w:eastAsia="Courier New" w:hAnsi="Courier New"/>
          <w:sz w:val="17"/>
          <w:szCs w:val="17"/>
          <w:color w:val="auto"/>
        </w:rPr>
      </w:pPr>
    </w:p>
    <w:p>
      <w:pPr>
        <w:ind w:left="3040" w:hanging="1357"/>
        <w:spacing w:after="0"/>
        <w:tabs>
          <w:tab w:leader="none" w:pos="30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w:t>
      </w:r>
    </w:p>
    <w:p>
      <w:pPr>
        <w:spacing w:after="0" w:line="210" w:lineRule="exact"/>
        <w:rPr>
          <w:sz w:val="20"/>
          <w:szCs w:val="20"/>
          <w:color w:val="auto"/>
        </w:rPr>
      </w:pPr>
    </w:p>
    <w:p>
      <w:pPr>
        <w:ind w:left="1680"/>
        <w:spacing w:after="0"/>
        <w:tabs>
          <w:tab w:leader="none" w:pos="302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w:t>
      </w:r>
    </w:p>
    <w:p>
      <w:pPr>
        <w:spacing w:after="0" w:line="41"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*Executive Compensation Plans and Arrangements:</w:t>
      </w:r>
    </w:p>
    <w:p>
      <w:pPr>
        <w:spacing w:after="0" w:line="178" w:lineRule="exact"/>
        <w:rPr>
          <w:sz w:val="20"/>
          <w:szCs w:val="20"/>
          <w:color w:val="auto"/>
        </w:rPr>
      </w:pPr>
    </w:p>
    <w:p>
      <w:pPr>
        <w:ind w:left="1060" w:right="2139"/>
        <w:spacing w:after="0" w:line="315" w:lineRule="auto"/>
        <w:rPr>
          <w:sz w:val="20"/>
          <w:szCs w:val="20"/>
          <w:color w:val="auto"/>
        </w:rPr>
      </w:pPr>
      <w:r>
        <w:rPr>
          <w:rFonts w:ascii="Courier New" w:cs="Courier New" w:eastAsia="Courier New" w:hAnsi="Courier New"/>
          <w:sz w:val="17"/>
          <w:szCs w:val="17"/>
          <w:color w:val="auto"/>
        </w:rPr>
        <w:t>TI Deferred Compensation Plan (incorporated by reference to Exhibit 10(a)(ii) to the Registrant's Annual Report on Form 10-K for the year 1994).</w:t>
      </w:r>
    </w:p>
    <w:p>
      <w:pPr>
        <w:spacing w:after="0" w:line="47" w:lineRule="exact"/>
        <w:rPr>
          <w:sz w:val="20"/>
          <w:szCs w:val="20"/>
          <w:color w:val="auto"/>
        </w:rPr>
      </w:pPr>
    </w:p>
    <w:p>
      <w:pPr>
        <w:ind w:left="1060" w:right="2359"/>
        <w:spacing w:after="0" w:line="315" w:lineRule="auto"/>
        <w:rPr>
          <w:sz w:val="20"/>
          <w:szCs w:val="20"/>
          <w:color w:val="auto"/>
        </w:rPr>
      </w:pPr>
      <w:r>
        <w:rPr>
          <w:rFonts w:ascii="Courier New" w:cs="Courier New" w:eastAsia="Courier New" w:hAnsi="Courier New"/>
          <w:sz w:val="17"/>
          <w:szCs w:val="17"/>
          <w:color w:val="auto"/>
        </w:rPr>
        <w:t>Amendment No. 1 to TI Deferred Compensation Plan (incorporated by reference to Exhibit 10(a)(iii) to Registrant's Annual Report on Form 10-K for the year 1994).</w:t>
      </w:r>
    </w:p>
    <w:p>
      <w:pPr>
        <w:spacing w:after="0" w:line="47" w:lineRule="exact"/>
        <w:rPr>
          <w:sz w:val="20"/>
          <w:szCs w:val="20"/>
          <w:color w:val="auto"/>
        </w:rPr>
      </w:pPr>
    </w:p>
    <w:p>
      <w:pPr>
        <w:ind w:left="1060" w:right="2139"/>
        <w:spacing w:after="0" w:line="315" w:lineRule="auto"/>
        <w:rPr>
          <w:sz w:val="20"/>
          <w:szCs w:val="20"/>
          <w:color w:val="auto"/>
        </w:rPr>
      </w:pPr>
      <w:r>
        <w:rPr>
          <w:rFonts w:ascii="Courier New" w:cs="Courier New" w:eastAsia="Courier New" w:hAnsi="Courier New"/>
          <w:sz w:val="17"/>
          <w:szCs w:val="17"/>
          <w:color w:val="auto"/>
        </w:rPr>
        <w:t>Amendment No. 2 to TI Deferred Compensation Plan (incorporated by reference to the Registrant's Quarterly Report on Form 10-Q for the quarter ended June 30, 1997).</w:t>
      </w:r>
    </w:p>
    <w:p>
      <w:pPr>
        <w:spacing w:after="0" w:line="47" w:lineRule="exact"/>
        <w:rPr>
          <w:sz w:val="20"/>
          <w:szCs w:val="20"/>
          <w:color w:val="auto"/>
        </w:rPr>
      </w:pPr>
    </w:p>
    <w:p>
      <w:pPr>
        <w:ind w:left="1060" w:right="2139"/>
        <w:spacing w:after="0" w:line="315" w:lineRule="auto"/>
        <w:rPr>
          <w:sz w:val="20"/>
          <w:szCs w:val="20"/>
          <w:color w:val="auto"/>
        </w:rPr>
      </w:pPr>
      <w:r>
        <w:rPr>
          <w:rFonts w:ascii="Courier New" w:cs="Courier New" w:eastAsia="Courier New" w:hAnsi="Courier New"/>
          <w:sz w:val="17"/>
          <w:szCs w:val="17"/>
          <w:color w:val="auto"/>
        </w:rPr>
        <w:t>Amendment No. 3 to TI Deferred Compensation Plan (incorporated by reference to the Registrant's Quarterly Report on Form 10-Q for the quarter ended September 30, 1997).</w:t>
      </w:r>
    </w:p>
    <w:p>
      <w:pPr>
        <w:spacing w:after="0" w:line="47" w:lineRule="exact"/>
        <w:rPr>
          <w:sz w:val="20"/>
          <w:szCs w:val="20"/>
          <w:color w:val="auto"/>
        </w:rPr>
      </w:pPr>
    </w:p>
    <w:p>
      <w:pPr>
        <w:ind w:left="1060" w:right="2139"/>
        <w:spacing w:after="0" w:line="315"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 to the Registrant's Annual Report on Form 10-K for the year 1993).</w:t>
      </w:r>
    </w:p>
    <w:p>
      <w:pPr>
        <w:spacing w:after="0" w:line="47" w:lineRule="exact"/>
        <w:rPr>
          <w:sz w:val="20"/>
          <w:szCs w:val="20"/>
          <w:color w:val="auto"/>
        </w:rPr>
      </w:pPr>
    </w:p>
    <w:p>
      <w:pPr>
        <w:ind w:left="1060" w:right="2039"/>
        <w:spacing w:after="0" w:line="315" w:lineRule="auto"/>
        <w:rPr>
          <w:sz w:val="20"/>
          <w:szCs w:val="20"/>
          <w:color w:val="auto"/>
        </w:rPr>
      </w:pPr>
      <w:r>
        <w:rPr>
          <w:rFonts w:ascii="Courier New" w:cs="Courier New" w:eastAsia="Courier New" w:hAnsi="Courier New"/>
          <w:sz w:val="17"/>
          <w:szCs w:val="17"/>
          <w:color w:val="auto"/>
        </w:rPr>
        <w:t>Texas Instruments 1996 Long-Term Incentive Plan (incorporated by reference to Exhibit 10 to the Registrant's Quarterly Report on Form 10-Q for the quarter ended June 30, 1996).</w:t>
      </w:r>
    </w:p>
    <w:p>
      <w:pPr>
        <w:sectPr>
          <w:pgSz w:w="11900" w:h="16980" w:orient="portrait"/>
          <w:cols w:equalWidth="0" w:num="1">
            <w:col w:w="10219"/>
          </w:cols>
          <w:pgMar w:left="240" w:top="110" w:right="1440" w:bottom="0" w:gutter="0" w:footer="0" w:header="0"/>
        </w:sectPr>
      </w:pPr>
    </w:p>
    <w:bookmarkStart w:id="9" w:name="page10"/>
    <w:bookmarkEnd w:id="9"/>
    <w:p>
      <w:pPr>
        <w:spacing w:after="0" w:line="11" w:lineRule="exact"/>
        <w:rPr>
          <w:sz w:val="20"/>
          <w:szCs w:val="20"/>
          <w:color w:val="auto"/>
        </w:rPr>
      </w:pPr>
    </w:p>
    <w:p>
      <w:pPr>
        <w:jc w:val="both"/>
        <w:ind w:left="1060" w:right="2259"/>
        <w:spacing w:after="0" w:line="315" w:lineRule="auto"/>
        <w:rPr>
          <w:sz w:val="20"/>
          <w:szCs w:val="20"/>
          <w:color w:val="auto"/>
        </w:rPr>
      </w:pPr>
      <w:r>
        <w:rPr>
          <w:rFonts w:ascii="Courier New" w:cs="Courier New" w:eastAsia="Courier New" w:hAnsi="Courier New"/>
          <w:sz w:val="17"/>
          <w:szCs w:val="17"/>
          <w:color w:val="auto"/>
        </w:rPr>
        <w:t>Texas Instruments Executive Officer Performance Plan (incorporated by reference to the Registrant's Quarterly Report on form 10-Q for the quarter ended March 31, 1997).</w:t>
      </w:r>
    </w:p>
    <w:p>
      <w:pPr>
        <w:spacing w:after="0" w:line="47" w:lineRule="exact"/>
        <w:rPr>
          <w:sz w:val="20"/>
          <w:szCs w:val="20"/>
          <w:color w:val="auto"/>
        </w:rPr>
      </w:pPr>
    </w:p>
    <w:p>
      <w:pPr>
        <w:ind w:left="1060" w:right="2139"/>
        <w:spacing w:after="0" w:line="293" w:lineRule="auto"/>
        <w:rPr>
          <w:sz w:val="20"/>
          <w:szCs w:val="20"/>
          <w:color w:val="auto"/>
        </w:rPr>
      </w:pPr>
      <w:r>
        <w:rPr>
          <w:rFonts w:ascii="Courier New" w:cs="Courier New" w:eastAsia="Courier New" w:hAnsi="Courier New"/>
          <w:sz w:val="17"/>
          <w:szCs w:val="17"/>
          <w:color w:val="auto"/>
        </w:rPr>
        <w:t>Statement of Policy of Registrant's Board of Directors on Top Officer and Board Member Retirement Practices (incorporated by reference to Exhibit 10(b)(vi) to the Registrant's Annual Report on Form 10-K for the year 1993).</w:t>
      </w:r>
    </w:p>
    <w:p>
      <w:pPr>
        <w:spacing w:after="0" w:line="67" w:lineRule="exact"/>
        <w:rPr>
          <w:sz w:val="20"/>
          <w:szCs w:val="20"/>
          <w:color w:val="auto"/>
        </w:rPr>
      </w:pPr>
    </w:p>
    <w:p>
      <w:pPr>
        <w:ind w:left="1060" w:right="7079" w:hanging="529"/>
        <w:spacing w:after="0" w:line="502" w:lineRule="auto"/>
        <w:tabs>
          <w:tab w:leader="none" w:pos="10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ind w:right="2139"/>
        <w:spacing w:after="0" w:line="376"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With the exception of historical information, the matters discussed or incorporated by reference in this Report on Form 10-K are forward-looking statements that involve risks and uncertainties including, but not limited to, global economic conditions, product demand and industry capacity, competitive products and pricing, manufacturing efficiencies, new product development, ability to enforce patents, availability of raw materials and critical manufacturing equipment, new plant startups and continuity of DRAM joint venture manufacturing operations, timely completion of announced acquisitions, the regulatory and trade environment, timely completion of Year 2000 software modifications, and other risks indicated in filings with the Securities and Exchange Commission.</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right="2359" w:firstLine="1047"/>
        <w:spacing w:after="0" w:line="315"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47"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WILLIAM A. AYLESWORTH</w:t>
      </w:r>
    </w:p>
    <w:p>
      <w:pPr>
        <w:spacing w:after="0" w:line="41"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William A. Aylesworth</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Senior Vice President,</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Treasurer and Chief</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Financial Officer</w:t>
      </w:r>
    </w:p>
    <w:p>
      <w:pPr>
        <w:spacing w:after="0" w:line="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February 23, 1998</w:t>
      </w:r>
    </w:p>
    <w:p>
      <w:pPr>
        <w:spacing w:after="0" w:line="178" w:lineRule="exact"/>
        <w:rPr>
          <w:sz w:val="20"/>
          <w:szCs w:val="20"/>
          <w:color w:val="auto"/>
        </w:rPr>
      </w:pPr>
    </w:p>
    <w:p>
      <w:pPr>
        <w:ind w:right="2139"/>
        <w:spacing w:after="0" w:line="315"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indicated on the 23rd day of February, 1998.</w:t>
      </w:r>
    </w:p>
    <w:p>
      <w:pPr>
        <w:sectPr>
          <w:pgSz w:w="11900" w:h="16849" w:orient="portrait"/>
          <w:cols w:equalWidth="0" w:num="1">
            <w:col w:w="10219"/>
          </w:cols>
          <w:pgMar w:left="240" w:top="311" w:right="1440" w:bottom="0" w:gutter="0" w:footer="0" w:header="0"/>
        </w:sectPr>
      </w:pPr>
    </w:p>
    <w:p>
      <w:pPr>
        <w:spacing w:after="0" w:line="47"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ectPr>
          <w:pgSz w:w="11900" w:h="16849" w:orient="portrait"/>
          <w:cols w:equalWidth="0" w:num="2">
            <w:col w:w="5040" w:space="720"/>
            <w:col w:w="4459"/>
          </w:cols>
          <w:pgMar w:left="240" w:top="311" w:right="1440" w:bottom="0" w:gutter="0" w:footer="0" w:header="0"/>
          <w:type w:val="continuous"/>
        </w:sect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*JAMES R. ADAMS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Director</w:t>
      </w:r>
    </w:p>
    <w:p>
      <w:pPr>
        <w:spacing w:after="0" w:line="50" w:lineRule="exact"/>
        <w:rPr>
          <w:sz w:val="20"/>
          <w:szCs w:val="20"/>
          <w:color w:val="auto"/>
        </w:rPr>
      </w:pPr>
    </w:p>
    <w:p>
      <w:pPr>
        <w:sectPr>
          <w:pgSz w:w="11900" w:h="16849" w:orient="portrait"/>
          <w:cols w:equalWidth="0" w:num="2">
            <w:col w:w="3800" w:space="720"/>
            <w:col w:w="5699"/>
          </w:cols>
          <w:pgMar w:left="240" w:top="311" w:right="1440" w:bottom="0" w:gutter="0" w:footer="0" w:header="0"/>
          <w:type w:val="continuous"/>
        </w:sectPr>
      </w:pPr>
    </w:p>
    <w:p>
      <w:pPr>
        <w:ind w:left="220" w:hanging="213"/>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James R. Adams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tcPr>
          <w:p>
            <w:pPr>
              <w:ind w:left="1060"/>
              <w:spacing w:after="0"/>
              <w:rPr>
                <w:sz w:val="20"/>
                <w:szCs w:val="20"/>
                <w:color w:val="auto"/>
              </w:rPr>
            </w:pPr>
            <w:r>
              <w:rPr>
                <w:rFonts w:ascii="Courier New" w:cs="Courier New" w:eastAsia="Courier New" w:hAnsi="Courier New"/>
                <w:sz w:val="17"/>
                <w:szCs w:val="17"/>
                <w:color w:val="auto"/>
              </w:rPr>
              <w:t>*DAVID L. BOREN</w:t>
            </w:r>
          </w:p>
        </w:tc>
        <w:tc>
          <w:tcPr>
            <w:tcW w:w="3940" w:type="dxa"/>
            <w:vAlign w:val="bottom"/>
          </w:tcPr>
          <w:p>
            <w:pPr>
              <w:ind w:left="2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24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 ------------------------------------</w:t>
            </w:r>
          </w:p>
        </w:tc>
        <w:tc>
          <w:tcPr>
            <w:tcW w:w="3940" w:type="dxa"/>
            <w:vAlign w:val="bottom"/>
          </w:tcPr>
          <w:p>
            <w:pPr>
              <w:spacing w:after="0"/>
              <w:rPr>
                <w:sz w:val="17"/>
                <w:szCs w:val="17"/>
                <w:color w:val="auto"/>
              </w:rPr>
            </w:pPr>
          </w:p>
        </w:tc>
      </w:tr>
      <w:tr>
        <w:trPr>
          <w:trHeight w:val="295"/>
        </w:trPr>
        <w:tc>
          <w:tcPr>
            <w:tcW w:w="4240" w:type="dxa"/>
            <w:vAlign w:val="bottom"/>
          </w:tcPr>
          <w:p>
            <w:pPr>
              <w:ind w:left="1160"/>
              <w:spacing w:after="0"/>
              <w:rPr>
                <w:sz w:val="20"/>
                <w:szCs w:val="20"/>
                <w:color w:val="auto"/>
              </w:rPr>
            </w:pPr>
            <w:r>
              <w:rPr>
                <w:rFonts w:ascii="Courier New" w:cs="Courier New" w:eastAsia="Courier New" w:hAnsi="Courier New"/>
                <w:sz w:val="17"/>
                <w:szCs w:val="17"/>
                <w:color w:val="auto"/>
              </w:rPr>
              <w:t>David L. Boren</w:t>
            </w:r>
          </w:p>
        </w:tc>
        <w:tc>
          <w:tcPr>
            <w:tcW w:w="3940" w:type="dxa"/>
            <w:vAlign w:val="bottom"/>
          </w:tcPr>
          <w:p>
            <w:pPr>
              <w:spacing w:after="0"/>
              <w:rPr>
                <w:sz w:val="24"/>
                <w:szCs w:val="24"/>
                <w:color w:val="auto"/>
              </w:rPr>
            </w:pPr>
          </w:p>
        </w:tc>
      </w:tr>
      <w:tr>
        <w:trPr>
          <w:trHeight w:val="309"/>
        </w:trPr>
        <w:tc>
          <w:tcPr>
            <w:tcW w:w="4240" w:type="dxa"/>
            <w:vAlign w:val="bottom"/>
          </w:tcPr>
          <w:p>
            <w:pPr>
              <w:ind w:left="960"/>
              <w:spacing w:after="0"/>
              <w:rPr>
                <w:sz w:val="20"/>
                <w:szCs w:val="20"/>
                <w:color w:val="auto"/>
              </w:rPr>
            </w:pPr>
            <w:r>
              <w:rPr>
                <w:rFonts w:ascii="Courier New" w:cs="Courier New" w:eastAsia="Courier New" w:hAnsi="Courier New"/>
                <w:sz w:val="17"/>
                <w:szCs w:val="17"/>
                <w:color w:val="auto"/>
              </w:rPr>
              <w:t>*JAMES B. BUSEY IV</w:t>
            </w:r>
          </w:p>
        </w:tc>
        <w:tc>
          <w:tcPr>
            <w:tcW w:w="3940" w:type="dxa"/>
            <w:vAlign w:val="bottom"/>
          </w:tcPr>
          <w:p>
            <w:pPr>
              <w:ind w:left="2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24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 ------------------------------------</w:t>
            </w:r>
          </w:p>
        </w:tc>
        <w:tc>
          <w:tcPr>
            <w:tcW w:w="3940" w:type="dxa"/>
            <w:vAlign w:val="bottom"/>
          </w:tcPr>
          <w:p>
            <w:pPr>
              <w:spacing w:after="0"/>
              <w:rPr>
                <w:sz w:val="17"/>
                <w:szCs w:val="17"/>
                <w:color w:val="auto"/>
              </w:rPr>
            </w:pPr>
          </w:p>
        </w:tc>
      </w:tr>
      <w:tr>
        <w:trPr>
          <w:trHeight w:val="295"/>
        </w:trPr>
        <w:tc>
          <w:tcPr>
            <w:tcW w:w="4240" w:type="dxa"/>
            <w:vAlign w:val="bottom"/>
          </w:tcPr>
          <w:p>
            <w:pPr>
              <w:ind w:left="1060"/>
              <w:spacing w:after="0"/>
              <w:rPr>
                <w:sz w:val="20"/>
                <w:szCs w:val="20"/>
                <w:color w:val="auto"/>
              </w:rPr>
            </w:pPr>
            <w:r>
              <w:rPr>
                <w:rFonts w:ascii="Courier New" w:cs="Courier New" w:eastAsia="Courier New" w:hAnsi="Courier New"/>
                <w:sz w:val="17"/>
                <w:szCs w:val="17"/>
                <w:color w:val="auto"/>
              </w:rPr>
              <w:t>James B. Busey IV</w:t>
            </w:r>
          </w:p>
        </w:tc>
        <w:tc>
          <w:tcPr>
            <w:tcW w:w="3940" w:type="dxa"/>
            <w:vAlign w:val="bottom"/>
          </w:tcPr>
          <w:p>
            <w:pPr>
              <w:spacing w:after="0"/>
              <w:rPr>
                <w:sz w:val="24"/>
                <w:szCs w:val="24"/>
                <w:color w:val="auto"/>
              </w:rPr>
            </w:pPr>
          </w:p>
        </w:tc>
      </w:tr>
      <w:tr>
        <w:trPr>
          <w:trHeight w:val="309"/>
        </w:trPr>
        <w:tc>
          <w:tcPr>
            <w:tcW w:w="4240" w:type="dxa"/>
            <w:vAlign w:val="bottom"/>
          </w:tcPr>
          <w:p>
            <w:pPr>
              <w:ind w:left="960"/>
              <w:spacing w:after="0"/>
              <w:rPr>
                <w:sz w:val="20"/>
                <w:szCs w:val="20"/>
                <w:color w:val="auto"/>
              </w:rPr>
            </w:pPr>
            <w:r>
              <w:rPr>
                <w:rFonts w:ascii="Courier New" w:cs="Courier New" w:eastAsia="Courier New" w:hAnsi="Courier New"/>
                <w:sz w:val="17"/>
                <w:szCs w:val="17"/>
                <w:color w:val="auto"/>
              </w:rPr>
              <w:t>*DANIEL A. CARP</w:t>
            </w:r>
          </w:p>
        </w:tc>
        <w:tc>
          <w:tcPr>
            <w:tcW w:w="3940" w:type="dxa"/>
            <w:vAlign w:val="bottom"/>
          </w:tcPr>
          <w:p>
            <w:pPr>
              <w:ind w:left="2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24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 ------------------------------------</w:t>
            </w:r>
          </w:p>
        </w:tc>
        <w:tc>
          <w:tcPr>
            <w:tcW w:w="3940" w:type="dxa"/>
            <w:vAlign w:val="bottom"/>
          </w:tcPr>
          <w:p>
            <w:pPr>
              <w:spacing w:after="0"/>
              <w:rPr>
                <w:sz w:val="17"/>
                <w:szCs w:val="17"/>
                <w:color w:val="auto"/>
              </w:rPr>
            </w:pPr>
          </w:p>
        </w:tc>
      </w:tr>
      <w:tr>
        <w:trPr>
          <w:trHeight w:val="295"/>
        </w:trPr>
        <w:tc>
          <w:tcPr>
            <w:tcW w:w="4240" w:type="dxa"/>
            <w:vAlign w:val="bottom"/>
          </w:tcPr>
          <w:p>
            <w:pPr>
              <w:ind w:left="1060"/>
              <w:spacing w:after="0"/>
              <w:rPr>
                <w:sz w:val="20"/>
                <w:szCs w:val="20"/>
                <w:color w:val="auto"/>
              </w:rPr>
            </w:pPr>
            <w:r>
              <w:rPr>
                <w:rFonts w:ascii="Courier New" w:cs="Courier New" w:eastAsia="Courier New" w:hAnsi="Courier New"/>
                <w:sz w:val="17"/>
                <w:szCs w:val="17"/>
                <w:color w:val="auto"/>
              </w:rPr>
              <w:t>Daniel A. Carp</w:t>
            </w:r>
          </w:p>
        </w:tc>
        <w:tc>
          <w:tcPr>
            <w:tcW w:w="3940" w:type="dxa"/>
            <w:vAlign w:val="bottom"/>
          </w:tcPr>
          <w:p>
            <w:pPr>
              <w:spacing w:after="0"/>
              <w:rPr>
                <w:sz w:val="24"/>
                <w:szCs w:val="24"/>
                <w:color w:val="auto"/>
              </w:rPr>
            </w:pPr>
          </w:p>
        </w:tc>
      </w:tr>
      <w:tr>
        <w:trPr>
          <w:trHeight w:val="309"/>
        </w:trPr>
        <w:tc>
          <w:tcPr>
            <w:tcW w:w="4240" w:type="dxa"/>
            <w:vAlign w:val="bottom"/>
          </w:tcPr>
          <w:p>
            <w:pPr>
              <w:ind w:left="960"/>
              <w:spacing w:after="0"/>
              <w:rPr>
                <w:sz w:val="20"/>
                <w:szCs w:val="20"/>
                <w:color w:val="auto"/>
              </w:rPr>
            </w:pPr>
            <w:r>
              <w:rPr>
                <w:rFonts w:ascii="Courier New" w:cs="Courier New" w:eastAsia="Courier New" w:hAnsi="Courier New"/>
                <w:sz w:val="17"/>
                <w:szCs w:val="17"/>
                <w:color w:val="auto"/>
              </w:rPr>
              <w:t>*THOMAS J. ENGIBOUS</w:t>
            </w:r>
          </w:p>
        </w:tc>
        <w:tc>
          <w:tcPr>
            <w:tcW w:w="3940" w:type="dxa"/>
            <w:vAlign w:val="bottom"/>
          </w:tcPr>
          <w:p>
            <w:pPr>
              <w:ind w:left="280"/>
              <w:spacing w:after="0"/>
              <w:rPr>
                <w:sz w:val="20"/>
                <w:szCs w:val="20"/>
                <w:color w:val="auto"/>
              </w:rPr>
            </w:pPr>
            <w:r>
              <w:rPr>
                <w:rFonts w:ascii="Courier New" w:cs="Courier New" w:eastAsia="Courier New" w:hAnsi="Courier New"/>
                <w:sz w:val="17"/>
                <w:szCs w:val="17"/>
                <w:color w:val="auto"/>
              </w:rPr>
              <w:t>President; Chief Executive Officer;</w:t>
            </w:r>
          </w:p>
        </w:tc>
      </w:tr>
      <w:tr>
        <w:trPr>
          <w:trHeight w:val="201"/>
        </w:trPr>
        <w:tc>
          <w:tcPr>
            <w:tcW w:w="424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 ------------------------------------</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95"/>
        </w:trPr>
        <w:tc>
          <w:tcPr>
            <w:tcW w:w="4240" w:type="dxa"/>
            <w:vAlign w:val="bottom"/>
          </w:tcPr>
          <w:p>
            <w:pPr>
              <w:ind w:left="1060"/>
              <w:spacing w:after="0"/>
              <w:rPr>
                <w:sz w:val="20"/>
                <w:szCs w:val="20"/>
                <w:color w:val="auto"/>
              </w:rPr>
            </w:pPr>
            <w:r>
              <w:rPr>
                <w:rFonts w:ascii="Courier New" w:cs="Courier New" w:eastAsia="Courier New" w:hAnsi="Courier New"/>
                <w:sz w:val="17"/>
                <w:szCs w:val="17"/>
                <w:color w:val="auto"/>
              </w:rPr>
              <w:t>Thomas J. Engibous</w:t>
            </w:r>
          </w:p>
        </w:tc>
        <w:tc>
          <w:tcPr>
            <w:tcW w:w="3940" w:type="dxa"/>
            <w:vAlign w:val="bottom"/>
          </w:tcPr>
          <w:p>
            <w:pPr>
              <w:spacing w:after="0"/>
              <w:rPr>
                <w:sz w:val="24"/>
                <w:szCs w:val="24"/>
                <w:color w:val="auto"/>
              </w:rPr>
            </w:pPr>
          </w:p>
        </w:tc>
      </w:tr>
      <w:tr>
        <w:trPr>
          <w:trHeight w:val="309"/>
        </w:trPr>
        <w:tc>
          <w:tcPr>
            <w:tcW w:w="4240" w:type="dxa"/>
            <w:vAlign w:val="bottom"/>
          </w:tcPr>
          <w:p>
            <w:pPr>
              <w:ind w:left="740"/>
              <w:spacing w:after="0"/>
              <w:rPr>
                <w:sz w:val="20"/>
                <w:szCs w:val="20"/>
                <w:color w:val="auto"/>
              </w:rPr>
            </w:pPr>
            <w:r>
              <w:rPr>
                <w:rFonts w:ascii="Courier New" w:cs="Courier New" w:eastAsia="Courier New" w:hAnsi="Courier New"/>
                <w:sz w:val="17"/>
                <w:szCs w:val="17"/>
                <w:color w:val="auto"/>
              </w:rPr>
              <w:t>*GERALD W. FRONTERHOUSE</w:t>
            </w:r>
          </w:p>
        </w:tc>
        <w:tc>
          <w:tcPr>
            <w:tcW w:w="3940" w:type="dxa"/>
            <w:vAlign w:val="bottom"/>
          </w:tcPr>
          <w:p>
            <w:pPr>
              <w:ind w:left="2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24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 ------------------------------------</w:t>
            </w:r>
          </w:p>
        </w:tc>
        <w:tc>
          <w:tcPr>
            <w:tcW w:w="3940" w:type="dxa"/>
            <w:vAlign w:val="bottom"/>
          </w:tcPr>
          <w:p>
            <w:pPr>
              <w:spacing w:after="0"/>
              <w:rPr>
                <w:sz w:val="17"/>
                <w:szCs w:val="17"/>
                <w:color w:val="auto"/>
              </w:rPr>
            </w:pPr>
          </w:p>
        </w:tc>
      </w:tr>
      <w:tr>
        <w:trPr>
          <w:trHeight w:val="295"/>
        </w:trPr>
        <w:tc>
          <w:tcPr>
            <w:tcW w:w="424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Gerald W. Fronterhouse</w:t>
            </w:r>
          </w:p>
        </w:tc>
        <w:tc>
          <w:tcPr>
            <w:tcW w:w="3940" w:type="dxa"/>
            <w:vAlign w:val="bottom"/>
          </w:tcPr>
          <w:p>
            <w:pPr>
              <w:spacing w:after="0"/>
              <w:rPr>
                <w:sz w:val="24"/>
                <w:szCs w:val="24"/>
                <w:color w:val="auto"/>
              </w:rPr>
            </w:pPr>
          </w:p>
        </w:tc>
      </w:tr>
    </w:tbl>
    <w:p>
      <w:pPr>
        <w:spacing w:after="0" w:line="107" w:lineRule="exact"/>
        <w:rPr>
          <w:sz w:val="20"/>
          <w:szCs w:val="20"/>
          <w:color w:val="auto"/>
        </w:rPr>
      </w:pPr>
    </w:p>
    <w:p>
      <w:pPr>
        <w:ind w:left="1060"/>
        <w:spacing w:after="0"/>
        <w:tabs>
          <w:tab w:leader="none" w:pos="4500" w:val="left"/>
        </w:tabs>
        <w:rPr>
          <w:sz w:val="20"/>
          <w:szCs w:val="20"/>
          <w:color w:val="auto"/>
        </w:rPr>
      </w:pPr>
      <w:r>
        <w:rPr>
          <w:rFonts w:ascii="Courier New" w:cs="Courier New" w:eastAsia="Courier New" w:hAnsi="Courier New"/>
          <w:sz w:val="17"/>
          <w:szCs w:val="17"/>
          <w:color w:val="auto"/>
        </w:rPr>
        <w:t>*DAVID R. GOODE</w:t>
      </w:r>
      <w:r>
        <w:rPr>
          <w:sz w:val="20"/>
          <w:szCs w:val="20"/>
          <w:color w:val="auto"/>
        </w:rPr>
        <w:tab/>
      </w:r>
      <w:r>
        <w:rPr>
          <w:rFonts w:ascii="Courier New" w:cs="Courier New" w:eastAsia="Courier New" w:hAnsi="Courier New"/>
          <w:sz w:val="17"/>
          <w:szCs w:val="17"/>
          <w:color w:val="auto"/>
        </w:rPr>
        <w:t>Director</w:t>
      </w:r>
    </w:p>
    <w:p>
      <w:pPr>
        <w:spacing w:after="0" w:line="41" w:lineRule="exact"/>
        <w:rPr>
          <w:sz w:val="20"/>
          <w:szCs w:val="20"/>
          <w:color w:val="auto"/>
        </w:rPr>
      </w:pPr>
    </w:p>
    <w:p>
      <w:pPr>
        <w:ind w:left="220" w:hanging="213"/>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R. Goode</w:t>
      </w:r>
    </w:p>
    <w:p>
      <w:pPr>
        <w:sectPr>
          <w:pgSz w:w="11900" w:h="16849" w:orient="portrait"/>
          <w:cols w:equalWidth="0" w:num="1">
            <w:col w:w="10219"/>
          </w:cols>
          <w:pgMar w:left="240" w:top="311" w:right="1440" w:bottom="0" w:gutter="0" w:footer="0" w:header="0"/>
          <w:type w:val="continuous"/>
        </w:sectPr>
      </w:pPr>
    </w:p>
    <w:bookmarkStart w:id="10" w:name="page11"/>
    <w:bookmarkEnd w:id="10"/>
    <w:p>
      <w:pPr>
        <w:ind w:left="1060"/>
        <w:spacing w:after="0"/>
        <w:tabs>
          <w:tab w:leader="none" w:pos="4500" w:val="left"/>
        </w:tabs>
        <w:rPr>
          <w:sz w:val="20"/>
          <w:szCs w:val="20"/>
          <w:color w:val="auto"/>
        </w:rPr>
      </w:pPr>
      <w:r>
        <w:rPr>
          <w:rFonts w:ascii="Courier New" w:cs="Courier New" w:eastAsia="Courier New" w:hAnsi="Courier New"/>
          <w:sz w:val="17"/>
          <w:szCs w:val="17"/>
          <w:color w:val="auto"/>
        </w:rPr>
        <w:t>*WAYNE R. SANDERS</w:t>
      </w:r>
      <w:r>
        <w:rPr>
          <w:sz w:val="20"/>
          <w:szCs w:val="20"/>
          <w:color w:val="auto"/>
        </w:rPr>
        <w:tab/>
      </w:r>
      <w:r>
        <w:rPr>
          <w:rFonts w:ascii="Courier New" w:cs="Courier New" w:eastAsia="Courier New" w:hAnsi="Courier New"/>
          <w:sz w:val="17"/>
          <w:szCs w:val="17"/>
          <w:color w:val="auto"/>
        </w:rPr>
        <w:t>Director</w:t>
      </w:r>
    </w:p>
    <w:p>
      <w:pPr>
        <w:spacing w:after="0" w:line="41" w:lineRule="exact"/>
        <w:rPr>
          <w:sz w:val="20"/>
          <w:szCs w:val="20"/>
          <w:color w:val="auto"/>
        </w:rPr>
      </w:pPr>
    </w:p>
    <w:p>
      <w:pPr>
        <w:ind w:left="220" w:hanging="213"/>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Wayne R. Sanders</w:t>
      </w:r>
    </w:p>
    <w:p>
      <w:pPr>
        <w:spacing w:after="0" w:line="178" w:lineRule="exact"/>
        <w:rPr>
          <w:sz w:val="20"/>
          <w:szCs w:val="20"/>
          <w:color w:val="auto"/>
        </w:rPr>
      </w:pPr>
    </w:p>
    <w:p>
      <w:pPr>
        <w:ind w:left="960"/>
        <w:spacing w:after="0"/>
        <w:tabs>
          <w:tab w:leader="none" w:pos="4500" w:val="left"/>
        </w:tabs>
        <w:rPr>
          <w:sz w:val="20"/>
          <w:szCs w:val="20"/>
          <w:color w:val="auto"/>
        </w:rPr>
      </w:pPr>
      <w:r>
        <w:rPr>
          <w:rFonts w:ascii="Courier New" w:cs="Courier New" w:eastAsia="Courier New" w:hAnsi="Courier New"/>
          <w:sz w:val="17"/>
          <w:szCs w:val="17"/>
          <w:color w:val="auto"/>
        </w:rPr>
        <w:t>*GLORIA M. SHATTO</w:t>
      </w:r>
      <w:r>
        <w:rPr>
          <w:sz w:val="20"/>
          <w:szCs w:val="20"/>
          <w:color w:val="auto"/>
        </w:rPr>
        <w:tab/>
      </w:r>
      <w:r>
        <w:rPr>
          <w:rFonts w:ascii="Courier New" w:cs="Courier New" w:eastAsia="Courier New" w:hAnsi="Courier New"/>
          <w:sz w:val="17"/>
          <w:szCs w:val="17"/>
          <w:color w:val="auto"/>
        </w:rPr>
        <w:t>Director</w:t>
      </w:r>
    </w:p>
    <w:p>
      <w:pPr>
        <w:spacing w:after="0" w:line="41" w:lineRule="exact"/>
        <w:rPr>
          <w:sz w:val="20"/>
          <w:szCs w:val="20"/>
          <w:color w:val="auto"/>
        </w:rPr>
      </w:pPr>
    </w:p>
    <w:p>
      <w:pPr>
        <w:ind w:left="220" w:hanging="213"/>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Gloria M. Shatto</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040" w:type="dxa"/>
            <w:vAlign w:val="bottom"/>
          </w:tcPr>
          <w:p>
            <w:pPr>
              <w:spacing w:after="0"/>
              <w:rPr>
                <w:sz w:val="24"/>
                <w:szCs w:val="24"/>
                <w:color w:val="auto"/>
              </w:rPr>
            </w:pPr>
          </w:p>
        </w:tc>
        <w:tc>
          <w:tcPr>
            <w:tcW w:w="3920" w:type="dxa"/>
            <w:vAlign w:val="bottom"/>
          </w:tcPr>
          <w:p>
            <w:pPr>
              <w:ind w:left="60"/>
              <w:spacing w:after="0"/>
              <w:rPr>
                <w:sz w:val="20"/>
                <w:szCs w:val="20"/>
                <w:color w:val="auto"/>
              </w:rPr>
            </w:pPr>
            <w:r>
              <w:rPr>
                <w:rFonts w:ascii="Courier New" w:cs="Courier New" w:eastAsia="Courier New" w:hAnsi="Courier New"/>
                <w:sz w:val="17"/>
                <w:szCs w:val="17"/>
                <w:color w:val="auto"/>
              </w:rPr>
              <w:t>13</w:t>
            </w:r>
          </w:p>
        </w:tc>
      </w:tr>
      <w:tr>
        <w:trPr>
          <w:trHeight w:val="309"/>
        </w:trPr>
        <w:tc>
          <w:tcPr>
            <w:tcW w:w="404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*WILLIAM P. WEBER</w:t>
            </w:r>
          </w:p>
        </w:tc>
        <w:tc>
          <w:tcPr>
            <w:tcW w:w="3920" w:type="dxa"/>
            <w:vAlign w:val="bottom"/>
          </w:tcPr>
          <w:p>
            <w:pPr>
              <w:ind w:left="480"/>
              <w:spacing w:after="0"/>
              <w:rPr>
                <w:sz w:val="20"/>
                <w:szCs w:val="20"/>
                <w:color w:val="auto"/>
              </w:rPr>
            </w:pPr>
            <w:r>
              <w:rPr>
                <w:rFonts w:ascii="Courier New" w:cs="Courier New" w:eastAsia="Courier New" w:hAnsi="Courier New"/>
                <w:sz w:val="17"/>
                <w:szCs w:val="17"/>
                <w:color w:val="auto"/>
              </w:rPr>
              <w:t>Vice Chairman; Director</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920" w:type="dxa"/>
            <w:vAlign w:val="bottom"/>
          </w:tcPr>
          <w:p>
            <w:pPr>
              <w:spacing w:after="0"/>
              <w:rPr>
                <w:sz w:val="17"/>
                <w:szCs w:val="17"/>
                <w:color w:val="auto"/>
              </w:rPr>
            </w:pPr>
          </w:p>
        </w:tc>
      </w:tr>
      <w:tr>
        <w:trPr>
          <w:trHeight w:val="295"/>
        </w:trPr>
        <w:tc>
          <w:tcPr>
            <w:tcW w:w="404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William P. Weber</w:t>
            </w:r>
          </w:p>
        </w:tc>
        <w:tc>
          <w:tcPr>
            <w:tcW w:w="3920" w:type="dxa"/>
            <w:vAlign w:val="bottom"/>
          </w:tcPr>
          <w:p>
            <w:pPr>
              <w:spacing w:after="0"/>
              <w:rPr>
                <w:sz w:val="24"/>
                <w:szCs w:val="24"/>
                <w:color w:val="auto"/>
              </w:rPr>
            </w:pPr>
          </w:p>
        </w:tc>
      </w:tr>
      <w:tr>
        <w:trPr>
          <w:trHeight w:val="309"/>
        </w:trPr>
        <w:tc>
          <w:tcPr>
            <w:tcW w:w="404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*CLAYTON K. YEUTTER</w:t>
            </w:r>
          </w:p>
        </w:tc>
        <w:tc>
          <w:tcPr>
            <w:tcW w:w="392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920" w:type="dxa"/>
            <w:vAlign w:val="bottom"/>
          </w:tcPr>
          <w:p>
            <w:pPr>
              <w:spacing w:after="0"/>
              <w:rPr>
                <w:sz w:val="17"/>
                <w:szCs w:val="17"/>
                <w:color w:val="auto"/>
              </w:rPr>
            </w:pPr>
          </w:p>
        </w:tc>
      </w:tr>
      <w:tr>
        <w:trPr>
          <w:trHeight w:val="295"/>
        </w:trPr>
        <w:tc>
          <w:tcPr>
            <w:tcW w:w="404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Clayton K. Yeutter</w:t>
            </w:r>
          </w:p>
        </w:tc>
        <w:tc>
          <w:tcPr>
            <w:tcW w:w="3920" w:type="dxa"/>
            <w:vAlign w:val="bottom"/>
          </w:tcPr>
          <w:p>
            <w:pPr>
              <w:spacing w:after="0"/>
              <w:rPr>
                <w:sz w:val="24"/>
                <w:szCs w:val="24"/>
                <w:color w:val="auto"/>
              </w:rPr>
            </w:pPr>
          </w:p>
        </w:tc>
      </w:tr>
      <w:tr>
        <w:trPr>
          <w:trHeight w:val="309"/>
        </w:trPr>
        <w:tc>
          <w:tcPr>
            <w:tcW w:w="40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/s/ WILLIAM A. AYLESWORTH</w:t>
            </w:r>
          </w:p>
        </w:tc>
        <w:tc>
          <w:tcPr>
            <w:tcW w:w="3920" w:type="dxa"/>
            <w:vAlign w:val="bottom"/>
          </w:tcPr>
          <w:p>
            <w:pPr>
              <w:ind w:left="480"/>
              <w:spacing w:after="0"/>
              <w:rPr>
                <w:sz w:val="20"/>
                <w:szCs w:val="20"/>
                <w:color w:val="auto"/>
              </w:rPr>
            </w:pPr>
            <w:r>
              <w:rPr>
                <w:rFonts w:ascii="Courier New" w:cs="Courier New" w:eastAsia="Courier New" w:hAnsi="Courier New"/>
                <w:sz w:val="17"/>
                <w:szCs w:val="17"/>
                <w:color w:val="auto"/>
              </w:rPr>
              <w:t>Senior Vice President; Treasurer;</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920" w:type="dxa"/>
            <w:vAlign w:val="bottom"/>
          </w:tcPr>
          <w:p>
            <w:pPr>
              <w:ind w:left="680"/>
              <w:spacing w:after="0"/>
              <w:rPr>
                <w:sz w:val="20"/>
                <w:szCs w:val="20"/>
                <w:color w:val="auto"/>
              </w:rPr>
            </w:pPr>
            <w:r>
              <w:rPr>
                <w:rFonts w:ascii="Courier New" w:cs="Courier New" w:eastAsia="Courier New" w:hAnsi="Courier New"/>
                <w:sz w:val="17"/>
                <w:szCs w:val="17"/>
                <w:color w:val="auto"/>
              </w:rPr>
              <w:t>Chief Financial Officer; Chief</w:t>
            </w:r>
          </w:p>
        </w:tc>
      </w:tr>
      <w:tr>
        <w:trPr>
          <w:trHeight w:val="295"/>
        </w:trPr>
        <w:tc>
          <w:tcPr>
            <w:tcW w:w="40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William A. Aylesworth</w:t>
            </w:r>
          </w:p>
        </w:tc>
        <w:tc>
          <w:tcPr>
            <w:tcW w:w="3920" w:type="dxa"/>
            <w:vAlign w:val="bottom"/>
          </w:tcPr>
          <w:p>
            <w:pPr>
              <w:ind w:left="480"/>
              <w:spacing w:after="0"/>
              <w:rPr>
                <w:sz w:val="20"/>
                <w:szCs w:val="20"/>
                <w:color w:val="auto"/>
              </w:rPr>
            </w:pPr>
            <w:r>
              <w:rPr>
                <w:rFonts w:ascii="Courier New" w:cs="Courier New" w:eastAsia="Courier New" w:hAnsi="Courier New"/>
                <w:sz w:val="17"/>
                <w:szCs w:val="17"/>
                <w:color w:val="auto"/>
              </w:rPr>
              <w:t>Accounting Officer</w:t>
            </w:r>
          </w:p>
        </w:tc>
      </w:tr>
      <w:tr>
        <w:trPr>
          <w:trHeight w:val="510"/>
        </w:trPr>
        <w:tc>
          <w:tcPr>
            <w:tcW w:w="404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3920" w:type="dxa"/>
            <w:vAlign w:val="bottom"/>
          </w:tcPr>
          <w:p>
            <w:pPr>
              <w:spacing w:after="0"/>
              <w:rPr>
                <w:sz w:val="24"/>
                <w:szCs w:val="24"/>
                <w:color w:val="auto"/>
              </w:rPr>
            </w:pPr>
          </w:p>
        </w:tc>
      </w:tr>
      <w:tr>
        <w:trPr>
          <w:trHeight w:val="201"/>
        </w:trPr>
        <w:tc>
          <w:tcPr>
            <w:tcW w:w="40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/s/ WILLIAM A. AYLESWORTH</w:t>
            </w:r>
          </w:p>
        </w:tc>
        <w:tc>
          <w:tcPr>
            <w:tcW w:w="3920" w:type="dxa"/>
            <w:vAlign w:val="bottom"/>
          </w:tcPr>
          <w:p>
            <w:pPr>
              <w:spacing w:after="0"/>
              <w:rPr>
                <w:sz w:val="17"/>
                <w:szCs w:val="17"/>
                <w:color w:val="auto"/>
              </w:rPr>
            </w:pPr>
          </w:p>
        </w:tc>
      </w:tr>
      <w:tr>
        <w:trPr>
          <w:trHeight w:val="201"/>
        </w:trPr>
        <w:tc>
          <w:tcPr>
            <w:tcW w:w="40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3920" w:type="dxa"/>
            <w:vAlign w:val="bottom"/>
          </w:tcPr>
          <w:p>
            <w:pPr>
              <w:spacing w:after="0"/>
              <w:rPr>
                <w:sz w:val="17"/>
                <w:szCs w:val="17"/>
                <w:color w:val="auto"/>
              </w:rPr>
            </w:pPr>
          </w:p>
        </w:tc>
      </w:tr>
      <w:tr>
        <w:trPr>
          <w:trHeight w:val="201"/>
        </w:trPr>
        <w:tc>
          <w:tcPr>
            <w:tcW w:w="40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William A. Aylesworth</w:t>
            </w:r>
          </w:p>
        </w:tc>
        <w:tc>
          <w:tcPr>
            <w:tcW w:w="3920" w:type="dxa"/>
            <w:vAlign w:val="bottom"/>
          </w:tcPr>
          <w:p>
            <w:pPr>
              <w:spacing w:after="0"/>
              <w:rPr>
                <w:sz w:val="17"/>
                <w:szCs w:val="17"/>
                <w:color w:val="auto"/>
              </w:rPr>
            </w:pPr>
          </w:p>
        </w:tc>
      </w:tr>
      <w:tr>
        <w:trPr>
          <w:trHeight w:val="295"/>
        </w:trPr>
        <w:tc>
          <w:tcPr>
            <w:tcW w:w="404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Attorney-in-fact</w:t>
            </w:r>
          </w:p>
        </w:tc>
        <w:tc>
          <w:tcPr>
            <w:tcW w:w="3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14</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INDEX TO FINANCIAL STATEMENTS</w:t>
      </w:r>
    </w:p>
    <w:p>
      <w:pPr>
        <w:spacing w:after="0" w:line="41"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AND FINANCIAL STATEMENT SCHEDULES</w:t>
      </w:r>
    </w:p>
    <w:p>
      <w:pPr>
        <w:spacing w:after="0" w:line="9"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(Item 14(a))</w:t>
      </w:r>
    </w:p>
    <w:p>
      <w:pPr>
        <w:sectPr>
          <w:pgSz w:w="11900" w:h="16838" w:orient="portrait"/>
          <w:cols w:equalWidth="0" w:num="1">
            <w:col w:w="10219"/>
          </w:cols>
          <w:pgMar w:left="240" w:top="311" w:right="1440" w:bottom="0" w:gutter="0" w:footer="0" w:header="0"/>
        </w:sectPr>
      </w:pPr>
    </w:p>
    <w:bookmarkStart w:id="11" w:name="page12"/>
    <w:bookmarkEnd w:id="11"/>
    <w:p>
      <w:pPr>
        <w:spacing w:after="0" w:line="193"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Page Reference</w:t>
      </w:r>
    </w:p>
    <w:p>
      <w:pPr>
        <w:spacing w:after="0" w:line="41"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w:t>
      </w:r>
    </w:p>
    <w:tbl>
      <w:tblPr>
        <w:tblLayout w:type="fixed"/>
        <w:tblInd w:w="5460" w:type="dxa"/>
        <w:tblCellMar>
          <w:top w:w="0" w:type="dxa"/>
          <w:left w:w="0" w:type="dxa"/>
          <w:bottom w:w="0" w:type="dxa"/>
          <w:right w:w="0" w:type="dxa"/>
        </w:tblCellMar>
      </w:tblPr>
      <w:tr>
        <w:trPr>
          <w:trHeight w:val="178"/>
        </w:trPr>
        <w:tc>
          <w:tcPr>
            <w:tcW w:w="1200" w:type="dxa"/>
            <w:vAlign w:val="bottom"/>
          </w:tcPr>
          <w:p>
            <w:pPr>
              <w:spacing w:after="0"/>
              <w:rPr>
                <w:sz w:val="15"/>
                <w:szCs w:val="15"/>
                <w:color w:val="auto"/>
              </w:rPr>
            </w:pPr>
          </w:p>
        </w:tc>
        <w:tc>
          <w:tcPr>
            <w:tcW w:w="1520" w:type="dxa"/>
            <w:vAlign w:val="bottom"/>
          </w:tcPr>
          <w:p>
            <w:pPr>
              <w:jc w:val="center"/>
              <w:ind w:left="173"/>
              <w:spacing w:after="0" w:line="179" w:lineRule="exact"/>
              <w:rPr>
                <w:sz w:val="20"/>
                <w:szCs w:val="20"/>
                <w:color w:val="auto"/>
              </w:rPr>
            </w:pPr>
            <w:r>
              <w:rPr>
                <w:rFonts w:ascii="Courier New" w:cs="Courier New" w:eastAsia="Courier New" w:hAnsi="Courier New"/>
                <w:sz w:val="17"/>
                <w:szCs w:val="17"/>
                <w:color w:val="auto"/>
              </w:rPr>
              <w:t>Annual</w:t>
            </w:r>
          </w:p>
        </w:tc>
        <w:tc>
          <w:tcPr>
            <w:tcW w:w="0" w:type="dxa"/>
            <w:vAlign w:val="bottom"/>
          </w:tcPr>
          <w:p>
            <w:pPr>
              <w:spacing w:after="0"/>
              <w:rPr>
                <w:sz w:val="1"/>
                <w:szCs w:val="1"/>
                <w:color w:val="auto"/>
              </w:rPr>
            </w:pPr>
          </w:p>
        </w:tc>
      </w:tr>
      <w:tr>
        <w:trPr>
          <w:trHeight w:val="201"/>
        </w:trPr>
        <w:tc>
          <w:tcPr>
            <w:tcW w:w="1200" w:type="dxa"/>
            <w:vAlign w:val="bottom"/>
            <w:vMerge w:val="restart"/>
          </w:tcPr>
          <w:p>
            <w:pPr>
              <w:spacing w:after="0"/>
              <w:rPr>
                <w:sz w:val="20"/>
                <w:szCs w:val="20"/>
                <w:color w:val="auto"/>
              </w:rPr>
            </w:pPr>
            <w:r>
              <w:rPr>
                <w:rFonts w:ascii="Courier New" w:cs="Courier New" w:eastAsia="Courier New" w:hAnsi="Courier New"/>
                <w:sz w:val="17"/>
                <w:szCs w:val="17"/>
                <w:color w:val="auto"/>
              </w:rPr>
              <w:t>Form 10-K</w:t>
            </w:r>
          </w:p>
        </w:tc>
        <w:tc>
          <w:tcPr>
            <w:tcW w:w="1520" w:type="dxa"/>
            <w:vAlign w:val="bottom"/>
          </w:tcPr>
          <w:p>
            <w:pPr>
              <w:ind w:left="360"/>
              <w:spacing w:after="0"/>
              <w:rPr>
                <w:sz w:val="20"/>
                <w:szCs w:val="20"/>
                <w:color w:val="auto"/>
              </w:rPr>
            </w:pPr>
            <w:r>
              <w:rPr>
                <w:rFonts w:ascii="Courier New" w:cs="Courier New" w:eastAsia="Courier New" w:hAnsi="Courier New"/>
                <w:sz w:val="17"/>
                <w:szCs w:val="17"/>
                <w:color w:val="auto"/>
              </w:rPr>
              <w:t>Report to</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152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Stockholders</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Information incorporated by reference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Registrant's 1997 Annual Report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Income for each of</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the three</w:t>
            </w:r>
          </w:p>
        </w:tc>
        <w:tc>
          <w:tcPr>
            <w:tcW w:w="2720" w:type="dxa"/>
            <w:vAlign w:val="bottom"/>
          </w:tcPr>
          <w:p>
            <w:pPr>
              <w:ind w:left="2200"/>
              <w:spacing w:after="0"/>
              <w:rPr>
                <w:sz w:val="20"/>
                <w:szCs w:val="20"/>
                <w:color w:val="auto"/>
              </w:rPr>
            </w:pPr>
            <w:r>
              <w:rPr>
                <w:rFonts w:ascii="Courier New" w:cs="Courier New" w:eastAsia="Courier New" w:hAnsi="Courier New"/>
                <w:sz w:val="17"/>
                <w:szCs w:val="17"/>
                <w:color w:val="auto"/>
              </w:rPr>
              <w:t>14</w:t>
            </w:r>
          </w:p>
        </w:tc>
      </w:tr>
      <w:tr>
        <w:trPr>
          <w:trHeight w:val="201"/>
        </w:trPr>
        <w:tc>
          <w:tcPr>
            <w:tcW w:w="1840" w:type="dxa"/>
            <w:vAlign w:val="bottom"/>
          </w:tcPr>
          <w:p>
            <w:pPr>
              <w:ind w:left="1260"/>
              <w:spacing w:after="0"/>
              <w:rPr>
                <w:sz w:val="20"/>
                <w:szCs w:val="20"/>
                <w:color w:val="auto"/>
              </w:rPr>
            </w:pPr>
            <w:r>
              <w:rPr>
                <w:rFonts w:ascii="Courier New" w:cs="Courier New" w:eastAsia="Courier New" w:hAnsi="Courier New"/>
                <w:sz w:val="17"/>
                <w:szCs w:val="17"/>
                <w:color w:val="auto"/>
              </w:rPr>
              <w:t>years</w:t>
            </w:r>
          </w:p>
        </w:tc>
        <w:tc>
          <w:tcPr>
            <w:tcW w:w="3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the period ended</w:t>
            </w:r>
          </w:p>
        </w:tc>
        <w:tc>
          <w:tcPr>
            <w:tcW w:w="2720" w:type="dxa"/>
            <w:vAlign w:val="bottom"/>
          </w:tcPr>
          <w:p>
            <w:pPr>
              <w:spacing w:after="0"/>
              <w:rPr>
                <w:sz w:val="17"/>
                <w:szCs w:val="17"/>
                <w:color w:val="auto"/>
              </w:rPr>
            </w:pPr>
          </w:p>
        </w:tc>
      </w:tr>
      <w:tr>
        <w:trPr>
          <w:trHeight w:val="295"/>
        </w:trPr>
        <w:tc>
          <w:tcPr>
            <w:tcW w:w="320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December 31, 1997</w:t>
            </w:r>
          </w:p>
        </w:tc>
        <w:tc>
          <w:tcPr>
            <w:tcW w:w="20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09"/>
        </w:trPr>
        <w:tc>
          <w:tcPr>
            <w:tcW w:w="5240" w:type="dxa"/>
            <w:vAlign w:val="bottom"/>
            <w:gridSpan w:val="3"/>
          </w:tcPr>
          <w:p>
            <w:pPr>
              <w:ind w:left="1260"/>
              <w:spacing w:after="0"/>
              <w:rPr>
                <w:sz w:val="20"/>
                <w:szCs w:val="20"/>
                <w:color w:val="auto"/>
              </w:rPr>
            </w:pPr>
            <w:r>
              <w:rPr>
                <w:rFonts w:ascii="Courier New" w:cs="Courier New" w:eastAsia="Courier New" w:hAnsi="Courier New"/>
                <w:sz w:val="17"/>
                <w:szCs w:val="17"/>
                <w:color w:val="auto"/>
              </w:rPr>
              <w:t>Balance sheet at December 31,</w:t>
            </w:r>
          </w:p>
        </w:tc>
        <w:tc>
          <w:tcPr>
            <w:tcW w:w="2720" w:type="dxa"/>
            <w:vAlign w:val="bottom"/>
          </w:tcPr>
          <w:p>
            <w:pPr>
              <w:ind w:left="2200"/>
              <w:spacing w:after="0"/>
              <w:rPr>
                <w:sz w:val="20"/>
                <w:szCs w:val="20"/>
                <w:color w:val="auto"/>
              </w:rPr>
            </w:pPr>
            <w:r>
              <w:rPr>
                <w:rFonts w:ascii="Courier New" w:cs="Courier New" w:eastAsia="Courier New" w:hAnsi="Courier New"/>
                <w:sz w:val="17"/>
                <w:szCs w:val="17"/>
                <w:color w:val="auto"/>
              </w:rPr>
              <w:t>15</w:t>
            </w:r>
          </w:p>
        </w:tc>
      </w:tr>
      <w:tr>
        <w:trPr>
          <w:trHeight w:val="295"/>
        </w:trPr>
        <w:tc>
          <w:tcPr>
            <w:tcW w:w="320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1997 and 1996</w:t>
            </w:r>
          </w:p>
        </w:tc>
        <w:tc>
          <w:tcPr>
            <w:tcW w:w="20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09"/>
        </w:trPr>
        <w:tc>
          <w:tcPr>
            <w:tcW w:w="5240" w:type="dxa"/>
            <w:vAlign w:val="bottom"/>
            <w:gridSpan w:val="3"/>
          </w:tcPr>
          <w:p>
            <w:pPr>
              <w:ind w:left="1260"/>
              <w:spacing w:after="0"/>
              <w:rPr>
                <w:sz w:val="20"/>
                <w:szCs w:val="20"/>
                <w:color w:val="auto"/>
              </w:rPr>
            </w:pPr>
            <w:r>
              <w:rPr>
                <w:rFonts w:ascii="Courier New" w:cs="Courier New" w:eastAsia="Courier New" w:hAnsi="Courier New"/>
                <w:sz w:val="17"/>
                <w:szCs w:val="17"/>
                <w:color w:val="auto"/>
              </w:rPr>
              <w:t>Cash flows for each of the</w:t>
            </w:r>
          </w:p>
        </w:tc>
        <w:tc>
          <w:tcPr>
            <w:tcW w:w="2720" w:type="dxa"/>
            <w:vAlign w:val="bottom"/>
          </w:tcPr>
          <w:p>
            <w:pPr>
              <w:ind w:left="2200"/>
              <w:spacing w:after="0"/>
              <w:rPr>
                <w:sz w:val="20"/>
                <w:szCs w:val="20"/>
                <w:color w:val="auto"/>
              </w:rPr>
            </w:pPr>
            <w:r>
              <w:rPr>
                <w:rFonts w:ascii="Courier New" w:cs="Courier New" w:eastAsia="Courier New" w:hAnsi="Courier New"/>
                <w:sz w:val="17"/>
                <w:szCs w:val="17"/>
                <w:color w:val="auto"/>
                <w:w w:val="97"/>
              </w:rPr>
              <w:t>16-17</w:t>
            </w:r>
          </w:p>
        </w:tc>
      </w:tr>
      <w:tr>
        <w:trPr>
          <w:trHeight w:val="201"/>
        </w:trPr>
        <w:tc>
          <w:tcPr>
            <w:tcW w:w="1840" w:type="dxa"/>
            <w:vAlign w:val="bottom"/>
          </w:tcPr>
          <w:p>
            <w:pPr>
              <w:ind w:left="1260"/>
              <w:spacing w:after="0"/>
              <w:rPr>
                <w:sz w:val="20"/>
                <w:szCs w:val="20"/>
                <w:color w:val="auto"/>
              </w:rPr>
            </w:pPr>
            <w:r>
              <w:rPr>
                <w:rFonts w:ascii="Courier New" w:cs="Courier New" w:eastAsia="Courier New" w:hAnsi="Courier New"/>
                <w:sz w:val="17"/>
                <w:szCs w:val="17"/>
                <w:color w:val="auto"/>
              </w:rPr>
              <w:t>three</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years in the</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period</w:t>
            </w:r>
          </w:p>
        </w:tc>
        <w:tc>
          <w:tcPr>
            <w:tcW w:w="2720" w:type="dxa"/>
            <w:vAlign w:val="bottom"/>
          </w:tcPr>
          <w:p>
            <w:pPr>
              <w:spacing w:after="0"/>
              <w:rPr>
                <w:sz w:val="17"/>
                <w:szCs w:val="17"/>
                <w:color w:val="auto"/>
              </w:rPr>
            </w:pPr>
          </w:p>
        </w:tc>
      </w:tr>
      <w:tr>
        <w:trPr>
          <w:trHeight w:val="295"/>
        </w:trPr>
        <w:tc>
          <w:tcPr>
            <w:tcW w:w="1840" w:type="dxa"/>
            <w:vAlign w:val="bottom"/>
          </w:tcPr>
          <w:p>
            <w:pPr>
              <w:ind w:left="1260"/>
              <w:spacing w:after="0"/>
              <w:rPr>
                <w:sz w:val="20"/>
                <w:szCs w:val="20"/>
                <w:color w:val="auto"/>
              </w:rPr>
            </w:pPr>
            <w:r>
              <w:rPr>
                <w:rFonts w:ascii="Courier New" w:cs="Courier New" w:eastAsia="Courier New" w:hAnsi="Courier New"/>
                <w:sz w:val="17"/>
                <w:szCs w:val="17"/>
                <w:color w:val="auto"/>
              </w:rPr>
              <w:t>ended</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December 31,</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2720" w:type="dxa"/>
            <w:vAlign w:val="bottom"/>
          </w:tcPr>
          <w:p>
            <w:pPr>
              <w:spacing w:after="0"/>
              <w:rPr>
                <w:sz w:val="24"/>
                <w:szCs w:val="24"/>
                <w:color w:val="auto"/>
              </w:rPr>
            </w:pPr>
          </w:p>
        </w:tc>
      </w:tr>
      <w:tr>
        <w:trPr>
          <w:trHeight w:val="309"/>
        </w:trPr>
        <w:tc>
          <w:tcPr>
            <w:tcW w:w="5240" w:type="dxa"/>
            <w:vAlign w:val="bottom"/>
            <w:gridSpan w:val="3"/>
          </w:tcPr>
          <w:p>
            <w:pPr>
              <w:ind w:left="1260"/>
              <w:spacing w:after="0"/>
              <w:rPr>
                <w:sz w:val="20"/>
                <w:szCs w:val="20"/>
                <w:color w:val="auto"/>
              </w:rPr>
            </w:pPr>
            <w:r>
              <w:rPr>
                <w:rFonts w:ascii="Courier New" w:cs="Courier New" w:eastAsia="Courier New" w:hAnsi="Courier New"/>
                <w:sz w:val="17"/>
                <w:szCs w:val="17"/>
                <w:color w:val="auto"/>
              </w:rPr>
              <w:t>Stockholders' equity for each of</w:t>
            </w:r>
          </w:p>
        </w:tc>
        <w:tc>
          <w:tcPr>
            <w:tcW w:w="2720" w:type="dxa"/>
            <w:vAlign w:val="bottom"/>
          </w:tcPr>
          <w:p>
            <w:pPr>
              <w:ind w:left="2200"/>
              <w:spacing w:after="0"/>
              <w:rPr>
                <w:sz w:val="20"/>
                <w:szCs w:val="20"/>
                <w:color w:val="auto"/>
              </w:rPr>
            </w:pPr>
            <w:r>
              <w:rPr>
                <w:rFonts w:ascii="Courier New" w:cs="Courier New" w:eastAsia="Courier New" w:hAnsi="Courier New"/>
                <w:sz w:val="17"/>
                <w:szCs w:val="17"/>
                <w:color w:val="auto"/>
              </w:rPr>
              <w:t>18</w:t>
            </w:r>
          </w:p>
        </w:tc>
      </w:tr>
      <w:tr>
        <w:trPr>
          <w:trHeight w:val="201"/>
        </w:trPr>
        <w:tc>
          <w:tcPr>
            <w:tcW w:w="320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the three years in</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the period</w:t>
            </w:r>
          </w:p>
        </w:tc>
        <w:tc>
          <w:tcPr>
            <w:tcW w:w="2720" w:type="dxa"/>
            <w:vAlign w:val="bottom"/>
          </w:tcPr>
          <w:p>
            <w:pPr>
              <w:spacing w:after="0"/>
              <w:rPr>
                <w:sz w:val="17"/>
                <w:szCs w:val="17"/>
                <w:color w:val="auto"/>
              </w:rPr>
            </w:pPr>
          </w:p>
        </w:tc>
      </w:tr>
      <w:tr>
        <w:trPr>
          <w:trHeight w:val="295"/>
        </w:trPr>
        <w:tc>
          <w:tcPr>
            <w:tcW w:w="1840" w:type="dxa"/>
            <w:vAlign w:val="bottom"/>
          </w:tcPr>
          <w:p>
            <w:pPr>
              <w:ind w:left="1260"/>
              <w:spacing w:after="0"/>
              <w:rPr>
                <w:sz w:val="20"/>
                <w:szCs w:val="20"/>
                <w:color w:val="auto"/>
              </w:rPr>
            </w:pPr>
            <w:r>
              <w:rPr>
                <w:rFonts w:ascii="Courier New" w:cs="Courier New" w:eastAsia="Courier New" w:hAnsi="Courier New"/>
                <w:sz w:val="17"/>
                <w:szCs w:val="17"/>
                <w:color w:val="auto"/>
              </w:rPr>
              <w:t>ended</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December 31,</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2720" w:type="dxa"/>
            <w:vAlign w:val="bottom"/>
          </w:tcPr>
          <w:p>
            <w:pPr>
              <w:spacing w:after="0"/>
              <w:rPr>
                <w:sz w:val="24"/>
                <w:szCs w:val="24"/>
                <w:color w:val="auto"/>
              </w:rPr>
            </w:pPr>
          </w:p>
        </w:tc>
      </w:tr>
      <w:tr>
        <w:trPr>
          <w:trHeight w:val="403"/>
        </w:trPr>
        <w:tc>
          <w:tcPr>
            <w:tcW w:w="1840" w:type="dxa"/>
            <w:vAlign w:val="bottom"/>
          </w:tcPr>
          <w:p>
            <w:pPr>
              <w:ind w:left="1260"/>
              <w:spacing w:after="0"/>
              <w:rPr>
                <w:sz w:val="20"/>
                <w:szCs w:val="20"/>
                <w:color w:val="auto"/>
              </w:rPr>
            </w:pPr>
            <w:r>
              <w:rPr>
                <w:rFonts w:ascii="Courier New" w:cs="Courier New" w:eastAsia="Courier New" w:hAnsi="Courier New"/>
                <w:sz w:val="17"/>
                <w:szCs w:val="17"/>
                <w:color w:val="auto"/>
              </w:rPr>
              <w:t>Notes</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to financial</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statements</w:t>
            </w:r>
          </w:p>
        </w:tc>
        <w:tc>
          <w:tcPr>
            <w:tcW w:w="2720" w:type="dxa"/>
            <w:vAlign w:val="bottom"/>
          </w:tcPr>
          <w:p>
            <w:pPr>
              <w:ind w:left="2200"/>
              <w:spacing w:after="0"/>
              <w:rPr>
                <w:sz w:val="20"/>
                <w:szCs w:val="20"/>
                <w:color w:val="auto"/>
              </w:rPr>
            </w:pPr>
            <w:r>
              <w:rPr>
                <w:rFonts w:ascii="Courier New" w:cs="Courier New" w:eastAsia="Courier New" w:hAnsi="Courier New"/>
                <w:sz w:val="17"/>
                <w:szCs w:val="17"/>
                <w:color w:val="auto"/>
                <w:w w:val="97"/>
              </w:rPr>
              <w:t>19-33</w:t>
            </w:r>
          </w:p>
        </w:tc>
      </w:tr>
      <w:tr>
        <w:trPr>
          <w:trHeight w:val="403"/>
        </w:trPr>
        <w:tc>
          <w:tcPr>
            <w:tcW w:w="5240" w:type="dxa"/>
            <w:vAlign w:val="bottom"/>
            <w:gridSpan w:val="3"/>
          </w:tcPr>
          <w:p>
            <w:pPr>
              <w:ind w:left="1260"/>
              <w:spacing w:after="0"/>
              <w:rPr>
                <w:sz w:val="20"/>
                <w:szCs w:val="20"/>
                <w:color w:val="auto"/>
              </w:rPr>
            </w:pPr>
            <w:r>
              <w:rPr>
                <w:rFonts w:ascii="Courier New" w:cs="Courier New" w:eastAsia="Courier New" w:hAnsi="Courier New"/>
                <w:sz w:val="17"/>
                <w:szCs w:val="17"/>
                <w:color w:val="auto"/>
              </w:rPr>
              <w:t>Report of Independent Auditors</w:t>
            </w:r>
          </w:p>
        </w:tc>
        <w:tc>
          <w:tcPr>
            <w:tcW w:w="2720" w:type="dxa"/>
            <w:vAlign w:val="bottom"/>
          </w:tcPr>
          <w:p>
            <w:pPr>
              <w:ind w:left="2200"/>
              <w:spacing w:after="0"/>
              <w:rPr>
                <w:sz w:val="20"/>
                <w:szCs w:val="20"/>
                <w:color w:val="auto"/>
              </w:rPr>
            </w:pPr>
            <w:r>
              <w:rPr>
                <w:rFonts w:ascii="Courier New" w:cs="Courier New" w:eastAsia="Courier New" w:hAnsi="Courier New"/>
                <w:sz w:val="17"/>
                <w:szCs w:val="17"/>
                <w:color w:val="auto"/>
              </w:rPr>
              <w:t>34</w:t>
            </w:r>
          </w:p>
        </w:tc>
      </w:tr>
      <w:tr>
        <w:trPr>
          <w:trHeight w:val="309"/>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Schedule for each</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of the three</w:t>
            </w:r>
          </w:p>
        </w:tc>
        <w:tc>
          <w:tcPr>
            <w:tcW w:w="2720" w:type="dxa"/>
            <w:vAlign w:val="bottom"/>
          </w:tcPr>
          <w:p>
            <w:pPr>
              <w:spacing w:after="0"/>
              <w:rPr>
                <w:sz w:val="24"/>
                <w:szCs w:val="24"/>
                <w:color w:val="auto"/>
              </w:rPr>
            </w:pPr>
          </w:p>
        </w:tc>
      </w:tr>
      <w:tr>
        <w:trPr>
          <w:trHeight w:val="295"/>
        </w:trPr>
        <w:tc>
          <w:tcPr>
            <w:tcW w:w="5240" w:type="dxa"/>
            <w:vAlign w:val="bottom"/>
            <w:gridSpan w:val="3"/>
          </w:tcPr>
          <w:p>
            <w:pPr>
              <w:spacing w:after="0"/>
              <w:rPr>
                <w:sz w:val="20"/>
                <w:szCs w:val="20"/>
                <w:color w:val="auto"/>
              </w:rPr>
            </w:pPr>
            <w:r>
              <w:rPr>
                <w:rFonts w:ascii="Courier New" w:cs="Courier New" w:eastAsia="Courier New" w:hAnsi="Courier New"/>
                <w:sz w:val="17"/>
                <w:szCs w:val="17"/>
                <w:color w:val="auto"/>
              </w:rPr>
              <w:t>years in the period ended December 31, 1997:</w:t>
            </w:r>
          </w:p>
        </w:tc>
        <w:tc>
          <w:tcPr>
            <w:tcW w:w="2720" w:type="dxa"/>
            <w:vAlign w:val="bottom"/>
          </w:tcPr>
          <w:p>
            <w:pPr>
              <w:spacing w:after="0"/>
              <w:rPr>
                <w:sz w:val="24"/>
                <w:szCs w:val="24"/>
                <w:color w:val="auto"/>
              </w:rPr>
            </w:pPr>
          </w:p>
        </w:tc>
      </w:tr>
      <w:tr>
        <w:trPr>
          <w:trHeight w:val="403"/>
        </w:trPr>
        <w:tc>
          <w:tcPr>
            <w:tcW w:w="1840" w:type="dxa"/>
            <w:vAlign w:val="bottom"/>
          </w:tcPr>
          <w:p>
            <w:pPr>
              <w:ind w:left="1260"/>
              <w:spacing w:after="0"/>
              <w:rPr>
                <w:sz w:val="20"/>
                <w:szCs w:val="20"/>
                <w:color w:val="auto"/>
              </w:rPr>
            </w:pPr>
            <w:r>
              <w:rPr>
                <w:rFonts w:ascii="Courier New" w:cs="Courier New" w:eastAsia="Courier New" w:hAnsi="Courier New"/>
                <w:sz w:val="17"/>
                <w:szCs w:val="17"/>
                <w:color w:val="auto"/>
              </w:rPr>
              <w:t>II.</w:t>
            </w:r>
          </w:p>
        </w:tc>
        <w:tc>
          <w:tcPr>
            <w:tcW w:w="3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Allowance for losses</w:t>
            </w:r>
          </w:p>
        </w:tc>
        <w:tc>
          <w:tcPr>
            <w:tcW w:w="2720" w:type="dxa"/>
            <w:vAlign w:val="bottom"/>
          </w:tcPr>
          <w:p>
            <w:pPr>
              <w:ind w:left="640"/>
              <w:spacing w:after="0"/>
              <w:rPr>
                <w:sz w:val="20"/>
                <w:szCs w:val="20"/>
                <w:color w:val="auto"/>
              </w:rPr>
            </w:pPr>
            <w:r>
              <w:rPr>
                <w:rFonts w:ascii="Courier New" w:cs="Courier New" w:eastAsia="Courier New" w:hAnsi="Courier New"/>
                <w:sz w:val="17"/>
                <w:szCs w:val="17"/>
                <w:color w:val="auto"/>
              </w:rPr>
              <w:t>16</w:t>
            </w:r>
          </w:p>
        </w:tc>
      </w:tr>
    </w:tbl>
    <w:p>
      <w:pPr>
        <w:spacing w:after="0" w:line="107" w:lineRule="exact"/>
        <w:rPr>
          <w:sz w:val="20"/>
          <w:szCs w:val="20"/>
          <w:color w:val="auto"/>
        </w:rPr>
      </w:pPr>
    </w:p>
    <w:p>
      <w:pPr>
        <w:ind w:right="2139" w:firstLine="524"/>
        <w:spacing w:after="0" w:line="293" w:lineRule="auto"/>
        <w:rPr>
          <w:sz w:val="20"/>
          <w:szCs w:val="20"/>
          <w:color w:val="auto"/>
        </w:rPr>
      </w:pPr>
      <w:r>
        <w:rPr>
          <w:rFonts w:ascii="Courier New" w:cs="Courier New" w:eastAsia="Courier New" w:hAnsi="Courier New"/>
          <w:sz w:val="17"/>
          <w:szCs w:val="17"/>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15</w:t>
      </w:r>
    </w:p>
    <w:p>
      <w:pPr>
        <w:spacing w:after="0" w:line="210"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Schedule II</w:t>
      </w:r>
    </w:p>
    <w:p>
      <w:pPr>
        <w:spacing w:after="0" w:line="41"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w:t>
      </w:r>
    </w:p>
    <w:p>
      <w:pPr>
        <w:spacing w:after="0" w:line="17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ALLOWANCE FOR LOSSES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(IN MILLIONS OF DOLLARS)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Years Ended December 31, 1997, 1996, and 1995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0" w:type="dxa"/>
            <w:vAlign w:val="bottom"/>
          </w:tcPr>
          <w:p>
            <w:pPr>
              <w:spacing w:after="0"/>
              <w:rPr>
                <w:sz w:val="17"/>
                <w:szCs w:val="17"/>
                <w:color w:val="auto"/>
              </w:rPr>
            </w:pPr>
          </w:p>
        </w:tc>
        <w:tc>
          <w:tcPr>
            <w:tcW w:w="1680" w:type="dxa"/>
            <w:vAlign w:val="bottom"/>
            <w:vMerge w:val="restart"/>
          </w:tcPr>
          <w:p>
            <w:pPr>
              <w:ind w:left="360"/>
              <w:spacing w:after="0"/>
              <w:rPr>
                <w:sz w:val="20"/>
                <w:szCs w:val="20"/>
                <w:color w:val="auto"/>
              </w:rPr>
            </w:pPr>
            <w:r>
              <w:rPr>
                <w:rFonts w:ascii="Courier New" w:cs="Courier New" w:eastAsia="Courier New" w:hAnsi="Courier New"/>
                <w:sz w:val="17"/>
                <w:szCs w:val="17"/>
                <w:color w:val="auto"/>
              </w:rPr>
              <w:t>Balance at</w:t>
            </w:r>
          </w:p>
        </w:tc>
        <w:tc>
          <w:tcPr>
            <w:tcW w:w="1560" w:type="dxa"/>
            <w:vAlign w:val="bottom"/>
            <w:vMerge w:val="restart"/>
          </w:tcPr>
          <w:p>
            <w:pPr>
              <w:ind w:left="260"/>
              <w:spacing w:after="0"/>
              <w:rPr>
                <w:sz w:val="20"/>
                <w:szCs w:val="20"/>
                <w:color w:val="auto"/>
              </w:rPr>
            </w:pPr>
            <w:r>
              <w:rPr>
                <w:rFonts w:ascii="Courier New" w:cs="Courier New" w:eastAsia="Courier New" w:hAnsi="Courier New"/>
                <w:sz w:val="17"/>
                <w:szCs w:val="17"/>
                <w:color w:val="auto"/>
              </w:rPr>
              <w:t>Charged to</w:t>
            </w:r>
          </w:p>
        </w:tc>
        <w:tc>
          <w:tcPr>
            <w:tcW w:w="1680" w:type="dxa"/>
            <w:vAlign w:val="bottom"/>
          </w:tcPr>
          <w:p>
            <w:pPr>
              <w:spacing w:after="0"/>
              <w:rPr>
                <w:sz w:val="17"/>
                <w:szCs w:val="17"/>
                <w:color w:val="auto"/>
              </w:rPr>
            </w:pPr>
          </w:p>
        </w:tc>
        <w:tc>
          <w:tcPr>
            <w:tcW w:w="1320" w:type="dxa"/>
            <w:vAlign w:val="bottom"/>
          </w:tcPr>
          <w:p>
            <w:pPr>
              <w:jc w:val="center"/>
              <w:ind w:left="293"/>
              <w:spacing w:after="0"/>
              <w:rPr>
                <w:sz w:val="20"/>
                <w:szCs w:val="20"/>
                <w:color w:val="auto"/>
              </w:rPr>
            </w:pPr>
            <w:r>
              <w:rPr>
                <w:rFonts w:ascii="Courier New" w:cs="Courier New" w:eastAsia="Courier New" w:hAnsi="Courier New"/>
                <w:sz w:val="17"/>
                <w:szCs w:val="17"/>
                <w:color w:val="auto"/>
              </w:rPr>
              <w:t>Additions</w:t>
            </w: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Balance</w:t>
            </w: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1680" w:type="dxa"/>
            <w:vAlign w:val="bottom"/>
          </w:tcPr>
          <w:p>
            <w:pPr>
              <w:ind w:left="360"/>
              <w:spacing w:after="0"/>
              <w:rPr>
                <w:sz w:val="20"/>
                <w:szCs w:val="20"/>
                <w:color w:val="auto"/>
              </w:rPr>
            </w:pPr>
            <w:r>
              <w:rPr>
                <w:rFonts w:ascii="Courier New" w:cs="Courier New" w:eastAsia="Courier New" w:hAnsi="Courier New"/>
                <w:sz w:val="17"/>
                <w:szCs w:val="17"/>
                <w:color w:val="auto"/>
              </w:rPr>
              <w:t>Beginning</w:t>
            </w: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Costs and</w:t>
            </w:r>
          </w:p>
        </w:tc>
        <w:tc>
          <w:tcPr>
            <w:tcW w:w="168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rPr>
              <w:t>Deductions</w:t>
            </w:r>
          </w:p>
        </w:tc>
        <w:tc>
          <w:tcPr>
            <w:tcW w:w="13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at End</w:t>
            </w:r>
          </w:p>
        </w:tc>
        <w:tc>
          <w:tcPr>
            <w:tcW w:w="0" w:type="dxa"/>
            <w:vAlign w:val="bottom"/>
          </w:tcPr>
          <w:p>
            <w:pPr>
              <w:spacing w:after="0"/>
              <w:rPr>
                <w:sz w:val="1"/>
                <w:szCs w:val="1"/>
                <w:color w:val="auto"/>
              </w:rPr>
            </w:pPr>
          </w:p>
        </w:tc>
      </w:tr>
      <w:tr>
        <w:trPr>
          <w:trHeight w:val="295"/>
        </w:trPr>
        <w:tc>
          <w:tcPr>
            <w:tcW w:w="1000" w:type="dxa"/>
            <w:vAlign w:val="bottom"/>
          </w:tcPr>
          <w:p>
            <w:pPr>
              <w:spacing w:after="0"/>
              <w:rPr>
                <w:sz w:val="24"/>
                <w:szCs w:val="2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7"/>
                <w:szCs w:val="17"/>
                <w:color w:val="auto"/>
              </w:rPr>
              <w:t>of Year</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Expenses</w:t>
            </w:r>
          </w:p>
        </w:tc>
        <w:tc>
          <w:tcPr>
            <w:tcW w:w="1680" w:type="dxa"/>
            <w:vAlign w:val="bottom"/>
            <w:vMerge w:val="continue"/>
          </w:tcPr>
          <w:p>
            <w:pPr>
              <w:spacing w:after="0"/>
              <w:rPr>
                <w:sz w:val="24"/>
                <w:szCs w:val="24"/>
                <w:color w:val="auto"/>
              </w:rPr>
            </w:pPr>
          </w:p>
        </w:tc>
        <w:tc>
          <w:tcPr>
            <w:tcW w:w="13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of Year</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680" w:type="dxa"/>
            <w:vAlign w:val="bottom"/>
          </w:tcPr>
          <w:p>
            <w:pPr>
              <w:ind w:left="480"/>
              <w:spacing w:after="0"/>
              <w:rPr>
                <w:sz w:val="20"/>
                <w:szCs w:val="20"/>
                <w:color w:val="auto"/>
              </w:rPr>
            </w:pPr>
            <w:r>
              <w:rPr>
                <w:rFonts w:ascii="Courier New" w:cs="Courier New" w:eastAsia="Courier New" w:hAnsi="Courier New"/>
                <w:sz w:val="17"/>
                <w:szCs w:val="17"/>
                <w:color w:val="auto"/>
              </w:rPr>
              <w:t>$90</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$133</w:t>
            </w:r>
          </w:p>
        </w:tc>
        <w:tc>
          <w:tcPr>
            <w:tcW w:w="168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$150</w:t>
            </w:r>
          </w:p>
        </w:tc>
        <w:tc>
          <w:tcPr>
            <w:tcW w:w="13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$73</w:t>
            </w:r>
          </w:p>
        </w:tc>
        <w:tc>
          <w:tcPr>
            <w:tcW w:w="0" w:type="dxa"/>
            <w:vAlign w:val="bottom"/>
          </w:tcPr>
          <w:p>
            <w:pPr>
              <w:spacing w:after="0"/>
              <w:rPr>
                <w:sz w:val="1"/>
                <w:szCs w:val="1"/>
                <w:color w:val="auto"/>
              </w:rPr>
            </w:pPr>
          </w:p>
        </w:tc>
      </w:tr>
      <w:tr>
        <w:trPr>
          <w:trHeight w:val="295"/>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ind w:left="680"/>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680" w:type="dxa"/>
            <w:vAlign w:val="bottom"/>
          </w:tcPr>
          <w:p>
            <w:pPr>
              <w:ind w:left="480"/>
              <w:spacing w:after="0"/>
              <w:rPr>
                <w:sz w:val="20"/>
                <w:szCs w:val="20"/>
                <w:color w:val="auto"/>
              </w:rPr>
            </w:pPr>
            <w:r>
              <w:rPr>
                <w:rFonts w:ascii="Courier New" w:cs="Courier New" w:eastAsia="Courier New" w:hAnsi="Courier New"/>
                <w:sz w:val="17"/>
                <w:szCs w:val="17"/>
                <w:color w:val="auto"/>
              </w:rPr>
              <w:t>$45</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$163</w:t>
            </w:r>
          </w:p>
        </w:tc>
        <w:tc>
          <w:tcPr>
            <w:tcW w:w="168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$118</w:t>
            </w:r>
          </w:p>
        </w:tc>
        <w:tc>
          <w:tcPr>
            <w:tcW w:w="13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$90</w:t>
            </w:r>
          </w:p>
        </w:tc>
        <w:tc>
          <w:tcPr>
            <w:tcW w:w="0" w:type="dxa"/>
            <w:vAlign w:val="bottom"/>
          </w:tcPr>
          <w:p>
            <w:pPr>
              <w:spacing w:after="0"/>
              <w:rPr>
                <w:sz w:val="1"/>
                <w:szCs w:val="1"/>
                <w:color w:val="auto"/>
              </w:rPr>
            </w:pPr>
          </w:p>
        </w:tc>
      </w:tr>
      <w:tr>
        <w:trPr>
          <w:trHeight w:val="295"/>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ind w:left="680"/>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680" w:type="dxa"/>
            <w:vAlign w:val="bottom"/>
          </w:tcPr>
          <w:p>
            <w:pPr>
              <w:ind w:left="480"/>
              <w:spacing w:after="0"/>
              <w:rPr>
                <w:sz w:val="20"/>
                <w:szCs w:val="20"/>
                <w:color w:val="auto"/>
              </w:rPr>
            </w:pPr>
            <w:r>
              <w:rPr>
                <w:rFonts w:ascii="Courier New" w:cs="Courier New" w:eastAsia="Courier New" w:hAnsi="Courier New"/>
                <w:sz w:val="17"/>
                <w:szCs w:val="17"/>
                <w:color w:val="auto"/>
              </w:rPr>
              <w:t>$37</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$113</w:t>
            </w:r>
          </w:p>
        </w:tc>
        <w:tc>
          <w:tcPr>
            <w:tcW w:w="168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$105</w:t>
            </w:r>
          </w:p>
        </w:tc>
        <w:tc>
          <w:tcPr>
            <w:tcW w:w="13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$45</w:t>
            </w:r>
          </w:p>
        </w:tc>
        <w:tc>
          <w:tcPr>
            <w:tcW w:w="0" w:type="dxa"/>
            <w:vAlign w:val="bottom"/>
          </w:tcPr>
          <w:p>
            <w:pPr>
              <w:spacing w:after="0"/>
              <w:rPr>
                <w:sz w:val="1"/>
                <w:szCs w:val="1"/>
                <w:color w:val="auto"/>
              </w:rPr>
            </w:pPr>
          </w:p>
        </w:tc>
      </w:tr>
      <w:tr>
        <w:trPr>
          <w:trHeight w:val="295"/>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ind w:left="680"/>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39"/>
        <w:spacing w:after="0" w:line="379" w:lineRule="auto"/>
        <w:rPr>
          <w:sz w:val="20"/>
          <w:szCs w:val="20"/>
          <w:color w:val="auto"/>
        </w:rPr>
      </w:pPr>
      <w:r>
        <w:rPr>
          <w:rFonts w:ascii="Courier New" w:cs="Courier New" w:eastAsia="Courier New" w:hAnsi="Courier New"/>
          <w:sz w:val="17"/>
          <w:szCs w:val="17"/>
          <w:color w:val="auto"/>
        </w:rPr>
        <w:t>Allowances for losses from uncollectible accounts, returns, etc., are deducted from accounts receivable in the balance sheet.</w:t>
      </w:r>
    </w:p>
    <w:p>
      <w:pPr>
        <w:sectPr>
          <w:pgSz w:w="11900" w:h="17031" w:orient="portrait"/>
          <w:cols w:equalWidth="0" w:num="1">
            <w:col w:w="10219"/>
          </w:cols>
          <w:pgMar w:left="240" w:top="110" w:right="1440" w:bottom="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420" w:type="dxa"/>
            <w:vAlign w:val="bottom"/>
          </w:tcPr>
          <w:p>
            <w:pPr>
              <w:spacing w:after="0"/>
              <w:rPr>
                <w:sz w:val="24"/>
                <w:szCs w:val="24"/>
                <w:color w:val="auto"/>
              </w:rPr>
            </w:pPr>
          </w:p>
        </w:tc>
        <w:tc>
          <w:tcPr>
            <w:tcW w:w="3980" w:type="dxa"/>
            <w:vAlign w:val="bottom"/>
          </w:tcPr>
          <w:p>
            <w:pPr>
              <w:ind w:left="1680"/>
              <w:spacing w:after="0"/>
              <w:rPr>
                <w:sz w:val="20"/>
                <w:szCs w:val="20"/>
                <w:color w:val="auto"/>
              </w:rPr>
            </w:pPr>
            <w:r>
              <w:rPr>
                <w:rFonts w:ascii="Courier New" w:cs="Courier New" w:eastAsia="Courier New" w:hAnsi="Courier New"/>
                <w:sz w:val="17"/>
                <w:szCs w:val="17"/>
                <w:color w:val="auto"/>
              </w:rPr>
              <w:t>16</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420" w:type="dxa"/>
            <w:vAlign w:val="bottom"/>
          </w:tcPr>
          <w:p>
            <w:pPr>
              <w:spacing w:after="0"/>
              <w:rPr>
                <w:sz w:val="20"/>
                <w:szCs w:val="20"/>
                <w:color w:val="auto"/>
              </w:rPr>
            </w:pPr>
            <w:r>
              <w:rPr>
                <w:rFonts w:ascii="Courier New" w:cs="Courier New" w:eastAsia="Courier New" w:hAnsi="Courier New"/>
                <w:sz w:val="17"/>
                <w:szCs w:val="17"/>
                <w:color w:val="auto"/>
              </w:rPr>
              <w:t>Exhibit Index</w:t>
            </w:r>
          </w:p>
        </w:tc>
        <w:tc>
          <w:tcPr>
            <w:tcW w:w="3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20" w:type="dxa"/>
            <w:vAlign w:val="bottom"/>
          </w:tcPr>
          <w:p>
            <w:pPr>
              <w:ind w:left="840"/>
              <w:spacing w:after="0"/>
              <w:rPr>
                <w:sz w:val="20"/>
                <w:szCs w:val="20"/>
                <w:color w:val="auto"/>
              </w:rPr>
            </w:pPr>
            <w:r>
              <w:rPr>
                <w:rFonts w:ascii="Courier New" w:cs="Courier New" w:eastAsia="Courier New" w:hAnsi="Courier New"/>
                <w:sz w:val="17"/>
                <w:szCs w:val="17"/>
                <w:color w:val="auto"/>
              </w:rPr>
              <w:t>Designation of</w:t>
            </w:r>
          </w:p>
        </w:tc>
        <w:tc>
          <w:tcPr>
            <w:tcW w:w="5020" w:type="dxa"/>
            <w:vAlign w:val="bottom"/>
            <w:gridSpan w:val="2"/>
            <w:vMerge w:val="restart"/>
          </w:tcPr>
          <w:p>
            <w:pPr>
              <w:jc w:val="center"/>
              <w:ind w:left="3693"/>
              <w:spacing w:after="0"/>
              <w:rPr>
                <w:sz w:val="20"/>
                <w:szCs w:val="20"/>
                <w:color w:val="auto"/>
              </w:rPr>
            </w:pPr>
            <w:r>
              <w:rPr>
                <w:rFonts w:ascii="Courier New" w:cs="Courier New" w:eastAsia="Courier New" w:hAnsi="Courier New"/>
                <w:sz w:val="17"/>
                <w:szCs w:val="17"/>
                <w:color w:val="auto"/>
              </w:rPr>
              <w:t>Electronic</w:t>
            </w:r>
          </w:p>
        </w:tc>
        <w:tc>
          <w:tcPr>
            <w:tcW w:w="0" w:type="dxa"/>
            <w:vAlign w:val="bottom"/>
          </w:tcPr>
          <w:p>
            <w:pPr>
              <w:spacing w:after="0"/>
              <w:rPr>
                <w:sz w:val="1"/>
                <w:szCs w:val="1"/>
                <w:color w:val="auto"/>
              </w:rPr>
            </w:pPr>
          </w:p>
        </w:tc>
      </w:tr>
      <w:tr>
        <w:trPr>
          <w:trHeight w:val="201"/>
        </w:trPr>
        <w:tc>
          <w:tcPr>
            <w:tcW w:w="2420" w:type="dxa"/>
            <w:vAlign w:val="bottom"/>
          </w:tcPr>
          <w:p>
            <w:pPr>
              <w:ind w:left="840"/>
              <w:spacing w:after="0"/>
              <w:rPr>
                <w:sz w:val="20"/>
                <w:szCs w:val="20"/>
                <w:color w:val="auto"/>
              </w:rPr>
            </w:pPr>
            <w:r>
              <w:rPr>
                <w:rFonts w:ascii="Courier New" w:cs="Courier New" w:eastAsia="Courier New" w:hAnsi="Courier New"/>
                <w:sz w:val="17"/>
                <w:szCs w:val="17"/>
                <w:color w:val="auto"/>
              </w:rPr>
              <w:t>Exhibit in</w:t>
            </w:r>
          </w:p>
        </w:tc>
        <w:tc>
          <w:tcPr>
            <w:tcW w:w="5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ind w:left="840"/>
              <w:spacing w:after="0"/>
              <w:rPr>
                <w:sz w:val="20"/>
                <w:szCs w:val="20"/>
                <w:color w:val="auto"/>
              </w:rPr>
            </w:pPr>
            <w:r>
              <w:rPr>
                <w:rFonts w:ascii="Courier New" w:cs="Courier New" w:eastAsia="Courier New" w:hAnsi="Courier New"/>
                <w:sz w:val="17"/>
                <w:szCs w:val="17"/>
                <w:color w:val="auto"/>
              </w:rPr>
              <w:t>this Report</w:t>
            </w:r>
          </w:p>
        </w:tc>
        <w:tc>
          <w:tcPr>
            <w:tcW w:w="3980" w:type="dxa"/>
            <w:vAlign w:val="bottom"/>
          </w:tcPr>
          <w:p>
            <w:pPr>
              <w:ind w:left="420"/>
              <w:spacing w:after="0"/>
              <w:rPr>
                <w:sz w:val="20"/>
                <w:szCs w:val="20"/>
                <w:color w:val="auto"/>
              </w:rPr>
            </w:pPr>
            <w:r>
              <w:rPr>
                <w:rFonts w:ascii="Courier New" w:cs="Courier New" w:eastAsia="Courier New" w:hAnsi="Courier New"/>
                <w:sz w:val="17"/>
                <w:szCs w:val="17"/>
                <w:color w:val="auto"/>
              </w:rPr>
              <w:t>Description of Exhibit</w:t>
            </w:r>
          </w:p>
        </w:tc>
        <w:tc>
          <w:tcPr>
            <w:tcW w:w="10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or Paper</w:t>
            </w:r>
          </w:p>
        </w:tc>
        <w:tc>
          <w:tcPr>
            <w:tcW w:w="0" w:type="dxa"/>
            <w:vAlign w:val="bottom"/>
          </w:tcPr>
          <w:p>
            <w:pPr>
              <w:spacing w:after="0"/>
              <w:rPr>
                <w:sz w:val="1"/>
                <w:szCs w:val="1"/>
                <w:color w:val="auto"/>
              </w:rPr>
            </w:pPr>
          </w:p>
        </w:tc>
      </w:tr>
      <w:tr>
        <w:trPr>
          <w:trHeight w:val="295"/>
        </w:trPr>
        <w:tc>
          <w:tcPr>
            <w:tcW w:w="242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398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10"/>
        </w:trPr>
        <w:tc>
          <w:tcPr>
            <w:tcW w:w="2420" w:type="dxa"/>
            <w:vAlign w:val="bottom"/>
          </w:tcPr>
          <w:p>
            <w:pPr>
              <w:ind w:left="1260"/>
              <w:spacing w:after="0"/>
              <w:rPr>
                <w:sz w:val="20"/>
                <w:szCs w:val="20"/>
                <w:color w:val="auto"/>
              </w:rPr>
            </w:pPr>
            <w:r>
              <w:rPr>
                <w:rFonts w:ascii="Courier New" w:cs="Courier New" w:eastAsia="Courier New" w:hAnsi="Courier New"/>
                <w:sz w:val="17"/>
                <w:szCs w:val="17"/>
                <w:color w:val="auto"/>
              </w:rPr>
              <w:t>2</w:t>
            </w: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Asset Purchase Agreement dated as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of January 4, 1997 between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Registrant and  Raytheon Company</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(exhibits and schedules omitted)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(incorporated by reference to</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Exhibit 2.1 to the Registrant's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Current Report on Form 8-K dated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420" w:type="dxa"/>
            <w:vAlign w:val="bottom"/>
          </w:tcPr>
          <w:p>
            <w:pPr>
              <w:spacing w:after="0"/>
              <w:rPr>
                <w:sz w:val="24"/>
                <w:szCs w:val="24"/>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January 4, 1997).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20" w:type="dxa"/>
            <w:vAlign w:val="bottom"/>
          </w:tcPr>
          <w:p>
            <w:pPr>
              <w:ind w:left="1260"/>
              <w:spacing w:after="0"/>
              <w:rPr>
                <w:sz w:val="20"/>
                <w:szCs w:val="20"/>
                <w:color w:val="auto"/>
              </w:rPr>
            </w:pPr>
            <w:r>
              <w:rPr>
                <w:rFonts w:ascii="Courier New" w:cs="Courier New" w:eastAsia="Courier New" w:hAnsi="Courier New"/>
                <w:sz w:val="17"/>
                <w:szCs w:val="17"/>
                <w:color w:val="auto"/>
              </w:rPr>
              <w:t>3(a)</w:t>
            </w: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Restated Certificate of Incorporation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of the Registrant (incorporated by</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reference to Exhibit 3(a) to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Registrant's Annual Report on Form</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420" w:type="dxa"/>
            <w:vAlign w:val="bottom"/>
          </w:tcPr>
          <w:p>
            <w:pPr>
              <w:spacing w:after="0"/>
              <w:rPr>
                <w:sz w:val="24"/>
                <w:szCs w:val="24"/>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10-K for the year 1993).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20" w:type="dxa"/>
            <w:vAlign w:val="bottom"/>
          </w:tcPr>
          <w:p>
            <w:pPr>
              <w:ind w:left="1260"/>
              <w:spacing w:after="0"/>
              <w:rPr>
                <w:sz w:val="20"/>
                <w:szCs w:val="20"/>
                <w:color w:val="auto"/>
              </w:rPr>
            </w:pPr>
            <w:r>
              <w:rPr>
                <w:rFonts w:ascii="Courier New" w:cs="Courier New" w:eastAsia="Courier New" w:hAnsi="Courier New"/>
                <w:sz w:val="17"/>
                <w:szCs w:val="17"/>
                <w:color w:val="auto"/>
              </w:rPr>
              <w:t>3(b)</w:t>
            </w: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Certificate of Amendment to Restated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Certificate of Incorporation of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Registrant (incorporated by reference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to Exhibit 3(b) to the Registrant's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50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Annual Report on Form 10-K for the year</w:t>
            </w:r>
          </w:p>
        </w:tc>
        <w:tc>
          <w:tcPr>
            <w:tcW w:w="0" w:type="dxa"/>
            <w:vAlign w:val="bottom"/>
          </w:tcPr>
          <w:p>
            <w:pPr>
              <w:spacing w:after="0"/>
              <w:rPr>
                <w:sz w:val="1"/>
                <w:szCs w:val="1"/>
                <w:color w:val="auto"/>
              </w:rPr>
            </w:pPr>
          </w:p>
        </w:tc>
      </w:tr>
      <w:tr>
        <w:trPr>
          <w:trHeight w:val="295"/>
        </w:trPr>
        <w:tc>
          <w:tcPr>
            <w:tcW w:w="2420" w:type="dxa"/>
            <w:vAlign w:val="bottom"/>
          </w:tcPr>
          <w:p>
            <w:pPr>
              <w:spacing w:after="0"/>
              <w:rPr>
                <w:sz w:val="24"/>
                <w:szCs w:val="24"/>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20" w:type="dxa"/>
            <w:vAlign w:val="bottom"/>
          </w:tcPr>
          <w:p>
            <w:pPr>
              <w:ind w:left="1260"/>
              <w:spacing w:after="0"/>
              <w:rPr>
                <w:sz w:val="20"/>
                <w:szCs w:val="20"/>
                <w:color w:val="auto"/>
              </w:rPr>
            </w:pPr>
            <w:r>
              <w:rPr>
                <w:rFonts w:ascii="Courier New" w:cs="Courier New" w:eastAsia="Courier New" w:hAnsi="Courier New"/>
                <w:sz w:val="17"/>
                <w:szCs w:val="17"/>
                <w:color w:val="auto"/>
              </w:rPr>
              <w:t>3(c)</w:t>
            </w: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Certificate of Amendment to Restated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Certificate of Incorporation of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Registrant (incorporated by reference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to Exhibit 3(c) to the Registrant's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Annual Report on Form 10-K for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420" w:type="dxa"/>
            <w:vAlign w:val="bottom"/>
          </w:tcPr>
          <w:p>
            <w:pPr>
              <w:spacing w:after="0"/>
              <w:rPr>
                <w:sz w:val="24"/>
                <w:szCs w:val="24"/>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Year 1993).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20" w:type="dxa"/>
            <w:vAlign w:val="bottom"/>
          </w:tcPr>
          <w:p>
            <w:pPr>
              <w:ind w:left="1260"/>
              <w:spacing w:after="0"/>
              <w:rPr>
                <w:sz w:val="20"/>
                <w:szCs w:val="20"/>
                <w:color w:val="auto"/>
              </w:rPr>
            </w:pPr>
            <w:r>
              <w:rPr>
                <w:rFonts w:ascii="Courier New" w:cs="Courier New" w:eastAsia="Courier New" w:hAnsi="Courier New"/>
                <w:sz w:val="17"/>
                <w:szCs w:val="17"/>
                <w:color w:val="auto"/>
              </w:rPr>
              <w:t>3(d)</w:t>
            </w: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Certificate of Amendment to Restated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Certificate of Incorporation of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Registrant (incorporated by reference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to Exhibit 3 to the Registrant's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420" w:type="dxa"/>
            <w:vAlign w:val="bottom"/>
          </w:tcPr>
          <w:p>
            <w:pPr>
              <w:spacing w:after="0"/>
              <w:rPr>
                <w:sz w:val="24"/>
                <w:szCs w:val="24"/>
                <w:color w:val="auto"/>
              </w:rPr>
            </w:pPr>
          </w:p>
        </w:tc>
        <w:tc>
          <w:tcPr>
            <w:tcW w:w="3980" w:type="dxa"/>
            <w:vAlign w:val="bottom"/>
          </w:tcPr>
          <w:p>
            <w:pPr>
              <w:ind w:left="100"/>
              <w:spacing w:after="0"/>
              <w:rPr>
                <w:sz w:val="20"/>
                <w:szCs w:val="20"/>
                <w:color w:val="auto"/>
              </w:rPr>
            </w:pPr>
            <w:r>
              <w:rPr>
                <w:rFonts w:ascii="Courier New" w:cs="Courier New" w:eastAsia="Courier New" w:hAnsi="Courier New"/>
                <w:sz w:val="17"/>
                <w:szCs w:val="17"/>
                <w:color w:val="auto"/>
              </w:rPr>
              <w:t>Quarterly Report on Form 10-Q for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0" w:orient="portrait"/>
          <w:cols w:equalWidth="0" w:num="1">
            <w:col w:w="10219"/>
          </w:cols>
          <w:pgMar w:left="240" w:top="1440" w:right="1440" w:bottom="0" w:gutter="0" w:footer="0" w:header="0"/>
        </w:sectPr>
      </w:pPr>
    </w:p>
    <w:bookmarkStart w:id="13" w:name="page14"/>
    <w:bookmarkEnd w:id="13"/>
    <w:p>
      <w:pPr>
        <w:spacing w:after="0" w:line="1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the quarter ended June 30, 1996).</w:t>
      </w:r>
    </w:p>
    <w:p>
      <w:pPr>
        <w:spacing w:after="0" w:line="210" w:lineRule="exact"/>
        <w:rPr>
          <w:sz w:val="20"/>
          <w:szCs w:val="20"/>
          <w:color w:val="auto"/>
        </w:rPr>
      </w:pPr>
    </w:p>
    <w:p>
      <w:pPr>
        <w:ind w:left="1320" w:right="3919" w:hanging="1259"/>
        <w:spacing w:after="0" w:line="264" w:lineRule="auto"/>
        <w:tabs>
          <w:tab w:leader="none" w:pos="1300" w:val="left"/>
        </w:tabs>
        <w:rPr>
          <w:sz w:val="20"/>
          <w:szCs w:val="20"/>
          <w:color w:val="auto"/>
        </w:rPr>
      </w:pPr>
      <w:r>
        <w:rPr>
          <w:rFonts w:ascii="Courier New" w:cs="Courier New" w:eastAsia="Courier New" w:hAnsi="Courier New"/>
          <w:sz w:val="17"/>
          <w:szCs w:val="17"/>
          <w:color w:val="auto"/>
        </w:rPr>
        <w:t>3(e)</w:t>
      </w:r>
      <w:r>
        <w:rPr>
          <w:sz w:val="20"/>
          <w:szCs w:val="20"/>
          <w:color w:val="auto"/>
        </w:rPr>
        <w:tab/>
      </w:r>
      <w:r>
        <w:rPr>
          <w:rFonts w:ascii="Courier New" w:cs="Courier New" w:eastAsia="Courier New" w:hAnsi="Courier New"/>
          <w:sz w:val="17"/>
          <w:szCs w:val="17"/>
          <w:color w:val="auto"/>
        </w:rPr>
        <w:t>Certificate of Designations relating to the Registrant's Participating Cumulative Preferred Stock</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(incorporated by reference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to Exhibit 3(d) to the Registrant's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Annual Report on Form 10-K for the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year 1993).</w:t>
      </w:r>
    </w:p>
    <w:p>
      <w:pPr>
        <w:spacing w:after="0" w:line="178" w:lineRule="exact"/>
        <w:rPr>
          <w:sz w:val="20"/>
          <w:szCs w:val="20"/>
          <w:color w:val="auto"/>
        </w:rPr>
      </w:pPr>
    </w:p>
    <w:p>
      <w:pPr>
        <w:ind w:left="1320" w:right="3719" w:hanging="1259"/>
        <w:spacing w:after="0" w:line="276" w:lineRule="auto"/>
        <w:tabs>
          <w:tab w:leader="none" w:pos="1300" w:val="left"/>
        </w:tabs>
        <w:rPr>
          <w:sz w:val="20"/>
          <w:szCs w:val="20"/>
          <w:color w:val="auto"/>
        </w:rPr>
      </w:pPr>
      <w:r>
        <w:rPr>
          <w:rFonts w:ascii="Courier New" w:cs="Courier New" w:eastAsia="Courier New" w:hAnsi="Courier New"/>
          <w:sz w:val="17"/>
          <w:szCs w:val="17"/>
          <w:color w:val="auto"/>
        </w:rPr>
        <w:t>3(f)</w:t>
      </w:r>
      <w:r>
        <w:rPr>
          <w:sz w:val="20"/>
          <w:szCs w:val="20"/>
          <w:color w:val="auto"/>
        </w:rPr>
        <w:tab/>
      </w:r>
      <w:r>
        <w:rPr>
          <w:rFonts w:ascii="Courier New" w:cs="Courier New" w:eastAsia="Courier New" w:hAnsi="Courier New"/>
          <w:sz w:val="17"/>
          <w:szCs w:val="17"/>
          <w:color w:val="auto"/>
        </w:rPr>
        <w:t>Certificate of Ownership Merging Texas Instruments Automation Controls, Inc. into the Registrant (incorporated by reference to Exhibit 3(e) to the Registrant's Annual Report on Form 10-K for the year 1993).</w:t>
      </w:r>
    </w:p>
    <w:p>
      <w:pPr>
        <w:spacing w:after="0" w:line="81" w:lineRule="exact"/>
        <w:rPr>
          <w:sz w:val="20"/>
          <w:szCs w:val="20"/>
          <w:color w:val="auto"/>
        </w:rPr>
      </w:pPr>
    </w:p>
    <w:p>
      <w:pPr>
        <w:ind w:left="1320" w:right="3719" w:hanging="1259"/>
        <w:spacing w:after="0" w:line="276" w:lineRule="auto"/>
        <w:tabs>
          <w:tab w:leader="none" w:pos="1300" w:val="left"/>
        </w:tabs>
        <w:rPr>
          <w:sz w:val="20"/>
          <w:szCs w:val="20"/>
          <w:color w:val="auto"/>
        </w:rPr>
      </w:pPr>
      <w:r>
        <w:rPr>
          <w:rFonts w:ascii="Courier New" w:cs="Courier New" w:eastAsia="Courier New" w:hAnsi="Courier New"/>
          <w:sz w:val="17"/>
          <w:szCs w:val="17"/>
          <w:color w:val="auto"/>
        </w:rPr>
        <w:t>3(g)</w:t>
      </w:r>
      <w:r>
        <w:rPr>
          <w:sz w:val="20"/>
          <w:szCs w:val="20"/>
          <w:color w:val="auto"/>
        </w:rPr>
        <w:tab/>
      </w:r>
      <w:r>
        <w:rPr>
          <w:rFonts w:ascii="Courier New" w:cs="Courier New" w:eastAsia="Courier New" w:hAnsi="Courier New"/>
          <w:sz w:val="17"/>
          <w:szCs w:val="17"/>
          <w:color w:val="auto"/>
        </w:rPr>
        <w:t>Certificate of Elimination of Designations of Preferred Stock of the Registrant (incorporated by reference to Exhibit 3(f) to the Registrant's Annual Report on Form 10-K for the year 1993).</w:t>
      </w:r>
    </w:p>
    <w:p>
      <w:pPr>
        <w:spacing w:after="0" w:line="81" w:lineRule="exact"/>
        <w:rPr>
          <w:sz w:val="20"/>
          <w:szCs w:val="20"/>
          <w:color w:val="auto"/>
        </w:rPr>
      </w:pPr>
    </w:p>
    <w:p>
      <w:pPr>
        <w:ind w:left="1320" w:right="3719" w:hanging="1259"/>
        <w:spacing w:after="0" w:line="276" w:lineRule="auto"/>
        <w:tabs>
          <w:tab w:leader="none" w:pos="1300" w:val="left"/>
        </w:tabs>
        <w:rPr>
          <w:sz w:val="20"/>
          <w:szCs w:val="20"/>
          <w:color w:val="auto"/>
        </w:rPr>
      </w:pPr>
      <w:r>
        <w:rPr>
          <w:rFonts w:ascii="Courier New" w:cs="Courier New" w:eastAsia="Courier New" w:hAnsi="Courier New"/>
          <w:sz w:val="17"/>
          <w:szCs w:val="17"/>
          <w:color w:val="auto"/>
        </w:rPr>
        <w:t>3(h)</w:t>
      </w:r>
      <w:r>
        <w:rPr>
          <w:sz w:val="20"/>
          <w:szCs w:val="20"/>
          <w:color w:val="auto"/>
        </w:rPr>
        <w:tab/>
      </w:r>
      <w:r>
        <w:rPr>
          <w:rFonts w:ascii="Courier New" w:cs="Courier New" w:eastAsia="Courier New" w:hAnsi="Courier New"/>
          <w:sz w:val="17"/>
          <w:szCs w:val="17"/>
          <w:color w:val="auto"/>
        </w:rPr>
        <w:t>Certificate of Ownership and Merger Merging Tiburon Systems, Inc. into the Company (incorporated by reference to Exhibit 4(g) to the Registrant's Registration Statement No. 333-41919 on Form S-8).</w:t>
      </w:r>
    </w:p>
    <w:p>
      <w:pPr>
        <w:spacing w:after="0" w:line="81" w:lineRule="exact"/>
        <w:rPr>
          <w:sz w:val="20"/>
          <w:szCs w:val="20"/>
          <w:color w:val="auto"/>
        </w:rPr>
      </w:pPr>
    </w:p>
    <w:p>
      <w:pPr>
        <w:ind w:left="1320" w:right="3819" w:hanging="1259"/>
        <w:spacing w:after="0" w:line="283" w:lineRule="auto"/>
        <w:tabs>
          <w:tab w:leader="none" w:pos="1300" w:val="left"/>
        </w:tabs>
        <w:rPr>
          <w:sz w:val="20"/>
          <w:szCs w:val="20"/>
          <w:color w:val="auto"/>
        </w:rPr>
      </w:pPr>
      <w:r>
        <w:rPr>
          <w:rFonts w:ascii="Courier New" w:cs="Courier New" w:eastAsia="Courier New" w:hAnsi="Courier New"/>
          <w:sz w:val="17"/>
          <w:szCs w:val="17"/>
          <w:color w:val="auto"/>
        </w:rPr>
        <w:t>3(i)</w:t>
      </w:r>
      <w:r>
        <w:rPr>
          <w:sz w:val="20"/>
          <w:szCs w:val="20"/>
          <w:color w:val="auto"/>
        </w:rPr>
        <w:tab/>
      </w:r>
      <w:r>
        <w:rPr>
          <w:rFonts w:ascii="Courier New" w:cs="Courier New" w:eastAsia="Courier New" w:hAnsi="Courier New"/>
          <w:sz w:val="17"/>
          <w:szCs w:val="17"/>
          <w:color w:val="auto"/>
        </w:rPr>
        <w:t>Certificate of Ownership and Merger Merging Tartan, Inc. into the Company (incorporated by reference to Exhibit 4(h) to the Registrant's Registration Statement No. 333-41919 on Form S-8).</w:t>
      </w:r>
    </w:p>
    <w:p>
      <w:pPr>
        <w:spacing w:after="0" w:line="274"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3(j)</w:t>
      </w:r>
      <w:r>
        <w:rPr>
          <w:sz w:val="20"/>
          <w:szCs w:val="20"/>
          <w:color w:val="auto"/>
        </w:rPr>
        <w:tab/>
      </w:r>
      <w:r>
        <w:rPr>
          <w:rFonts w:ascii="Courier New" w:cs="Courier New" w:eastAsia="Courier New" w:hAnsi="Courier New"/>
          <w:sz w:val="17"/>
          <w:szCs w:val="17"/>
          <w:color w:val="auto"/>
        </w:rPr>
        <w:t>By-Laws of the Registrant</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(incorporated by reference to</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Exhibit 3 to the Registrant's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Current Report on Form 8-K</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dated December 4, 1997).</w:t>
      </w:r>
    </w:p>
    <w:p>
      <w:pPr>
        <w:spacing w:after="0" w:line="178"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4(a)(i)</w:t>
      </w:r>
      <w:r>
        <w:rPr>
          <w:sz w:val="20"/>
          <w:szCs w:val="20"/>
          <w:color w:val="auto"/>
        </w:rPr>
        <w:tab/>
      </w:r>
      <w:r>
        <w:rPr>
          <w:rFonts w:ascii="Courier New" w:cs="Courier New" w:eastAsia="Courier New" w:hAnsi="Courier New"/>
          <w:sz w:val="17"/>
          <w:szCs w:val="17"/>
          <w:color w:val="auto"/>
        </w:rPr>
        <w:t>Rights Agreement dated as of</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June 17, 1988 between the Registrant</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and First Chicago Trust Company</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of New York, formerly Morgan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Shareholder Services Trust Company,</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as Rights Agent, which includes as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Exhibit B the form of Rights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Certificate (incorporated by</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reference to Exhibit 4(a)(i)</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to the Registrant's Annual Report</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on Form 10-K for the year 1993).</w:t>
      </w:r>
    </w:p>
    <w:p>
      <w:pPr>
        <w:spacing w:after="0" w:line="178" w:lineRule="exact"/>
        <w:rPr>
          <w:sz w:val="20"/>
          <w:szCs w:val="20"/>
          <w:color w:val="auto"/>
        </w:rPr>
      </w:pPr>
    </w:p>
    <w:p>
      <w:pPr>
        <w:ind w:left="1320" w:right="4039" w:hanging="1256"/>
        <w:spacing w:after="0" w:line="263" w:lineRule="auto"/>
        <w:tabs>
          <w:tab w:leader="none" w:pos="1300" w:val="left"/>
        </w:tabs>
        <w:rPr>
          <w:sz w:val="20"/>
          <w:szCs w:val="20"/>
          <w:color w:val="auto"/>
        </w:rPr>
      </w:pPr>
      <w:r>
        <w:rPr>
          <w:rFonts w:ascii="Courier New" w:cs="Courier New" w:eastAsia="Courier New" w:hAnsi="Courier New"/>
          <w:sz w:val="17"/>
          <w:szCs w:val="17"/>
          <w:color w:val="auto"/>
        </w:rPr>
        <w:t>4(a)(ii)</w:t>
      </w:r>
      <w:r>
        <w:rPr>
          <w:sz w:val="20"/>
          <w:szCs w:val="20"/>
          <w:color w:val="auto"/>
        </w:rPr>
        <w:tab/>
      </w:r>
      <w:r>
        <w:rPr>
          <w:rFonts w:ascii="Courier New" w:cs="Courier New" w:eastAsia="Courier New" w:hAnsi="Courier New"/>
          <w:sz w:val="17"/>
          <w:szCs w:val="17"/>
          <w:color w:val="auto"/>
        </w:rPr>
        <w:t>Assignment and Assumption Agreement dated as of September 24, 1992 among the Registrant, First Chicago Trust Company of New York, formerly Morgan Shareholder Services Trust Company, and Harris Trust and Savings Bank (incorporated by reference to Exhibit 4(a)(i) to the Registrant's Quarterly Report on Form 10-Q for the quarter ended September 30, 1992).</w:t>
      </w:r>
    </w:p>
    <w:p>
      <w:pPr>
        <w:spacing w:after="0" w:line="96"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4(b)</w:t>
      </w:r>
      <w:r>
        <w:rPr>
          <w:sz w:val="20"/>
          <w:szCs w:val="20"/>
          <w:color w:val="auto"/>
        </w:rPr>
        <w:tab/>
      </w:r>
      <w:r>
        <w:rPr>
          <w:rFonts w:ascii="Courier New" w:cs="Courier New" w:eastAsia="Courier New" w:hAnsi="Courier New"/>
          <w:sz w:val="17"/>
          <w:szCs w:val="17"/>
          <w:color w:val="auto"/>
        </w:rPr>
        <w:t>The Registrant agrees to provide</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the Commission, upon request, copies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of instruments defining the rights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of holders of long-term debt of</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the Registrant and its subsidiaries.</w:t>
      </w:r>
    </w:p>
    <w:p>
      <w:pPr>
        <w:spacing w:after="0" w:line="178"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10(a)(i)</w:t>
      </w:r>
      <w:r>
        <w:rPr>
          <w:sz w:val="20"/>
          <w:szCs w:val="20"/>
          <w:color w:val="auto"/>
        </w:rPr>
        <w:tab/>
      </w:r>
      <w:r>
        <w:rPr>
          <w:rFonts w:ascii="Courier New" w:cs="Courier New" w:eastAsia="Courier New" w:hAnsi="Courier New"/>
          <w:sz w:val="17"/>
          <w:szCs w:val="17"/>
          <w:color w:val="auto"/>
        </w:rPr>
        <w:t>TI Deferred Compensation Plan</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(incorporated by reference to</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Exhibit 10(a)(ii) to the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Registrant's Annual Report on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Form 10-K for the year 1994).*</w:t>
      </w:r>
    </w:p>
    <w:p>
      <w:pPr>
        <w:spacing w:after="0" w:line="178"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10(a)(ii)</w:t>
      </w:r>
      <w:r>
        <w:rPr>
          <w:sz w:val="20"/>
          <w:szCs w:val="20"/>
          <w:color w:val="auto"/>
        </w:rPr>
        <w:tab/>
      </w:r>
      <w:r>
        <w:rPr>
          <w:rFonts w:ascii="Courier New" w:cs="Courier New" w:eastAsia="Courier New" w:hAnsi="Courier New"/>
          <w:sz w:val="17"/>
          <w:szCs w:val="17"/>
          <w:color w:val="auto"/>
        </w:rPr>
        <w:t>Amendment No. 1 to TI Deferred</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Compensation Plan (incorporated</w:t>
      </w:r>
    </w:p>
    <w:p>
      <w:pPr>
        <w:sectPr>
          <w:pgSz w:w="11900" w:h="16849" w:orient="portrait"/>
          <w:cols w:equalWidth="0" w:num="1">
            <w:col w:w="9019"/>
          </w:cols>
          <w:pgMar w:left="1440" w:top="110" w:right="1440" w:bottom="0" w:gutter="0" w:footer="0" w:header="0"/>
        </w:sectPr>
      </w:pPr>
    </w:p>
    <w:bookmarkStart w:id="14" w:name="page15"/>
    <w:bookmarkEnd w:id="14"/>
    <w:p>
      <w:pPr>
        <w:ind w:left="1320"/>
        <w:spacing w:after="0"/>
        <w:rPr>
          <w:sz w:val="20"/>
          <w:szCs w:val="20"/>
          <w:color w:val="auto"/>
        </w:rPr>
      </w:pPr>
      <w:r>
        <w:rPr>
          <w:rFonts w:ascii="Courier New" w:cs="Courier New" w:eastAsia="Courier New" w:hAnsi="Courier New"/>
          <w:sz w:val="17"/>
          <w:szCs w:val="17"/>
          <w:color w:val="auto"/>
        </w:rPr>
        <w:t>by reference to Exhibit</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10(a)(iii) to the Registrant's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Annual Report on Form 10-K</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for the year 1994).*</w:t>
      </w:r>
    </w:p>
    <w:p>
      <w:pPr>
        <w:spacing w:after="0" w:line="178" w:lineRule="exact"/>
        <w:rPr>
          <w:sz w:val="20"/>
          <w:szCs w:val="20"/>
          <w:color w:val="auto"/>
        </w:rPr>
      </w:pPr>
    </w:p>
    <w:p>
      <w:pPr>
        <w:ind w:left="1320" w:right="4339" w:hanging="1259"/>
        <w:spacing w:after="0" w:line="258" w:lineRule="auto"/>
        <w:tabs>
          <w:tab w:leader="none" w:pos="1300" w:val="left"/>
        </w:tabs>
        <w:rPr>
          <w:sz w:val="20"/>
          <w:szCs w:val="20"/>
          <w:color w:val="auto"/>
        </w:rPr>
      </w:pPr>
      <w:r>
        <w:rPr>
          <w:rFonts w:ascii="Courier New" w:cs="Courier New" w:eastAsia="Courier New" w:hAnsi="Courier New"/>
          <w:sz w:val="17"/>
          <w:szCs w:val="17"/>
          <w:color w:val="auto"/>
        </w:rPr>
        <w:t>10(a)(iii)</w:t>
        <w:tab/>
        <w:t>Amendment No. 2 to TI Deferred Compensation Plan (incorporated by reference to the Registrant's Quarterly Report on Form 10-Q for the quarter ended</w:t>
      </w:r>
    </w:p>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June 30, 1997).*</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color w:val="auto"/>
              </w:rPr>
              <w:t>10(a)(iv)   Amendment</w:t>
            </w:r>
          </w:p>
        </w:tc>
        <w:tc>
          <w:tcPr>
            <w:tcW w:w="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No. 3</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to TI Deferred</w:t>
            </w:r>
          </w:p>
        </w:tc>
      </w:tr>
      <w:tr>
        <w:trPr>
          <w:trHeight w:val="201"/>
        </w:trPr>
        <w:tc>
          <w:tcPr>
            <w:tcW w:w="258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Compensation</w:t>
            </w:r>
          </w:p>
        </w:tc>
        <w:tc>
          <w:tcPr>
            <w:tcW w:w="20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Plan (incorporated</w:t>
            </w:r>
          </w:p>
        </w:tc>
      </w:tr>
      <w:tr>
        <w:trPr>
          <w:trHeight w:val="201"/>
        </w:trPr>
        <w:tc>
          <w:tcPr>
            <w:tcW w:w="258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by reference</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the Registrant's</w:t>
            </w:r>
          </w:p>
        </w:tc>
      </w:tr>
      <w:tr>
        <w:trPr>
          <w:trHeight w:val="201"/>
        </w:trPr>
        <w:tc>
          <w:tcPr>
            <w:tcW w:w="2260" w:type="dxa"/>
            <w:vAlign w:val="bottom"/>
          </w:tcPr>
          <w:p>
            <w:pPr>
              <w:ind w:left="1260"/>
              <w:spacing w:after="0"/>
              <w:rPr>
                <w:sz w:val="20"/>
                <w:szCs w:val="20"/>
                <w:color w:val="auto"/>
              </w:rPr>
            </w:pPr>
            <w:r>
              <w:rPr>
                <w:rFonts w:ascii="Courier New" w:cs="Courier New" w:eastAsia="Courier New" w:hAnsi="Courier New"/>
                <w:sz w:val="17"/>
                <w:szCs w:val="17"/>
                <w:color w:val="auto"/>
              </w:rPr>
              <w:t>Quarterly</w:t>
            </w:r>
          </w:p>
        </w:tc>
        <w:tc>
          <w:tcPr>
            <w:tcW w:w="23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Report on Form 10-Q</w:t>
            </w:r>
          </w:p>
        </w:tc>
      </w:tr>
      <w:tr>
        <w:trPr>
          <w:trHeight w:val="233"/>
        </w:trPr>
        <w:tc>
          <w:tcPr>
            <w:tcW w:w="2880" w:type="dxa"/>
            <w:vAlign w:val="bottom"/>
            <w:gridSpan w:val="3"/>
          </w:tcPr>
          <w:p>
            <w:pPr>
              <w:ind w:left="1260"/>
              <w:spacing w:after="0"/>
              <w:rPr>
                <w:sz w:val="20"/>
                <w:szCs w:val="20"/>
                <w:color w:val="auto"/>
              </w:rPr>
            </w:pPr>
            <w:r>
              <w:rPr>
                <w:rFonts w:ascii="Courier New" w:cs="Courier New" w:eastAsia="Courier New" w:hAnsi="Courier New"/>
                <w:sz w:val="17"/>
                <w:szCs w:val="17"/>
                <w:color w:val="auto"/>
              </w:rPr>
              <w:t>for the quarter</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ended</w:t>
            </w:r>
          </w:p>
        </w:tc>
      </w:tr>
    </w:tbl>
    <w:p>
      <w:pPr>
        <w:ind w:left="1320"/>
        <w:spacing w:after="0"/>
        <w:rPr>
          <w:sz w:val="20"/>
          <w:szCs w:val="20"/>
          <w:color w:val="auto"/>
        </w:rPr>
      </w:pPr>
      <w:r>
        <w:rPr>
          <w:rFonts w:ascii="Courier New" w:cs="Courier New" w:eastAsia="Courier New" w:hAnsi="Courier New"/>
          <w:sz w:val="17"/>
          <w:szCs w:val="17"/>
          <w:color w:val="auto"/>
        </w:rPr>
        <w:t>September 30, 1997).*</w:t>
      </w:r>
    </w:p>
    <w:p>
      <w:pPr>
        <w:spacing w:after="0" w:line="178"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10(b)</w:t>
      </w:r>
      <w:r>
        <w:rPr>
          <w:sz w:val="20"/>
          <w:szCs w:val="20"/>
          <w:color w:val="auto"/>
        </w:rPr>
        <w:tab/>
      </w:r>
      <w:r>
        <w:rPr>
          <w:rFonts w:ascii="Courier New" w:cs="Courier New" w:eastAsia="Courier New" w:hAnsi="Courier New"/>
          <w:sz w:val="17"/>
          <w:szCs w:val="17"/>
          <w:color w:val="auto"/>
        </w:rPr>
        <w:t>Texas Instruments Long-Term</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Incentive Plan (incorporated</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by reference to Exhibit</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10(a)(ii) to the Registrant's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Annual Report on Form 10-K</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for the year 1993).*</w:t>
      </w:r>
    </w:p>
    <w:p>
      <w:pPr>
        <w:spacing w:after="0" w:line="178" w:lineRule="exact"/>
        <w:rPr>
          <w:sz w:val="20"/>
          <w:szCs w:val="20"/>
          <w:color w:val="auto"/>
        </w:rPr>
      </w:pPr>
    </w:p>
    <w:p>
      <w:pPr>
        <w:jc w:val="both"/>
        <w:ind w:left="1320" w:right="4339" w:hanging="1259"/>
        <w:spacing w:after="0" w:line="264" w:lineRule="auto"/>
        <w:tabs>
          <w:tab w:leader="none" w:pos="1300" w:val="left"/>
        </w:tabs>
        <w:rPr>
          <w:sz w:val="20"/>
          <w:szCs w:val="20"/>
          <w:color w:val="auto"/>
        </w:rPr>
      </w:pPr>
      <w:r>
        <w:rPr>
          <w:rFonts w:ascii="Courier New" w:cs="Courier New" w:eastAsia="Courier New" w:hAnsi="Courier New"/>
          <w:sz w:val="17"/>
          <w:szCs w:val="17"/>
          <w:color w:val="auto"/>
        </w:rPr>
        <w:t>10(c)</w:t>
      </w:r>
      <w:r>
        <w:rPr>
          <w:sz w:val="20"/>
          <w:szCs w:val="20"/>
          <w:color w:val="auto"/>
        </w:rPr>
        <w:tab/>
      </w:r>
      <w:r>
        <w:rPr>
          <w:rFonts w:ascii="Courier New" w:cs="Courier New" w:eastAsia="Courier New" w:hAnsi="Courier New"/>
          <w:sz w:val="17"/>
          <w:szCs w:val="17"/>
          <w:color w:val="auto"/>
        </w:rPr>
        <w:t>Texas Instruments 1996 Long-Term Incentive Plan (incorporated by reference to Exhibit 10 to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the Registrant's Quarterly</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Report on Form 10-Q for the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quarter ended June 30, 1996).*</w:t>
      </w:r>
    </w:p>
    <w:p>
      <w:pPr>
        <w:spacing w:after="0" w:line="178"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10(d)</w:t>
      </w:r>
      <w:r>
        <w:rPr>
          <w:sz w:val="20"/>
          <w:szCs w:val="20"/>
          <w:color w:val="auto"/>
        </w:rPr>
        <w:tab/>
      </w:r>
      <w:r>
        <w:rPr>
          <w:rFonts w:ascii="Courier New" w:cs="Courier New" w:eastAsia="Courier New" w:hAnsi="Courier New"/>
          <w:sz w:val="17"/>
          <w:szCs w:val="17"/>
          <w:color w:val="auto"/>
        </w:rPr>
        <w:t>Texas Instruments Executive</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Officer Performance Plan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(incorporated by reference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to the Registrant's Quarterly</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Report on Form 10-Q for the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quarter ended March 31, 1997).*</w:t>
      </w:r>
    </w:p>
    <w:p>
      <w:pPr>
        <w:spacing w:after="0" w:line="178"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10(e)</w:t>
      </w:r>
      <w:r>
        <w:rPr>
          <w:sz w:val="20"/>
          <w:szCs w:val="20"/>
          <w:color w:val="auto"/>
        </w:rPr>
        <w:tab/>
      </w:r>
      <w:r>
        <w:rPr>
          <w:rFonts w:ascii="Courier New" w:cs="Courier New" w:eastAsia="Courier New" w:hAnsi="Courier New"/>
          <w:sz w:val="17"/>
          <w:szCs w:val="17"/>
          <w:color w:val="auto"/>
        </w:rPr>
        <w:t>Texas Instruments Restricted</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Stock Unit Plan for Directors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(incorporated by reference to</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Exhibit 10(c) to the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Registrant's Quarterly Report</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on Form 10-Q for the quarter</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ended June 30, 1996).</w:t>
      </w:r>
    </w:p>
    <w:p>
      <w:pPr>
        <w:spacing w:after="0" w:line="178" w:lineRule="exact"/>
        <w:rPr>
          <w:sz w:val="20"/>
          <w:szCs w:val="20"/>
          <w:color w:val="auto"/>
        </w:rPr>
      </w:pPr>
    </w:p>
    <w:p>
      <w:pPr>
        <w:ind w:left="60"/>
        <w:spacing w:after="0"/>
        <w:tabs>
          <w:tab w:leader="none" w:pos="1300" w:val="left"/>
        </w:tabs>
        <w:rPr>
          <w:sz w:val="20"/>
          <w:szCs w:val="20"/>
          <w:color w:val="auto"/>
        </w:rPr>
      </w:pPr>
      <w:r>
        <w:rPr>
          <w:rFonts w:ascii="Courier New" w:cs="Courier New" w:eastAsia="Courier New" w:hAnsi="Courier New"/>
          <w:sz w:val="17"/>
          <w:szCs w:val="17"/>
          <w:color w:val="auto"/>
        </w:rPr>
        <w:t>10(f)</w:t>
      </w:r>
      <w:r>
        <w:rPr>
          <w:sz w:val="20"/>
          <w:szCs w:val="20"/>
          <w:color w:val="auto"/>
        </w:rPr>
        <w:tab/>
      </w:r>
      <w:r>
        <w:rPr>
          <w:rFonts w:ascii="Courier New" w:cs="Courier New" w:eastAsia="Courier New" w:hAnsi="Courier New"/>
          <w:sz w:val="17"/>
          <w:szCs w:val="17"/>
          <w:color w:val="auto"/>
        </w:rPr>
        <w:t>Texas Instruments Directors</w:t>
      </w:r>
    </w:p>
    <w:p>
      <w:pPr>
        <w:spacing w:after="0" w:line="41"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Deferred Compensation Plan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(incorporated by reference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to the Registrant's Quarterly</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Report on Form 10-Q for the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quarter ended September 30, 1997).</w:t>
      </w:r>
    </w:p>
    <w:p>
      <w:pPr>
        <w:spacing w:after="0" w:line="178" w:lineRule="exact"/>
        <w:rPr>
          <w:sz w:val="20"/>
          <w:szCs w:val="20"/>
          <w:color w:val="auto"/>
        </w:rPr>
      </w:pPr>
    </w:p>
    <w:p>
      <w:pPr>
        <w:ind w:left="1320" w:right="3919" w:hanging="1259"/>
        <w:spacing w:after="0" w:line="272" w:lineRule="auto"/>
        <w:tabs>
          <w:tab w:leader="none" w:pos="1300" w:val="left"/>
        </w:tabs>
        <w:rPr>
          <w:sz w:val="20"/>
          <w:szCs w:val="20"/>
          <w:color w:val="auto"/>
        </w:rPr>
      </w:pPr>
      <w:r>
        <w:rPr>
          <w:rFonts w:ascii="Courier New" w:cs="Courier New" w:eastAsia="Courier New" w:hAnsi="Courier New"/>
          <w:sz w:val="17"/>
          <w:szCs w:val="17"/>
          <w:color w:val="auto"/>
        </w:rPr>
        <w:t>10(g)</w:t>
      </w:r>
      <w:r>
        <w:rPr>
          <w:sz w:val="20"/>
          <w:szCs w:val="20"/>
          <w:color w:val="auto"/>
        </w:rPr>
        <w:tab/>
      </w:r>
      <w:r>
        <w:rPr>
          <w:rFonts w:ascii="Courier New" w:cs="Courier New" w:eastAsia="Courier New" w:hAnsi="Courier New"/>
          <w:sz w:val="17"/>
          <w:szCs w:val="17"/>
          <w:color w:val="auto"/>
        </w:rPr>
        <w:t>Statement of Policy of Registrant's Board of Directors on Top Officer and Board Member Retirement Practices (incorporated by reference to Exhibit 10(b)(vi) to the Registrant's Annual Report on Form 10-K for the year 1993).*</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11</w:t>
            </w:r>
          </w:p>
        </w:tc>
        <w:tc>
          <w:tcPr>
            <w:tcW w:w="1720" w:type="dxa"/>
            <w:vAlign w:val="bottom"/>
          </w:tcPr>
          <w:p>
            <w:pPr>
              <w:ind w:left="520"/>
              <w:spacing w:after="0"/>
              <w:rPr>
                <w:sz w:val="20"/>
                <w:szCs w:val="20"/>
                <w:color w:val="auto"/>
              </w:rPr>
            </w:pPr>
            <w:r>
              <w:rPr>
                <w:rFonts w:ascii="Courier New" w:cs="Courier New" w:eastAsia="Courier New" w:hAnsi="Courier New"/>
                <w:sz w:val="17"/>
                <w:szCs w:val="17"/>
                <w:color w:val="auto"/>
              </w:rPr>
              <w:t>Computation</w:t>
            </w:r>
          </w:p>
        </w:tc>
        <w:tc>
          <w:tcPr>
            <w:tcW w:w="12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earnings</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per common</w:t>
            </w:r>
          </w:p>
        </w:tc>
        <w:tc>
          <w:tcPr>
            <w:tcW w:w="620" w:type="dxa"/>
            <w:vAlign w:val="bottom"/>
          </w:tcPr>
          <w:p>
            <w:pPr>
              <w:ind w:left="520"/>
              <w:spacing w:after="0"/>
              <w:rPr>
                <w:sz w:val="20"/>
                <w:szCs w:val="20"/>
                <w:color w:val="auto"/>
              </w:rPr>
            </w:pPr>
            <w:r>
              <w:rPr>
                <w:rFonts w:ascii="Courier New" w:cs="Courier New" w:eastAsia="Courier New" w:hAnsi="Courier New"/>
                <w:sz w:val="17"/>
                <w:szCs w:val="17"/>
                <w:color w:val="auto"/>
                <w:w w:val="77"/>
              </w:rPr>
              <w:t>E</w:t>
            </w:r>
          </w:p>
        </w:tc>
      </w:tr>
      <w:tr>
        <w:trPr>
          <w:trHeight w:val="295"/>
        </w:trPr>
        <w:tc>
          <w:tcPr>
            <w:tcW w:w="740" w:type="dxa"/>
            <w:vAlign w:val="bottom"/>
          </w:tcPr>
          <w:p>
            <w:pPr>
              <w:spacing w:after="0"/>
              <w:rPr>
                <w:sz w:val="24"/>
                <w:szCs w:val="24"/>
                <w:color w:val="auto"/>
              </w:rPr>
            </w:pPr>
          </w:p>
        </w:tc>
        <w:tc>
          <w:tcPr>
            <w:tcW w:w="4820" w:type="dxa"/>
            <w:vAlign w:val="bottom"/>
            <w:gridSpan w:val="4"/>
          </w:tcPr>
          <w:p>
            <w:pPr>
              <w:ind w:left="520"/>
              <w:spacing w:after="0"/>
              <w:rPr>
                <w:sz w:val="20"/>
                <w:szCs w:val="20"/>
                <w:color w:val="auto"/>
              </w:rPr>
            </w:pPr>
            <w:r>
              <w:rPr>
                <w:rFonts w:ascii="Courier New" w:cs="Courier New" w:eastAsia="Courier New" w:hAnsi="Courier New"/>
                <w:sz w:val="17"/>
                <w:szCs w:val="17"/>
                <w:color w:val="auto"/>
              </w:rPr>
              <w:t>and dilutive potential common share.</w:t>
            </w:r>
          </w:p>
        </w:tc>
        <w:tc>
          <w:tcPr>
            <w:tcW w:w="620" w:type="dxa"/>
            <w:vAlign w:val="bottom"/>
          </w:tcPr>
          <w:p>
            <w:pPr>
              <w:spacing w:after="0"/>
              <w:rPr>
                <w:sz w:val="24"/>
                <w:szCs w:val="24"/>
                <w:color w:val="auto"/>
              </w:rPr>
            </w:pPr>
          </w:p>
        </w:tc>
      </w:tr>
      <w:tr>
        <w:trPr>
          <w:trHeight w:val="309"/>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12</w:t>
            </w:r>
          </w:p>
        </w:tc>
        <w:tc>
          <w:tcPr>
            <w:tcW w:w="1720" w:type="dxa"/>
            <w:vAlign w:val="bottom"/>
          </w:tcPr>
          <w:p>
            <w:pPr>
              <w:ind w:left="520"/>
              <w:spacing w:after="0"/>
              <w:rPr>
                <w:sz w:val="20"/>
                <w:szCs w:val="20"/>
                <w:color w:val="auto"/>
              </w:rPr>
            </w:pPr>
            <w:r>
              <w:rPr>
                <w:rFonts w:ascii="Courier New" w:cs="Courier New" w:eastAsia="Courier New" w:hAnsi="Courier New"/>
                <w:sz w:val="17"/>
                <w:szCs w:val="17"/>
                <w:color w:val="auto"/>
              </w:rPr>
              <w:t>Computation</w:t>
            </w:r>
          </w:p>
        </w:tc>
        <w:tc>
          <w:tcPr>
            <w:tcW w:w="12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Ratio of</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Earnings to</w:t>
            </w:r>
          </w:p>
        </w:tc>
        <w:tc>
          <w:tcPr>
            <w:tcW w:w="620" w:type="dxa"/>
            <w:vAlign w:val="bottom"/>
          </w:tcPr>
          <w:p>
            <w:pPr>
              <w:ind w:left="520"/>
              <w:spacing w:after="0"/>
              <w:rPr>
                <w:sz w:val="20"/>
                <w:szCs w:val="20"/>
                <w:color w:val="auto"/>
              </w:rPr>
            </w:pPr>
            <w:r>
              <w:rPr>
                <w:rFonts w:ascii="Courier New" w:cs="Courier New" w:eastAsia="Courier New" w:hAnsi="Courier New"/>
                <w:sz w:val="17"/>
                <w:szCs w:val="17"/>
                <w:color w:val="auto"/>
                <w:w w:val="77"/>
              </w:rPr>
              <w:t>E</w:t>
            </w:r>
          </w:p>
        </w:tc>
      </w:tr>
      <w:tr>
        <w:trPr>
          <w:trHeight w:val="201"/>
        </w:trPr>
        <w:tc>
          <w:tcPr>
            <w:tcW w:w="740" w:type="dxa"/>
            <w:vAlign w:val="bottom"/>
          </w:tcPr>
          <w:p>
            <w:pPr>
              <w:spacing w:after="0"/>
              <w:rPr>
                <w:sz w:val="17"/>
                <w:szCs w:val="17"/>
                <w:color w:val="auto"/>
              </w:rPr>
            </w:pPr>
          </w:p>
        </w:tc>
        <w:tc>
          <w:tcPr>
            <w:tcW w:w="23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Fixed Charges and</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Ratio</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of Earnings</w:t>
            </w:r>
          </w:p>
        </w:tc>
        <w:tc>
          <w:tcPr>
            <w:tcW w:w="6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7"/>
                <w:szCs w:val="17"/>
                <w:color w:val="auto"/>
              </w:rPr>
              <w:t>to Combined</w:t>
            </w:r>
          </w:p>
        </w:tc>
        <w:tc>
          <w:tcPr>
            <w:tcW w:w="640" w:type="dxa"/>
            <w:vAlign w:val="bottom"/>
          </w:tcPr>
          <w:p>
            <w:pPr>
              <w:ind w:left="60"/>
              <w:spacing w:after="0"/>
              <w:rPr>
                <w:sz w:val="20"/>
                <w:szCs w:val="20"/>
                <w:color w:val="auto"/>
              </w:rPr>
            </w:pPr>
            <w:r>
              <w:rPr>
                <w:rFonts w:ascii="Courier New" w:cs="Courier New" w:eastAsia="Courier New" w:hAnsi="Courier New"/>
                <w:sz w:val="17"/>
                <w:szCs w:val="17"/>
                <w:color w:val="auto"/>
              </w:rPr>
              <w:t>Fixed</w:t>
            </w:r>
          </w:p>
        </w:tc>
        <w:tc>
          <w:tcPr>
            <w:tcW w:w="24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Charges and</w:t>
            </w:r>
          </w:p>
        </w:tc>
        <w:tc>
          <w:tcPr>
            <w:tcW w:w="620" w:type="dxa"/>
            <w:vAlign w:val="bottom"/>
          </w:tcPr>
          <w:p>
            <w:pPr>
              <w:spacing w:after="0"/>
              <w:rPr>
                <w:sz w:val="17"/>
                <w:szCs w:val="17"/>
                <w:color w:val="auto"/>
              </w:rPr>
            </w:pPr>
          </w:p>
        </w:tc>
      </w:tr>
      <w:tr>
        <w:trPr>
          <w:trHeight w:val="295"/>
        </w:trPr>
        <w:tc>
          <w:tcPr>
            <w:tcW w:w="740" w:type="dxa"/>
            <w:vAlign w:val="bottom"/>
          </w:tcPr>
          <w:p>
            <w:pPr>
              <w:spacing w:after="0"/>
              <w:rPr>
                <w:sz w:val="24"/>
                <w:szCs w:val="24"/>
                <w:color w:val="auto"/>
              </w:rPr>
            </w:pPr>
          </w:p>
        </w:tc>
        <w:tc>
          <w:tcPr>
            <w:tcW w:w="4820" w:type="dxa"/>
            <w:vAlign w:val="bottom"/>
            <w:gridSpan w:val="4"/>
          </w:tcPr>
          <w:p>
            <w:pPr>
              <w:ind w:left="520"/>
              <w:spacing w:after="0"/>
              <w:rPr>
                <w:sz w:val="20"/>
                <w:szCs w:val="20"/>
                <w:color w:val="auto"/>
              </w:rPr>
            </w:pPr>
            <w:r>
              <w:rPr>
                <w:rFonts w:ascii="Courier New" w:cs="Courier New" w:eastAsia="Courier New" w:hAnsi="Courier New"/>
                <w:sz w:val="17"/>
                <w:szCs w:val="17"/>
                <w:color w:val="auto"/>
              </w:rPr>
              <w:t>Preferred Stock Dividends.</w:t>
            </w:r>
          </w:p>
        </w:tc>
        <w:tc>
          <w:tcPr>
            <w:tcW w:w="620" w:type="dxa"/>
            <w:vAlign w:val="bottom"/>
          </w:tcPr>
          <w:p>
            <w:pPr>
              <w:spacing w:after="0"/>
              <w:rPr>
                <w:sz w:val="24"/>
                <w:szCs w:val="24"/>
                <w:color w:val="auto"/>
              </w:rPr>
            </w:pPr>
          </w:p>
        </w:tc>
      </w:tr>
      <w:tr>
        <w:trPr>
          <w:trHeight w:val="341"/>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13</w:t>
            </w:r>
          </w:p>
        </w:tc>
        <w:tc>
          <w:tcPr>
            <w:tcW w:w="23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Registrant's 1997</w:t>
            </w:r>
          </w:p>
        </w:tc>
        <w:tc>
          <w:tcPr>
            <w:tcW w:w="24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Annual Report to</w:t>
            </w:r>
          </w:p>
        </w:tc>
        <w:tc>
          <w:tcPr>
            <w:tcW w:w="620" w:type="dxa"/>
            <w:vAlign w:val="bottom"/>
          </w:tcPr>
          <w:p>
            <w:pPr>
              <w:ind w:left="520"/>
              <w:spacing w:after="0"/>
              <w:rPr>
                <w:sz w:val="20"/>
                <w:szCs w:val="20"/>
                <w:color w:val="auto"/>
              </w:rPr>
            </w:pPr>
            <w:r>
              <w:rPr>
                <w:rFonts w:ascii="Courier New" w:cs="Courier New" w:eastAsia="Courier New" w:hAnsi="Courier New"/>
                <w:sz w:val="17"/>
                <w:szCs w:val="17"/>
                <w:color w:val="auto"/>
                <w:w w:val="77"/>
              </w:rPr>
              <w:t>E</w:t>
            </w:r>
          </w:p>
        </w:tc>
      </w:tr>
    </w:tbl>
    <w:p>
      <w:pPr>
        <w:ind w:left="1320"/>
        <w:spacing w:after="0"/>
        <w:tabs>
          <w:tab w:leader="none" w:pos="2880" w:val="left"/>
        </w:tabs>
        <w:rPr>
          <w:sz w:val="20"/>
          <w:szCs w:val="20"/>
          <w:color w:val="auto"/>
        </w:rPr>
      </w:pPr>
      <w:r>
        <w:rPr>
          <w:rFonts w:ascii="Courier New" w:cs="Courier New" w:eastAsia="Courier New" w:hAnsi="Courier New"/>
          <w:sz w:val="17"/>
          <w:szCs w:val="17"/>
          <w:color w:val="auto"/>
        </w:rPr>
        <w:t>Stockholders.</w:t>
        <w:tab/>
        <w:t>(With the exception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of the items listed in the index</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to financial statements and</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financial statement schedules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herein, and the items referred to</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 ITEMS 1, 5, 6, 7 and 8 hereof,</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the 1996 Annual Report to Stockholders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is not to be deemed filed as part</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of this report.)</w:t>
      </w:r>
    </w:p>
    <w:p>
      <w:pPr>
        <w:sectPr>
          <w:pgSz w:w="11900" w:h="16838" w:orient="portrait"/>
          <w:cols w:equalWidth="0" w:num="1">
            <w:col w:w="9019"/>
          </w:cols>
          <w:pgMar w:left="1440" w:top="110" w:right="1440" w:bottom="0" w:gutter="0" w:footer="0" w:header="0"/>
        </w:sectPr>
      </w:pPr>
    </w:p>
    <w:bookmarkStart w:id="15" w:name="page16"/>
    <w:bookmarkEnd w:id="15"/>
    <w:tbl>
      <w:tblPr>
        <w:tblLayout w:type="fixed"/>
        <w:tblInd w:w="1260" w:type="dxa"/>
        <w:tblCellMar>
          <w:top w:w="0" w:type="dxa"/>
          <w:left w:w="0" w:type="dxa"/>
          <w:bottom w:w="0" w:type="dxa"/>
          <w:right w:w="0" w:type="dxa"/>
        </w:tblCellMar>
      </w:tblPr>
      <w:tr>
        <w:trPr>
          <w:trHeight w:val="295"/>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21</w:t>
            </w:r>
          </w:p>
        </w:tc>
        <w:tc>
          <w:tcPr>
            <w:tcW w:w="49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List of subsidiaries of the Registrant.</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E</w:t>
            </w:r>
          </w:p>
        </w:tc>
      </w:tr>
      <w:tr>
        <w:trPr>
          <w:trHeight w:val="403"/>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23</w:t>
            </w:r>
          </w:p>
        </w:tc>
        <w:tc>
          <w:tcPr>
            <w:tcW w:w="49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Consent of Ernst &amp; Young LLP.</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E</w:t>
            </w:r>
          </w:p>
        </w:tc>
      </w:tr>
      <w:tr>
        <w:trPr>
          <w:trHeight w:val="403"/>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24</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Powers of</w:t>
            </w:r>
          </w:p>
        </w:tc>
        <w:tc>
          <w:tcPr>
            <w:tcW w:w="3460" w:type="dxa"/>
            <w:vAlign w:val="bottom"/>
          </w:tcPr>
          <w:p>
            <w:pPr>
              <w:ind w:left="40"/>
              <w:spacing w:after="0"/>
              <w:rPr>
                <w:sz w:val="20"/>
                <w:szCs w:val="20"/>
                <w:color w:val="auto"/>
              </w:rPr>
            </w:pPr>
            <w:r>
              <w:rPr>
                <w:rFonts w:ascii="Courier New" w:cs="Courier New" w:eastAsia="Courier New" w:hAnsi="Courier New"/>
                <w:sz w:val="17"/>
                <w:szCs w:val="17"/>
                <w:color w:val="auto"/>
              </w:rPr>
              <w:t>Attorney.</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E</w:t>
            </w:r>
          </w:p>
        </w:tc>
      </w:tr>
      <w:tr>
        <w:trPr>
          <w:trHeight w:val="403"/>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27</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Financial</w:t>
            </w:r>
          </w:p>
        </w:tc>
        <w:tc>
          <w:tcPr>
            <w:tcW w:w="3460" w:type="dxa"/>
            <w:vAlign w:val="bottom"/>
          </w:tcPr>
          <w:p>
            <w:pPr>
              <w:ind w:left="40"/>
              <w:spacing w:after="0"/>
              <w:rPr>
                <w:sz w:val="20"/>
                <w:szCs w:val="20"/>
                <w:color w:val="auto"/>
              </w:rPr>
            </w:pPr>
            <w:r>
              <w:rPr>
                <w:rFonts w:ascii="Courier New" w:cs="Courier New" w:eastAsia="Courier New" w:hAnsi="Courier New"/>
                <w:sz w:val="17"/>
                <w:szCs w:val="17"/>
                <w:color w:val="auto"/>
              </w:rPr>
              <w:t>Data Schedule.</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E</w:t>
            </w: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w:t>
      </w:r>
    </w:p>
    <w:p>
      <w:pPr>
        <w:spacing w:after="0" w:line="41"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*Executive Compensation Plans and Arrangements:</w:t>
      </w:r>
    </w:p>
    <w:p>
      <w:pPr>
        <w:spacing w:after="0" w:line="178" w:lineRule="exact"/>
        <w:rPr>
          <w:sz w:val="20"/>
          <w:szCs w:val="20"/>
          <w:color w:val="auto"/>
        </w:rPr>
      </w:pPr>
    </w:p>
    <w:p>
      <w:pPr>
        <w:ind w:right="2979" w:firstLine="1047"/>
        <w:spacing w:after="0" w:line="315" w:lineRule="auto"/>
        <w:rPr>
          <w:sz w:val="20"/>
          <w:szCs w:val="20"/>
          <w:color w:val="auto"/>
        </w:rPr>
      </w:pPr>
      <w:r>
        <w:rPr>
          <w:rFonts w:ascii="Courier New" w:cs="Courier New" w:eastAsia="Courier New" w:hAnsi="Courier New"/>
          <w:sz w:val="17"/>
          <w:szCs w:val="17"/>
          <w:color w:val="auto"/>
        </w:rPr>
        <w:t>TI Deferred Compensation Plan (incorporated by reference to Exhibit 10(a)(ii) to the Registrant's Annual Report on Form 10-K for the year 1994).</w:t>
      </w:r>
    </w:p>
    <w:p>
      <w:pPr>
        <w:spacing w:after="0" w:line="47"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Amendment No. 1 to TI Deferred Compensation Plan</w:t>
      </w:r>
    </w:p>
    <w:p>
      <w:pPr>
        <w:spacing w:after="0" w:line="41" w:lineRule="exact"/>
        <w:rPr>
          <w:sz w:val="20"/>
          <w:szCs w:val="20"/>
          <w:color w:val="auto"/>
        </w:rPr>
      </w:pPr>
    </w:p>
    <w:p>
      <w:pPr>
        <w:ind w:right="2039"/>
        <w:spacing w:after="0" w:line="339" w:lineRule="auto"/>
        <w:rPr>
          <w:sz w:val="20"/>
          <w:szCs w:val="20"/>
          <w:color w:val="auto"/>
        </w:rPr>
      </w:pPr>
      <w:r>
        <w:rPr>
          <w:rFonts w:ascii="Courier New" w:cs="Courier New" w:eastAsia="Courier New" w:hAnsi="Courier New"/>
          <w:sz w:val="17"/>
          <w:szCs w:val="17"/>
          <w:color w:val="auto"/>
        </w:rPr>
        <w:t>(incorporated by reference to Exhibit 10(a)(iii) to Registrant's Annual Report on Form 10-K for the year 1994).</w:t>
      </w:r>
    </w:p>
    <w:p>
      <w:pPr>
        <w:spacing w:after="0" w:line="28" w:lineRule="exact"/>
        <w:rPr>
          <w:sz w:val="20"/>
          <w:szCs w:val="20"/>
          <w:color w:val="auto"/>
        </w:rPr>
      </w:pPr>
    </w:p>
    <w:p>
      <w:pPr>
        <w:ind w:right="2779" w:firstLine="1047"/>
        <w:spacing w:after="0" w:line="315" w:lineRule="auto"/>
        <w:rPr>
          <w:sz w:val="20"/>
          <w:szCs w:val="20"/>
          <w:color w:val="auto"/>
        </w:rPr>
      </w:pPr>
      <w:r>
        <w:rPr>
          <w:rFonts w:ascii="Courier New" w:cs="Courier New" w:eastAsia="Courier New" w:hAnsi="Courier New"/>
          <w:sz w:val="17"/>
          <w:szCs w:val="17"/>
          <w:color w:val="auto"/>
        </w:rPr>
        <w:t>Amendment No. 2 to TI Deferred Compensation Plan (incorporated by reference to the Registrant's Quarterly Report on Form 10-Q for the quarter ended June 30, 1997).</w:t>
      </w:r>
    </w:p>
    <w:p>
      <w:pPr>
        <w:spacing w:after="0" w:line="47" w:lineRule="exact"/>
        <w:rPr>
          <w:sz w:val="20"/>
          <w:szCs w:val="20"/>
          <w:color w:val="auto"/>
        </w:rPr>
      </w:pPr>
    </w:p>
    <w:p>
      <w:pPr>
        <w:ind w:right="2779" w:firstLine="1047"/>
        <w:spacing w:after="0" w:line="300" w:lineRule="auto"/>
        <w:rPr>
          <w:sz w:val="20"/>
          <w:szCs w:val="20"/>
          <w:color w:val="auto"/>
        </w:rPr>
      </w:pPr>
      <w:r>
        <w:rPr>
          <w:rFonts w:ascii="Courier New" w:cs="Courier New" w:eastAsia="Courier New" w:hAnsi="Courier New"/>
          <w:sz w:val="17"/>
          <w:szCs w:val="17"/>
          <w:color w:val="auto"/>
        </w:rPr>
        <w:t>Amendment No. 3 to TI Deferred Compensation Plan (incorporated by reference to the Registrant's Quarterly Report on Form 10-Q for the quarter ended September 30, 1997).</w:t>
      </w:r>
    </w:p>
    <w:p>
      <w:pPr>
        <w:spacing w:after="0" w:line="285" w:lineRule="exact"/>
        <w:rPr>
          <w:sz w:val="20"/>
          <w:szCs w:val="20"/>
          <w:color w:val="auto"/>
        </w:rPr>
      </w:pPr>
    </w:p>
    <w:p>
      <w:pPr>
        <w:ind w:right="2979" w:firstLine="1047"/>
        <w:spacing w:after="0" w:line="315"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 to the Registrant's Annual Report on Form 10-K for the year 1993).</w:t>
      </w:r>
    </w:p>
    <w:p>
      <w:pPr>
        <w:spacing w:after="0" w:line="47" w:lineRule="exact"/>
        <w:rPr>
          <w:sz w:val="20"/>
          <w:szCs w:val="20"/>
          <w:color w:val="auto"/>
        </w:rPr>
      </w:pPr>
    </w:p>
    <w:p>
      <w:pPr>
        <w:jc w:val="both"/>
        <w:ind w:right="2779" w:firstLine="1047"/>
        <w:spacing w:after="0" w:line="315" w:lineRule="auto"/>
        <w:rPr>
          <w:sz w:val="20"/>
          <w:szCs w:val="20"/>
          <w:color w:val="auto"/>
        </w:rPr>
      </w:pPr>
      <w:r>
        <w:rPr>
          <w:rFonts w:ascii="Courier New" w:cs="Courier New" w:eastAsia="Courier New" w:hAnsi="Courier New"/>
          <w:sz w:val="17"/>
          <w:szCs w:val="17"/>
          <w:color w:val="auto"/>
        </w:rPr>
        <w:t>Texas Instruments 1996 Long-Term Incentive Plan (incorporated by reference to Exhibit 10 to the Registrant's Quarterly Report on Form 10-Q for the quarter ended June 30, 1996).</w:t>
      </w:r>
    </w:p>
    <w:p>
      <w:pPr>
        <w:spacing w:after="0" w:line="47" w:lineRule="exact"/>
        <w:rPr>
          <w:sz w:val="20"/>
          <w:szCs w:val="20"/>
          <w:color w:val="auto"/>
        </w:rPr>
      </w:pPr>
    </w:p>
    <w:p>
      <w:pPr>
        <w:ind w:right="2779" w:firstLine="1047"/>
        <w:spacing w:after="0" w:line="315" w:lineRule="auto"/>
        <w:rPr>
          <w:sz w:val="20"/>
          <w:szCs w:val="20"/>
          <w:color w:val="auto"/>
        </w:rPr>
      </w:pPr>
      <w:r>
        <w:rPr>
          <w:rFonts w:ascii="Courier New" w:cs="Courier New" w:eastAsia="Courier New" w:hAnsi="Courier New"/>
          <w:sz w:val="17"/>
          <w:szCs w:val="17"/>
          <w:color w:val="auto"/>
        </w:rPr>
        <w:t>Texas Instruments Executive Officer Performance Plan (incorporated by reference to the Registrant's Quarterly Report on form 10-Q for the quarter ended March 31, 1997).</w:t>
      </w:r>
    </w:p>
    <w:p>
      <w:pPr>
        <w:spacing w:after="0" w:line="47" w:lineRule="exact"/>
        <w:rPr>
          <w:sz w:val="20"/>
          <w:szCs w:val="20"/>
          <w:color w:val="auto"/>
        </w:rPr>
      </w:pPr>
    </w:p>
    <w:p>
      <w:pPr>
        <w:ind w:right="2779" w:firstLine="1047"/>
        <w:spacing w:after="0" w:line="293" w:lineRule="auto"/>
        <w:rPr>
          <w:sz w:val="20"/>
          <w:szCs w:val="20"/>
          <w:color w:val="auto"/>
        </w:rPr>
      </w:pPr>
      <w:r>
        <w:rPr>
          <w:rFonts w:ascii="Courier New" w:cs="Courier New" w:eastAsia="Courier New" w:hAnsi="Courier New"/>
          <w:sz w:val="17"/>
          <w:szCs w:val="17"/>
          <w:color w:val="auto"/>
        </w:rPr>
        <w:t>Statement of Policy of Registrant's Board of Directors on Top Officer and Board Member Retirement Practices (incorporated by reference to Exhibit 10(b)(vi) to the Registrant's Annual Report on Form 10-K for the year 1993).</w:t>
      </w:r>
    </w:p>
    <w:p>
      <w:pPr>
        <w:sectPr>
          <w:pgSz w:w="11900" w:h="16838" w:orient="portrait"/>
          <w:cols w:equalWidth="0" w:num="1">
            <w:col w:w="10219"/>
          </w:cols>
          <w:pgMar w:left="240" w:top="110" w:right="1440" w:bottom="1440" w:gutter="0" w:footer="0" w:header="0"/>
        </w:sectPr>
      </w:pPr>
    </w:p>
    <w:bookmarkStart w:id="16" w:name="page17"/>
    <w:bookmarkEnd w:id="16"/>
    <w:p>
      <w:pPr>
        <w:ind w:left="9740"/>
        <w:spacing w:after="0"/>
        <w:rPr>
          <w:sz w:val="20"/>
          <w:szCs w:val="20"/>
          <w:color w:val="auto"/>
        </w:rPr>
      </w:pPr>
      <w:r>
        <w:rPr>
          <w:rFonts w:ascii="Courier New" w:cs="Courier New" w:eastAsia="Courier New" w:hAnsi="Courier New"/>
          <w:sz w:val="17"/>
          <w:szCs w:val="17"/>
          <w:color w:val="auto"/>
        </w:rPr>
        <w:t>EXHIBIT 11</w:t>
      </w:r>
    </w:p>
    <w:p>
      <w:pPr>
        <w:spacing w:after="0" w:line="41" w:lineRule="exact"/>
        <w:rPr>
          <w:sz w:val="20"/>
          <w:szCs w:val="20"/>
          <w:color w:val="auto"/>
        </w:rPr>
      </w:pPr>
    </w:p>
    <w:p>
      <w:pPr>
        <w:ind w:left="9740"/>
        <w:spacing w:after="0"/>
        <w:rPr>
          <w:sz w:val="20"/>
          <w:szCs w:val="20"/>
          <w:color w:val="auto"/>
        </w:rPr>
      </w:pPr>
      <w:r>
        <w:rPr>
          <w:rFonts w:ascii="Courier New" w:cs="Courier New" w:eastAsia="Courier New" w:hAnsi="Courier New"/>
          <w:sz w:val="17"/>
          <w:szCs w:val="17"/>
          <w:color w:val="auto"/>
        </w:rPr>
        <w:t>----------</w:t>
      </w:r>
    </w:p>
    <w:p>
      <w:pPr>
        <w:spacing w:after="0" w:line="178" w:lineRule="exact"/>
        <w:rPr>
          <w:sz w:val="20"/>
          <w:szCs w:val="20"/>
          <w:color w:val="auto"/>
        </w:rPr>
      </w:pPr>
    </w:p>
    <w:p>
      <w:pPr>
        <w:jc w:val="center"/>
        <w:ind w:right="700"/>
        <w:spacing w:after="0" w:line="264" w:lineRule="auto"/>
        <w:rPr>
          <w:sz w:val="20"/>
          <w:szCs w:val="20"/>
          <w:color w:val="auto"/>
        </w:rPr>
      </w:pPr>
      <w:r>
        <w:rPr>
          <w:rFonts w:ascii="Courier New" w:cs="Courier New" w:eastAsia="Courier New" w:hAnsi="Courier New"/>
          <w:sz w:val="17"/>
          <w:szCs w:val="17"/>
          <w:color w:val="auto"/>
        </w:rPr>
        <w:t>TEXAS INSTRUMENTS INCORPORATED AND SUBSIDIARIES EARNINGS PER COMMON AND DILUTIVE POTENTIAL COMMON SHARE (In thousands, except per-share amounts.)</w:t>
      </w:r>
    </w:p>
    <w:p>
      <w:pPr>
        <w:spacing w:after="0" w:line="1" w:lineRule="exact"/>
        <w:rPr>
          <w:sz w:val="20"/>
          <w:szCs w:val="20"/>
          <w:color w:val="auto"/>
        </w:rPr>
      </w:pPr>
    </w:p>
    <w:p>
      <w:pPr>
        <w:ind w:left="7760"/>
        <w:spacing w:after="0"/>
        <w:rPr>
          <w:sz w:val="20"/>
          <w:szCs w:val="20"/>
          <w:color w:val="auto"/>
        </w:rPr>
      </w:pPr>
      <w:r>
        <w:rPr>
          <w:rFonts w:ascii="Courier New" w:cs="Courier New" w:eastAsia="Courier New" w:hAnsi="Courier New"/>
          <w:sz w:val="17"/>
          <w:szCs w:val="17"/>
          <w:color w:val="auto"/>
        </w:rPr>
        <w:t>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720" w:type="dxa"/>
            <w:vAlign w:val="bottom"/>
          </w:tcPr>
          <w:p>
            <w:pPr>
              <w:spacing w:after="0"/>
              <w:rPr>
                <w:sz w:val="24"/>
                <w:szCs w:val="24"/>
                <w:color w:val="auto"/>
              </w:rPr>
            </w:pPr>
          </w:p>
        </w:tc>
        <w:tc>
          <w:tcPr>
            <w:tcW w:w="43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77"/>
        </w:trPr>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1997</w:t>
            </w:r>
          </w:p>
        </w:tc>
        <w:tc>
          <w:tcPr>
            <w:tcW w:w="480" w:type="dxa"/>
            <w:vAlign w:val="bottom"/>
          </w:tcPr>
          <w:p>
            <w:pPr>
              <w:spacing w:after="0"/>
              <w:rPr>
                <w:sz w:val="24"/>
                <w:szCs w:val="24"/>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1996</w:t>
            </w:r>
          </w:p>
        </w:tc>
        <w:tc>
          <w:tcPr>
            <w:tcW w:w="420" w:type="dxa"/>
            <w:vAlign w:val="bottom"/>
          </w:tcPr>
          <w:p>
            <w:pPr>
              <w:spacing w:after="0"/>
              <w:rPr>
                <w:sz w:val="24"/>
                <w:szCs w:val="24"/>
                <w:color w:val="auto"/>
              </w:rPr>
            </w:pP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672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1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6720" w:type="dxa"/>
            <w:vAlign w:val="bottom"/>
            <w:vMerge w:val="continue"/>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301,864</w:t>
            </w:r>
          </w:p>
        </w:tc>
        <w:tc>
          <w:tcPr>
            <w:tcW w:w="4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(46,774)</w:t>
            </w:r>
          </w:p>
        </w:tc>
        <w:tc>
          <w:tcPr>
            <w:tcW w:w="4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996,226</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before extraordinary item..................................</w:t>
            </w: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20"/>
              <w:spacing w:after="0"/>
              <w:rPr>
                <w:sz w:val="20"/>
                <w:szCs w:val="20"/>
                <w:color w:val="auto"/>
              </w:rPr>
            </w:pPr>
            <w:r>
              <w:rPr>
                <w:rFonts w:ascii="Courier New" w:cs="Courier New" w:eastAsia="Courier New" w:hAnsi="Courier New"/>
                <w:sz w:val="17"/>
                <w:szCs w:val="17"/>
                <w:color w:val="auto"/>
              </w:rPr>
              <w:t>Add: Interest, net of tax and profit sharing effect,</w:t>
            </w:r>
          </w:p>
        </w:tc>
        <w:tc>
          <w:tcPr>
            <w:tcW w:w="300" w:type="dxa"/>
            <w:vAlign w:val="bottom"/>
          </w:tcPr>
          <w:p>
            <w:pPr>
              <w:spacing w:after="0"/>
              <w:rPr>
                <w:sz w:val="17"/>
                <w:szCs w:val="17"/>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1,582</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on convertible debentures assumed converted.........</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1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720" w:type="dxa"/>
            <w:vAlign w:val="bottom"/>
          </w:tcPr>
          <w:p>
            <w:pPr>
              <w:spacing w:after="0"/>
              <w:rPr>
                <w:sz w:val="20"/>
                <w:szCs w:val="20"/>
                <w:color w:val="auto"/>
              </w:rPr>
            </w:pPr>
            <w:r>
              <w:rPr>
                <w:rFonts w:ascii="Courier New" w:cs="Courier New" w:eastAsia="Courier New" w:hAnsi="Courier New"/>
                <w:sz w:val="17"/>
                <w:szCs w:val="17"/>
                <w:color w:val="auto"/>
              </w:rPr>
              <w:t>Adjusted income (loss) from continuing operations</w:t>
            </w:r>
          </w:p>
        </w:tc>
        <w:tc>
          <w:tcPr>
            <w:tcW w:w="300" w:type="dxa"/>
            <w:vAlign w:val="bottom"/>
          </w:tcPr>
          <w:p>
            <w:pPr>
              <w:spacing w:after="0"/>
              <w:rPr>
                <w:sz w:val="24"/>
                <w:szCs w:val="24"/>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301,864</w:t>
            </w:r>
          </w:p>
        </w:tc>
        <w:tc>
          <w:tcPr>
            <w:tcW w:w="480" w:type="dxa"/>
            <w:vAlign w:val="bottom"/>
          </w:tcPr>
          <w:p>
            <w:pPr>
              <w:spacing w:after="0"/>
              <w:rPr>
                <w:sz w:val="24"/>
                <w:szCs w:val="24"/>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(46,774)</w:t>
            </w: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997,808</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before extraordinary item..................................</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7"/>
                <w:szCs w:val="17"/>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52,718</w:t>
            </w:r>
          </w:p>
        </w:tc>
        <w:tc>
          <w:tcPr>
            <w:tcW w:w="480" w:type="dxa"/>
            <w:vAlign w:val="bottom"/>
          </w:tcPr>
          <w:p>
            <w:pPr>
              <w:spacing w:after="0"/>
              <w:rPr>
                <w:sz w:val="17"/>
                <w:szCs w:val="17"/>
                <w:color w:val="auto"/>
              </w:rPr>
            </w:pPr>
          </w:p>
        </w:tc>
        <w:tc>
          <w:tcPr>
            <w:tcW w:w="11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109,397</w:t>
            </w: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91,875</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Gain on sale.................................................</w:t>
            </w:r>
          </w:p>
        </w:tc>
        <w:tc>
          <w:tcPr>
            <w:tcW w:w="30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1,472,710</w:t>
            </w: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Extraordinary item.............................................</w:t>
            </w:r>
          </w:p>
        </w:tc>
        <w:tc>
          <w:tcPr>
            <w:tcW w:w="30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(22,157)</w:t>
            </w: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Adjusted net income............................................</w:t>
            </w:r>
          </w:p>
        </w:tc>
        <w:tc>
          <w:tcPr>
            <w:tcW w:w="1500" w:type="dxa"/>
            <w:vAlign w:val="bottom"/>
            <w:gridSpan w:val="2"/>
            <w:vMerge w:val="restart"/>
          </w:tcPr>
          <w:p>
            <w:pPr>
              <w:jc w:val="right"/>
              <w:ind w:right="173"/>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perscript"/>
              </w:rPr>
              <w:t>----------</w:t>
            </w:r>
            <w:r>
              <w:rPr>
                <w:rFonts w:ascii="Courier New" w:cs="Courier New" w:eastAsia="Courier New" w:hAnsi="Courier New"/>
                <w:sz w:val="13"/>
                <w:szCs w:val="13"/>
                <w:color w:val="auto"/>
                <w:w w:val="71"/>
              </w:rPr>
              <w:t>1,805,135</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62,623</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$1,089,683</w:t>
            </w: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1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10"/>
        </w:trPr>
        <w:tc>
          <w:tcPr>
            <w:tcW w:w="6720" w:type="dxa"/>
            <w:vAlign w:val="bottom"/>
          </w:tcPr>
          <w:p>
            <w:pPr>
              <w:spacing w:after="0"/>
              <w:rPr>
                <w:sz w:val="20"/>
                <w:szCs w:val="20"/>
                <w:color w:val="auto"/>
              </w:rPr>
            </w:pPr>
            <w:r>
              <w:rPr>
                <w:rFonts w:ascii="Courier New" w:cs="Courier New" w:eastAsia="Courier New" w:hAnsi="Courier New"/>
                <w:sz w:val="17"/>
                <w:szCs w:val="17"/>
                <w:color w:val="auto"/>
              </w:rPr>
              <w:t>Diluted Earnings (loss) per Common and Dilutive Potential Common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720" w:type="dxa"/>
            <w:vAlign w:val="bottom"/>
          </w:tcPr>
          <w:p>
            <w:pPr>
              <w:jc w:val="right"/>
              <w:ind w:right="5573"/>
              <w:spacing w:after="0"/>
              <w:rPr>
                <w:sz w:val="20"/>
                <w:szCs w:val="20"/>
                <w:color w:val="auto"/>
              </w:rPr>
            </w:pPr>
            <w:r>
              <w:rPr>
                <w:rFonts w:ascii="Courier New" w:cs="Courier New" w:eastAsia="Courier New" w:hAnsi="Courier New"/>
                <w:sz w:val="17"/>
                <w:szCs w:val="17"/>
                <w:color w:val="auto"/>
              </w:rPr>
              <w:t>Share:</w:t>
            </w:r>
          </w:p>
        </w:tc>
        <w:tc>
          <w:tcPr>
            <w:tcW w:w="300" w:type="dxa"/>
            <w:vAlign w:val="bottom"/>
          </w:tcPr>
          <w:p>
            <w:pPr>
              <w:spacing w:after="0"/>
              <w:rPr>
                <w:sz w:val="17"/>
                <w:szCs w:val="17"/>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385,141</w:t>
            </w:r>
          </w:p>
        </w:tc>
        <w:tc>
          <w:tcPr>
            <w:tcW w:w="480" w:type="dxa"/>
            <w:vAlign w:val="bottom"/>
          </w:tcPr>
          <w:p>
            <w:pPr>
              <w:spacing w:after="0"/>
              <w:rPr>
                <w:sz w:val="17"/>
                <w:szCs w:val="17"/>
                <w:color w:val="auto"/>
              </w:rPr>
            </w:pPr>
          </w:p>
        </w:tc>
        <w:tc>
          <w:tcPr>
            <w:tcW w:w="11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379,388</w:t>
            </w: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375,288</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dilutive potential common shares:</w:t>
            </w:r>
          </w:p>
        </w:tc>
        <w:tc>
          <w:tcPr>
            <w:tcW w:w="300" w:type="dxa"/>
            <w:vAlign w:val="bottom"/>
          </w:tcPr>
          <w:p>
            <w:pPr>
              <w:spacing w:after="0"/>
              <w:rPr>
                <w:sz w:val="17"/>
                <w:szCs w:val="17"/>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9,319</w:t>
            </w:r>
          </w:p>
        </w:tc>
        <w:tc>
          <w:tcPr>
            <w:tcW w:w="480" w:type="dxa"/>
            <w:vAlign w:val="bottom"/>
          </w:tcPr>
          <w:p>
            <w:pPr>
              <w:spacing w:after="0"/>
              <w:rPr>
                <w:sz w:val="17"/>
                <w:szCs w:val="17"/>
                <w:color w:val="auto"/>
              </w:rPr>
            </w:pPr>
          </w:p>
        </w:tc>
        <w:tc>
          <w:tcPr>
            <w:tcW w:w="11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6,254</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Stock option and compensation plans........................</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Convertible debentures.....................................</w:t>
            </w:r>
          </w:p>
        </w:tc>
        <w:tc>
          <w:tcPr>
            <w:tcW w:w="30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3,267</w:t>
            </w: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5,720</w:t>
            </w:r>
          </w:p>
        </w:tc>
        <w:tc>
          <w:tcPr>
            <w:tcW w:w="0" w:type="dxa"/>
            <w:vAlign w:val="bottom"/>
          </w:tcPr>
          <w:p>
            <w:pPr>
              <w:spacing w:after="0"/>
              <w:rPr>
                <w:sz w:val="1"/>
                <w:szCs w:val="1"/>
                <w:color w:val="auto"/>
              </w:rPr>
            </w:pPr>
          </w:p>
        </w:tc>
      </w:tr>
      <w:tr>
        <w:trPr>
          <w:trHeight w:val="201"/>
        </w:trPr>
        <w:tc>
          <w:tcPr>
            <w:tcW w:w="67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Weighted average common and dilutive potential common shares...</w:t>
            </w:r>
          </w:p>
        </w:tc>
        <w:tc>
          <w:tcPr>
            <w:tcW w:w="300" w:type="dxa"/>
            <w:vAlign w:val="bottom"/>
          </w:tcPr>
          <w:p>
            <w:pPr>
              <w:jc w:val="right"/>
              <w:spacing w:after="0"/>
              <w:rPr>
                <w:sz w:val="20"/>
                <w:szCs w:val="20"/>
                <w:color w:val="auto"/>
              </w:rPr>
            </w:pPr>
            <w:r>
              <w:rPr>
                <w:rFonts w:ascii="Courier New" w:cs="Courier New" w:eastAsia="Courier New" w:hAnsi="Courier New"/>
                <w:sz w:val="5"/>
                <w:szCs w:val="5"/>
                <w:color w:val="auto"/>
                <w:w w:val="93"/>
              </w:rPr>
              <w:t>----------</w:t>
            </w: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397,727</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379,388</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387,262</w:t>
            </w: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1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720" w:type="dxa"/>
            <w:vAlign w:val="bottom"/>
          </w:tcPr>
          <w:p>
            <w:pPr>
              <w:spacing w:after="0"/>
              <w:rPr>
                <w:sz w:val="20"/>
                <w:szCs w:val="20"/>
                <w:color w:val="auto"/>
              </w:rPr>
            </w:pPr>
            <w:r>
              <w:rPr>
                <w:rFonts w:ascii="Courier New" w:cs="Courier New" w:eastAsia="Courier New" w:hAnsi="Courier New"/>
                <w:sz w:val="17"/>
                <w:szCs w:val="17"/>
                <w:color w:val="auto"/>
              </w:rPr>
              <w:t>Diluted Earnings (loss) per Common Share:</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20"/>
              <w:spacing w:after="0"/>
              <w:rPr>
                <w:sz w:val="20"/>
                <w:szCs w:val="20"/>
                <w:color w:val="auto"/>
              </w:rPr>
            </w:pPr>
            <w:r>
              <w:rPr>
                <w:rFonts w:ascii="Courier New" w:cs="Courier New" w:eastAsia="Courier New" w:hAnsi="Courier New"/>
                <w:sz w:val="17"/>
                <w:szCs w:val="17"/>
                <w:color w:val="auto"/>
              </w:rPr>
              <w:t>Income (loss) from continuing operations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.76</w:t>
            </w:r>
          </w:p>
        </w:tc>
        <w:tc>
          <w:tcPr>
            <w:tcW w:w="4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(.12)</w:t>
            </w:r>
          </w:p>
        </w:tc>
        <w:tc>
          <w:tcPr>
            <w:tcW w:w="4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2.58</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before extraordinary item................................</w:t>
            </w: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7"/>
                <w:szCs w:val="17"/>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.13</w:t>
            </w:r>
          </w:p>
        </w:tc>
        <w:tc>
          <w:tcPr>
            <w:tcW w:w="480" w:type="dxa"/>
            <w:vAlign w:val="bottom"/>
          </w:tcPr>
          <w:p>
            <w:pPr>
              <w:spacing w:after="0"/>
              <w:rPr>
                <w:sz w:val="17"/>
                <w:szCs w:val="17"/>
                <w:color w:val="auto"/>
              </w:rPr>
            </w:pPr>
          </w:p>
        </w:tc>
        <w:tc>
          <w:tcPr>
            <w:tcW w:w="11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.29</w:t>
            </w: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Gain on sale...............................................</w:t>
            </w:r>
          </w:p>
        </w:tc>
        <w:tc>
          <w:tcPr>
            <w:tcW w:w="30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3.70</w:t>
            </w: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Extraordinary item...........................................</w:t>
            </w:r>
          </w:p>
        </w:tc>
        <w:tc>
          <w:tcPr>
            <w:tcW w:w="30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(.05)</w:t>
            </w: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4.54</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w:t>
            </w:r>
          </w:p>
        </w:tc>
        <w:tc>
          <w:tcPr>
            <w:tcW w:w="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2.81</w:t>
            </w: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1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10"/>
        </w:trPr>
        <w:tc>
          <w:tcPr>
            <w:tcW w:w="6720" w:type="dxa"/>
            <w:vAlign w:val="bottom"/>
          </w:tcPr>
          <w:p>
            <w:pPr>
              <w:spacing w:after="0"/>
              <w:rPr>
                <w:sz w:val="20"/>
                <w:szCs w:val="20"/>
                <w:color w:val="auto"/>
              </w:rPr>
            </w:pPr>
            <w:r>
              <w:rPr>
                <w:rFonts w:ascii="Courier New" w:cs="Courier New" w:eastAsia="Courier New" w:hAnsi="Courier New"/>
                <w:sz w:val="17"/>
                <w:szCs w:val="17"/>
                <w:color w:val="auto"/>
              </w:rPr>
              <w:t>Basic Earnings (loss) per Common Share:</w:t>
            </w:r>
          </w:p>
        </w:tc>
        <w:tc>
          <w:tcPr>
            <w:tcW w:w="300" w:type="dxa"/>
            <w:vAlign w:val="bottom"/>
          </w:tcPr>
          <w:p>
            <w:pPr>
              <w:spacing w:after="0"/>
              <w:rPr>
                <w:sz w:val="24"/>
                <w:szCs w:val="24"/>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385,141</w:t>
            </w:r>
          </w:p>
        </w:tc>
        <w:tc>
          <w:tcPr>
            <w:tcW w:w="480" w:type="dxa"/>
            <w:vAlign w:val="bottom"/>
          </w:tcPr>
          <w:p>
            <w:pPr>
              <w:spacing w:after="0"/>
              <w:rPr>
                <w:sz w:val="24"/>
                <w:szCs w:val="24"/>
                <w:color w:val="auto"/>
              </w:rPr>
            </w:pPr>
          </w:p>
        </w:tc>
        <w:tc>
          <w:tcPr>
            <w:tcW w:w="11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379,388</w:t>
            </w: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375,288</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1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720" w:type="dxa"/>
            <w:vAlign w:val="bottom"/>
          </w:tcPr>
          <w:p>
            <w:pPr>
              <w:spacing w:after="0"/>
              <w:rPr>
                <w:sz w:val="20"/>
                <w:szCs w:val="20"/>
                <w:color w:val="auto"/>
              </w:rPr>
            </w:pPr>
            <w:r>
              <w:rPr>
                <w:rFonts w:ascii="Courier New" w:cs="Courier New" w:eastAsia="Courier New" w:hAnsi="Courier New"/>
                <w:sz w:val="17"/>
                <w:szCs w:val="17"/>
                <w:color w:val="auto"/>
              </w:rPr>
              <w:t>Basic Earnings (loss) per Common Share:</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20"/>
              <w:spacing w:after="0"/>
              <w:rPr>
                <w:sz w:val="20"/>
                <w:szCs w:val="20"/>
                <w:color w:val="auto"/>
              </w:rPr>
            </w:pPr>
            <w:r>
              <w:rPr>
                <w:rFonts w:ascii="Courier New" w:cs="Courier New" w:eastAsia="Courier New" w:hAnsi="Courier New"/>
                <w:sz w:val="17"/>
                <w:szCs w:val="17"/>
                <w:color w:val="auto"/>
              </w:rPr>
              <w:t>Income (loss) from continuing operations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.78</w:t>
            </w:r>
          </w:p>
        </w:tc>
        <w:tc>
          <w:tcPr>
            <w:tcW w:w="4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(.12)</w:t>
            </w:r>
          </w:p>
        </w:tc>
        <w:tc>
          <w:tcPr>
            <w:tcW w:w="4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2.65</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before extraordinary item................................</w:t>
            </w: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7"/>
                <w:szCs w:val="17"/>
                <w:color w:val="auto"/>
              </w:rPr>
            </w:pP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.14</w:t>
            </w:r>
          </w:p>
        </w:tc>
        <w:tc>
          <w:tcPr>
            <w:tcW w:w="480" w:type="dxa"/>
            <w:vAlign w:val="bottom"/>
          </w:tcPr>
          <w:p>
            <w:pPr>
              <w:spacing w:after="0"/>
              <w:rPr>
                <w:sz w:val="17"/>
                <w:szCs w:val="17"/>
                <w:color w:val="auto"/>
              </w:rPr>
            </w:pPr>
          </w:p>
        </w:tc>
        <w:tc>
          <w:tcPr>
            <w:tcW w:w="11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.29</w:t>
            </w: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.25</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Gain on sale...............................................</w:t>
            </w:r>
          </w:p>
        </w:tc>
        <w:tc>
          <w:tcPr>
            <w:tcW w:w="30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3.82</w:t>
            </w: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Extraordinary item...........................................</w:t>
            </w:r>
          </w:p>
        </w:tc>
        <w:tc>
          <w:tcPr>
            <w:tcW w:w="30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(.05)</w:t>
            </w:r>
          </w:p>
        </w:tc>
        <w:tc>
          <w:tcPr>
            <w:tcW w:w="48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12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4.69</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w:t>
            </w:r>
          </w:p>
        </w:tc>
        <w:tc>
          <w:tcPr>
            <w:tcW w:w="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2.90</w:t>
            </w: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1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500"/>
        <w:spacing w:after="0" w:line="315" w:lineRule="auto"/>
        <w:rPr>
          <w:sz w:val="20"/>
          <w:szCs w:val="20"/>
          <w:color w:val="auto"/>
        </w:rPr>
      </w:pPr>
      <w:r>
        <w:rPr>
          <w:rFonts w:ascii="Courier New" w:cs="Courier New" w:eastAsia="Courier New" w:hAnsi="Courier New"/>
          <w:sz w:val="17"/>
          <w:szCs w:val="17"/>
          <w:color w:val="auto"/>
        </w:rPr>
        <w:t>The earnings per common share computation for 1996 excludes 4.8 million shares for stock options/compensation plans and 5.0 million shares for convertible debentures because their effect would have been antidilutive.</w:t>
      </w:r>
    </w:p>
    <w:p>
      <w:pPr>
        <w:sectPr>
          <w:pgSz w:w="11900" w:h="16838" w:orient="portrait"/>
          <w:cols w:equalWidth="0" w:num="1">
            <w:col w:w="11100"/>
          </w:cols>
          <w:pgMar w:left="240" w:top="513" w:right="559" w:bottom="1440" w:gutter="0" w:footer="0" w:header="0"/>
        </w:sectPr>
      </w:pPr>
    </w:p>
    <w:bookmarkStart w:id="17" w:name="page18"/>
    <w:bookmarkEnd w:id="17"/>
    <w:p>
      <w:pPr>
        <w:ind w:left="7240"/>
        <w:spacing w:after="0"/>
        <w:rPr>
          <w:sz w:val="20"/>
          <w:szCs w:val="20"/>
          <w:color w:val="auto"/>
        </w:rPr>
      </w:pPr>
      <w:r>
        <w:rPr>
          <w:rFonts w:ascii="Courier New" w:cs="Courier New" w:eastAsia="Courier New" w:hAnsi="Courier New"/>
          <w:sz w:val="17"/>
          <w:szCs w:val="17"/>
          <w:color w:val="auto"/>
        </w:rPr>
        <w:t>EXHIBIT 12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78"/>
        </w:trPr>
        <w:tc>
          <w:tcPr>
            <w:tcW w:w="6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TEXAS INSTRUMENTS INCORPORATED AND</w:t>
            </w:r>
          </w:p>
        </w:tc>
        <w:tc>
          <w:tcPr>
            <w:tcW w:w="17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SUBSIDIARIES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960" w:type="dxa"/>
            <w:vAlign w:val="bottom"/>
            <w:gridSpan w:val="7"/>
          </w:tcPr>
          <w:p>
            <w:pPr>
              <w:jc w:val="right"/>
              <w:ind w:right="493"/>
              <w:spacing w:after="0"/>
              <w:rPr>
                <w:sz w:val="20"/>
                <w:szCs w:val="20"/>
                <w:color w:val="auto"/>
              </w:rPr>
            </w:pPr>
            <w:r>
              <w:rPr>
                <w:rFonts w:ascii="Courier New" w:cs="Courier New" w:eastAsia="Courier New" w:hAnsi="Courier New"/>
                <w:sz w:val="17"/>
                <w:szCs w:val="17"/>
                <w:color w:val="auto"/>
              </w:rPr>
              <w:t>COMPUTATION OF RATIO OF EARNINGS TO FIXED CHARGES AND RATIO OF</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960" w:type="dxa"/>
            <w:vAlign w:val="bottom"/>
            <w:gridSpan w:val="7"/>
          </w:tcPr>
          <w:p>
            <w:pPr>
              <w:jc w:val="right"/>
              <w:ind w:right="373"/>
              <w:spacing w:after="0"/>
              <w:rPr>
                <w:sz w:val="20"/>
                <w:szCs w:val="20"/>
                <w:color w:val="auto"/>
              </w:rPr>
            </w:pPr>
            <w:r>
              <w:rPr>
                <w:rFonts w:ascii="Courier New" w:cs="Courier New" w:eastAsia="Courier New" w:hAnsi="Courier New"/>
                <w:sz w:val="17"/>
                <w:szCs w:val="17"/>
                <w:color w:val="auto"/>
              </w:rPr>
              <w:t>EARNINGS TO COMBINED FIXED CHARGES AND PREFERRED STOCK DIVIDENDS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(Dollars in millions)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5140" w:type="dxa"/>
            <w:vAlign w:val="bottom"/>
          </w:tcPr>
          <w:p>
            <w:pPr>
              <w:spacing w:after="0"/>
              <w:rPr>
                <w:sz w:val="24"/>
                <w:szCs w:val="24"/>
                <w:color w:val="auto"/>
              </w:rPr>
            </w:pP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24"/>
                <w:szCs w:val="24"/>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c>
          <w:tcPr>
            <w:tcW w:w="0" w:type="dxa"/>
            <w:vAlign w:val="bottom"/>
          </w:tcPr>
          <w:p>
            <w:pPr>
              <w:spacing w:after="0"/>
              <w:rPr>
                <w:sz w:val="1"/>
                <w:szCs w:val="1"/>
                <w:color w:val="auto"/>
              </w:rPr>
            </w:pPr>
          </w:p>
        </w:tc>
      </w:tr>
      <w:tr>
        <w:trPr>
          <w:trHeight w:val="295"/>
        </w:trPr>
        <w:tc>
          <w:tcPr>
            <w:tcW w:w="5140" w:type="dxa"/>
            <w:vAlign w:val="bottom"/>
            <w:vMerge w:val="restart"/>
          </w:tcPr>
          <w:p>
            <w:pPr>
              <w:spacing w:after="0"/>
              <w:rPr>
                <w:sz w:val="20"/>
                <w:szCs w:val="20"/>
                <w:color w:val="auto"/>
              </w:rPr>
            </w:pPr>
            <w:r>
              <w:rPr>
                <w:rFonts w:ascii="Courier New" w:cs="Courier New" w:eastAsia="Courier New" w:hAnsi="Courier New"/>
                <w:sz w:val="17"/>
                <w:szCs w:val="17"/>
                <w:color w:val="auto"/>
              </w:rPr>
              <w:t>Income before income taxes</w:t>
            </w: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1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Income before extraordinary item and</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cumulative effect of accounting changes,</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640"/>
              <w:spacing w:after="0"/>
              <w:rPr>
                <w:sz w:val="20"/>
                <w:szCs w:val="20"/>
                <w:color w:val="auto"/>
              </w:rPr>
            </w:pPr>
            <w:r>
              <w:rPr>
                <w:rFonts w:ascii="Courier New" w:cs="Courier New" w:eastAsia="Courier New" w:hAnsi="Courier New"/>
                <w:sz w:val="17"/>
                <w:szCs w:val="17"/>
                <w:color w:val="auto"/>
              </w:rPr>
              <w:t>interest expense on loans,</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640"/>
              <w:spacing w:after="0"/>
              <w:rPr>
                <w:sz w:val="20"/>
                <w:szCs w:val="20"/>
                <w:color w:val="auto"/>
              </w:rPr>
            </w:pPr>
            <w:r>
              <w:rPr>
                <w:rFonts w:ascii="Courier New" w:cs="Courier New" w:eastAsia="Courier New" w:hAnsi="Courier New"/>
                <w:sz w:val="17"/>
                <w:szCs w:val="17"/>
                <w:color w:val="auto"/>
              </w:rPr>
              <w:t>capitalized interest amortized,</w:t>
            </w:r>
          </w:p>
        </w:tc>
        <w:tc>
          <w:tcPr>
            <w:tcW w:w="120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$ 825</w:t>
            </w:r>
          </w:p>
        </w:tc>
        <w:tc>
          <w:tcPr>
            <w:tcW w:w="7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  65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w w:val="97"/>
              </w:rPr>
              <w:t>1,530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943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561</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and provision for income taxes..........</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12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44</w:t>
            </w: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44</w:t>
            </w:r>
          </w:p>
        </w:tc>
        <w:tc>
          <w:tcPr>
            <w:tcW w:w="220" w:type="dxa"/>
            <w:vAlign w:val="bottom"/>
          </w:tcPr>
          <w:p>
            <w:pPr>
              <w:spacing w:after="0"/>
              <w:rPr>
                <w:sz w:val="17"/>
                <w:szCs w:val="17"/>
                <w:color w:val="auto"/>
              </w:rPr>
            </w:pP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40</w:t>
            </w:r>
          </w:p>
        </w:tc>
        <w:tc>
          <w:tcPr>
            <w:tcW w:w="26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38</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rental and lease expense................</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spacing w:after="0"/>
              <w:rPr>
                <w:sz w:val="17"/>
                <w:szCs w:val="17"/>
                <w:color w:val="auto"/>
              </w:rPr>
            </w:pPr>
          </w:p>
        </w:tc>
        <w:tc>
          <w:tcPr>
            <w:tcW w:w="1200" w:type="dxa"/>
            <w:vAlign w:val="bottom"/>
            <w:vMerge w:val="restart"/>
          </w:tcPr>
          <w:p>
            <w:pPr>
              <w:ind w:left="320"/>
              <w:spacing w:after="0"/>
              <w:rPr>
                <w:sz w:val="20"/>
                <w:szCs w:val="20"/>
                <w:color w:val="auto"/>
              </w:rPr>
            </w:pPr>
            <w:r>
              <w:rPr>
                <w:rFonts w:ascii="Courier New" w:cs="Courier New" w:eastAsia="Courier New" w:hAnsi="Courier New"/>
                <w:sz w:val="34"/>
                <w:szCs w:val="34"/>
                <w:color w:val="auto"/>
                <w:w w:val="74"/>
                <w:vertAlign w:val="subscript"/>
              </w:rPr>
              <w:t>$</w:t>
            </w:r>
            <w:r>
              <w:rPr>
                <w:rFonts w:ascii="Courier New" w:cs="Courier New" w:eastAsia="Courier New" w:hAnsi="Courier New"/>
                <w:sz w:val="17"/>
                <w:szCs w:val="17"/>
                <w:color w:val="auto"/>
                <w:w w:val="74"/>
              </w:rPr>
              <w:t>------</w:t>
            </w:r>
            <w:r>
              <w:rPr>
                <w:rFonts w:ascii="Courier New" w:cs="Courier New" w:eastAsia="Courier New" w:hAnsi="Courier New"/>
                <w:sz w:val="34"/>
                <w:szCs w:val="34"/>
                <w:color w:val="auto"/>
                <w:w w:val="74"/>
                <w:vertAlign w:val="subscript"/>
              </w:rPr>
              <w:t>869</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$ 109</w:t>
            </w:r>
          </w:p>
        </w:tc>
        <w:tc>
          <w:tcPr>
            <w:tcW w:w="220" w:type="dxa"/>
            <w:vAlign w:val="bottom"/>
            <w:vMerge w:val="continue"/>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1,571</w:t>
            </w:r>
          </w:p>
        </w:tc>
        <w:tc>
          <w:tcPr>
            <w:tcW w:w="200" w:type="dxa"/>
            <w:vAlign w:val="bottom"/>
            <w:vMerge w:val="continue"/>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983</w:t>
            </w:r>
          </w:p>
        </w:tc>
        <w:tc>
          <w:tcPr>
            <w:tcW w:w="260" w:type="dxa"/>
            <w:vAlign w:val="bottom"/>
            <w:vMerge w:val="continue"/>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599</w:t>
            </w: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14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120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$ 114</w:t>
            </w:r>
          </w:p>
        </w:tc>
        <w:tc>
          <w:tcPr>
            <w:tcW w:w="7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$ 108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69</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58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55</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and capitalized)..........................</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12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44</w:t>
            </w: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44</w:t>
            </w:r>
          </w:p>
        </w:tc>
        <w:tc>
          <w:tcPr>
            <w:tcW w:w="220" w:type="dxa"/>
            <w:vAlign w:val="bottom"/>
          </w:tcPr>
          <w:p>
            <w:pPr>
              <w:spacing w:after="0"/>
              <w:rPr>
                <w:sz w:val="17"/>
                <w:szCs w:val="17"/>
                <w:color w:val="auto"/>
              </w:rPr>
            </w:pP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40</w:t>
            </w:r>
          </w:p>
        </w:tc>
        <w:tc>
          <w:tcPr>
            <w:tcW w:w="26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38</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and lease expense.........................</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Fixed charges.................................</w:t>
            </w:r>
          </w:p>
        </w:tc>
        <w:tc>
          <w:tcPr>
            <w:tcW w:w="1200" w:type="dxa"/>
            <w:vAlign w:val="bottom"/>
            <w:vMerge w:val="restart"/>
          </w:tcPr>
          <w:p>
            <w:pPr>
              <w:ind w:left="320"/>
              <w:spacing w:after="0"/>
              <w:rPr>
                <w:sz w:val="20"/>
                <w:szCs w:val="20"/>
                <w:color w:val="auto"/>
              </w:rPr>
            </w:pPr>
            <w:r>
              <w:rPr>
                <w:rFonts w:ascii="Courier New" w:cs="Courier New" w:eastAsia="Courier New" w:hAnsi="Courier New"/>
                <w:sz w:val="34"/>
                <w:szCs w:val="34"/>
                <w:color w:val="auto"/>
                <w:w w:val="74"/>
                <w:vertAlign w:val="subscript"/>
              </w:rPr>
              <w:t>$</w:t>
            </w:r>
            <w:r>
              <w:rPr>
                <w:rFonts w:ascii="Courier New" w:cs="Courier New" w:eastAsia="Courier New" w:hAnsi="Courier New"/>
                <w:sz w:val="17"/>
                <w:szCs w:val="17"/>
                <w:color w:val="auto"/>
                <w:w w:val="74"/>
              </w:rPr>
              <w:t>------</w:t>
            </w:r>
            <w:r>
              <w:rPr>
                <w:rFonts w:ascii="Courier New" w:cs="Courier New" w:eastAsia="Courier New" w:hAnsi="Courier New"/>
                <w:sz w:val="34"/>
                <w:szCs w:val="34"/>
                <w:color w:val="auto"/>
                <w:w w:val="74"/>
                <w:vertAlign w:val="subscript"/>
              </w:rPr>
              <w:t>158</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$ 152</w:t>
            </w:r>
          </w:p>
        </w:tc>
        <w:tc>
          <w:tcPr>
            <w:tcW w:w="220" w:type="dxa"/>
            <w:vAlign w:val="bottom"/>
            <w:vMerge w:val="continue"/>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110</w:t>
            </w:r>
          </w:p>
        </w:tc>
        <w:tc>
          <w:tcPr>
            <w:tcW w:w="200" w:type="dxa"/>
            <w:vAlign w:val="bottom"/>
            <w:vMerge w:val="continue"/>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w:t>
            </w:r>
          </w:p>
        </w:tc>
        <w:tc>
          <w:tcPr>
            <w:tcW w:w="260" w:type="dxa"/>
            <w:vAlign w:val="bottom"/>
            <w:vMerge w:val="continue"/>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93</w:t>
            </w: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14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120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$ 158</w:t>
            </w:r>
          </w:p>
        </w:tc>
        <w:tc>
          <w:tcPr>
            <w:tcW w:w="7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$ 152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110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98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93</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Fixed charges.............................</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540"/>
              <w:spacing w:after="0"/>
              <w:rPr>
                <w:sz w:val="20"/>
                <w:szCs w:val="20"/>
                <w:color w:val="auto"/>
              </w:rPr>
            </w:pPr>
            <w:r>
              <w:rPr>
                <w:rFonts w:ascii="Courier New" w:cs="Courier New" w:eastAsia="Courier New" w:hAnsi="Courier New"/>
                <w:sz w:val="17"/>
                <w:szCs w:val="17"/>
                <w:color w:val="auto"/>
              </w:rPr>
              <w:t>(adjusted as appropriate to a</w:t>
            </w:r>
          </w:p>
        </w:tc>
        <w:tc>
          <w:tcPr>
            <w:tcW w:w="1200" w:type="dxa"/>
            <w:vAlign w:val="bottom"/>
            <w:vMerge w:val="restart"/>
          </w:tcPr>
          <w:p>
            <w:pPr>
              <w:ind w:left="740"/>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ind w:left="48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74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29</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pretax equivalent basis)................</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140" w:type="dxa"/>
            <w:vAlign w:val="bottom"/>
            <w:vMerge w:val="restart"/>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140" w:type="dxa"/>
            <w:vAlign w:val="bottom"/>
            <w:vMerge w:val="continue"/>
          </w:tcPr>
          <w:p>
            <w:pPr>
              <w:spacing w:after="0"/>
              <w:rPr>
                <w:sz w:val="9"/>
                <w:szCs w:val="9"/>
                <w:color w:val="auto"/>
              </w:rPr>
            </w:pPr>
          </w:p>
        </w:tc>
        <w:tc>
          <w:tcPr>
            <w:tcW w:w="120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$ 158</w:t>
            </w: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152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110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98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122</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preferred stock dividends...............</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Ratio of earnings to fixed charges............</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5.5</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24"/>
                <w:szCs w:val="24"/>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10.0</w:t>
            </w:r>
          </w:p>
        </w:tc>
        <w:tc>
          <w:tcPr>
            <w:tcW w:w="26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6.4</w:t>
            </w: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14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 fixed</w:t>
            </w:r>
          </w:p>
        </w:tc>
        <w:tc>
          <w:tcPr>
            <w:tcW w:w="12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5.5</w:t>
            </w: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vMerge w:val="restart"/>
          </w:tcPr>
          <w:p>
            <w:pPr>
              <w:jc w:val="center"/>
              <w:ind w:right="33"/>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24"/>
                <w:szCs w:val="24"/>
                <w:color w:val="auto"/>
              </w:rPr>
            </w:pP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10.0</w:t>
            </w:r>
          </w:p>
        </w:tc>
        <w:tc>
          <w:tcPr>
            <w:tcW w:w="260" w:type="dxa"/>
            <w:vAlign w:val="bottom"/>
          </w:tcPr>
          <w:p>
            <w:pPr>
              <w:spacing w:after="0"/>
              <w:rPr>
                <w:sz w:val="24"/>
                <w:szCs w:val="24"/>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4.9</w:t>
            </w:r>
          </w:p>
        </w:tc>
        <w:tc>
          <w:tcPr>
            <w:tcW w:w="0" w:type="dxa"/>
            <w:vAlign w:val="bottom"/>
          </w:tcPr>
          <w:p>
            <w:pPr>
              <w:spacing w:after="0"/>
              <w:rPr>
                <w:sz w:val="1"/>
                <w:szCs w:val="1"/>
                <w:color w:val="auto"/>
              </w:rPr>
            </w:pPr>
          </w:p>
        </w:tc>
      </w:tr>
      <w:tr>
        <w:trPr>
          <w:trHeight w:val="201"/>
        </w:trPr>
        <w:tc>
          <w:tcPr>
            <w:tcW w:w="5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charges and preferred stock dividends.......</w:t>
            </w:r>
          </w:p>
        </w:tc>
        <w:tc>
          <w:tcPr>
            <w:tcW w:w="1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8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7"/>
          <w:szCs w:val="17"/>
          <w:color w:val="auto"/>
        </w:rPr>
        <w:t>* Not meaningful.</w:t>
        <w:tab/>
        <w:t>The coverage deficiency was $43 million in 1996.</w:t>
      </w:r>
    </w:p>
    <w:p>
      <w:pPr>
        <w:sectPr>
          <w:pgSz w:w="11900" w:h="16838" w:orient="portrait"/>
          <w:cols w:equalWidth="0" w:num="1">
            <w:col w:w="10219"/>
          </w:cols>
          <w:pgMar w:left="240" w:top="714" w:right="1440" w:bottom="1440" w:gutter="0" w:footer="0" w:header="0"/>
        </w:sectPr>
      </w:pPr>
    </w:p>
    <w:bookmarkStart w:id="18" w:name="page19"/>
    <w:bookmarkEnd w:id="18"/>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Exhibit 13</w:t>
            </w:r>
          </w:p>
        </w:tc>
        <w:tc>
          <w:tcPr>
            <w:tcW w:w="0" w:type="dxa"/>
            <w:vAlign w:val="bottom"/>
          </w:tcPr>
          <w:p>
            <w:pPr>
              <w:spacing w:after="0"/>
              <w:rPr>
                <w:sz w:val="1"/>
                <w:szCs w:val="1"/>
                <w:color w:val="auto"/>
              </w:rPr>
            </w:pPr>
          </w:p>
        </w:tc>
      </w:tr>
      <w:tr>
        <w:trPr>
          <w:trHeight w:val="295"/>
        </w:trPr>
        <w:tc>
          <w:tcPr>
            <w:tcW w:w="4100" w:type="dxa"/>
            <w:vAlign w:val="bottom"/>
            <w:vMerge w:val="restart"/>
          </w:tcPr>
          <w:p>
            <w:pPr>
              <w:spacing w:after="0"/>
              <w:rPr>
                <w:sz w:val="20"/>
                <w:szCs w:val="20"/>
                <w:color w:val="auto"/>
              </w:rPr>
            </w:pPr>
            <w:r>
              <w:rPr>
                <w:rFonts w:ascii="Courier New" w:cs="Courier New" w:eastAsia="Courier New" w:hAnsi="Courier New"/>
                <w:sz w:val="17"/>
                <w:szCs w:val="17"/>
                <w:color w:val="auto"/>
              </w:rPr>
              <w:t>Consolidated Financial Statements</w:t>
            </w: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10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5760" w:type="dxa"/>
            <w:vAlign w:val="bottom"/>
            <w:gridSpan w:val="2"/>
          </w:tcPr>
          <w:p>
            <w:pPr>
              <w:spacing w:after="0"/>
              <w:rPr>
                <w:sz w:val="20"/>
                <w:szCs w:val="20"/>
                <w:color w:val="auto"/>
              </w:rPr>
            </w:pPr>
            <w:r>
              <w:rPr>
                <w:rFonts w:ascii="Courier New" w:cs="Courier New" w:eastAsia="Courier New" w:hAnsi="Courier New"/>
                <w:sz w:val="17"/>
                <w:szCs w:val="17"/>
                <w:color w:val="auto"/>
              </w:rPr>
              <w:t>(In millions of dollars, except per share amounts)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00" w:type="dxa"/>
            <w:vAlign w:val="bottom"/>
          </w:tcPr>
          <w:p>
            <w:pPr>
              <w:spacing w:after="0"/>
              <w:rPr>
                <w:sz w:val="24"/>
                <w:szCs w:val="24"/>
                <w:color w:val="auto"/>
              </w:rPr>
            </w:pPr>
          </w:p>
        </w:tc>
        <w:tc>
          <w:tcPr>
            <w:tcW w:w="408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FOR THE YEARS ENDED DECEMBER 31</w:t>
            </w:r>
          </w:p>
        </w:tc>
        <w:tc>
          <w:tcPr>
            <w:tcW w:w="0" w:type="dxa"/>
            <w:vAlign w:val="bottom"/>
          </w:tcPr>
          <w:p>
            <w:pPr>
              <w:spacing w:after="0"/>
              <w:rPr>
                <w:sz w:val="1"/>
                <w:szCs w:val="1"/>
                <w:color w:val="auto"/>
              </w:rPr>
            </w:pPr>
          </w:p>
        </w:tc>
      </w:tr>
      <w:tr>
        <w:trPr>
          <w:trHeight w:val="201"/>
        </w:trPr>
        <w:tc>
          <w:tcPr>
            <w:tcW w:w="4100" w:type="dxa"/>
            <w:vAlign w:val="bottom"/>
            <w:vMerge w:val="restart"/>
          </w:tcPr>
          <w:p>
            <w:pPr>
              <w:spacing w:after="0"/>
              <w:rPr>
                <w:sz w:val="20"/>
                <w:szCs w:val="20"/>
                <w:color w:val="auto"/>
              </w:rPr>
            </w:pPr>
            <w:r>
              <w:rPr>
                <w:rFonts w:ascii="Courier New" w:cs="Courier New" w:eastAsia="Courier New" w:hAnsi="Courier New"/>
                <w:sz w:val="17"/>
                <w:szCs w:val="17"/>
                <w:color w:val="auto"/>
              </w:rPr>
              <w:t>INCOME</w:t>
            </w:r>
          </w:p>
        </w:tc>
        <w:tc>
          <w:tcPr>
            <w:tcW w:w="408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33"/>
        </w:trPr>
        <w:tc>
          <w:tcPr>
            <w:tcW w:w="4100" w:type="dxa"/>
            <w:vAlign w:val="bottom"/>
            <w:vMerge w:val="continue"/>
          </w:tcPr>
          <w:p>
            <w:pPr>
              <w:spacing w:after="0"/>
              <w:rPr>
                <w:sz w:val="20"/>
                <w:szCs w:val="20"/>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1996</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Net revenues ..............................</w:t>
            </w:r>
          </w:p>
        </w:tc>
        <w:tc>
          <w:tcPr>
            <w:tcW w:w="11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$ 9,750</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$ 9,940</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$11,409</w:t>
            </w:r>
          </w:p>
        </w:tc>
        <w:tc>
          <w:tcPr>
            <w:tcW w:w="0" w:type="dxa"/>
            <w:vAlign w:val="bottom"/>
          </w:tcPr>
          <w:p>
            <w:pPr>
              <w:spacing w:after="0"/>
              <w:rPr>
                <w:sz w:val="1"/>
                <w:szCs w:val="1"/>
                <w:color w:val="auto"/>
              </w:rPr>
            </w:pPr>
          </w:p>
        </w:tc>
      </w:tr>
      <w:tr>
        <w:trPr>
          <w:trHeight w:val="295"/>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1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6,067</w:t>
            </w:r>
          </w:p>
        </w:tc>
        <w:tc>
          <w:tcPr>
            <w:tcW w:w="380" w:type="dxa"/>
            <w:vAlign w:val="bottom"/>
          </w:tcPr>
          <w:p>
            <w:pPr>
              <w:spacing w:after="0"/>
              <w:rPr>
                <w:sz w:val="9"/>
                <w:szCs w:val="9"/>
                <w:color w:val="auto"/>
              </w:rPr>
            </w:pPr>
          </w:p>
        </w:tc>
        <w:tc>
          <w:tcPr>
            <w:tcW w:w="6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7,146</w:t>
            </w:r>
          </w:p>
        </w:tc>
        <w:tc>
          <w:tcPr>
            <w:tcW w:w="580" w:type="dxa"/>
            <w:vAlign w:val="bottom"/>
          </w:tcPr>
          <w:p>
            <w:pPr>
              <w:spacing w:after="0"/>
              <w:rPr>
                <w:sz w:val="9"/>
                <w:szCs w:val="9"/>
                <w:color w:val="auto"/>
              </w:rPr>
            </w:pP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7,401</w:t>
            </w:r>
          </w:p>
        </w:tc>
        <w:tc>
          <w:tcPr>
            <w:tcW w:w="0" w:type="dxa"/>
            <w:vAlign w:val="bottom"/>
          </w:tcPr>
          <w:p>
            <w:pPr>
              <w:spacing w:after="0"/>
              <w:rPr>
                <w:sz w:val="1"/>
                <w:szCs w:val="1"/>
                <w:color w:val="auto"/>
              </w:rPr>
            </w:pPr>
          </w:p>
        </w:tc>
      </w:tr>
      <w:tr>
        <w:trPr>
          <w:trHeight w:val="201"/>
        </w:trPr>
        <w:tc>
          <w:tcPr>
            <w:tcW w:w="4620" w:type="dxa"/>
            <w:vAlign w:val="bottom"/>
          </w:tcPr>
          <w:p>
            <w:pPr>
              <w:ind w:left="120"/>
              <w:spacing w:after="0"/>
              <w:rPr>
                <w:sz w:val="20"/>
                <w:szCs w:val="20"/>
                <w:color w:val="auto"/>
              </w:rPr>
            </w:pPr>
            <w:r>
              <w:rPr>
                <w:rFonts w:ascii="Courier New" w:cs="Courier New" w:eastAsia="Courier New" w:hAnsi="Courier New"/>
                <w:sz w:val="17"/>
                <w:szCs w:val="17"/>
                <w:color w:val="auto"/>
              </w:rPr>
              <w:t>Cost of revenues .........................</w:t>
            </w: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ind w:left="120"/>
              <w:spacing w:after="0"/>
              <w:rPr>
                <w:sz w:val="20"/>
                <w:szCs w:val="20"/>
                <w:color w:val="auto"/>
              </w:rPr>
            </w:pPr>
            <w:r>
              <w:rPr>
                <w:rFonts w:ascii="Courier New" w:cs="Courier New" w:eastAsia="Courier New" w:hAnsi="Courier New"/>
                <w:sz w:val="17"/>
                <w:szCs w:val="17"/>
                <w:color w:val="auto"/>
              </w:rPr>
              <w:t>Research and development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1,536</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1,181</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842</w:t>
            </w:r>
          </w:p>
        </w:tc>
        <w:tc>
          <w:tcPr>
            <w:tcW w:w="0" w:type="dxa"/>
            <w:vAlign w:val="bottom"/>
          </w:tcPr>
          <w:p>
            <w:pPr>
              <w:spacing w:after="0"/>
              <w:rPr>
                <w:sz w:val="1"/>
                <w:szCs w:val="1"/>
                <w:color w:val="auto"/>
              </w:rPr>
            </w:pPr>
          </w:p>
        </w:tc>
      </w:tr>
      <w:tr>
        <w:trPr>
          <w:trHeight w:val="201"/>
        </w:trPr>
        <w:tc>
          <w:tcPr>
            <w:tcW w:w="4620" w:type="dxa"/>
            <w:vAlign w:val="bottom"/>
          </w:tcPr>
          <w:p>
            <w:pPr>
              <w:ind w:left="120"/>
              <w:spacing w:after="0"/>
              <w:rPr>
                <w:sz w:val="20"/>
                <w:szCs w:val="20"/>
                <w:color w:val="auto"/>
              </w:rPr>
            </w:pPr>
            <w:r>
              <w:rPr>
                <w:rFonts w:ascii="Courier New" w:cs="Courier New" w:eastAsia="Courier New" w:hAnsi="Courier New"/>
                <w:sz w:val="17"/>
                <w:szCs w:val="17"/>
                <w:color w:val="auto"/>
              </w:rPr>
              <w:t>Marketing, general and administrative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1,532</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1,639</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1,727</w:t>
            </w:r>
          </w:p>
        </w:tc>
        <w:tc>
          <w:tcPr>
            <w:tcW w:w="0" w:type="dxa"/>
            <w:vAlign w:val="bottom"/>
          </w:tcPr>
          <w:p>
            <w:pPr>
              <w:spacing w:after="0"/>
              <w:rPr>
                <w:sz w:val="1"/>
                <w:szCs w:val="1"/>
                <w:color w:val="auto"/>
              </w:rPr>
            </w:pPr>
          </w:p>
        </w:tc>
      </w:tr>
      <w:tr>
        <w:trPr>
          <w:trHeight w:val="201"/>
        </w:trPr>
        <w:tc>
          <w:tcPr>
            <w:tcW w:w="4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Total ..................................</w:t>
            </w:r>
          </w:p>
        </w:tc>
        <w:tc>
          <w:tcPr>
            <w:tcW w:w="300" w:type="dxa"/>
            <w:vAlign w:val="bottom"/>
          </w:tcPr>
          <w:p>
            <w:pPr>
              <w:ind w:left="100"/>
              <w:spacing w:after="0"/>
              <w:rPr>
                <w:sz w:val="20"/>
                <w:szCs w:val="20"/>
                <w:color w:val="auto"/>
              </w:rPr>
            </w:pPr>
            <w:r>
              <w:rPr>
                <w:rFonts w:ascii="Courier New" w:cs="Courier New" w:eastAsia="Courier New" w:hAnsi="Courier New"/>
                <w:sz w:val="5"/>
                <w:szCs w:val="5"/>
                <w:color w:val="auto"/>
                <w:w w:val="85"/>
              </w:rPr>
              <w:t>-------</w:t>
            </w: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9,135</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9,966</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9,970</w:t>
            </w:r>
          </w:p>
        </w:tc>
        <w:tc>
          <w:tcPr>
            <w:tcW w:w="0" w:type="dxa"/>
            <w:vAlign w:val="bottom"/>
          </w:tcPr>
          <w:p>
            <w:pPr>
              <w:spacing w:after="0"/>
              <w:rPr>
                <w:sz w:val="1"/>
                <w:szCs w:val="1"/>
                <w:color w:val="auto"/>
              </w:rPr>
            </w:pPr>
          </w:p>
        </w:tc>
      </w:tr>
      <w:tr>
        <w:trPr>
          <w:trHeight w:val="201"/>
        </w:trPr>
        <w:tc>
          <w:tcPr>
            <w:tcW w:w="4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Profit (loss) from operations .............</w:t>
            </w:r>
          </w:p>
        </w:tc>
        <w:tc>
          <w:tcPr>
            <w:tcW w:w="300" w:type="dxa"/>
            <w:vAlign w:val="bottom"/>
          </w:tcPr>
          <w:p>
            <w:pPr>
              <w:ind w:left="100"/>
              <w:spacing w:after="0"/>
              <w:rPr>
                <w:sz w:val="20"/>
                <w:szCs w:val="20"/>
                <w:color w:val="auto"/>
              </w:rPr>
            </w:pPr>
            <w:r>
              <w:rPr>
                <w:rFonts w:ascii="Courier New" w:cs="Courier New" w:eastAsia="Courier New" w:hAnsi="Courier New"/>
                <w:sz w:val="5"/>
                <w:szCs w:val="5"/>
                <w:color w:val="auto"/>
                <w:w w:val="85"/>
              </w:rPr>
              <w:t>-------</w:t>
            </w: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615</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1,439</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income (expense) net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192</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79</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 on loans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94</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48</w:t>
            </w:r>
          </w:p>
        </w:tc>
        <w:tc>
          <w:tcPr>
            <w:tcW w:w="0" w:type="dxa"/>
            <w:vAlign w:val="bottom"/>
          </w:tcPr>
          <w:p>
            <w:pPr>
              <w:spacing w:after="0"/>
              <w:rPr>
                <w:sz w:val="1"/>
                <w:szCs w:val="1"/>
                <w:color w:val="auto"/>
              </w:rPr>
            </w:pPr>
          </w:p>
        </w:tc>
      </w:tr>
      <w:tr>
        <w:trPr>
          <w:trHeight w:val="295"/>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11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620" w:type="dxa"/>
            <w:vAlign w:val="bottom"/>
          </w:tcPr>
          <w:p>
            <w:pPr>
              <w:ind w:left="120"/>
              <w:spacing w:after="0"/>
              <w:rPr>
                <w:sz w:val="20"/>
                <w:szCs w:val="20"/>
                <w:color w:val="auto"/>
              </w:rPr>
            </w:pPr>
            <w:r>
              <w:rPr>
                <w:rFonts w:ascii="Courier New" w:cs="Courier New" w:eastAsia="Courier New" w:hAnsi="Courier New"/>
                <w:sz w:val="17"/>
                <w:szCs w:val="17"/>
                <w:color w:val="auto"/>
              </w:rPr>
              <w:t>before provision for income taxes</w:t>
            </w:r>
          </w:p>
        </w:tc>
        <w:tc>
          <w:tcPr>
            <w:tcW w:w="300" w:type="dxa"/>
            <w:vAlign w:val="bottom"/>
          </w:tcPr>
          <w:p>
            <w:pPr>
              <w:spacing w:after="0"/>
              <w:rPr>
                <w:sz w:val="17"/>
                <w:szCs w:val="17"/>
                <w:color w:val="auto"/>
              </w:rPr>
            </w:pP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713</w:t>
            </w:r>
          </w:p>
        </w:tc>
        <w:tc>
          <w:tcPr>
            <w:tcW w:w="3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w:t>
            </w:r>
          </w:p>
        </w:tc>
        <w:tc>
          <w:tcPr>
            <w:tcW w:w="580" w:type="dxa"/>
            <w:vAlign w:val="bottom"/>
          </w:tcPr>
          <w:p>
            <w:pPr>
              <w:spacing w:after="0"/>
              <w:rPr>
                <w:sz w:val="17"/>
                <w:szCs w:val="17"/>
                <w:color w:val="auto"/>
              </w:rPr>
            </w:pP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1,470</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and extraordinary item ...................</w:t>
            </w: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Provision for income taxes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411</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474</w:t>
            </w:r>
          </w:p>
        </w:tc>
        <w:tc>
          <w:tcPr>
            <w:tcW w:w="0" w:type="dxa"/>
            <w:vAlign w:val="bottom"/>
          </w:tcPr>
          <w:p>
            <w:pPr>
              <w:spacing w:after="0"/>
              <w:rPr>
                <w:sz w:val="1"/>
                <w:szCs w:val="1"/>
                <w:color w:val="auto"/>
              </w:rPr>
            </w:pPr>
          </w:p>
        </w:tc>
      </w:tr>
      <w:tr>
        <w:trPr>
          <w:trHeight w:val="295"/>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11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302</w:t>
            </w:r>
          </w:p>
        </w:tc>
        <w:tc>
          <w:tcPr>
            <w:tcW w:w="3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(46)</w:t>
            </w:r>
          </w:p>
        </w:tc>
        <w:tc>
          <w:tcPr>
            <w:tcW w:w="580" w:type="dxa"/>
            <w:vAlign w:val="bottom"/>
          </w:tcPr>
          <w:p>
            <w:pPr>
              <w:spacing w:after="0"/>
              <w:rPr>
                <w:sz w:val="9"/>
                <w:szCs w:val="9"/>
                <w:color w:val="auto"/>
              </w:rPr>
            </w:pP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996</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before extraordinary item ................</w:t>
            </w: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7"/>
                <w:szCs w:val="17"/>
                <w:color w:val="auto"/>
              </w:rPr>
            </w:pP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52</w:t>
            </w:r>
          </w:p>
        </w:tc>
        <w:tc>
          <w:tcPr>
            <w:tcW w:w="380" w:type="dxa"/>
            <w:vAlign w:val="bottom"/>
          </w:tcPr>
          <w:p>
            <w:pPr>
              <w:spacing w:after="0"/>
              <w:rPr>
                <w:sz w:val="17"/>
                <w:szCs w:val="17"/>
                <w:color w:val="auto"/>
              </w:rPr>
            </w:pPr>
          </w:p>
        </w:tc>
        <w:tc>
          <w:tcPr>
            <w:tcW w:w="6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109</w:t>
            </w:r>
          </w:p>
        </w:tc>
        <w:tc>
          <w:tcPr>
            <w:tcW w:w="580" w:type="dxa"/>
            <w:vAlign w:val="bottom"/>
          </w:tcPr>
          <w:p>
            <w:pPr>
              <w:spacing w:after="0"/>
              <w:rPr>
                <w:sz w:val="17"/>
                <w:szCs w:val="17"/>
                <w:color w:val="auto"/>
              </w:rPr>
            </w:pP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92</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from operations ...................</w:t>
            </w: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Gain on sale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1,473</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Income before extraordinary item ..........</w:t>
            </w:r>
          </w:p>
        </w:tc>
        <w:tc>
          <w:tcPr>
            <w:tcW w:w="300" w:type="dxa"/>
            <w:vAlign w:val="bottom"/>
          </w:tcPr>
          <w:p>
            <w:pPr>
              <w:ind w:left="100"/>
              <w:spacing w:after="0"/>
              <w:rPr>
                <w:sz w:val="20"/>
                <w:szCs w:val="20"/>
                <w:color w:val="auto"/>
              </w:rPr>
            </w:pPr>
            <w:r>
              <w:rPr>
                <w:rFonts w:ascii="Courier New" w:cs="Courier New" w:eastAsia="Courier New" w:hAnsi="Courier New"/>
                <w:sz w:val="5"/>
                <w:szCs w:val="5"/>
                <w:color w:val="auto"/>
                <w:w w:val="85"/>
              </w:rPr>
              <w:t>-------</w:t>
            </w: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1,827</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1,088</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Extraordinary item:  extinguishment</w:t>
            </w:r>
          </w:p>
        </w:tc>
        <w:tc>
          <w:tcPr>
            <w:tcW w:w="300" w:type="dxa"/>
            <w:vAlign w:val="bottom"/>
          </w:tcPr>
          <w:p>
            <w:pPr>
              <w:spacing w:after="0"/>
              <w:rPr>
                <w:sz w:val="17"/>
                <w:szCs w:val="17"/>
                <w:color w:val="auto"/>
              </w:rPr>
            </w:pPr>
          </w:p>
        </w:tc>
        <w:tc>
          <w:tcPr>
            <w:tcW w:w="8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(22)</w:t>
            </w:r>
          </w:p>
        </w:tc>
        <w:tc>
          <w:tcPr>
            <w:tcW w:w="380" w:type="dxa"/>
            <w:vAlign w:val="bottom"/>
          </w:tcPr>
          <w:p>
            <w:pPr>
              <w:spacing w:after="0"/>
              <w:rPr>
                <w:sz w:val="17"/>
                <w:szCs w:val="17"/>
                <w:color w:val="auto"/>
              </w:rPr>
            </w:pPr>
          </w:p>
        </w:tc>
        <w:tc>
          <w:tcPr>
            <w:tcW w:w="6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of debt ..................................</w:t>
            </w: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Net income ................................</w:t>
            </w:r>
          </w:p>
        </w:tc>
        <w:tc>
          <w:tcPr>
            <w:tcW w:w="1140" w:type="dxa"/>
            <w:vAlign w:val="bottom"/>
            <w:gridSpan w:val="2"/>
            <w:vMerge w:val="restart"/>
          </w:tcPr>
          <w:p>
            <w:pPr>
              <w:jc w:val="right"/>
              <w:ind w:right="213"/>
              <w:spacing w:after="0"/>
              <w:rPr>
                <w:sz w:val="20"/>
                <w:szCs w:val="20"/>
                <w:color w:val="auto"/>
              </w:rPr>
            </w:pPr>
            <w:r>
              <w:rPr>
                <w:rFonts w:ascii="Courier New" w:cs="Courier New" w:eastAsia="Courier New" w:hAnsi="Courier New"/>
                <w:sz w:val="24"/>
                <w:szCs w:val="24"/>
                <w:color w:val="auto"/>
                <w:w w:val="70"/>
                <w:vertAlign w:val="subscript"/>
              </w:rPr>
              <w:t>$</w:t>
            </w:r>
            <w:r>
              <w:rPr>
                <w:rFonts w:ascii="Courier New" w:cs="Courier New" w:eastAsia="Courier New" w:hAnsi="Courier New"/>
                <w:sz w:val="14"/>
                <w:szCs w:val="14"/>
                <w:color w:val="auto"/>
                <w:w w:val="70"/>
              </w:rPr>
              <w:t>-------</w:t>
            </w:r>
            <w:r>
              <w:rPr>
                <w:rFonts w:ascii="Courier New" w:cs="Courier New" w:eastAsia="Courier New" w:hAnsi="Courier New"/>
                <w:sz w:val="24"/>
                <w:szCs w:val="24"/>
                <w:color w:val="auto"/>
                <w:w w:val="70"/>
                <w:vertAlign w:val="subscript"/>
              </w:rPr>
              <w:t>1,805</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$ 1,088</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4"/>
                <w:szCs w:val="24"/>
                <w:color w:val="auto"/>
              </w:rPr>
            </w:pPr>
          </w:p>
        </w:tc>
        <w:tc>
          <w:tcPr>
            <w:tcW w:w="11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620" w:type="dxa"/>
            <w:vAlign w:val="bottom"/>
          </w:tcPr>
          <w:p>
            <w:pPr>
              <w:spacing w:after="0"/>
              <w:rPr>
                <w:sz w:val="20"/>
                <w:szCs w:val="20"/>
                <w:color w:val="auto"/>
              </w:rPr>
            </w:pPr>
            <w:r>
              <w:rPr>
                <w:rFonts w:ascii="Courier New" w:cs="Courier New" w:eastAsia="Courier New" w:hAnsi="Courier New"/>
                <w:sz w:val="17"/>
                <w:szCs w:val="17"/>
                <w:color w:val="auto"/>
              </w:rPr>
              <w:t>Diluted earnings (loss) per common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Continuing operations before extraordinary</w:t>
            </w: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.76</w:t>
            </w:r>
          </w:p>
        </w:tc>
        <w:tc>
          <w:tcPr>
            <w:tcW w:w="3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2.58</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w:t>
            </w:r>
          </w:p>
        </w:tc>
        <w:tc>
          <w:tcPr>
            <w:tcW w:w="3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ind w:left="120"/>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7"/>
                <w:szCs w:val="17"/>
                <w:color w:val="auto"/>
              </w:rPr>
            </w:pP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.13</w:t>
            </w:r>
          </w:p>
        </w:tc>
        <w:tc>
          <w:tcPr>
            <w:tcW w:w="380" w:type="dxa"/>
            <w:vAlign w:val="bottom"/>
          </w:tcPr>
          <w:p>
            <w:pPr>
              <w:spacing w:after="0"/>
              <w:rPr>
                <w:sz w:val="17"/>
                <w:szCs w:val="17"/>
                <w:color w:val="auto"/>
              </w:rPr>
            </w:pPr>
          </w:p>
        </w:tc>
        <w:tc>
          <w:tcPr>
            <w:tcW w:w="6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.29</w:t>
            </w:r>
          </w:p>
        </w:tc>
        <w:tc>
          <w:tcPr>
            <w:tcW w:w="580" w:type="dxa"/>
            <w:vAlign w:val="bottom"/>
          </w:tcPr>
          <w:p>
            <w:pPr>
              <w:spacing w:after="0"/>
              <w:rPr>
                <w:sz w:val="17"/>
                <w:szCs w:val="17"/>
                <w:color w:val="auto"/>
              </w:rPr>
            </w:pP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from operations ..................</w:t>
            </w: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Gain on sale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3.70</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Extraordinary item .......................</w:t>
            </w:r>
          </w:p>
        </w:tc>
        <w:tc>
          <w:tcPr>
            <w:tcW w:w="30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(.05)</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Net income ...............................</w:t>
            </w:r>
          </w:p>
        </w:tc>
        <w:tc>
          <w:tcPr>
            <w:tcW w:w="300" w:type="dxa"/>
            <w:vAlign w:val="bottom"/>
            <w:vMerge w:val="restart"/>
          </w:tcPr>
          <w:p>
            <w:pPr>
              <w:ind w:left="100"/>
              <w:spacing w:after="0"/>
              <w:rPr>
                <w:sz w:val="20"/>
                <w:szCs w:val="20"/>
                <w:color w:val="auto"/>
              </w:rPr>
            </w:pPr>
            <w:r>
              <w:rPr>
                <w:rFonts w:ascii="Courier New" w:cs="Courier New" w:eastAsia="Courier New" w:hAnsi="Courier New"/>
                <w:sz w:val="8"/>
                <w:szCs w:val="8"/>
                <w:color w:val="auto"/>
                <w:w w:val="89"/>
                <w:vertAlign w:val="subscript"/>
              </w:rPr>
              <w:t>$</w:t>
            </w:r>
            <w:r>
              <w:rPr>
                <w:rFonts w:ascii="Courier New" w:cs="Courier New" w:eastAsia="Courier New" w:hAnsi="Courier New"/>
                <w:sz w:val="4"/>
                <w:szCs w:val="4"/>
                <w:color w:val="auto"/>
                <w:w w:val="89"/>
              </w:rPr>
              <w:t>-------</w:t>
            </w: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4.54</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2.81</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4"/>
                <w:szCs w:val="24"/>
                <w:color w:val="auto"/>
              </w:rPr>
            </w:pPr>
          </w:p>
        </w:tc>
        <w:tc>
          <w:tcPr>
            <w:tcW w:w="11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620" w:type="dxa"/>
            <w:vAlign w:val="bottom"/>
          </w:tcPr>
          <w:p>
            <w:pPr>
              <w:spacing w:after="0"/>
              <w:rPr>
                <w:sz w:val="20"/>
                <w:szCs w:val="20"/>
                <w:color w:val="auto"/>
              </w:rPr>
            </w:pPr>
            <w:r>
              <w:rPr>
                <w:rFonts w:ascii="Courier New" w:cs="Courier New" w:eastAsia="Courier New" w:hAnsi="Courier New"/>
                <w:sz w:val="17"/>
                <w:szCs w:val="17"/>
                <w:color w:val="auto"/>
              </w:rPr>
              <w:t>Basic earnings (loss) per common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Continuing operations before extraordinary</w:t>
            </w: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.78</w:t>
            </w:r>
          </w:p>
        </w:tc>
        <w:tc>
          <w:tcPr>
            <w:tcW w:w="3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2.65</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w:t>
            </w:r>
          </w:p>
        </w:tc>
        <w:tc>
          <w:tcPr>
            <w:tcW w:w="3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ind w:left="120"/>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7"/>
                <w:szCs w:val="17"/>
                <w:color w:val="auto"/>
              </w:rPr>
            </w:pP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.14</w:t>
            </w:r>
          </w:p>
        </w:tc>
        <w:tc>
          <w:tcPr>
            <w:tcW w:w="380" w:type="dxa"/>
            <w:vAlign w:val="bottom"/>
          </w:tcPr>
          <w:p>
            <w:pPr>
              <w:spacing w:after="0"/>
              <w:rPr>
                <w:sz w:val="17"/>
                <w:szCs w:val="17"/>
                <w:color w:val="auto"/>
              </w:rPr>
            </w:pPr>
          </w:p>
        </w:tc>
        <w:tc>
          <w:tcPr>
            <w:tcW w:w="6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.29</w:t>
            </w:r>
          </w:p>
        </w:tc>
        <w:tc>
          <w:tcPr>
            <w:tcW w:w="580" w:type="dxa"/>
            <w:vAlign w:val="bottom"/>
          </w:tcPr>
          <w:p>
            <w:pPr>
              <w:spacing w:after="0"/>
              <w:rPr>
                <w:sz w:val="17"/>
                <w:szCs w:val="17"/>
                <w:color w:val="auto"/>
              </w:rPr>
            </w:pPr>
          </w:p>
        </w:tc>
        <w:tc>
          <w:tcPr>
            <w:tcW w:w="120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.25</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from operations ..................</w:t>
            </w: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Gain on sale ............................</w:t>
            </w:r>
          </w:p>
        </w:tc>
        <w:tc>
          <w:tcPr>
            <w:tcW w:w="3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3.82</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Extraordinary item .......................</w:t>
            </w:r>
          </w:p>
        </w:tc>
        <w:tc>
          <w:tcPr>
            <w:tcW w:w="30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(.05)</w:t>
            </w:r>
          </w:p>
        </w:tc>
        <w:tc>
          <w:tcPr>
            <w:tcW w:w="38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Net income ...............................</w:t>
            </w:r>
          </w:p>
        </w:tc>
        <w:tc>
          <w:tcPr>
            <w:tcW w:w="300" w:type="dxa"/>
            <w:vAlign w:val="bottom"/>
            <w:vMerge w:val="restart"/>
          </w:tcPr>
          <w:p>
            <w:pPr>
              <w:ind w:left="100"/>
              <w:spacing w:after="0"/>
              <w:rPr>
                <w:sz w:val="20"/>
                <w:szCs w:val="20"/>
                <w:color w:val="auto"/>
              </w:rPr>
            </w:pPr>
            <w:r>
              <w:rPr>
                <w:rFonts w:ascii="Courier New" w:cs="Courier New" w:eastAsia="Courier New" w:hAnsi="Courier New"/>
                <w:sz w:val="8"/>
                <w:szCs w:val="8"/>
                <w:color w:val="auto"/>
                <w:w w:val="89"/>
                <w:vertAlign w:val="subscript"/>
              </w:rPr>
              <w:t>$</w:t>
            </w:r>
            <w:r>
              <w:rPr>
                <w:rFonts w:ascii="Courier New" w:cs="Courier New" w:eastAsia="Courier New" w:hAnsi="Courier New"/>
                <w:sz w:val="4"/>
                <w:szCs w:val="4"/>
                <w:color w:val="auto"/>
                <w:w w:val="89"/>
              </w:rPr>
              <w:t>-------</w:t>
            </w:r>
          </w:p>
        </w:tc>
        <w:tc>
          <w:tcPr>
            <w:tcW w:w="8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4.69</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2.90</w:t>
            </w:r>
          </w:p>
        </w:tc>
        <w:tc>
          <w:tcPr>
            <w:tcW w:w="0" w:type="dxa"/>
            <w:vAlign w:val="bottom"/>
          </w:tcPr>
          <w:p>
            <w:pPr>
              <w:spacing w:after="0"/>
              <w:rPr>
                <w:sz w:val="1"/>
                <w:szCs w:val="1"/>
                <w:color w:val="auto"/>
              </w:rPr>
            </w:pPr>
          </w:p>
        </w:tc>
      </w:tr>
      <w:tr>
        <w:trPr>
          <w:trHeight w:val="295"/>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See accompanying notes.</w:t>
            </w:r>
          </w:p>
        </w:tc>
        <w:tc>
          <w:tcPr>
            <w:tcW w:w="11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620" w:type="dxa"/>
            <w:vAlign w:val="bottom"/>
          </w:tcPr>
          <w:p>
            <w:pPr>
              <w:spacing w:after="0"/>
              <w:rPr>
                <w:sz w:val="20"/>
                <w:szCs w:val="20"/>
                <w:color w:val="auto"/>
              </w:rPr>
            </w:pPr>
            <w:r>
              <w:rPr>
                <w:rFonts w:ascii="Courier New" w:cs="Courier New" w:eastAsia="Courier New" w:hAnsi="Courier New"/>
                <w:sz w:val="17"/>
                <w:szCs w:val="17"/>
                <w:color w:val="auto"/>
              </w:rPr>
              <w:t>14</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20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BALANCE SHEET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33"/>
        </w:trPr>
        <w:tc>
          <w:tcPr>
            <w:tcW w:w="46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1997</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bl>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7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$ 1,015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964</w:t>
            </w: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Cash and cash equivalents ...................................</w:t>
            </w:r>
          </w:p>
        </w:tc>
        <w:tc>
          <w:tcPr>
            <w:tcW w:w="10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Short-term investments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10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1,705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1,799</w:t>
            </w:r>
          </w:p>
        </w:tc>
        <w:tc>
          <w:tcPr>
            <w:tcW w:w="0" w:type="dxa"/>
            <w:vAlign w:val="bottom"/>
          </w:tcPr>
          <w:p>
            <w:pPr>
              <w:spacing w:after="0"/>
              <w:rPr>
                <w:sz w:val="1"/>
                <w:szCs w:val="1"/>
                <w:color w:val="auto"/>
              </w:rPr>
            </w:pPr>
          </w:p>
        </w:tc>
      </w:tr>
      <w:tr>
        <w:trPr>
          <w:trHeight w:val="201"/>
        </w:trPr>
        <w:tc>
          <w:tcPr>
            <w:tcW w:w="6560" w:type="dxa"/>
            <w:vAlign w:val="bottom"/>
          </w:tcPr>
          <w:p>
            <w:pPr>
              <w:ind w:left="320"/>
              <w:spacing w:after="0"/>
              <w:rPr>
                <w:sz w:val="20"/>
                <w:szCs w:val="20"/>
                <w:color w:val="auto"/>
              </w:rPr>
            </w:pPr>
            <w:r>
              <w:rPr>
                <w:rFonts w:ascii="Courier New" w:cs="Courier New" w:eastAsia="Courier New" w:hAnsi="Courier New"/>
                <w:sz w:val="17"/>
                <w:szCs w:val="17"/>
                <w:color w:val="auto"/>
              </w:rPr>
              <w:t>$73 million in 1997 and $90 million in 1996................</w:t>
            </w:r>
          </w:p>
        </w:tc>
        <w:tc>
          <w:tcPr>
            <w:tcW w:w="10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Inventories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742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703</w:t>
            </w:r>
          </w:p>
        </w:tc>
        <w:tc>
          <w:tcPr>
            <w:tcW w:w="0" w:type="dxa"/>
            <w:vAlign w:val="bottom"/>
          </w:tcPr>
          <w:p>
            <w:pPr>
              <w:spacing w:after="0"/>
              <w:rPr>
                <w:sz w:val="1"/>
                <w:szCs w:val="1"/>
                <w:color w:val="auto"/>
              </w:rPr>
            </w:pPr>
          </w:p>
        </w:tc>
      </w:tr>
      <w:tr>
        <w:trPr>
          <w:trHeight w:val="295"/>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Prepaid expenses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0" w:type="dxa"/>
            <w:vAlign w:val="bottom"/>
          </w:tcPr>
          <w:p>
            <w:pPr>
              <w:spacing w:after="0"/>
              <w:rPr>
                <w:sz w:val="1"/>
                <w:szCs w:val="1"/>
                <w:color w:val="auto"/>
              </w:rPr>
            </w:pPr>
          </w:p>
        </w:tc>
      </w:tr>
    </w:tbl>
    <w:p>
      <w:pPr>
        <w:sectPr>
          <w:pgSz w:w="11900" w:h="16920" w:orient="portrait"/>
          <w:cols w:equalWidth="0" w:num="1">
            <w:col w:w="10219"/>
          </w:cols>
          <w:pgMar w:left="240" w:top="311" w:right="1440" w:bottom="0" w:gutter="0" w:footer="0" w:header="0"/>
        </w:sectPr>
      </w:pPr>
    </w:p>
    <w:bookmarkStart w:id="19" w:name="page20"/>
    <w:bookmarkEnd w:id="19"/>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Deferred income taxes .......................................</w:t>
            </w: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577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395</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Net assets of discontinued operations .......................</w:t>
            </w: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529</w:t>
            </w:r>
          </w:p>
        </w:tc>
        <w:tc>
          <w:tcPr>
            <w:tcW w:w="0" w:type="dxa"/>
            <w:vAlign w:val="bottom"/>
          </w:tcPr>
          <w:p>
            <w:pPr>
              <w:spacing w:after="0"/>
              <w:rPr>
                <w:sz w:val="1"/>
                <w:szCs w:val="1"/>
                <w:color w:val="auto"/>
              </w:rPr>
            </w:pPr>
          </w:p>
        </w:tc>
      </w:tr>
      <w:tr>
        <w:trPr>
          <w:trHeight w:val="201"/>
        </w:trPr>
        <w:tc>
          <w:tcPr>
            <w:tcW w:w="6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Total current assets ......................................</w:t>
            </w:r>
          </w:p>
        </w:tc>
        <w:tc>
          <w:tcPr>
            <w:tcW w:w="1100" w:type="dxa"/>
            <w:vAlign w:val="bottom"/>
            <w:vMerge w:val="restart"/>
          </w:tcPr>
          <w:p>
            <w:pPr>
              <w:jc w:val="right"/>
              <w:ind w:right="238"/>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4"/>
                <w:szCs w:val="24"/>
                <w:color w:val="auto"/>
                <w:w w:val="71"/>
                <w:vertAlign w:val="subscript"/>
              </w:rPr>
              <w:t>6,103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4,454</w:t>
            </w:r>
          </w:p>
        </w:tc>
        <w:tc>
          <w:tcPr>
            <w:tcW w:w="0" w:type="dxa"/>
            <w:vAlign w:val="bottom"/>
          </w:tcPr>
          <w:p>
            <w:pPr>
              <w:spacing w:after="0"/>
              <w:rPr>
                <w:sz w:val="1"/>
                <w:szCs w:val="1"/>
                <w:color w:val="auto"/>
              </w:rPr>
            </w:pPr>
          </w:p>
        </w:tc>
      </w:tr>
      <w:tr>
        <w:trPr>
          <w:trHeight w:val="295"/>
        </w:trPr>
        <w:tc>
          <w:tcPr>
            <w:tcW w:w="6560" w:type="dxa"/>
            <w:vAlign w:val="bottom"/>
          </w:tcPr>
          <w:p>
            <w:pPr>
              <w:spacing w:after="0"/>
              <w:rPr>
                <w:sz w:val="24"/>
                <w:szCs w:val="24"/>
                <w:color w:val="auto"/>
              </w:rPr>
            </w:pP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Property, plant and equipment at cost ........................</w:t>
            </w: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7,414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6,712</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Less accumulated depreciation ...............................</w:t>
            </w:r>
          </w:p>
        </w:tc>
        <w:tc>
          <w:tcPr>
            <w:tcW w:w="1100" w:type="dxa"/>
            <w:vAlign w:val="bottom"/>
          </w:tcPr>
          <w:p>
            <w:pPr>
              <w:jc w:val="right"/>
              <w:ind w:right="138"/>
              <w:spacing w:after="0"/>
              <w:rPr>
                <w:sz w:val="20"/>
                <w:szCs w:val="20"/>
                <w:color w:val="auto"/>
              </w:rPr>
            </w:pPr>
            <w:r>
              <w:rPr>
                <w:rFonts w:ascii="Courier New" w:cs="Courier New" w:eastAsia="Courier New" w:hAnsi="Courier New"/>
                <w:sz w:val="17"/>
                <w:szCs w:val="17"/>
                <w:color w:val="auto"/>
              </w:rPr>
              <w:t>(3,234)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(2,550)</w:t>
            </w:r>
          </w:p>
        </w:tc>
        <w:tc>
          <w:tcPr>
            <w:tcW w:w="0" w:type="dxa"/>
            <w:vAlign w:val="bottom"/>
          </w:tcPr>
          <w:p>
            <w:pPr>
              <w:spacing w:after="0"/>
              <w:rPr>
                <w:sz w:val="1"/>
                <w:szCs w:val="1"/>
                <w:color w:val="auto"/>
              </w:rPr>
            </w:pPr>
          </w:p>
        </w:tc>
      </w:tr>
      <w:tr>
        <w:trPr>
          <w:trHeight w:val="201"/>
        </w:trPr>
        <w:tc>
          <w:tcPr>
            <w:tcW w:w="6560" w:type="dxa"/>
            <w:vAlign w:val="bottom"/>
            <w:vMerge w:val="restart"/>
          </w:tcPr>
          <w:p>
            <w:pPr>
              <w:jc w:val="right"/>
              <w:ind w:right="2493"/>
              <w:spacing w:after="0"/>
              <w:rPr>
                <w:sz w:val="20"/>
                <w:szCs w:val="20"/>
                <w:color w:val="auto"/>
              </w:rPr>
            </w:pPr>
            <w:r>
              <w:rPr>
                <w:rFonts w:ascii="Courier New" w:cs="Courier New" w:eastAsia="Courier New" w:hAnsi="Courier New"/>
                <w:sz w:val="17"/>
                <w:szCs w:val="17"/>
                <w:color w:val="auto"/>
              </w:rPr>
              <w:t>Property, plant and equipment (net)</w:t>
            </w:r>
          </w:p>
        </w:tc>
        <w:tc>
          <w:tcPr>
            <w:tcW w:w="1100" w:type="dxa"/>
            <w:vAlign w:val="bottom"/>
            <w:vMerge w:val="restart"/>
          </w:tcPr>
          <w:p>
            <w:pPr>
              <w:jc w:val="right"/>
              <w:ind w:right="238"/>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4"/>
                <w:szCs w:val="24"/>
                <w:color w:val="auto"/>
                <w:w w:val="71"/>
                <w:vertAlign w:val="subscript"/>
              </w:rPr>
              <w:t>4,180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vMerge w:val="continue"/>
          </w:tcPr>
          <w:p>
            <w:pPr>
              <w:jc w:val="right"/>
              <w:spacing w:after="0" w:line="178" w:lineRule="exact"/>
              <w:rPr>
                <w:sz w:val="20"/>
                <w:szCs w:val="20"/>
                <w:color w:val="auto"/>
              </w:rPr>
            </w:pPr>
            <w:r>
              <w:rPr>
                <w:rFonts w:ascii="Courier New" w:cs="Courier New" w:eastAsia="Courier New" w:hAnsi="Courier New"/>
                <w:sz w:val="17"/>
                <w:szCs w:val="17"/>
                <w:color w:val="auto"/>
              </w:rPr>
              <w:t>.......................</w:t>
            </w:r>
          </w:p>
        </w:tc>
        <w:tc>
          <w:tcPr>
            <w:tcW w:w="1100" w:type="dxa"/>
            <w:vAlign w:val="bottom"/>
            <w:vMerge w:val="continue"/>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4,162</w:t>
            </w:r>
          </w:p>
        </w:tc>
        <w:tc>
          <w:tcPr>
            <w:tcW w:w="0" w:type="dxa"/>
            <w:vAlign w:val="bottom"/>
          </w:tcPr>
          <w:p>
            <w:pPr>
              <w:spacing w:after="0"/>
              <w:rPr>
                <w:sz w:val="1"/>
                <w:szCs w:val="1"/>
                <w:color w:val="auto"/>
              </w:rPr>
            </w:pPr>
          </w:p>
        </w:tc>
      </w:tr>
      <w:tr>
        <w:trPr>
          <w:trHeight w:val="295"/>
        </w:trPr>
        <w:tc>
          <w:tcPr>
            <w:tcW w:w="6560" w:type="dxa"/>
            <w:vAlign w:val="bottom"/>
          </w:tcPr>
          <w:p>
            <w:pPr>
              <w:spacing w:after="0"/>
              <w:rPr>
                <w:sz w:val="24"/>
                <w:szCs w:val="24"/>
                <w:color w:val="auto"/>
              </w:rPr>
            </w:pP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Deferred income taxes ........................................</w:t>
            </w: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134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192</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Other assets .................................................</w:t>
            </w: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432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552</w:t>
            </w:r>
          </w:p>
        </w:tc>
        <w:tc>
          <w:tcPr>
            <w:tcW w:w="0" w:type="dxa"/>
            <w:vAlign w:val="bottom"/>
          </w:tcPr>
          <w:p>
            <w:pPr>
              <w:spacing w:after="0"/>
              <w:rPr>
                <w:sz w:val="1"/>
                <w:szCs w:val="1"/>
                <w:color w:val="auto"/>
              </w:rPr>
            </w:pPr>
          </w:p>
        </w:tc>
      </w:tr>
      <w:tr>
        <w:trPr>
          <w:trHeight w:val="201"/>
        </w:trPr>
        <w:tc>
          <w:tcPr>
            <w:tcW w:w="6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Total assets .................................................</w:t>
            </w:r>
          </w:p>
        </w:tc>
        <w:tc>
          <w:tcPr>
            <w:tcW w:w="1100" w:type="dxa"/>
            <w:vAlign w:val="bottom"/>
            <w:vMerge w:val="restart"/>
          </w:tcPr>
          <w:p>
            <w:pPr>
              <w:jc w:val="right"/>
              <w:ind w:right="238"/>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perscript"/>
              </w:rPr>
              <w:t>-------</w:t>
            </w:r>
            <w:r>
              <w:rPr>
                <w:rFonts w:ascii="Courier New" w:cs="Courier New" w:eastAsia="Courier New" w:hAnsi="Courier New"/>
                <w:sz w:val="12"/>
                <w:szCs w:val="12"/>
                <w:color w:val="auto"/>
                <w:w w:val="71"/>
              </w:rPr>
              <w:t>10,849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$ 9,360</w:t>
            </w:r>
          </w:p>
        </w:tc>
        <w:tc>
          <w:tcPr>
            <w:tcW w:w="0" w:type="dxa"/>
            <w:vAlign w:val="bottom"/>
          </w:tcPr>
          <w:p>
            <w:pPr>
              <w:spacing w:after="0"/>
              <w:rPr>
                <w:sz w:val="1"/>
                <w:szCs w:val="1"/>
                <w:color w:val="auto"/>
              </w:rPr>
            </w:pPr>
          </w:p>
        </w:tc>
      </w:tr>
      <w:tr>
        <w:trPr>
          <w:trHeight w:val="295"/>
        </w:trPr>
        <w:tc>
          <w:tcPr>
            <w:tcW w:w="6560" w:type="dxa"/>
            <w:vAlign w:val="bottom"/>
          </w:tcPr>
          <w:p>
            <w:pPr>
              <w:spacing w:after="0"/>
              <w:rPr>
                <w:sz w:val="24"/>
                <w:szCs w:val="24"/>
                <w:color w:val="auto"/>
              </w:rPr>
            </w:pPr>
          </w:p>
        </w:tc>
        <w:tc>
          <w:tcPr>
            <w:tcW w:w="1100" w:type="dxa"/>
            <w:vAlign w:val="bottom"/>
          </w:tcPr>
          <w:p>
            <w:pPr>
              <w:jc w:val="right"/>
              <w:ind w:right="238"/>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5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65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60" w:type="dxa"/>
            <w:vAlign w:val="bottom"/>
            <w:vMerge w:val="restart"/>
          </w:tcPr>
          <w:p>
            <w:pPr>
              <w:ind w:left="40"/>
              <w:spacing w:after="0"/>
              <w:rPr>
                <w:sz w:val="20"/>
                <w:szCs w:val="20"/>
                <w:color w:val="auto"/>
              </w:rPr>
            </w:pPr>
            <w:r>
              <w:rPr>
                <w:rFonts w:ascii="Courier New" w:cs="Courier New" w:eastAsia="Courier New" w:hAnsi="Courier New"/>
                <w:sz w:val="17"/>
                <w:szCs w:val="17"/>
                <w:color w:val="auto"/>
                <w:w w:val="97"/>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71</w:t>
            </w:r>
          </w:p>
        </w:tc>
        <w:tc>
          <w:tcPr>
            <w:tcW w:w="10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314</w:t>
            </w: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Loans payable and current portion long-term debt ............</w:t>
            </w: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Accounts payable and accrued expenses .......................</w:t>
            </w:r>
          </w:p>
        </w:tc>
        <w:tc>
          <w:tcPr>
            <w:tcW w:w="1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2,082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1,940</w:t>
            </w: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Income taxes payable ........................................</w:t>
            </w:r>
          </w:p>
        </w:tc>
        <w:tc>
          <w:tcPr>
            <w:tcW w:w="1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163</w:t>
            </w: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Accrued retirement and profit sharing contributions .........</w:t>
            </w:r>
          </w:p>
        </w:tc>
        <w:tc>
          <w:tcPr>
            <w:tcW w:w="1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w:t>
            </w:r>
          </w:p>
        </w:tc>
        <w:tc>
          <w:tcPr>
            <w:tcW w:w="0" w:type="dxa"/>
            <w:vAlign w:val="bottom"/>
          </w:tcPr>
          <w:p>
            <w:pPr>
              <w:spacing w:after="0"/>
              <w:rPr>
                <w:sz w:val="1"/>
                <w:szCs w:val="1"/>
                <w:color w:val="auto"/>
              </w:rPr>
            </w:pPr>
          </w:p>
        </w:tc>
      </w:tr>
      <w:tr>
        <w:trPr>
          <w:trHeight w:val="201"/>
        </w:trPr>
        <w:tc>
          <w:tcPr>
            <w:tcW w:w="6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Total current liabilities .................................</w:t>
            </w:r>
          </w:p>
        </w:tc>
        <w:tc>
          <w:tcPr>
            <w:tcW w:w="160" w:type="dxa"/>
            <w:vAlign w:val="bottom"/>
          </w:tcPr>
          <w:p>
            <w:pPr>
              <w:ind w:left="40"/>
              <w:spacing w:after="0"/>
              <w:rPr>
                <w:sz w:val="20"/>
                <w:szCs w:val="20"/>
                <w:color w:val="auto"/>
              </w:rPr>
            </w:pPr>
            <w:r>
              <w:rPr>
                <w:rFonts w:ascii="Courier New" w:cs="Courier New" w:eastAsia="Courier New" w:hAnsi="Courier New"/>
                <w:sz w:val="3"/>
                <w:szCs w:val="3"/>
                <w:color w:val="auto"/>
                <w:w w:val="78"/>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2,496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2,486</w:t>
            </w:r>
          </w:p>
        </w:tc>
        <w:tc>
          <w:tcPr>
            <w:tcW w:w="0" w:type="dxa"/>
            <w:vAlign w:val="bottom"/>
          </w:tcPr>
          <w:p>
            <w:pPr>
              <w:spacing w:after="0"/>
              <w:rPr>
                <w:sz w:val="1"/>
                <w:szCs w:val="1"/>
                <w:color w:val="auto"/>
              </w:rPr>
            </w:pPr>
          </w:p>
        </w:tc>
      </w:tr>
      <w:tr>
        <w:trPr>
          <w:trHeight w:val="295"/>
        </w:trPr>
        <w:tc>
          <w:tcPr>
            <w:tcW w:w="6560" w:type="dxa"/>
            <w:vAlign w:val="bottom"/>
          </w:tcPr>
          <w:p>
            <w:pPr>
              <w:spacing w:after="0"/>
              <w:rPr>
                <w:sz w:val="24"/>
                <w:szCs w:val="24"/>
                <w:color w:val="auto"/>
              </w:rPr>
            </w:pPr>
          </w:p>
        </w:tc>
        <w:tc>
          <w:tcPr>
            <w:tcW w:w="11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Long-term debt ...............................................</w:t>
            </w:r>
          </w:p>
        </w:tc>
        <w:tc>
          <w:tcPr>
            <w:tcW w:w="16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1,286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1,697</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Accrued retirement costs .....................................</w:t>
            </w:r>
          </w:p>
        </w:tc>
        <w:tc>
          <w:tcPr>
            <w:tcW w:w="1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731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719</w:t>
            </w:r>
          </w:p>
        </w:tc>
        <w:tc>
          <w:tcPr>
            <w:tcW w:w="0" w:type="dxa"/>
            <w:vAlign w:val="bottom"/>
          </w:tcPr>
          <w:p>
            <w:pPr>
              <w:spacing w:after="0"/>
              <w:rPr>
                <w:sz w:val="1"/>
                <w:szCs w:val="1"/>
                <w:color w:val="auto"/>
              </w:rPr>
            </w:pPr>
          </w:p>
        </w:tc>
      </w:tr>
      <w:tr>
        <w:trPr>
          <w:trHeight w:val="295"/>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Deferred credits and other liabilities .......................</w:t>
            </w:r>
          </w:p>
        </w:tc>
        <w:tc>
          <w:tcPr>
            <w:tcW w:w="16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422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361</w:t>
            </w:r>
          </w:p>
        </w:tc>
        <w:tc>
          <w:tcPr>
            <w:tcW w:w="0" w:type="dxa"/>
            <w:vAlign w:val="bottom"/>
          </w:tcPr>
          <w:p>
            <w:pPr>
              <w:spacing w:after="0"/>
              <w:rPr>
                <w:sz w:val="1"/>
                <w:szCs w:val="1"/>
                <w:color w:val="auto"/>
              </w:rPr>
            </w:pPr>
          </w:p>
        </w:tc>
      </w:tr>
      <w:tr>
        <w:trPr>
          <w:trHeight w:val="309"/>
        </w:trPr>
        <w:tc>
          <w:tcPr>
            <w:tcW w:w="65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Preferred stock, $25 par value.  Authorized - 10,000,000</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jc w:val="right"/>
              <w:ind w:right="5513"/>
              <w:spacing w:after="0"/>
              <w:rPr>
                <w:sz w:val="20"/>
                <w:szCs w:val="20"/>
                <w:color w:val="auto"/>
              </w:rPr>
            </w:pPr>
            <w:r>
              <w:rPr>
                <w:rFonts w:ascii="Courier New" w:cs="Courier New" w:eastAsia="Courier New" w:hAnsi="Courier New"/>
                <w:sz w:val="17"/>
                <w:szCs w:val="17"/>
                <w:color w:val="auto"/>
              </w:rPr>
              <w:t>shares.</w:t>
            </w:r>
          </w:p>
        </w:tc>
        <w:tc>
          <w:tcPr>
            <w:tcW w:w="160" w:type="dxa"/>
            <w:vAlign w:val="bottom"/>
          </w:tcPr>
          <w:p>
            <w:pPr>
              <w:spacing w:after="0"/>
              <w:rPr>
                <w:sz w:val="17"/>
                <w:szCs w:val="17"/>
                <w:color w:val="auto"/>
              </w:rPr>
            </w:pP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Participating cumulative preferred. .......................</w:t>
            </w: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Common stock, $1 par value.  Authorized - 500,000,000</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jc w:val="right"/>
              <w:ind w:right="1553"/>
              <w:spacing w:after="0"/>
              <w:rPr>
                <w:sz w:val="20"/>
                <w:szCs w:val="20"/>
                <w:color w:val="auto"/>
              </w:rPr>
            </w:pPr>
            <w:r>
              <w:rPr>
                <w:rFonts w:ascii="Courier New" w:cs="Courier New" w:eastAsia="Courier New" w:hAnsi="Courier New"/>
                <w:sz w:val="17"/>
                <w:szCs w:val="17"/>
                <w:color w:val="auto"/>
              </w:rPr>
              <w:t>shares.  Shares issued:  1997 - 390,359,317;</w:t>
            </w:r>
          </w:p>
        </w:tc>
        <w:tc>
          <w:tcPr>
            <w:tcW w:w="160" w:type="dxa"/>
            <w:vAlign w:val="bottom"/>
          </w:tcPr>
          <w:p>
            <w:pPr>
              <w:spacing w:after="0"/>
              <w:rPr>
                <w:sz w:val="17"/>
                <w:szCs w:val="17"/>
                <w:color w:val="auto"/>
              </w:rPr>
            </w:pP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390</w:t>
            </w:r>
          </w:p>
        </w:tc>
        <w:tc>
          <w:tcPr>
            <w:tcW w:w="10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190</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1996 - 190,396,797.........................................</w:t>
            </w: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Paid-in capital .............................................</w:t>
            </w:r>
          </w:p>
        </w:tc>
        <w:tc>
          <w:tcPr>
            <w:tcW w:w="1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1,183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1,116</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 ...........................................</w:t>
            </w:r>
          </w:p>
        </w:tc>
        <w:tc>
          <w:tcPr>
            <w:tcW w:w="1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4,488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2,814</w:t>
            </w:r>
          </w:p>
        </w:tc>
        <w:tc>
          <w:tcPr>
            <w:tcW w:w="0" w:type="dxa"/>
            <w:vAlign w:val="bottom"/>
          </w:tcPr>
          <w:p>
            <w:pPr>
              <w:spacing w:after="0"/>
              <w:rPr>
                <w:sz w:val="1"/>
                <w:szCs w:val="1"/>
                <w:color w:val="auto"/>
              </w:rPr>
            </w:pPr>
          </w:p>
        </w:tc>
      </w:tr>
      <w:tr>
        <w:trPr>
          <w:trHeight w:val="201"/>
        </w:trPr>
        <w:tc>
          <w:tcPr>
            <w:tcW w:w="6560" w:type="dxa"/>
            <w:vAlign w:val="bottom"/>
          </w:tcPr>
          <w:p>
            <w:pPr>
              <w:ind w:left="120"/>
              <w:spacing w:after="0"/>
              <w:rPr>
                <w:sz w:val="20"/>
                <w:szCs w:val="20"/>
                <w:color w:val="auto"/>
              </w:rPr>
            </w:pPr>
            <w:r>
              <w:rPr>
                <w:rFonts w:ascii="Courier New" w:cs="Courier New" w:eastAsia="Courier New" w:hAnsi="Courier New"/>
                <w:sz w:val="17"/>
                <w:szCs w:val="17"/>
                <w:color w:val="auto"/>
              </w:rPr>
              <w:t>Less treasury common stock at cost.</w:t>
            </w:r>
          </w:p>
        </w:tc>
        <w:tc>
          <w:tcPr>
            <w:tcW w:w="160" w:type="dxa"/>
            <w:vAlign w:val="bottom"/>
          </w:tcPr>
          <w:p>
            <w:pPr>
              <w:spacing w:after="0"/>
              <w:rPr>
                <w:sz w:val="17"/>
                <w:szCs w:val="17"/>
                <w:color w:val="auto"/>
              </w:rPr>
            </w:pPr>
          </w:p>
        </w:tc>
        <w:tc>
          <w:tcPr>
            <w:tcW w:w="9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(94)</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Shares:  1997 - 860,765;  1996 - 143,525...................</w:t>
            </w: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16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201"/>
        </w:trPr>
        <w:tc>
          <w:tcPr>
            <w:tcW w:w="6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Total stockholders' equity ...............................</w:t>
            </w:r>
          </w:p>
        </w:tc>
        <w:tc>
          <w:tcPr>
            <w:tcW w:w="160" w:type="dxa"/>
            <w:vAlign w:val="bottom"/>
          </w:tcPr>
          <w:p>
            <w:pPr>
              <w:ind w:left="40"/>
              <w:spacing w:after="0"/>
              <w:rPr>
                <w:sz w:val="20"/>
                <w:szCs w:val="20"/>
                <w:color w:val="auto"/>
              </w:rPr>
            </w:pPr>
            <w:r>
              <w:rPr>
                <w:rFonts w:ascii="Courier New" w:cs="Courier New" w:eastAsia="Courier New" w:hAnsi="Courier New"/>
                <w:sz w:val="3"/>
                <w:szCs w:val="3"/>
                <w:color w:val="auto"/>
                <w:w w:val="78"/>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5,914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4,097</w:t>
            </w:r>
          </w:p>
        </w:tc>
        <w:tc>
          <w:tcPr>
            <w:tcW w:w="0" w:type="dxa"/>
            <w:vAlign w:val="bottom"/>
          </w:tcPr>
          <w:p>
            <w:pPr>
              <w:spacing w:after="0"/>
              <w:rPr>
                <w:sz w:val="1"/>
                <w:szCs w:val="1"/>
                <w:color w:val="auto"/>
              </w:rPr>
            </w:pPr>
          </w:p>
        </w:tc>
      </w:tr>
      <w:tr>
        <w:trPr>
          <w:trHeight w:val="201"/>
        </w:trPr>
        <w:tc>
          <w:tcPr>
            <w:tcW w:w="6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Total liabilities and stockholders' equity ...................</w:t>
            </w:r>
          </w:p>
        </w:tc>
        <w:tc>
          <w:tcPr>
            <w:tcW w:w="160" w:type="dxa"/>
            <w:vAlign w:val="bottom"/>
            <w:vMerge w:val="restart"/>
          </w:tcPr>
          <w:p>
            <w:pPr>
              <w:ind w:left="40"/>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10,849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$ 9,360</w:t>
            </w:r>
          </w:p>
        </w:tc>
        <w:tc>
          <w:tcPr>
            <w:tcW w:w="0" w:type="dxa"/>
            <w:vAlign w:val="bottom"/>
          </w:tcPr>
          <w:p>
            <w:pPr>
              <w:spacing w:after="0"/>
              <w:rPr>
                <w:sz w:val="1"/>
                <w:szCs w:val="1"/>
                <w:color w:val="auto"/>
              </w:rPr>
            </w:pPr>
          </w:p>
        </w:tc>
      </w:tr>
      <w:tr>
        <w:trPr>
          <w:trHeight w:val="295"/>
        </w:trPr>
        <w:tc>
          <w:tcPr>
            <w:tcW w:w="6560" w:type="dxa"/>
            <w:vAlign w:val="bottom"/>
          </w:tcPr>
          <w:p>
            <w:pPr>
              <w:spacing w:after="0"/>
              <w:rPr>
                <w:sz w:val="24"/>
                <w:szCs w:val="24"/>
                <w:color w:val="auto"/>
              </w:rPr>
            </w:pPr>
          </w:p>
        </w:tc>
        <w:tc>
          <w:tcPr>
            <w:tcW w:w="11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300" w:type="dxa"/>
            <w:vAlign w:val="bottom"/>
            <w:vMerge w:val="restart"/>
          </w:tcPr>
          <w:p>
            <w:pPr>
              <w:spacing w:after="0"/>
              <w:rPr>
                <w:sz w:val="20"/>
                <w:szCs w:val="20"/>
                <w:color w:val="auto"/>
              </w:rPr>
            </w:pPr>
            <w:r>
              <w:rPr>
                <w:rFonts w:ascii="Courier New" w:cs="Courier New" w:eastAsia="Courier New" w:hAnsi="Courier New"/>
                <w:sz w:val="17"/>
                <w:szCs w:val="17"/>
                <w:color w:val="auto"/>
              </w:rPr>
              <w:t>Consolidated Financial Statements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w:t>
            </w:r>
          </w:p>
        </w:tc>
        <w:tc>
          <w:tcPr>
            <w:tcW w:w="0" w:type="dxa"/>
            <w:vAlign w:val="bottom"/>
          </w:tcPr>
          <w:p>
            <w:pPr>
              <w:spacing w:after="0"/>
              <w:rPr>
                <w:sz w:val="1"/>
                <w:szCs w:val="1"/>
                <w:color w:val="auto"/>
              </w:rPr>
            </w:pPr>
          </w:p>
        </w:tc>
      </w:tr>
      <w:tr>
        <w:trPr>
          <w:trHeight w:val="107"/>
        </w:trPr>
        <w:tc>
          <w:tcPr>
            <w:tcW w:w="53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5300" w:type="dxa"/>
            <w:vAlign w:val="bottom"/>
          </w:tcPr>
          <w:p>
            <w:pPr>
              <w:spacing w:after="0"/>
              <w:rPr>
                <w:sz w:val="20"/>
                <w:szCs w:val="20"/>
                <w:color w:val="auto"/>
              </w:rPr>
            </w:pPr>
            <w:r>
              <w:rPr>
                <w:rFonts w:ascii="Courier New" w:cs="Courier New" w:eastAsia="Courier New" w:hAnsi="Courier New"/>
                <w:sz w:val="17"/>
                <w:szCs w:val="17"/>
                <w:color w:val="auto"/>
              </w:rPr>
              <w:t>(In millions of dollars, except per share amounts)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5300" w:type="dxa"/>
            <w:vAlign w:val="bottom"/>
          </w:tcPr>
          <w:p>
            <w:pPr>
              <w:spacing w:after="0"/>
              <w:rPr>
                <w:sz w:val="24"/>
                <w:szCs w:val="24"/>
                <w:color w:val="auto"/>
              </w:rPr>
            </w:pPr>
          </w:p>
        </w:tc>
        <w:tc>
          <w:tcPr>
            <w:tcW w:w="3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FOR THE YEARS ENDED DECEMBER 31</w:t>
            </w:r>
          </w:p>
        </w:tc>
        <w:tc>
          <w:tcPr>
            <w:tcW w:w="0" w:type="dxa"/>
            <w:vAlign w:val="bottom"/>
          </w:tcPr>
          <w:p>
            <w:pPr>
              <w:spacing w:after="0"/>
              <w:rPr>
                <w:sz w:val="1"/>
                <w:szCs w:val="1"/>
                <w:color w:val="auto"/>
              </w:rPr>
            </w:pPr>
          </w:p>
        </w:tc>
      </w:tr>
      <w:tr>
        <w:trPr>
          <w:trHeight w:val="201"/>
        </w:trPr>
        <w:tc>
          <w:tcPr>
            <w:tcW w:w="5300" w:type="dxa"/>
            <w:vAlign w:val="bottom"/>
            <w:vMerge w:val="restart"/>
          </w:tcPr>
          <w:p>
            <w:pPr>
              <w:spacing w:after="0"/>
              <w:rPr>
                <w:sz w:val="20"/>
                <w:szCs w:val="20"/>
                <w:color w:val="auto"/>
              </w:rPr>
            </w:pPr>
            <w:r>
              <w:rPr>
                <w:rFonts w:ascii="Courier New" w:cs="Courier New" w:eastAsia="Courier New" w:hAnsi="Courier New"/>
                <w:sz w:val="17"/>
                <w:szCs w:val="17"/>
                <w:color w:val="auto"/>
              </w:rPr>
              <w:t>CASH FLOWS</w:t>
            </w:r>
          </w:p>
        </w:tc>
        <w:tc>
          <w:tcPr>
            <w:tcW w:w="3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33"/>
        </w:trPr>
        <w:tc>
          <w:tcPr>
            <w:tcW w:w="5300" w:type="dxa"/>
            <w:vAlign w:val="bottom"/>
            <w:vMerge w:val="continue"/>
          </w:tcPr>
          <w:p>
            <w:pPr>
              <w:spacing w:after="0"/>
              <w:rPr>
                <w:sz w:val="20"/>
                <w:szCs w:val="20"/>
                <w:color w:val="auto"/>
              </w:rPr>
            </w:pPr>
          </w:p>
        </w:tc>
        <w:tc>
          <w:tcPr>
            <w:tcW w:w="1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Continuing operations:</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tcPr>
          <w:p>
            <w:pPr>
              <w:ind w:left="120"/>
              <w:spacing w:after="0"/>
              <w:rPr>
                <w:sz w:val="20"/>
                <w:szCs w:val="20"/>
                <w:color w:val="auto"/>
              </w:rPr>
            </w:pPr>
            <w:r>
              <w:rPr>
                <w:rFonts w:ascii="Courier New" w:cs="Courier New" w:eastAsia="Courier New" w:hAnsi="Courier New"/>
                <w:sz w:val="17"/>
                <w:szCs w:val="17"/>
                <w:color w:val="auto"/>
              </w:rPr>
              <w:t>Cash flows from operating activities:</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tcPr>
          <w:p>
            <w:pPr>
              <w:ind w:left="220"/>
              <w:spacing w:after="0"/>
              <w:rPr>
                <w:sz w:val="20"/>
                <w:szCs w:val="20"/>
                <w:color w:val="auto"/>
              </w:rPr>
            </w:pPr>
            <w:r>
              <w:rPr>
                <w:rFonts w:ascii="Courier New" w:cs="Courier New" w:eastAsia="Courier New" w:hAnsi="Courier New"/>
                <w:sz w:val="17"/>
                <w:szCs w:val="17"/>
                <w:color w:val="auto"/>
              </w:rPr>
              <w:t>Income (loss) from continuing operations</w:t>
            </w:r>
          </w:p>
        </w:tc>
        <w:tc>
          <w:tcPr>
            <w:tcW w:w="10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  302</w:t>
            </w:r>
          </w:p>
        </w:tc>
        <w:tc>
          <w:tcPr>
            <w:tcW w:w="12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  (46)</w:t>
            </w:r>
          </w:p>
        </w:tc>
        <w:tc>
          <w:tcPr>
            <w:tcW w:w="100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996</w:t>
            </w:r>
          </w:p>
        </w:tc>
        <w:tc>
          <w:tcPr>
            <w:tcW w:w="0" w:type="dxa"/>
            <w:vAlign w:val="bottom"/>
          </w:tcPr>
          <w:p>
            <w:pPr>
              <w:spacing w:after="0"/>
              <w:rPr>
                <w:sz w:val="1"/>
                <w:szCs w:val="1"/>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before extraordinary item ......................</w:t>
            </w:r>
          </w:p>
        </w:tc>
        <w:tc>
          <w:tcPr>
            <w:tcW w:w="10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tcPr>
          <w:p>
            <w:pPr>
              <w:ind w:left="220"/>
              <w:spacing w:after="0"/>
              <w:rPr>
                <w:sz w:val="20"/>
                <w:szCs w:val="20"/>
                <w:color w:val="auto"/>
              </w:rPr>
            </w:pPr>
            <w:r>
              <w:rPr>
                <w:rFonts w:ascii="Courier New" w:cs="Courier New" w:eastAsia="Courier New" w:hAnsi="Courier New"/>
                <w:sz w:val="17"/>
                <w:szCs w:val="17"/>
                <w:color w:val="auto"/>
              </w:rPr>
              <w:t>Depreciation ....................................</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1,109</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904</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681</w:t>
            </w:r>
          </w:p>
        </w:tc>
        <w:tc>
          <w:tcPr>
            <w:tcW w:w="0" w:type="dxa"/>
            <w:vAlign w:val="bottom"/>
          </w:tcPr>
          <w:p>
            <w:pPr>
              <w:spacing w:after="0"/>
              <w:rPr>
                <w:sz w:val="1"/>
                <w:szCs w:val="1"/>
                <w:color w:val="auto"/>
              </w:rPr>
            </w:pPr>
          </w:p>
        </w:tc>
      </w:tr>
      <w:tr>
        <w:trPr>
          <w:trHeight w:val="201"/>
        </w:trPr>
        <w:tc>
          <w:tcPr>
            <w:tcW w:w="5400" w:type="dxa"/>
            <w:vAlign w:val="bottom"/>
          </w:tcPr>
          <w:p>
            <w:pPr>
              <w:ind w:left="220"/>
              <w:spacing w:after="0"/>
              <w:rPr>
                <w:sz w:val="20"/>
                <w:szCs w:val="20"/>
                <w:color w:val="auto"/>
              </w:rPr>
            </w:pPr>
            <w:r>
              <w:rPr>
                <w:rFonts w:ascii="Courier New" w:cs="Courier New" w:eastAsia="Courier New" w:hAnsi="Courier New"/>
                <w:sz w:val="17"/>
                <w:szCs w:val="17"/>
                <w:color w:val="auto"/>
              </w:rPr>
              <w:t>Acquired in-process research and development ....</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461</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192</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400" w:type="dxa"/>
            <w:vAlign w:val="bottom"/>
          </w:tcPr>
          <w:p>
            <w:pPr>
              <w:ind w:left="220"/>
              <w:spacing w:after="0"/>
              <w:rPr>
                <w:sz w:val="20"/>
                <w:szCs w:val="20"/>
                <w:color w:val="auto"/>
              </w:rPr>
            </w:pPr>
            <w:r>
              <w:rPr>
                <w:rFonts w:ascii="Courier New" w:cs="Courier New" w:eastAsia="Courier New" w:hAnsi="Courier New"/>
                <w:sz w:val="17"/>
                <w:szCs w:val="17"/>
                <w:color w:val="auto"/>
              </w:rPr>
              <w:t>Deferred income taxes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(148)</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c>
          <w:tcPr>
            <w:tcW w:w="0" w:type="dxa"/>
            <w:vAlign w:val="bottom"/>
          </w:tcPr>
          <w:p>
            <w:pPr>
              <w:spacing w:after="0"/>
              <w:rPr>
                <w:sz w:val="1"/>
                <w:szCs w:val="1"/>
                <w:color w:val="auto"/>
              </w:rPr>
            </w:pPr>
          </w:p>
        </w:tc>
      </w:tr>
      <w:tr>
        <w:trPr>
          <w:trHeight w:val="201"/>
        </w:trPr>
        <w:tc>
          <w:tcPr>
            <w:tcW w:w="5400" w:type="dxa"/>
            <w:vAlign w:val="bottom"/>
          </w:tcPr>
          <w:p>
            <w:pPr>
              <w:ind w:left="220"/>
              <w:spacing w:after="0"/>
              <w:rPr>
                <w:sz w:val="20"/>
                <w:szCs w:val="20"/>
                <w:color w:val="auto"/>
              </w:rPr>
            </w:pPr>
            <w:r>
              <w:rPr>
                <w:rFonts w:ascii="Courier New" w:cs="Courier New" w:eastAsia="Courier New" w:hAnsi="Courier New"/>
                <w:sz w:val="17"/>
                <w:szCs w:val="17"/>
                <w:color w:val="auto"/>
              </w:rPr>
              <w:t>Net currency exchange losses ....................</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295"/>
        </w:trPr>
        <w:tc>
          <w:tcPr>
            <w:tcW w:w="5400" w:type="dxa"/>
            <w:vAlign w:val="bottom"/>
          </w:tcPr>
          <w:p>
            <w:pPr>
              <w:ind w:left="220"/>
              <w:spacing w:after="0"/>
              <w:rPr>
                <w:sz w:val="20"/>
                <w:szCs w:val="20"/>
                <w:color w:val="auto"/>
              </w:rPr>
            </w:pPr>
            <w:r>
              <w:rPr>
                <w:rFonts w:ascii="Courier New" w:cs="Courier New" w:eastAsia="Courier New" w:hAnsi="Courier New"/>
                <w:sz w:val="17"/>
                <w:szCs w:val="17"/>
                <w:color w:val="auto"/>
              </w:rPr>
              <w:t>(Increase) decrease in working capital</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0" w:orient="portrait"/>
          <w:cols w:equalWidth="0" w:num="1">
            <w:col w:w="10219"/>
          </w:cols>
          <w:pgMar w:left="240" w:top="110" w:right="1440" w:bottom="0" w:gutter="0" w:footer="0" w:header="0"/>
        </w:sectPr>
      </w:pPr>
    </w:p>
    <w:bookmarkStart w:id="20" w:name="page21"/>
    <w:bookmarkEnd w:id="20"/>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(excluding cash and cash equivalents,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420"/>
              <w:spacing w:after="0"/>
              <w:rPr>
                <w:sz w:val="20"/>
                <w:szCs w:val="20"/>
                <w:color w:val="auto"/>
              </w:rPr>
            </w:pPr>
            <w:r>
              <w:rPr>
                <w:rFonts w:ascii="Courier New" w:cs="Courier New" w:eastAsia="Courier New" w:hAnsi="Courier New"/>
                <w:sz w:val="17"/>
                <w:szCs w:val="17"/>
                <w:color w:val="auto"/>
              </w:rPr>
              <w:t>short-term investments, deferred income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420"/>
              <w:spacing w:after="0"/>
              <w:rPr>
                <w:sz w:val="20"/>
                <w:szCs w:val="20"/>
                <w:color w:val="auto"/>
              </w:rPr>
            </w:pPr>
            <w:r>
              <w:rPr>
                <w:rFonts w:ascii="Courier New" w:cs="Courier New" w:eastAsia="Courier New" w:hAnsi="Courier New"/>
                <w:sz w:val="17"/>
                <w:szCs w:val="17"/>
                <w:color w:val="auto"/>
              </w:rPr>
              <w:t>taxes, and loans payable and current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420"/>
              <w:spacing w:after="0"/>
              <w:rPr>
                <w:sz w:val="20"/>
                <w:szCs w:val="20"/>
                <w:color w:val="auto"/>
              </w:rPr>
            </w:pPr>
            <w:r>
              <w:rPr>
                <w:rFonts w:ascii="Courier New" w:cs="Courier New" w:eastAsia="Courier New" w:hAnsi="Courier New"/>
                <w:sz w:val="17"/>
                <w:szCs w:val="17"/>
                <w:color w:val="auto"/>
              </w:rPr>
              <w:t>portion long-term debt):</w:t>
            </w:r>
          </w:p>
        </w:tc>
        <w:tc>
          <w:tcPr>
            <w:tcW w:w="220" w:type="dxa"/>
            <w:vAlign w:val="bottom"/>
          </w:tcPr>
          <w:p>
            <w:pPr>
              <w:spacing w:after="0"/>
              <w:rPr>
                <w:sz w:val="17"/>
                <w:szCs w:val="17"/>
                <w:color w:val="auto"/>
              </w:rPr>
            </w:pP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(39)</w:t>
            </w:r>
          </w:p>
        </w:tc>
        <w:tc>
          <w:tcPr>
            <w:tcW w:w="380" w:type="dxa"/>
            <w:vAlign w:val="bottom"/>
          </w:tcPr>
          <w:p>
            <w:pPr>
              <w:spacing w:after="0"/>
              <w:rPr>
                <w:sz w:val="17"/>
                <w:szCs w:val="17"/>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250</w:t>
            </w:r>
          </w:p>
        </w:tc>
        <w:tc>
          <w:tcPr>
            <w:tcW w:w="3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(795)</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 ..........................</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Inventories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245</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(221)</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and accrued expenses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(404)</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691</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Income taxes payable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112</w:t>
            </w:r>
          </w:p>
        </w:tc>
        <w:tc>
          <w:tcPr>
            <w:tcW w:w="0" w:type="dxa"/>
            <w:vAlign w:val="bottom"/>
          </w:tcPr>
          <w:p>
            <w:pPr>
              <w:spacing w:after="0"/>
              <w:rPr>
                <w:sz w:val="1"/>
                <w:szCs w:val="1"/>
                <w:color w:val="auto"/>
              </w:rPr>
            </w:pPr>
          </w:p>
        </w:tc>
      </w:tr>
      <w:tr>
        <w:trPr>
          <w:trHeight w:val="201"/>
        </w:trPr>
        <w:tc>
          <w:tcPr>
            <w:tcW w:w="53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Accrued retirement and profit sharing</w:t>
            </w:r>
          </w:p>
        </w:tc>
        <w:tc>
          <w:tcPr>
            <w:tcW w:w="220" w:type="dxa"/>
            <w:vAlign w:val="bottom"/>
          </w:tcPr>
          <w:p>
            <w:pPr>
              <w:spacing w:after="0"/>
              <w:rPr>
                <w:sz w:val="17"/>
                <w:szCs w:val="17"/>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128</w:t>
            </w:r>
          </w:p>
        </w:tc>
        <w:tc>
          <w:tcPr>
            <w:tcW w:w="380" w:type="dxa"/>
            <w:vAlign w:val="bottom"/>
          </w:tcPr>
          <w:p>
            <w:pPr>
              <w:spacing w:after="0"/>
              <w:rPr>
                <w:sz w:val="17"/>
                <w:szCs w:val="17"/>
                <w:color w:val="auto"/>
              </w:rPr>
            </w:pP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(283)</w:t>
            </w:r>
          </w:p>
        </w:tc>
        <w:tc>
          <w:tcPr>
            <w:tcW w:w="380" w:type="dxa"/>
            <w:vAlign w:val="bottom"/>
          </w:tcPr>
          <w:p>
            <w:pPr>
              <w:spacing w:after="0"/>
              <w:rPr>
                <w:sz w:val="17"/>
                <w:szCs w:val="17"/>
                <w:color w:val="auto"/>
              </w:rPr>
            </w:pP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155</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contributions ...............................</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Extraordinary item:  extinguishment of debt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Increase in noncurrent accrued</w:t>
            </w:r>
          </w:p>
        </w:tc>
        <w:tc>
          <w:tcPr>
            <w:tcW w:w="220" w:type="dxa"/>
            <w:vAlign w:val="bottom"/>
          </w:tcPr>
          <w:p>
            <w:pPr>
              <w:spacing w:after="0"/>
              <w:rPr>
                <w:sz w:val="17"/>
                <w:szCs w:val="17"/>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7</w:t>
            </w:r>
          </w:p>
        </w:tc>
        <w:tc>
          <w:tcPr>
            <w:tcW w:w="380" w:type="dxa"/>
            <w:vAlign w:val="bottom"/>
          </w:tcPr>
          <w:p>
            <w:pPr>
              <w:spacing w:after="0"/>
              <w:rPr>
                <w:sz w:val="17"/>
                <w:szCs w:val="17"/>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79</w:t>
            </w:r>
          </w:p>
        </w:tc>
        <w:tc>
          <w:tcPr>
            <w:tcW w:w="380" w:type="dxa"/>
            <w:vAlign w:val="bottom"/>
          </w:tcPr>
          <w:p>
            <w:pPr>
              <w:spacing w:after="0"/>
              <w:rPr>
                <w:sz w:val="17"/>
                <w:szCs w:val="17"/>
                <w:color w:val="auto"/>
              </w:rPr>
            </w:pP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48</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retirement costs ...............................</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154</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(101)</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Net cash provided by operating activities ........</w:t>
            </w:r>
          </w:p>
        </w:tc>
        <w:tc>
          <w:tcPr>
            <w:tcW w:w="220" w:type="dxa"/>
            <w:vAlign w:val="bottom"/>
          </w:tcPr>
          <w:p>
            <w:pPr>
              <w:jc w:val="right"/>
              <w:spacing w:after="0"/>
              <w:rPr>
                <w:sz w:val="20"/>
                <w:szCs w:val="20"/>
                <w:color w:val="auto"/>
              </w:rPr>
            </w:pPr>
            <w:r>
              <w:rPr>
                <w:rFonts w:ascii="Courier New" w:cs="Courier New" w:eastAsia="Courier New" w:hAnsi="Courier New"/>
                <w:sz w:val="7"/>
                <w:szCs w:val="7"/>
                <w:color w:val="auto"/>
                <w:w w:val="79"/>
              </w:rPr>
              <w:t>------</w:t>
            </w: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w w:val="97"/>
              </w:rPr>
              <w:t>1,843</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798</w:t>
            </w:r>
          </w:p>
        </w:tc>
        <w:tc>
          <w:tcPr>
            <w:tcW w:w="38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1,693</w:t>
            </w:r>
          </w:p>
        </w:tc>
        <w:tc>
          <w:tcPr>
            <w:tcW w:w="0" w:type="dxa"/>
            <w:vAlign w:val="bottom"/>
          </w:tcPr>
          <w:p>
            <w:pPr>
              <w:spacing w:after="0"/>
              <w:rPr>
                <w:sz w:val="1"/>
                <w:szCs w:val="1"/>
                <w:color w:val="auto"/>
              </w:rPr>
            </w:pPr>
          </w:p>
        </w:tc>
      </w:tr>
      <w:tr>
        <w:trPr>
          <w:trHeight w:val="309"/>
        </w:trPr>
        <w:tc>
          <w:tcPr>
            <w:tcW w:w="5340" w:type="dxa"/>
            <w:vAlign w:val="bottom"/>
          </w:tcPr>
          <w:p>
            <w:pPr>
              <w:ind w:left="120"/>
              <w:spacing w:after="0"/>
              <w:rPr>
                <w:sz w:val="20"/>
                <w:szCs w:val="20"/>
                <w:color w:val="auto"/>
              </w:rPr>
            </w:pPr>
            <w:r>
              <w:rPr>
                <w:rFonts w:ascii="Courier New" w:cs="Courier New" w:eastAsia="Courier New" w:hAnsi="Courier New"/>
                <w:sz w:val="17"/>
                <w:szCs w:val="17"/>
                <w:color w:val="auto"/>
              </w:rPr>
              <w:t>Cash flows from investing activities:</w:t>
            </w:r>
          </w:p>
        </w:tc>
        <w:tc>
          <w:tcPr>
            <w:tcW w:w="1100" w:type="dxa"/>
            <w:vAlign w:val="bottom"/>
            <w:gridSpan w:val="2"/>
            <w:vMerge w:val="restart"/>
          </w:tcPr>
          <w:p>
            <w:pPr>
              <w:jc w:val="right"/>
              <w:ind w:right="173"/>
              <w:spacing w:after="0"/>
              <w:rPr>
                <w:sz w:val="20"/>
                <w:szCs w:val="20"/>
                <w:color w:val="auto"/>
              </w:rPr>
            </w:pPr>
            <w:r>
              <w:rPr>
                <w:rFonts w:ascii="Courier New" w:cs="Courier New" w:eastAsia="Courier New" w:hAnsi="Courier New"/>
                <w:sz w:val="17"/>
                <w:szCs w:val="17"/>
                <w:color w:val="auto"/>
              </w:rPr>
              <w:t>(1,238)</w:t>
            </w:r>
          </w:p>
        </w:tc>
        <w:tc>
          <w:tcPr>
            <w:tcW w:w="1260" w:type="dxa"/>
            <w:vAlign w:val="bottom"/>
            <w:gridSpan w:val="2"/>
            <w:vMerge w:val="restart"/>
          </w:tcPr>
          <w:p>
            <w:pPr>
              <w:jc w:val="right"/>
              <w:ind w:right="173"/>
              <w:spacing w:after="0"/>
              <w:rPr>
                <w:sz w:val="20"/>
                <w:szCs w:val="20"/>
                <w:color w:val="auto"/>
              </w:rPr>
            </w:pPr>
            <w:r>
              <w:rPr>
                <w:rFonts w:ascii="Courier New" w:cs="Courier New" w:eastAsia="Courier New" w:hAnsi="Courier New"/>
                <w:sz w:val="17"/>
                <w:szCs w:val="17"/>
                <w:color w:val="auto"/>
              </w:rPr>
              <w:t>(2,063)</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(1,351)</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Additions to property, plant and equipment ......</w:t>
            </w:r>
          </w:p>
        </w:tc>
        <w:tc>
          <w:tcPr>
            <w:tcW w:w="11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Purchases of short-term investments .............</w:t>
            </w:r>
          </w:p>
        </w:tc>
        <w:tc>
          <w:tcPr>
            <w:tcW w:w="11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(2,457)</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(733)</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Sales and maturities of short-term investments ..</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479</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202</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1,076</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Acquisition of businesses, net of cash acquired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(304)</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(313)</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Proceeds from sale of discontinued operations</w:t>
            </w:r>
          </w:p>
        </w:tc>
        <w:tc>
          <w:tcPr>
            <w:tcW w:w="220" w:type="dxa"/>
            <w:vAlign w:val="bottom"/>
          </w:tcPr>
          <w:p>
            <w:pPr>
              <w:spacing w:after="0"/>
              <w:rPr>
                <w:sz w:val="17"/>
                <w:szCs w:val="17"/>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w w:val="97"/>
              </w:rPr>
              <w:t>2,138</w:t>
            </w:r>
          </w:p>
        </w:tc>
        <w:tc>
          <w:tcPr>
            <w:tcW w:w="380" w:type="dxa"/>
            <w:vAlign w:val="bottom"/>
          </w:tcPr>
          <w:p>
            <w:pPr>
              <w:spacing w:after="0"/>
              <w:rPr>
                <w:sz w:val="17"/>
                <w:szCs w:val="17"/>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less income taxes and transaction costs ........</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Proceeds from sale of other businesses ..........</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177</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150</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Net cash used in investing activities ............</w:t>
            </w:r>
          </w:p>
        </w:tc>
        <w:tc>
          <w:tcPr>
            <w:tcW w:w="1100" w:type="dxa"/>
            <w:vAlign w:val="bottom"/>
            <w:gridSpan w:val="2"/>
            <w:vMerge w:val="restart"/>
          </w:tcPr>
          <w:p>
            <w:pPr>
              <w:jc w:val="right"/>
              <w:ind w:right="173"/>
              <w:spacing w:after="0"/>
              <w:rPr>
                <w:sz w:val="20"/>
                <w:szCs w:val="20"/>
                <w:color w:val="auto"/>
              </w:rPr>
            </w:pPr>
            <w:r>
              <w:rPr>
                <w:rFonts w:ascii="Courier New" w:cs="Courier New" w:eastAsia="Courier New" w:hAnsi="Courier New"/>
                <w:sz w:val="14"/>
                <w:szCs w:val="14"/>
                <w:color w:val="auto"/>
                <w:w w:val="70"/>
              </w:rPr>
              <w:t>(1,205)</w:t>
            </w:r>
            <w:r>
              <w:rPr>
                <w:rFonts w:ascii="Courier New" w:cs="Courier New" w:eastAsia="Courier New" w:hAnsi="Courier New"/>
                <w:sz w:val="24"/>
                <w:szCs w:val="24"/>
                <w:color w:val="auto"/>
                <w:w w:val="70"/>
                <w:vertAlign w:val="superscript"/>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12"/>
        </w:trPr>
        <w:tc>
          <w:tcPr>
            <w:tcW w:w="534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(2,051)</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(1,008)</w:t>
            </w:r>
          </w:p>
        </w:tc>
        <w:tc>
          <w:tcPr>
            <w:tcW w:w="0" w:type="dxa"/>
            <w:vAlign w:val="bottom"/>
          </w:tcPr>
          <w:p>
            <w:pPr>
              <w:spacing w:after="0"/>
              <w:rPr>
                <w:sz w:val="1"/>
                <w:szCs w:val="1"/>
                <w:color w:val="auto"/>
              </w:rPr>
            </w:pPr>
          </w:p>
        </w:tc>
      </w:tr>
      <w:tr>
        <w:trPr>
          <w:trHeight w:val="292"/>
        </w:trPr>
        <w:tc>
          <w:tcPr>
            <w:tcW w:w="5340" w:type="dxa"/>
            <w:vAlign w:val="bottom"/>
          </w:tcPr>
          <w:p>
            <w:pPr>
              <w:ind w:left="120"/>
              <w:spacing w:after="0"/>
              <w:rPr>
                <w:sz w:val="20"/>
                <w:szCs w:val="20"/>
                <w:color w:val="auto"/>
              </w:rPr>
            </w:pPr>
            <w:r>
              <w:rPr>
                <w:rFonts w:ascii="Courier New" w:cs="Courier New" w:eastAsia="Courier New" w:hAnsi="Courier New"/>
                <w:sz w:val="17"/>
                <w:szCs w:val="17"/>
                <w:color w:val="auto"/>
              </w:rPr>
              <w:t>Cash flows from financing activities:</w:t>
            </w:r>
          </w:p>
        </w:tc>
        <w:tc>
          <w:tcPr>
            <w:tcW w:w="220" w:type="dxa"/>
            <w:vAlign w:val="bottom"/>
          </w:tcPr>
          <w:p>
            <w:pPr>
              <w:spacing w:after="0"/>
              <w:rPr>
                <w:sz w:val="24"/>
                <w:szCs w:val="24"/>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24"/>
                <w:szCs w:val="24"/>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288</w:t>
            </w:r>
          </w:p>
        </w:tc>
        <w:tc>
          <w:tcPr>
            <w:tcW w:w="380" w:type="dxa"/>
            <w:vAlign w:val="bottom"/>
          </w:tcPr>
          <w:p>
            <w:pPr>
              <w:spacing w:after="0"/>
              <w:rPr>
                <w:sz w:val="24"/>
                <w:szCs w:val="24"/>
                <w:color w:val="auto"/>
              </w:rPr>
            </w:pP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Additions to loans payable ......................</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Payments on loans payable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(314)</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Additions to long-term debt .....................</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871</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Payments on long-term debt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(256)</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Dividends paid on common stock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(131)</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(129)</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(111)</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Sales and other common stock transactions .......</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140</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Common stock repurchase program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(86)</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95"/>
        </w:trPr>
        <w:tc>
          <w:tcPr>
            <w:tcW w:w="534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Net cash provided by (used in) financing</w:t>
            </w:r>
          </w:p>
        </w:tc>
        <w:tc>
          <w:tcPr>
            <w:tcW w:w="11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(621)</w:t>
            </w:r>
          </w:p>
        </w:tc>
        <w:tc>
          <w:tcPr>
            <w:tcW w:w="380" w:type="dxa"/>
            <w:vAlign w:val="bottom"/>
          </w:tcPr>
          <w:p>
            <w:pPr>
              <w:spacing w:after="0"/>
              <w:rPr>
                <w:sz w:val="9"/>
                <w:szCs w:val="9"/>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863</w:t>
            </w:r>
          </w:p>
        </w:tc>
        <w:tc>
          <w:tcPr>
            <w:tcW w:w="380" w:type="dxa"/>
            <w:vAlign w:val="bottom"/>
          </w:tcPr>
          <w:p>
            <w:pPr>
              <w:spacing w:after="0"/>
              <w:rPr>
                <w:sz w:val="9"/>
                <w:szCs w:val="9"/>
                <w:color w:val="auto"/>
              </w:rPr>
            </w:pP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95"/>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activities ......................................</w:t>
            </w: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Effect of exchange rate changes on cash ..........</w:t>
            </w:r>
          </w:p>
        </w:tc>
        <w:tc>
          <w:tcPr>
            <w:tcW w:w="220" w:type="dxa"/>
            <w:vAlign w:val="bottom"/>
          </w:tcPr>
          <w:p>
            <w:pPr>
              <w:spacing w:after="0"/>
              <w:rPr>
                <w:sz w:val="24"/>
                <w:szCs w:val="24"/>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w:t>
            </w:r>
          </w:p>
        </w:tc>
        <w:tc>
          <w:tcPr>
            <w:tcW w:w="380" w:type="dxa"/>
            <w:vAlign w:val="bottom"/>
          </w:tcPr>
          <w:p>
            <w:pPr>
              <w:spacing w:after="0"/>
              <w:rPr>
                <w:sz w:val="24"/>
                <w:szCs w:val="24"/>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w:t>
            </w:r>
          </w:p>
        </w:tc>
        <w:tc>
          <w:tcPr>
            <w:tcW w:w="38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01"/>
        </w:trPr>
        <w:tc>
          <w:tcPr>
            <w:tcW w:w="5560" w:type="dxa"/>
            <w:vAlign w:val="bottom"/>
            <w:gridSpan w:val="2"/>
            <w:vMerge w:val="restart"/>
          </w:tcPr>
          <w:p>
            <w:pPr>
              <w:ind w:left="120"/>
              <w:spacing w:after="0"/>
              <w:rPr>
                <w:sz w:val="20"/>
                <w:szCs w:val="20"/>
                <w:color w:val="auto"/>
              </w:rPr>
            </w:pPr>
            <w:r>
              <w:rPr>
                <w:rFonts w:ascii="Courier New" w:cs="Courier New" w:eastAsia="Courier New" w:hAnsi="Courier New"/>
                <w:sz w:val="17"/>
                <w:szCs w:val="17"/>
                <w:color w:val="auto"/>
                <w:w w:val="88"/>
              </w:rPr>
              <w:t>Cash provided by (used in) continuing operations . $</w:t>
            </w:r>
            <w:r>
              <w:rPr>
                <w:rFonts w:ascii="Courier New" w:cs="Courier New" w:eastAsia="Courier New" w:hAnsi="Courier New"/>
                <w:sz w:val="34"/>
                <w:szCs w:val="34"/>
                <w:color w:val="auto"/>
                <w:w w:val="88"/>
                <w:vertAlign w:val="superscript"/>
              </w:rPr>
              <w:t>------</w:t>
            </w: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(6)</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5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(406)</w:t>
            </w:r>
          </w:p>
        </w:tc>
        <w:tc>
          <w:tcPr>
            <w:tcW w:w="3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718</w:t>
            </w:r>
          </w:p>
        </w:tc>
        <w:tc>
          <w:tcPr>
            <w:tcW w:w="0" w:type="dxa"/>
            <w:vAlign w:val="bottom"/>
          </w:tcPr>
          <w:p>
            <w:pPr>
              <w:spacing w:after="0"/>
              <w:rPr>
                <w:sz w:val="1"/>
                <w:szCs w:val="1"/>
                <w:color w:val="auto"/>
              </w:rPr>
            </w:pPr>
          </w:p>
        </w:tc>
      </w:tr>
      <w:tr>
        <w:trPr>
          <w:trHeight w:val="295"/>
        </w:trPr>
        <w:tc>
          <w:tcPr>
            <w:tcW w:w="5340" w:type="dxa"/>
            <w:vAlign w:val="bottom"/>
          </w:tcPr>
          <w:p>
            <w:pPr>
              <w:spacing w:after="0"/>
              <w:rPr>
                <w:sz w:val="24"/>
                <w:szCs w:val="24"/>
                <w:color w:val="auto"/>
              </w:rPr>
            </w:pPr>
          </w:p>
        </w:tc>
        <w:tc>
          <w:tcPr>
            <w:tcW w:w="11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5340" w:type="dxa"/>
            <w:vAlign w:val="bottom"/>
          </w:tcPr>
          <w:p>
            <w:pPr>
              <w:spacing w:after="0"/>
              <w:rPr>
                <w:sz w:val="20"/>
                <w:szCs w:val="20"/>
                <w:color w:val="auto"/>
              </w:rPr>
            </w:pPr>
            <w:r>
              <w:rPr>
                <w:rFonts w:ascii="Courier New" w:cs="Courier New" w:eastAsia="Courier New" w:hAnsi="Courier New"/>
                <w:sz w:val="17"/>
                <w:szCs w:val="17"/>
                <w:color w:val="auto"/>
              </w:rPr>
              <w:t>16</w:t>
            </w:r>
          </w:p>
        </w:tc>
        <w:tc>
          <w:tcPr>
            <w:tcW w:w="3360" w:type="dxa"/>
            <w:vAlign w:val="bottom"/>
            <w:gridSpan w:val="6"/>
            <w:vMerge w:val="restart"/>
          </w:tcPr>
          <w:p>
            <w:pPr>
              <w:jc w:val="right"/>
              <w:ind w:right="13"/>
              <w:spacing w:after="0"/>
              <w:rPr>
                <w:sz w:val="20"/>
                <w:szCs w:val="20"/>
                <w:color w:val="auto"/>
              </w:rPr>
            </w:pPr>
            <w:r>
              <w:rPr>
                <w:rFonts w:ascii="Courier New" w:cs="Courier New" w:eastAsia="Courier New" w:hAnsi="Courier New"/>
                <w:sz w:val="17"/>
                <w:szCs w:val="17"/>
                <w:color w:val="auto"/>
              </w:rPr>
              <w:t>FOR THE YEARS ENDED DECEMBER 31</w:t>
            </w:r>
          </w:p>
        </w:tc>
        <w:tc>
          <w:tcPr>
            <w:tcW w:w="0" w:type="dxa"/>
            <w:vAlign w:val="bottom"/>
          </w:tcPr>
          <w:p>
            <w:pPr>
              <w:spacing w:after="0"/>
              <w:rPr>
                <w:sz w:val="1"/>
                <w:szCs w:val="1"/>
                <w:color w:val="auto"/>
              </w:rPr>
            </w:pPr>
          </w:p>
        </w:tc>
      </w:tr>
      <w:tr>
        <w:trPr>
          <w:trHeight w:val="107"/>
        </w:trPr>
        <w:tc>
          <w:tcPr>
            <w:tcW w:w="5340" w:type="dxa"/>
            <w:vAlign w:val="bottom"/>
          </w:tcPr>
          <w:p>
            <w:pPr>
              <w:spacing w:after="0"/>
              <w:rPr>
                <w:sz w:val="9"/>
                <w:szCs w:val="9"/>
                <w:color w:val="auto"/>
              </w:rPr>
            </w:pPr>
          </w:p>
        </w:tc>
        <w:tc>
          <w:tcPr>
            <w:tcW w:w="33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340" w:type="dxa"/>
            <w:vAlign w:val="bottom"/>
            <w:vMerge w:val="restart"/>
          </w:tcPr>
          <w:p>
            <w:pPr>
              <w:spacing w:after="0"/>
              <w:rPr>
                <w:sz w:val="20"/>
                <w:szCs w:val="20"/>
                <w:color w:val="auto"/>
              </w:rPr>
            </w:pPr>
            <w:r>
              <w:rPr>
                <w:rFonts w:ascii="Courier New" w:cs="Courier New" w:eastAsia="Courier New" w:hAnsi="Courier New"/>
                <w:sz w:val="17"/>
                <w:szCs w:val="17"/>
                <w:color w:val="auto"/>
              </w:rPr>
              <w:t>CASH FLOWS (continued)</w:t>
            </w:r>
          </w:p>
        </w:tc>
        <w:tc>
          <w:tcPr>
            <w:tcW w:w="33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380" w:type="dxa"/>
            <w:vAlign w:val="bottom"/>
          </w:tcPr>
          <w:p>
            <w:pPr>
              <w:spacing w:after="0"/>
              <w:rPr>
                <w:sz w:val="24"/>
                <w:szCs w:val="24"/>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1996</w:t>
            </w:r>
          </w:p>
        </w:tc>
        <w:tc>
          <w:tcPr>
            <w:tcW w:w="38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309"/>
        </w:trPr>
        <w:tc>
          <w:tcPr>
            <w:tcW w:w="534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73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86</w:t>
            </w:r>
          </w:p>
        </w:tc>
        <w:tc>
          <w:tcPr>
            <w:tcW w:w="380" w:type="dxa"/>
            <w:vAlign w:val="bottom"/>
            <w:vMerge w:val="restart"/>
          </w:tcPr>
          <w:p>
            <w:pPr>
              <w:ind w:left="260"/>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(26)</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Operating activities .............................</w:t>
            </w: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Investing activities .............................</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w:t>
            </w:r>
          </w:p>
        </w:tc>
        <w:tc>
          <w:tcPr>
            <w:tcW w:w="38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(88)</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Financing activities .............................</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Cash provided by (used in) discontinued operations</w:t>
            </w:r>
          </w:p>
        </w:tc>
        <w:tc>
          <w:tcPr>
            <w:tcW w:w="220" w:type="dxa"/>
            <w:vAlign w:val="bottom"/>
          </w:tcPr>
          <w:p>
            <w:pPr>
              <w:jc w:val="right"/>
              <w:spacing w:after="0"/>
              <w:rPr>
                <w:sz w:val="20"/>
                <w:szCs w:val="20"/>
                <w:color w:val="auto"/>
              </w:rPr>
            </w:pPr>
            <w:r>
              <w:rPr>
                <w:rFonts w:ascii="Courier New" w:cs="Courier New" w:eastAsia="Courier New" w:hAnsi="Courier New"/>
                <w:sz w:val="7"/>
                <w:szCs w:val="7"/>
                <w:color w:val="auto"/>
                <w:w w:val="79"/>
              </w:rPr>
              <w:t>------</w:t>
            </w: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57</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c>
          <w:tcPr>
            <w:tcW w:w="0" w:type="dxa"/>
            <w:vAlign w:val="bottom"/>
          </w:tcPr>
          <w:p>
            <w:pPr>
              <w:spacing w:after="0"/>
              <w:rPr>
                <w:sz w:val="1"/>
                <w:szCs w:val="1"/>
                <w:color w:val="auto"/>
              </w:rPr>
            </w:pPr>
          </w:p>
        </w:tc>
      </w:tr>
      <w:tr>
        <w:trPr>
          <w:trHeight w:val="295"/>
        </w:trPr>
        <w:tc>
          <w:tcPr>
            <w:tcW w:w="5340" w:type="dxa"/>
            <w:vAlign w:val="bottom"/>
            <w:vMerge w:val="restart"/>
          </w:tcPr>
          <w:p>
            <w:pPr>
              <w:spacing w:after="0"/>
              <w:rPr>
                <w:sz w:val="20"/>
                <w:szCs w:val="20"/>
                <w:color w:val="auto"/>
              </w:rPr>
            </w:pPr>
            <w:r>
              <w:rPr>
                <w:rFonts w:ascii="Courier New" w:cs="Courier New" w:eastAsia="Courier New" w:hAnsi="Courier New"/>
                <w:sz w:val="17"/>
                <w:szCs w:val="17"/>
                <w:color w:val="auto"/>
              </w:rPr>
              <w:t>Net increase (decrease) in cash and</w:t>
            </w:r>
          </w:p>
        </w:tc>
        <w:tc>
          <w:tcPr>
            <w:tcW w:w="11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51</w:t>
            </w:r>
          </w:p>
        </w:tc>
        <w:tc>
          <w:tcPr>
            <w:tcW w:w="380" w:type="dxa"/>
            <w:vAlign w:val="bottom"/>
          </w:tcPr>
          <w:p>
            <w:pPr>
              <w:spacing w:after="0"/>
              <w:rPr>
                <w:sz w:val="9"/>
                <w:szCs w:val="9"/>
                <w:color w:val="auto"/>
              </w:rPr>
            </w:pP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(400)</w:t>
            </w:r>
          </w:p>
        </w:tc>
        <w:tc>
          <w:tcPr>
            <w:tcW w:w="380" w:type="dxa"/>
            <w:vAlign w:val="bottom"/>
          </w:tcPr>
          <w:p>
            <w:pPr>
              <w:spacing w:after="0"/>
              <w:rPr>
                <w:sz w:val="9"/>
                <w:szCs w:val="9"/>
                <w:color w:val="auto"/>
              </w:rPr>
            </w:pP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604</w:t>
            </w:r>
          </w:p>
        </w:tc>
        <w:tc>
          <w:tcPr>
            <w:tcW w:w="0" w:type="dxa"/>
            <w:vAlign w:val="bottom"/>
          </w:tcPr>
          <w:p>
            <w:pPr>
              <w:spacing w:after="0"/>
              <w:rPr>
                <w:sz w:val="1"/>
                <w:szCs w:val="1"/>
                <w:color w:val="auto"/>
              </w:rPr>
            </w:pPr>
          </w:p>
        </w:tc>
      </w:tr>
      <w:tr>
        <w:trPr>
          <w:trHeight w:val="295"/>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cash equivalents .................................</w:t>
            </w: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beginning of year ....</w:t>
            </w:r>
          </w:p>
        </w:tc>
        <w:tc>
          <w:tcPr>
            <w:tcW w:w="220" w:type="dxa"/>
            <w:vAlign w:val="bottom"/>
          </w:tcPr>
          <w:p>
            <w:pPr>
              <w:spacing w:after="0"/>
              <w:rPr>
                <w:sz w:val="24"/>
                <w:szCs w:val="24"/>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964</w:t>
            </w:r>
          </w:p>
        </w:tc>
        <w:tc>
          <w:tcPr>
            <w:tcW w:w="380" w:type="dxa"/>
            <w:vAlign w:val="bottom"/>
          </w:tcPr>
          <w:p>
            <w:pPr>
              <w:spacing w:after="0"/>
              <w:rPr>
                <w:sz w:val="24"/>
                <w:szCs w:val="24"/>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1,364</w:t>
            </w:r>
          </w:p>
        </w:tc>
        <w:tc>
          <w:tcPr>
            <w:tcW w:w="38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760</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Cash and cash equivalents at end of year ..........</w:t>
            </w:r>
          </w:p>
        </w:tc>
        <w:tc>
          <w:tcPr>
            <w:tcW w:w="1100" w:type="dxa"/>
            <w:vAlign w:val="bottom"/>
            <w:gridSpan w:val="2"/>
            <w:vMerge w:val="restart"/>
          </w:tcPr>
          <w:p>
            <w:pPr>
              <w:jc w:val="right"/>
              <w:ind w:right="273"/>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1,015</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964</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$1,364</w:t>
            </w:r>
          </w:p>
        </w:tc>
        <w:tc>
          <w:tcPr>
            <w:tcW w:w="0" w:type="dxa"/>
            <w:vAlign w:val="bottom"/>
          </w:tcPr>
          <w:p>
            <w:pPr>
              <w:spacing w:after="0"/>
              <w:rPr>
                <w:sz w:val="1"/>
                <w:szCs w:val="1"/>
                <w:color w:val="auto"/>
              </w:rPr>
            </w:pPr>
          </w:p>
        </w:tc>
      </w:tr>
      <w:tr>
        <w:trPr>
          <w:trHeight w:val="295"/>
        </w:trPr>
        <w:tc>
          <w:tcPr>
            <w:tcW w:w="5340" w:type="dxa"/>
            <w:vAlign w:val="bottom"/>
            <w:vMerge w:val="restart"/>
          </w:tcPr>
          <w:p>
            <w:pPr>
              <w:spacing w:after="0"/>
              <w:rPr>
                <w:sz w:val="20"/>
                <w:szCs w:val="20"/>
                <w:color w:val="auto"/>
              </w:rPr>
            </w:pPr>
            <w:r>
              <w:rPr>
                <w:rFonts w:ascii="Courier New" w:cs="Courier New" w:eastAsia="Courier New" w:hAnsi="Courier New"/>
                <w:sz w:val="17"/>
                <w:szCs w:val="17"/>
                <w:color w:val="auto"/>
              </w:rPr>
              <w:t>See accompanying notes.</w:t>
            </w:r>
          </w:p>
        </w:tc>
        <w:tc>
          <w:tcPr>
            <w:tcW w:w="11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17</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60" w:type="dxa"/>
            <w:vAlign w:val="bottom"/>
          </w:tcPr>
          <w:p>
            <w:pPr>
              <w:spacing w:after="0"/>
              <w:rPr>
                <w:sz w:val="17"/>
                <w:szCs w:val="17"/>
                <w:color w:val="auto"/>
              </w:rPr>
            </w:pPr>
          </w:p>
        </w:tc>
        <w:tc>
          <w:tcPr>
            <w:tcW w:w="20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COMMON</w:t>
            </w:r>
          </w:p>
        </w:tc>
        <w:tc>
          <w:tcPr>
            <w:tcW w:w="1260" w:type="dxa"/>
            <w:vAlign w:val="bottom"/>
            <w:vMerge w:val="restart"/>
          </w:tcPr>
          <w:p>
            <w:pPr>
              <w:ind w:left="260"/>
              <w:spacing w:after="0"/>
              <w:rPr>
                <w:sz w:val="20"/>
                <w:szCs w:val="20"/>
                <w:color w:val="auto"/>
              </w:rPr>
            </w:pPr>
            <w:r>
              <w:rPr>
                <w:rFonts w:ascii="Courier New" w:cs="Courier New" w:eastAsia="Courier New" w:hAnsi="Courier New"/>
                <w:sz w:val="17"/>
                <w:szCs w:val="17"/>
                <w:color w:val="auto"/>
              </w:rPr>
              <w:t>PAID-IN</w:t>
            </w:r>
          </w:p>
        </w:tc>
        <w:tc>
          <w:tcPr>
            <w:tcW w:w="1360" w:type="dxa"/>
            <w:vAlign w:val="bottom"/>
            <w:vMerge w:val="restart"/>
          </w:tcPr>
          <w:p>
            <w:pPr>
              <w:ind w:left="260"/>
              <w:spacing w:after="0"/>
              <w:rPr>
                <w:sz w:val="20"/>
                <w:szCs w:val="20"/>
                <w:color w:val="auto"/>
              </w:rPr>
            </w:pPr>
            <w:r>
              <w:rPr>
                <w:rFonts w:ascii="Courier New" w:cs="Courier New" w:eastAsia="Courier New" w:hAnsi="Courier New"/>
                <w:sz w:val="17"/>
                <w:szCs w:val="17"/>
                <w:color w:val="auto"/>
              </w:rPr>
              <w:t>RETAINED</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TREASURY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60" w:type="dxa"/>
            <w:vAlign w:val="bottom"/>
            <w:vMerge w:val="restart"/>
          </w:tcPr>
          <w:p>
            <w:pPr>
              <w:spacing w:after="0"/>
              <w:rPr>
                <w:sz w:val="20"/>
                <w:szCs w:val="20"/>
                <w:color w:val="auto"/>
              </w:rPr>
            </w:pPr>
            <w:r>
              <w:rPr>
                <w:rFonts w:ascii="Courier New" w:cs="Courier New" w:eastAsia="Courier New" w:hAnsi="Courier New"/>
                <w:sz w:val="17"/>
                <w:szCs w:val="17"/>
                <w:color w:val="auto"/>
              </w:rPr>
              <w:t>STOCKHOLDERS' EQUITY</w:t>
            </w:r>
          </w:p>
        </w:tc>
        <w:tc>
          <w:tcPr>
            <w:tcW w:w="20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COMMON</w:t>
            </w:r>
          </w:p>
        </w:tc>
        <w:tc>
          <w:tcPr>
            <w:tcW w:w="780" w:type="dxa"/>
            <w:vAlign w:val="bottom"/>
            <w:vMerge w:val="restart"/>
          </w:tcPr>
          <w:p>
            <w:pPr>
              <w:ind w:left="260"/>
              <w:spacing w:after="0"/>
              <w:rPr>
                <w:sz w:val="20"/>
                <w:szCs w:val="20"/>
                <w:color w:val="auto"/>
              </w:rPr>
            </w:pPr>
            <w:r>
              <w:rPr>
                <w:rFonts w:ascii="Courier New" w:cs="Courier New" w:eastAsia="Courier New" w:hAnsi="Courier New"/>
                <w:sz w:val="17"/>
                <w:szCs w:val="17"/>
                <w:color w:val="auto"/>
                <w:w w:val="97"/>
              </w:rPr>
              <w:t>OTHER</w:t>
            </w:r>
          </w:p>
        </w:tc>
        <w:tc>
          <w:tcPr>
            <w:tcW w:w="0" w:type="dxa"/>
            <w:vAlign w:val="bottom"/>
          </w:tcPr>
          <w:p>
            <w:pPr>
              <w:spacing w:after="0"/>
              <w:rPr>
                <w:sz w:val="1"/>
                <w:szCs w:val="1"/>
                <w:color w:val="auto"/>
              </w:rPr>
            </w:pPr>
          </w:p>
        </w:tc>
      </w:tr>
      <w:tr>
        <w:trPr>
          <w:trHeight w:val="233"/>
        </w:trPr>
        <w:tc>
          <w:tcPr>
            <w:tcW w:w="3260" w:type="dxa"/>
            <w:vAlign w:val="bottom"/>
            <w:vMerge w:val="continue"/>
          </w:tcPr>
          <w:p>
            <w:pPr>
              <w:spacing w:after="0"/>
              <w:rPr>
                <w:sz w:val="20"/>
                <w:szCs w:val="20"/>
                <w:color w:val="auto"/>
              </w:rPr>
            </w:pPr>
          </w:p>
        </w:tc>
        <w:tc>
          <w:tcPr>
            <w:tcW w:w="2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STOCK</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CAPITAL</w:t>
            </w: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rPr>
              <w:t>EARNINGS</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STOCK</w:t>
            </w: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240" w:type="dxa"/>
            <w:vAlign w:val="bottom"/>
          </w:tcPr>
          <w:p>
            <w:pPr>
              <w:spacing w:after="0"/>
              <w:rPr>
                <w:sz w:val="20"/>
                <w:szCs w:val="20"/>
                <w:color w:val="auto"/>
              </w:rPr>
            </w:pPr>
            <w:r>
              <w:rPr>
                <w:rFonts w:ascii="Courier New" w:cs="Courier New" w:eastAsia="Courier New" w:hAnsi="Courier New"/>
                <w:sz w:val="17"/>
                <w:szCs w:val="17"/>
                <w:color w:val="auto"/>
              </w:rPr>
              <w:t>Balance, December 31, 1994 ............</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93</w:t>
            </w: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$1,041</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$1,912</w:t>
            </w:r>
          </w:p>
        </w:tc>
        <w:tc>
          <w:tcPr>
            <w:tcW w:w="132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   (6)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(1)</w:t>
            </w:r>
          </w:p>
        </w:tc>
      </w:tr>
    </w:tbl>
    <w:p>
      <w:pPr>
        <w:sectPr>
          <w:pgSz w:w="11900" w:h="16920" w:orient="portrait"/>
          <w:cols w:equalWidth="0" w:num="1">
            <w:col w:w="10280"/>
          </w:cols>
          <w:pgMar w:left="240" w:top="110" w:right="1379" w:bottom="0" w:gutter="0" w:footer="0" w:header="0"/>
        </w:sectPr>
      </w:pPr>
    </w:p>
    <w:bookmarkStart w:id="21" w:name="page22"/>
    <w:bookmarkEnd w:id="2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1,088</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Net income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on common</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(119)</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stock ($.32 per share) ............</w:t>
            </w:r>
          </w:p>
        </w:tc>
        <w:tc>
          <w:tcPr>
            <w:tcW w:w="110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94</w:t>
            </w:r>
          </w:p>
        </w:tc>
        <w:tc>
          <w:tcPr>
            <w:tcW w:w="132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(94)</w:t>
            </w:r>
          </w:p>
        </w:tc>
        <w:tc>
          <w:tcPr>
            <w:tcW w:w="12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Two-for-one common stock split.......</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Common stock issued:</w:t>
            </w:r>
          </w:p>
        </w:tc>
        <w:tc>
          <w:tcPr>
            <w:tcW w:w="110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3</w:t>
            </w:r>
          </w:p>
        </w:tc>
        <w:tc>
          <w:tcPr>
            <w:tcW w:w="132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81</w:t>
            </w:r>
          </w:p>
        </w:tc>
        <w:tc>
          <w:tcPr>
            <w:tcW w:w="1260" w:type="dxa"/>
            <w:vAlign w:val="bottom"/>
          </w:tcPr>
          <w:p>
            <w:pPr>
              <w:spacing w:after="0"/>
              <w:rPr>
                <w:sz w:val="17"/>
                <w:szCs w:val="17"/>
                <w:color w:val="auto"/>
              </w:rPr>
            </w:pP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On exercise of stock options ......</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On conversion of debentures .......</w:t>
            </w:r>
          </w:p>
        </w:tc>
        <w:tc>
          <w:tcPr>
            <w:tcW w:w="1100" w:type="dxa"/>
            <w:vAlign w:val="bottom"/>
          </w:tcPr>
          <w:p>
            <w:pPr>
              <w:spacing w:after="0"/>
              <w:rPr>
                <w:sz w:val="17"/>
                <w:szCs w:val="17"/>
                <w:color w:val="auto"/>
              </w:rPr>
            </w:pP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w:t>
            </w:r>
          </w:p>
        </w:tc>
        <w:tc>
          <w:tcPr>
            <w:tcW w:w="1260" w:type="dxa"/>
            <w:vAlign w:val="bottom"/>
          </w:tcPr>
          <w:p>
            <w:pPr>
              <w:spacing w:after="0"/>
              <w:rPr>
                <w:sz w:val="17"/>
                <w:szCs w:val="17"/>
                <w:color w:val="auto"/>
              </w:rPr>
            </w:pPr>
          </w:p>
        </w:tc>
        <w:tc>
          <w:tcPr>
            <w:tcW w:w="1260" w:type="dxa"/>
            <w:vAlign w:val="bottom"/>
            <w:vMerge w:val="restart"/>
          </w:tcPr>
          <w:p>
            <w:pPr>
              <w:jc w:val="right"/>
              <w:ind w:right="193"/>
              <w:spacing w:after="0"/>
              <w:rPr>
                <w:sz w:val="20"/>
                <w:szCs w:val="20"/>
                <w:color w:val="auto"/>
              </w:rPr>
            </w:pPr>
            <w:r>
              <w:rPr>
                <w:rFonts w:ascii="Courier New" w:cs="Courier New" w:eastAsia="Courier New" w:hAnsi="Courier New"/>
                <w:sz w:val="17"/>
                <w:szCs w:val="17"/>
                <w:color w:val="auto"/>
              </w:rPr>
              <w:t>(12)</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Other stock transactions, net .......</w:t>
            </w:r>
          </w:p>
        </w:tc>
        <w:tc>
          <w:tcPr>
            <w:tcW w:w="1100" w:type="dxa"/>
            <w:vAlign w:val="bottom"/>
          </w:tcPr>
          <w:p>
            <w:pPr>
              <w:spacing w:after="0"/>
              <w:rPr>
                <w:sz w:val="17"/>
                <w:szCs w:val="17"/>
                <w:color w:val="auto"/>
              </w:rPr>
            </w:pP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33</w:t>
            </w:r>
          </w:p>
        </w:tc>
        <w:tc>
          <w:tcPr>
            <w:tcW w:w="1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(45)</w:t>
            </w: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Pension liability adjustment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Cash investments adjustment..........</w:t>
            </w:r>
          </w:p>
        </w:tc>
        <w:tc>
          <w:tcPr>
            <w:tcW w:w="1100" w:type="dxa"/>
            <w:vAlign w:val="bottom"/>
          </w:tcPr>
          <w:p>
            <w:pPr>
              <w:spacing w:after="0"/>
              <w:rPr>
                <w:sz w:val="17"/>
                <w:szCs w:val="17"/>
                <w:color w:val="auto"/>
              </w:rPr>
            </w:pPr>
          </w:p>
        </w:tc>
        <w:tc>
          <w:tcPr>
            <w:tcW w:w="132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424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Balance, December 31, 1995 ............</w:t>
            </w:r>
          </w:p>
        </w:tc>
        <w:tc>
          <w:tcPr>
            <w:tcW w:w="110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w w:val="76"/>
              </w:rPr>
              <w:t>------</w:t>
            </w:r>
            <w:r>
              <w:rPr>
                <w:rFonts w:ascii="Courier New" w:cs="Courier New" w:eastAsia="Courier New" w:hAnsi="Courier New"/>
                <w:sz w:val="34"/>
                <w:szCs w:val="34"/>
                <w:color w:val="auto"/>
                <w:w w:val="76"/>
                <w:vertAlign w:val="subscript"/>
              </w:rPr>
              <w:t>190</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12"/>
        </w:trPr>
        <w:tc>
          <w:tcPr>
            <w:tcW w:w="4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1,081</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2,881</w:t>
            </w:r>
          </w:p>
        </w:tc>
        <w:tc>
          <w:tcPr>
            <w:tcW w:w="12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(12)</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0" w:type="dxa"/>
            <w:vAlign w:val="bottom"/>
          </w:tcPr>
          <w:p>
            <w:pPr>
              <w:spacing w:after="0"/>
              <w:rPr>
                <w:sz w:val="1"/>
                <w:szCs w:val="1"/>
                <w:color w:val="auto"/>
              </w:rPr>
            </w:pPr>
          </w:p>
        </w:tc>
      </w:tr>
      <w:tr>
        <w:trPr>
          <w:trHeight w:val="494"/>
        </w:trPr>
        <w:tc>
          <w:tcPr>
            <w:tcW w:w="424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63</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Net income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on common</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(130)</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stock ($.34 per share)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Common stock issued on exercise</w:t>
            </w:r>
          </w:p>
        </w:tc>
        <w:tc>
          <w:tcPr>
            <w:tcW w:w="1100" w:type="dxa"/>
            <w:vAlign w:val="bottom"/>
          </w:tcPr>
          <w:p>
            <w:pPr>
              <w:spacing w:after="0"/>
              <w:rPr>
                <w:sz w:val="17"/>
                <w:szCs w:val="17"/>
                <w:color w:val="auto"/>
              </w:rPr>
            </w:pPr>
          </w:p>
        </w:tc>
        <w:tc>
          <w:tcPr>
            <w:tcW w:w="132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28</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of stock options ..................</w:t>
            </w:r>
          </w:p>
        </w:tc>
        <w:tc>
          <w:tcPr>
            <w:tcW w:w="1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Other stock transactions, net .......</w:t>
            </w:r>
          </w:p>
        </w:tc>
        <w:tc>
          <w:tcPr>
            <w:tcW w:w="1100" w:type="dxa"/>
            <w:vAlign w:val="bottom"/>
          </w:tcPr>
          <w:p>
            <w:pPr>
              <w:spacing w:after="0"/>
              <w:rPr>
                <w:sz w:val="17"/>
                <w:szCs w:val="17"/>
                <w:color w:val="auto"/>
              </w:rPr>
            </w:pP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Pension liability adjustment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Equity and cash investments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adjustment ........................</w:t>
            </w:r>
          </w:p>
        </w:tc>
        <w:tc>
          <w:tcPr>
            <w:tcW w:w="1100" w:type="dxa"/>
            <w:vAlign w:val="bottom"/>
          </w:tcPr>
          <w:p>
            <w:pPr>
              <w:spacing w:after="0"/>
              <w:rPr>
                <w:sz w:val="17"/>
                <w:szCs w:val="17"/>
                <w:color w:val="auto"/>
              </w:rPr>
            </w:pPr>
          </w:p>
        </w:tc>
        <w:tc>
          <w:tcPr>
            <w:tcW w:w="132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Balance, December 31, 1996 ............</w:t>
            </w:r>
          </w:p>
        </w:tc>
        <w:tc>
          <w:tcPr>
            <w:tcW w:w="110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w w:val="76"/>
              </w:rPr>
              <w:t>------</w:t>
            </w:r>
            <w:r>
              <w:rPr>
                <w:rFonts w:ascii="Courier New" w:cs="Courier New" w:eastAsia="Courier New" w:hAnsi="Courier New"/>
                <w:sz w:val="34"/>
                <w:szCs w:val="34"/>
                <w:color w:val="auto"/>
                <w:w w:val="76"/>
                <w:vertAlign w:val="subscript"/>
              </w:rPr>
              <w:t>190</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12"/>
        </w:trPr>
        <w:tc>
          <w:tcPr>
            <w:tcW w:w="4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1,116</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2,814</w:t>
            </w:r>
          </w:p>
        </w:tc>
        <w:tc>
          <w:tcPr>
            <w:tcW w:w="12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(12)</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292"/>
        </w:trPr>
        <w:tc>
          <w:tcPr>
            <w:tcW w:w="424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1,805</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Net income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on common</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(131)</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stock ($.34 per share) ............</w:t>
            </w:r>
          </w:p>
        </w:tc>
        <w:tc>
          <w:tcPr>
            <w:tcW w:w="110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195</w:t>
            </w:r>
          </w:p>
        </w:tc>
        <w:tc>
          <w:tcPr>
            <w:tcW w:w="132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(195)</w:t>
            </w:r>
          </w:p>
        </w:tc>
        <w:tc>
          <w:tcPr>
            <w:tcW w:w="12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Two-for-one common stock split ......</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Common stock issued:</w:t>
            </w:r>
          </w:p>
        </w:tc>
        <w:tc>
          <w:tcPr>
            <w:tcW w:w="110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3</w:t>
            </w:r>
          </w:p>
        </w:tc>
        <w:tc>
          <w:tcPr>
            <w:tcW w:w="132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95</w:t>
            </w:r>
          </w:p>
        </w:tc>
        <w:tc>
          <w:tcPr>
            <w:tcW w:w="1260" w:type="dxa"/>
            <w:vAlign w:val="bottom"/>
          </w:tcPr>
          <w:p>
            <w:pPr>
              <w:spacing w:after="0"/>
              <w:rPr>
                <w:sz w:val="17"/>
                <w:szCs w:val="17"/>
                <w:color w:val="auto"/>
              </w:rPr>
            </w:pP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On exercise of stock options ......</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On conversion of debentures .......</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w:t>
            </w: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101</w:t>
            </w:r>
          </w:p>
        </w:tc>
        <w:tc>
          <w:tcPr>
            <w:tcW w:w="1260" w:type="dxa"/>
            <w:vAlign w:val="bottom"/>
          </w:tcPr>
          <w:p>
            <w:pPr>
              <w:spacing w:after="0"/>
              <w:rPr>
                <w:sz w:val="17"/>
                <w:szCs w:val="17"/>
                <w:color w:val="auto"/>
              </w:rPr>
            </w:pPr>
          </w:p>
        </w:tc>
        <w:tc>
          <w:tcPr>
            <w:tcW w:w="1260" w:type="dxa"/>
            <w:vAlign w:val="bottom"/>
            <w:vMerge w:val="restart"/>
          </w:tcPr>
          <w:p>
            <w:pPr>
              <w:jc w:val="right"/>
              <w:ind w:right="193"/>
              <w:spacing w:after="0"/>
              <w:rPr>
                <w:sz w:val="20"/>
                <w:szCs w:val="20"/>
                <w:color w:val="auto"/>
              </w:rPr>
            </w:pPr>
            <w:r>
              <w:rPr>
                <w:rFonts w:ascii="Courier New" w:cs="Courier New" w:eastAsia="Courier New" w:hAnsi="Courier New"/>
                <w:sz w:val="17"/>
                <w:szCs w:val="17"/>
                <w:color w:val="auto"/>
              </w:rPr>
              <w:t>(86)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Stock repurchase program ............</w:t>
            </w:r>
          </w:p>
        </w:tc>
        <w:tc>
          <w:tcPr>
            <w:tcW w:w="1100" w:type="dxa"/>
            <w:vAlign w:val="bottom"/>
          </w:tcPr>
          <w:p>
            <w:pPr>
              <w:spacing w:after="0"/>
              <w:rPr>
                <w:sz w:val="17"/>
                <w:szCs w:val="17"/>
                <w:color w:val="auto"/>
              </w:rPr>
            </w:pPr>
          </w:p>
        </w:tc>
        <w:tc>
          <w:tcPr>
            <w:tcW w:w="132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66</w:t>
            </w:r>
          </w:p>
        </w:tc>
        <w:tc>
          <w:tcPr>
            <w:tcW w:w="1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Other stock transactions, net .......</w:t>
            </w:r>
          </w:p>
        </w:tc>
        <w:tc>
          <w:tcPr>
            <w:tcW w:w="1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w:t>
            </w:r>
          </w:p>
        </w:tc>
        <w:tc>
          <w:tcPr>
            <w:tcW w:w="9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(24)</w:t>
            </w: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Pension liability adjustment ........</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220"/>
              <w:spacing w:after="0"/>
              <w:rPr>
                <w:sz w:val="20"/>
                <w:szCs w:val="20"/>
                <w:color w:val="auto"/>
              </w:rPr>
            </w:pPr>
            <w:r>
              <w:rPr>
                <w:rFonts w:ascii="Courier New" w:cs="Courier New" w:eastAsia="Courier New" w:hAnsi="Courier New"/>
                <w:sz w:val="17"/>
                <w:szCs w:val="17"/>
                <w:color w:val="auto"/>
              </w:rPr>
              <w:t>Equity and cash investments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01"/>
        </w:trPr>
        <w:tc>
          <w:tcPr>
            <w:tcW w:w="4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adjustment ........................</w:t>
            </w:r>
          </w:p>
        </w:tc>
        <w:tc>
          <w:tcPr>
            <w:tcW w:w="1100" w:type="dxa"/>
            <w:vAlign w:val="bottom"/>
          </w:tcPr>
          <w:p>
            <w:pPr>
              <w:spacing w:after="0"/>
              <w:rPr>
                <w:sz w:val="17"/>
                <w:szCs w:val="17"/>
                <w:color w:val="auto"/>
              </w:rPr>
            </w:pPr>
          </w:p>
        </w:tc>
        <w:tc>
          <w:tcPr>
            <w:tcW w:w="132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Balance, December 31, 1997 ............</w:t>
            </w:r>
          </w:p>
        </w:tc>
        <w:tc>
          <w:tcPr>
            <w:tcW w:w="1100" w:type="dxa"/>
            <w:vAlign w:val="bottom"/>
            <w:vMerge w:val="restart"/>
          </w:tcPr>
          <w:p>
            <w:pPr>
              <w:jc w:val="right"/>
              <w:ind w:right="213"/>
              <w:spacing w:after="0"/>
              <w:rPr>
                <w:sz w:val="20"/>
                <w:szCs w:val="20"/>
                <w:color w:val="auto"/>
              </w:rPr>
            </w:pPr>
            <w:r>
              <w:rPr>
                <w:rFonts w:ascii="Courier New" w:cs="Courier New" w:eastAsia="Courier New" w:hAnsi="Courier New"/>
                <w:sz w:val="31"/>
                <w:szCs w:val="31"/>
                <w:color w:val="auto"/>
                <w:w w:val="72"/>
                <w:vertAlign w:val="subscript"/>
              </w:rPr>
              <w:t>$</w:t>
            </w:r>
            <w:r>
              <w:rPr>
                <w:rFonts w:ascii="Courier New" w:cs="Courier New" w:eastAsia="Courier New" w:hAnsi="Courier New"/>
                <w:sz w:val="16"/>
                <w:szCs w:val="16"/>
                <w:color w:val="auto"/>
                <w:w w:val="72"/>
              </w:rPr>
              <w:t>------</w:t>
            </w:r>
            <w:r>
              <w:rPr>
                <w:rFonts w:ascii="Courier New" w:cs="Courier New" w:eastAsia="Courier New" w:hAnsi="Courier New"/>
                <w:sz w:val="31"/>
                <w:szCs w:val="31"/>
                <w:color w:val="auto"/>
                <w:w w:val="72"/>
                <w:vertAlign w:val="subscript"/>
              </w:rPr>
              <w:t>390</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2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$1,183</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$4,488</w:t>
            </w:r>
          </w:p>
        </w:tc>
        <w:tc>
          <w:tcPr>
            <w:tcW w:w="12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  (94)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(53)</w:t>
            </w:r>
          </w:p>
        </w:tc>
        <w:tc>
          <w:tcPr>
            <w:tcW w:w="0" w:type="dxa"/>
            <w:vAlign w:val="bottom"/>
          </w:tcPr>
          <w:p>
            <w:pPr>
              <w:spacing w:after="0"/>
              <w:rPr>
                <w:sz w:val="1"/>
                <w:szCs w:val="1"/>
                <w:color w:val="auto"/>
              </w:rPr>
            </w:pPr>
          </w:p>
        </w:tc>
      </w:tr>
      <w:tr>
        <w:trPr>
          <w:trHeight w:val="295"/>
        </w:trPr>
        <w:tc>
          <w:tcPr>
            <w:tcW w:w="4240" w:type="dxa"/>
            <w:vAlign w:val="bottom"/>
          </w:tcPr>
          <w:p>
            <w:pPr>
              <w:spacing w:after="0"/>
              <w:rPr>
                <w:sz w:val="24"/>
                <w:szCs w:val="24"/>
                <w:color w:val="auto"/>
              </w:rPr>
            </w:pP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POLICIES AND PRACTICES</w:t>
      </w:r>
    </w:p>
    <w:p>
      <w:pPr>
        <w:spacing w:after="0" w:line="41"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039"/>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for the year, as well as the three months ended December 31, 1997, the company adopted SFAS No. 128, which requires disclosure of two new earnings per share amounts and elimination of prior earnings per share amounts, all on a retroactive basis. The two new amounts are as follows: Diluted earnings per share, whose calculation includes not only average outstanding common shares but also the impact of dilutive potential common shares such as outstanding common stock options. Basic earnings per share, which includes the effect of outstanding common shares but excludes dilutive potential common shares. Of the two, the company believes diluted earnings per share to be the most meaningful due to the inclusion of potential shares. Also, effective for the year ended December 31, 1997, the company adopted SFAS No. 131, which requires a new basis of determining reportable business segments, i.e., the management approach. This approach (as contrasted with the prior requirement which utilized a specified classification system for determining segments) designates the company's internal organization as used by management for making operating decisions and assessing performance as the source of business segments. On this basis, the company has three principal businesses and, therefore, three reportable business segments: Semiconductor, Materials &amp; Controls, and Educational &amp; Productivity Solutions. Segment results, as well as selected geographic data, are presented on this new basis in 1997, as well as retroactively. Neither of these two new accounting</w:t>
      </w:r>
    </w:p>
    <w:p>
      <w:pPr>
        <w:sectPr>
          <w:pgSz w:w="11900" w:h="16925" w:orient="portrait"/>
          <w:cols w:equalWidth="0" w:num="1">
            <w:col w:w="10219"/>
          </w:cols>
          <w:pgMar w:left="240" w:top="311" w:right="1440" w:bottom="0" w:gutter="0" w:footer="0" w:header="0"/>
        </w:sectPr>
      </w:pPr>
    </w:p>
    <w:bookmarkStart w:id="22" w:name="page23"/>
    <w:bookmarkEnd w:id="22"/>
    <w:p>
      <w:pPr>
        <w:spacing w:after="0"/>
        <w:tabs>
          <w:tab w:leader="none" w:pos="4700" w:val="left"/>
        </w:tabs>
        <w:rPr>
          <w:sz w:val="20"/>
          <w:szCs w:val="20"/>
          <w:color w:val="auto"/>
        </w:rPr>
      </w:pPr>
      <w:r>
        <w:rPr>
          <w:rFonts w:ascii="Courier New" w:cs="Courier New" w:eastAsia="Courier New" w:hAnsi="Courier New"/>
          <w:sz w:val="17"/>
          <w:szCs w:val="17"/>
          <w:color w:val="auto"/>
        </w:rPr>
        <w:t>pronouncements altered reported net income.</w:t>
        <w:tab/>
        <w:t>Another new standard, SFAS</w:t>
      </w:r>
    </w:p>
    <w:p>
      <w:pPr>
        <w:spacing w:after="0" w:line="41" w:lineRule="exact"/>
        <w:rPr>
          <w:sz w:val="20"/>
          <w:szCs w:val="20"/>
          <w:color w:val="auto"/>
        </w:rPr>
      </w:pPr>
    </w:p>
    <w:p>
      <w:pPr>
        <w:ind w:right="2039"/>
        <w:spacing w:after="0" w:line="273" w:lineRule="auto"/>
        <w:rPr>
          <w:sz w:val="20"/>
          <w:szCs w:val="20"/>
          <w:color w:val="auto"/>
        </w:rPr>
      </w:pPr>
      <w:r>
        <w:rPr>
          <w:rFonts w:ascii="Courier New" w:cs="Courier New" w:eastAsia="Courier New" w:hAnsi="Courier New"/>
          <w:sz w:val="17"/>
          <w:szCs w:val="17"/>
          <w:color w:val="auto"/>
        </w:rPr>
        <w:t>No. 130, will be adopted in first quarter, 1998. It will require disclosure of total nonowner changes in stockholders' equity, which is defined as net income plus direct adjustments to stockholders' equity such as equity and cash investment adjustments and pension liability adjustments. This disclosure will have no effect on reported net income.</w:t>
      </w:r>
    </w:p>
    <w:p>
      <w:pPr>
        <w:spacing w:after="0" w:line="81" w:lineRule="exact"/>
        <w:rPr>
          <w:sz w:val="20"/>
          <w:szCs w:val="20"/>
          <w:color w:val="auto"/>
        </w:rPr>
      </w:pPr>
    </w:p>
    <w:p>
      <w:pPr>
        <w:ind w:right="2039" w:firstLine="419"/>
        <w:spacing w:after="0" w:line="257" w:lineRule="auto"/>
        <w:rPr>
          <w:sz w:val="20"/>
          <w:szCs w:val="20"/>
          <w:color w:val="auto"/>
        </w:rPr>
      </w:pPr>
      <w:r>
        <w:rPr>
          <w:rFonts w:ascii="Courier New" w:cs="Courier New" w:eastAsia="Courier New" w:hAnsi="Courier New"/>
          <w:sz w:val="17"/>
          <w:szCs w:val="17"/>
          <w:color w:val="auto"/>
        </w:rPr>
        <w:t>The consolidated financial statements include the accounts of all subsidiaries. The preparation of financial statements requires the use of estimates from which final results may vary. Intercompany balances and transactions have been eliminated.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311" w:lineRule="exact"/>
        <w:rPr>
          <w:sz w:val="20"/>
          <w:szCs w:val="20"/>
          <w:color w:val="auto"/>
        </w:rPr>
      </w:pPr>
    </w:p>
    <w:p>
      <w:pPr>
        <w:ind w:right="2259" w:firstLine="419"/>
        <w:spacing w:after="0" w:line="293" w:lineRule="auto"/>
        <w:rPr>
          <w:sz w:val="20"/>
          <w:szCs w:val="20"/>
          <w:color w:val="auto"/>
        </w:rPr>
      </w:pPr>
      <w:r>
        <w:rPr>
          <w:rFonts w:ascii="Courier New" w:cs="Courier New" w:eastAsia="Courier New" w:hAnsi="Courier New"/>
          <w:sz w:val="17"/>
          <w:szCs w:val="17"/>
          <w:color w:val="auto"/>
        </w:rPr>
        <w:t>As discussed in the Discontinued Operations footnote, the consolidated financial statements have been restated to classify TI's Defense Systems and Electronics business as discontinued operations. This business was sold on July 11, 1997.</w:t>
      </w:r>
    </w:p>
    <w:p>
      <w:pPr>
        <w:spacing w:after="0" w:line="67" w:lineRule="exact"/>
        <w:rPr>
          <w:sz w:val="20"/>
          <w:szCs w:val="20"/>
          <w:color w:val="auto"/>
        </w:rPr>
      </w:pPr>
    </w:p>
    <w:p>
      <w:pPr>
        <w:ind w:right="2039" w:firstLine="419"/>
        <w:spacing w:after="0" w:line="315" w:lineRule="auto"/>
        <w:rPr>
          <w:sz w:val="20"/>
          <w:szCs w:val="20"/>
          <w:color w:val="auto"/>
        </w:rPr>
      </w:pPr>
      <w:r>
        <w:rPr>
          <w:rFonts w:ascii="Courier New" w:cs="Courier New" w:eastAsia="Courier New" w:hAnsi="Courier New"/>
          <w:sz w:val="17"/>
          <w:szCs w:val="17"/>
          <w:color w:val="auto"/>
        </w:rPr>
        <w:t>Inventories are stated at the lower of cost or estimated realizable value. Cost is generally computed on a currently adjusted standard (which approximates current average costs) or average basis.</w:t>
      </w:r>
    </w:p>
    <w:p>
      <w:pPr>
        <w:spacing w:after="0" w:line="249" w:lineRule="exact"/>
        <w:rPr>
          <w:sz w:val="20"/>
          <w:szCs w:val="20"/>
          <w:color w:val="auto"/>
        </w:rPr>
      </w:pPr>
    </w:p>
    <w:p>
      <w:pPr>
        <w:ind w:right="2259" w:firstLine="419"/>
        <w:spacing w:after="0" w:line="283" w:lineRule="auto"/>
        <w:rPr>
          <w:sz w:val="20"/>
          <w:szCs w:val="20"/>
          <w:color w:val="auto"/>
        </w:rPr>
      </w:pPr>
      <w:r>
        <w:rPr>
          <w:rFonts w:ascii="Courier New" w:cs="Courier New" w:eastAsia="Courier New" w:hAnsi="Courier New"/>
          <w:sz w:val="17"/>
          <w:szCs w:val="17"/>
          <w:color w:val="auto"/>
        </w:rPr>
        <w:t>Revenues are generally recognized as products are shipped.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7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Depreciation is computed by either the declining-balance method (primarily</w:t>
      </w:r>
    </w:p>
    <w:p>
      <w:pPr>
        <w:spacing w:after="0" w:line="41" w:lineRule="exact"/>
        <w:rPr>
          <w:sz w:val="20"/>
          <w:szCs w:val="20"/>
          <w:color w:val="auto"/>
        </w:rPr>
      </w:pPr>
    </w:p>
    <w:p>
      <w:pPr>
        <w:ind w:right="2359"/>
        <w:spacing w:after="0" w:line="339" w:lineRule="auto"/>
        <w:rPr>
          <w:sz w:val="20"/>
          <w:szCs w:val="20"/>
          <w:color w:val="auto"/>
        </w:rPr>
      </w:pPr>
      <w:r>
        <w:rPr>
          <w:rFonts w:ascii="Courier New" w:cs="Courier New" w:eastAsia="Courier New" w:hAnsi="Courier New"/>
          <w:sz w:val="17"/>
          <w:szCs w:val="17"/>
          <w:color w:val="auto"/>
        </w:rPr>
        <w:t>150 percent declining method) or the sum-of-the-years-digits method. Fully depreciated assets are written off against accumulated depreciation.</w:t>
      </w:r>
    </w:p>
    <w:p>
      <w:pPr>
        <w:spacing w:after="0" w:line="28"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19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779" w:firstLine="419"/>
        <w:spacing w:after="0" w:line="376" w:lineRule="auto"/>
        <w:rPr>
          <w:sz w:val="20"/>
          <w:szCs w:val="20"/>
          <w:color w:val="auto"/>
        </w:rPr>
      </w:pPr>
      <w:r>
        <w:rPr>
          <w:rFonts w:ascii="Courier New" w:cs="Courier New" w:eastAsia="Courier New" w:hAnsi="Courier New"/>
          <w:sz w:val="17"/>
          <w:szCs w:val="17"/>
          <w:color w:val="auto"/>
        </w:rPr>
        <w:t>Advertising costs are expensed as incurred. Advertising expense was $128 million in 1997, $124 million in 1996 and $131 million in 1995.</w:t>
      </w:r>
    </w:p>
    <w:p>
      <w:pPr>
        <w:spacing w:after="0" w:line="1" w:lineRule="exact"/>
        <w:rPr>
          <w:sz w:val="20"/>
          <w:szCs w:val="20"/>
          <w:color w:val="auto"/>
        </w:rPr>
      </w:pPr>
    </w:p>
    <w:p>
      <w:pPr>
        <w:ind w:right="2259" w:firstLine="419"/>
        <w:spacing w:after="0" w:line="293" w:lineRule="auto"/>
        <w:rPr>
          <w:sz w:val="20"/>
          <w:szCs w:val="20"/>
          <w:color w:val="auto"/>
        </w:rPr>
      </w:pPr>
      <w:r>
        <w:rPr>
          <w:rFonts w:ascii="Courier New" w:cs="Courier New" w:eastAsia="Courier New" w:hAnsi="Courier New"/>
          <w:sz w:val="17"/>
          <w:szCs w:val="17"/>
          <w:color w:val="auto"/>
        </w:rPr>
        <w:t>Share amounts have been retroactively adjusted for the two-for-one stock split in 1997. Computation of earnings per common share (EPS) amounts for income (loss) from continuing operations before extraordinary item are as follows (millions, except per-share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1997</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3"/>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Income</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EPS</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Loss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EPS</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Income Shares</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EPS</w:t>
            </w:r>
          </w:p>
        </w:tc>
        <w:tc>
          <w:tcPr>
            <w:tcW w:w="0" w:type="dxa"/>
            <w:vAlign w:val="bottom"/>
          </w:tcPr>
          <w:p>
            <w:pPr>
              <w:spacing w:after="0"/>
              <w:rPr>
                <w:sz w:val="1"/>
                <w:szCs w:val="1"/>
                <w:color w:val="auto"/>
              </w:rPr>
            </w:pPr>
          </w:p>
        </w:tc>
      </w:tr>
      <w:tr>
        <w:trPr>
          <w:trHeight w:val="295"/>
        </w:trPr>
        <w:tc>
          <w:tcPr>
            <w:tcW w:w="2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36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 ------ ------</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Basic EPS</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$ 302</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385.1</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 .78</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379.4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(.12)</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$ 996</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375.3</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$2.65</w:t>
            </w:r>
          </w:p>
        </w:tc>
        <w:tc>
          <w:tcPr>
            <w:tcW w:w="0" w:type="dxa"/>
            <w:vAlign w:val="bottom"/>
          </w:tcPr>
          <w:p>
            <w:pPr>
              <w:spacing w:after="0"/>
              <w:rPr>
                <w:sz w:val="1"/>
                <w:szCs w:val="1"/>
                <w:color w:val="auto"/>
              </w:rPr>
            </w:pPr>
          </w:p>
        </w:tc>
      </w:tr>
      <w:tr>
        <w:trPr>
          <w:trHeight w:val="309"/>
        </w:trPr>
        <w:tc>
          <w:tcPr>
            <w:tcW w:w="2460" w:type="dxa"/>
            <w:vAlign w:val="bottom"/>
          </w:tcPr>
          <w:p>
            <w:pPr>
              <w:spacing w:after="0"/>
              <w:rPr>
                <w:sz w:val="20"/>
                <w:szCs w:val="20"/>
                <w:color w:val="auto"/>
              </w:rPr>
            </w:pPr>
            <w:r>
              <w:rPr>
                <w:rFonts w:ascii="Courier New" w:cs="Courier New" w:eastAsia="Courier New" w:hAnsi="Courier New"/>
                <w:sz w:val="17"/>
                <w:szCs w:val="17"/>
                <w:color w:val="auto"/>
              </w:rPr>
              <w:t>Dilutives:</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60" w:type="dxa"/>
            <w:vAlign w:val="bottom"/>
          </w:tcPr>
          <w:p>
            <w:pPr>
              <w:ind w:left="120"/>
              <w:spacing w:after="0"/>
              <w:rPr>
                <w:sz w:val="20"/>
                <w:szCs w:val="20"/>
                <w:color w:val="auto"/>
              </w:rPr>
            </w:pPr>
            <w:r>
              <w:rPr>
                <w:rFonts w:ascii="Courier New" w:cs="Courier New" w:eastAsia="Courier New" w:hAnsi="Courier New"/>
                <w:sz w:val="17"/>
                <w:szCs w:val="17"/>
                <w:color w:val="auto"/>
              </w:rPr>
              <w:t>Stock options/</w:t>
            </w:r>
          </w:p>
        </w:tc>
        <w:tc>
          <w:tcPr>
            <w:tcW w:w="74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9.3</w:t>
            </w:r>
          </w:p>
        </w:tc>
        <w:tc>
          <w:tcPr>
            <w:tcW w:w="680" w:type="dxa"/>
            <w:vAlign w:val="bottom"/>
          </w:tcPr>
          <w:p>
            <w:pPr>
              <w:spacing w:after="0"/>
              <w:rPr>
                <w:sz w:val="17"/>
                <w:szCs w:val="17"/>
                <w:color w:val="auto"/>
              </w:rPr>
            </w:pPr>
          </w:p>
        </w:tc>
        <w:tc>
          <w:tcPr>
            <w:tcW w:w="6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c>
          <w:tcPr>
            <w:tcW w:w="80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6.3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60" w:type="dxa"/>
            <w:vAlign w:val="bottom"/>
          </w:tcPr>
          <w:p>
            <w:pPr>
              <w:ind w:left="220"/>
              <w:spacing w:after="0"/>
              <w:rPr>
                <w:sz w:val="20"/>
                <w:szCs w:val="20"/>
                <w:color w:val="auto"/>
              </w:rPr>
            </w:pPr>
            <w:r>
              <w:rPr>
                <w:rFonts w:ascii="Courier New" w:cs="Courier New" w:eastAsia="Courier New" w:hAnsi="Courier New"/>
                <w:sz w:val="17"/>
                <w:szCs w:val="17"/>
                <w:color w:val="auto"/>
              </w:rPr>
              <w:t>compensation plans</w:t>
            </w:r>
          </w:p>
        </w:tc>
        <w:tc>
          <w:tcPr>
            <w:tcW w:w="7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60" w:type="dxa"/>
            <w:vAlign w:val="bottom"/>
          </w:tcPr>
          <w:p>
            <w:pPr>
              <w:ind w:left="120"/>
              <w:spacing w:after="0"/>
              <w:rPr>
                <w:sz w:val="20"/>
                <w:szCs w:val="20"/>
                <w:color w:val="auto"/>
              </w:rPr>
            </w:pPr>
            <w:r>
              <w:rPr>
                <w:rFonts w:ascii="Courier New" w:cs="Courier New" w:eastAsia="Courier New" w:hAnsi="Courier New"/>
                <w:sz w:val="17"/>
                <w:szCs w:val="17"/>
                <w:color w:val="auto"/>
              </w:rPr>
              <w:t>Convertible debentures</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w:t>
            </w:r>
          </w:p>
        </w:tc>
        <w:tc>
          <w:tcPr>
            <w:tcW w:w="6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w w:val="97"/>
              </w:rPr>
              <w:t>-----</w:t>
            </w: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w:t>
            </w:r>
          </w:p>
        </w:tc>
        <w:tc>
          <w:tcPr>
            <w:tcW w:w="6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460" w:type="dxa"/>
            <w:vAlign w:val="bottom"/>
            <w:vMerge w:val="restart"/>
          </w:tcPr>
          <w:p>
            <w:pPr>
              <w:spacing w:after="0"/>
              <w:rPr>
                <w:sz w:val="20"/>
                <w:szCs w:val="20"/>
                <w:color w:val="auto"/>
              </w:rPr>
            </w:pPr>
            <w:r>
              <w:rPr>
                <w:rFonts w:ascii="Courier New" w:cs="Courier New" w:eastAsia="Courier New" w:hAnsi="Courier New"/>
                <w:sz w:val="17"/>
                <w:szCs w:val="17"/>
                <w:color w:val="auto"/>
              </w:rPr>
              <w:t>Diluted EPS</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continue"/>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continue"/>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60" w:type="dxa"/>
            <w:vAlign w:val="bottom"/>
            <w:vMerge w:val="continue"/>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$ 302</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397.7</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 .76</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379.4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(.12)</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$ 998</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387.3</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$2.58</w:t>
            </w:r>
          </w:p>
        </w:tc>
        <w:tc>
          <w:tcPr>
            <w:tcW w:w="0" w:type="dxa"/>
            <w:vAlign w:val="bottom"/>
          </w:tcPr>
          <w:p>
            <w:pPr>
              <w:spacing w:after="0"/>
              <w:rPr>
                <w:sz w:val="1"/>
                <w:szCs w:val="1"/>
                <w:color w:val="auto"/>
              </w:rPr>
            </w:pPr>
          </w:p>
        </w:tc>
      </w:tr>
      <w:tr>
        <w:trPr>
          <w:trHeight w:val="295"/>
        </w:trPr>
        <w:tc>
          <w:tcPr>
            <w:tcW w:w="2460" w:type="dxa"/>
            <w:vAlign w:val="bottom"/>
          </w:tcPr>
          <w:p>
            <w:pPr>
              <w:spacing w:after="0"/>
              <w:rPr>
                <w:sz w:val="24"/>
                <w:szCs w:val="24"/>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w:t>
            </w: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9"/>
        <w:spacing w:after="0" w:line="379" w:lineRule="auto"/>
        <w:rPr>
          <w:sz w:val="20"/>
          <w:szCs w:val="20"/>
          <w:color w:val="auto"/>
        </w:rPr>
      </w:pPr>
      <w:r>
        <w:rPr>
          <w:rFonts w:ascii="Courier New" w:cs="Courier New" w:eastAsia="Courier New" w:hAnsi="Courier New"/>
          <w:sz w:val="17"/>
          <w:szCs w:val="17"/>
          <w:color w:val="auto"/>
        </w:rPr>
        <w:t>The EPS computation for 1996 excludes 4.8 million shares for stock options/compensation plans and 5.0 million shares for convertible debentures because their effect would have been antidilutive.</w:t>
      </w:r>
    </w:p>
    <w:p>
      <w:pPr>
        <w:sectPr>
          <w:pgSz w:w="11900" w:h="16838" w:orient="portrait"/>
          <w:cols w:equalWidth="0" w:num="1">
            <w:col w:w="10219"/>
          </w:cols>
          <w:pgMar w:left="240" w:top="110" w:right="1440" w:bottom="47" w:gutter="0" w:footer="0" w:header="0"/>
        </w:sectPr>
      </w:pPr>
    </w:p>
    <w:bookmarkStart w:id="23" w:name="page24"/>
    <w:bookmarkEnd w:id="23"/>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DISCONTINUED OPERATIONS</w:t>
      </w:r>
    </w:p>
    <w:p>
      <w:pPr>
        <w:spacing w:after="0" w:line="41"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03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6, 1997, TI and Raytheon Company announced that their boards of directors had approved a definitive agreement dated as of January 4, 1997, for Raytheon to purchase TI's Defense Systems and Electronics business (DSE) for $2.95 billion in cash. This transaction was closed on July 11, 1997. The net gain on sale of this discontinued operation, after income taxes of $876 million, was $1473 million. The consolidated financial statements of TI have been restated to present the DSE operations, assets and liabilities as discontinued operations.</w:t>
      </w:r>
    </w:p>
    <w:p>
      <w:pPr>
        <w:spacing w:after="0" w:line="92" w:lineRule="exact"/>
        <w:rPr>
          <w:sz w:val="20"/>
          <w:szCs w:val="20"/>
          <w:color w:val="auto"/>
        </w:rPr>
      </w:pPr>
    </w:p>
    <w:p>
      <w:pPr>
        <w:ind w:right="2139" w:firstLine="419"/>
        <w:spacing w:after="0" w:line="315" w:lineRule="auto"/>
        <w:rPr>
          <w:sz w:val="20"/>
          <w:szCs w:val="20"/>
          <w:color w:val="auto"/>
        </w:rPr>
      </w:pPr>
      <w:r>
        <w:rPr>
          <w:rFonts w:ascii="Courier New" w:cs="Courier New" w:eastAsia="Courier New" w:hAnsi="Courier New"/>
          <w:sz w:val="17"/>
          <w:szCs w:val="17"/>
          <w:color w:val="auto"/>
        </w:rPr>
        <w:t>The assets and liabilities of DSE were classified on the 1996 balance sheet as net assets of discontinued operations and consisted of the following (millions of dollars):</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Accounts receivable .........................</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278</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Inventories (net of progress billings) ......</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221</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Prepaid expenses ............................</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Current deferred income taxes ...............</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91</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Property, plant and equipment (net) .........</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296</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Noncurrent deferred income taxes ............</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62</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Other assets ................................</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0" w:type="dxa"/>
            <w:vAlign w:val="bottom"/>
          </w:tcPr>
          <w:p>
            <w:pPr>
              <w:spacing w:after="0"/>
              <w:rPr>
                <w:sz w:val="1"/>
                <w:szCs w:val="1"/>
                <w:color w:val="auto"/>
              </w:rPr>
            </w:pPr>
          </w:p>
        </w:tc>
      </w:tr>
      <w:tr>
        <w:trPr>
          <w:trHeight w:val="201"/>
        </w:trPr>
        <w:tc>
          <w:tcPr>
            <w:tcW w:w="492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Total assets of DSE .......................</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989</w:t>
            </w:r>
          </w:p>
        </w:tc>
        <w:tc>
          <w:tcPr>
            <w:tcW w:w="0" w:type="dxa"/>
            <w:vAlign w:val="bottom"/>
          </w:tcPr>
          <w:p>
            <w:pPr>
              <w:spacing w:after="0"/>
              <w:rPr>
                <w:sz w:val="1"/>
                <w:szCs w:val="1"/>
                <w:color w:val="auto"/>
              </w:rPr>
            </w:pPr>
          </w:p>
        </w:tc>
      </w:tr>
      <w:tr>
        <w:trPr>
          <w:trHeight w:val="201"/>
        </w:trPr>
        <w:tc>
          <w:tcPr>
            <w:tcW w:w="4920" w:type="dxa"/>
            <w:vAlign w:val="bottom"/>
            <w:vMerge w:val="restart"/>
          </w:tcPr>
          <w:p>
            <w:pPr>
              <w:jc w:val="right"/>
              <w:ind w:right="953"/>
              <w:spacing w:after="0"/>
              <w:rPr>
                <w:sz w:val="20"/>
                <w:szCs w:val="20"/>
                <w:color w:val="auto"/>
              </w:rPr>
            </w:pPr>
            <w:r>
              <w:rPr>
                <w:rFonts w:ascii="Courier New" w:cs="Courier New" w:eastAsia="Courier New" w:hAnsi="Courier New"/>
                <w:sz w:val="17"/>
                <w:szCs w:val="17"/>
                <w:color w:val="auto"/>
              </w:rPr>
              <w:t>Accounts payable and accrued expenses</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20" w:type="dxa"/>
            <w:vAlign w:val="bottom"/>
            <w:vMerge w:val="continue"/>
          </w:tcPr>
          <w:p>
            <w:pPr>
              <w:jc w:val="right"/>
              <w:ind w:right="133"/>
              <w:spacing w:after="0" w:line="178" w:lineRule="exact"/>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234</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Accrued retirement costs ....................</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226</w:t>
            </w:r>
          </w:p>
        </w:tc>
        <w:tc>
          <w:tcPr>
            <w:tcW w:w="0" w:type="dxa"/>
            <w:vAlign w:val="bottom"/>
          </w:tcPr>
          <w:p>
            <w:pPr>
              <w:spacing w:after="0"/>
              <w:rPr>
                <w:sz w:val="1"/>
                <w:szCs w:val="1"/>
                <w:color w:val="auto"/>
              </w:rPr>
            </w:pPr>
          </w:p>
        </w:tc>
      </w:tr>
      <w:tr>
        <w:trPr>
          <w:trHeight w:val="201"/>
        </w:trPr>
        <w:tc>
          <w:tcPr>
            <w:tcW w:w="492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Total liabilities of DSE ..................</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460</w:t>
            </w:r>
          </w:p>
        </w:tc>
        <w:tc>
          <w:tcPr>
            <w:tcW w:w="0" w:type="dxa"/>
            <w:vAlign w:val="bottom"/>
          </w:tcPr>
          <w:p>
            <w:pPr>
              <w:spacing w:after="0"/>
              <w:rPr>
                <w:sz w:val="1"/>
                <w:szCs w:val="1"/>
                <w:color w:val="auto"/>
              </w:rPr>
            </w:pPr>
          </w:p>
        </w:tc>
      </w:tr>
      <w:tr>
        <w:trPr>
          <w:trHeight w:val="201"/>
        </w:trPr>
        <w:tc>
          <w:tcPr>
            <w:tcW w:w="4920" w:type="dxa"/>
            <w:vAlign w:val="bottom"/>
            <w:vMerge w:val="restart"/>
          </w:tcPr>
          <w:p>
            <w:pPr>
              <w:jc w:val="right"/>
              <w:ind w:right="953"/>
              <w:spacing w:after="0"/>
              <w:rPr>
                <w:sz w:val="20"/>
                <w:szCs w:val="20"/>
                <w:color w:val="auto"/>
              </w:rPr>
            </w:pPr>
            <w:r>
              <w:rPr>
                <w:rFonts w:ascii="Courier New" w:cs="Courier New" w:eastAsia="Courier New" w:hAnsi="Courier New"/>
                <w:sz w:val="17"/>
                <w:szCs w:val="17"/>
                <w:color w:val="auto"/>
              </w:rPr>
              <w:t>Net assets of discontinued operations</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20" w:type="dxa"/>
            <w:vAlign w:val="bottom"/>
            <w:vMerge w:val="continue"/>
          </w:tcPr>
          <w:p>
            <w:pPr>
              <w:jc w:val="right"/>
              <w:ind w:right="133"/>
              <w:spacing w:after="0" w:line="178" w:lineRule="exact"/>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529</w:t>
            </w:r>
          </w:p>
        </w:tc>
        <w:tc>
          <w:tcPr>
            <w:tcW w:w="0" w:type="dxa"/>
            <w:vAlign w:val="bottom"/>
          </w:tcPr>
          <w:p>
            <w:pPr>
              <w:spacing w:after="0"/>
              <w:rPr>
                <w:sz w:val="1"/>
                <w:szCs w:val="1"/>
                <w:color w:val="auto"/>
              </w:rPr>
            </w:pPr>
          </w:p>
        </w:tc>
      </w:tr>
      <w:tr>
        <w:trPr>
          <w:trHeight w:val="295"/>
        </w:trPr>
        <w:tc>
          <w:tcPr>
            <w:tcW w:w="49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679"/>
        <w:spacing w:after="0" w:line="315" w:lineRule="auto"/>
        <w:rPr>
          <w:sz w:val="20"/>
          <w:szCs w:val="20"/>
          <w:color w:val="auto"/>
        </w:rPr>
      </w:pPr>
      <w:r>
        <w:rPr>
          <w:rFonts w:ascii="Courier New" w:cs="Courier New" w:eastAsia="Courier New" w:hAnsi="Courier New"/>
          <w:sz w:val="17"/>
          <w:szCs w:val="17"/>
          <w:color w:val="auto"/>
        </w:rPr>
        <w:t>The net income from operations of DSE was classified on the statement of income as income from discontinued operations. Summarized results of discontinued operations prior to the close were as follows:</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01"/>
        </w:trPr>
        <w:tc>
          <w:tcPr>
            <w:tcW w:w="4660" w:type="dxa"/>
            <w:vAlign w:val="bottom"/>
          </w:tcPr>
          <w:p>
            <w:pPr>
              <w:spacing w:after="0"/>
              <w:rPr>
                <w:sz w:val="17"/>
                <w:szCs w:val="17"/>
                <w:color w:val="auto"/>
              </w:rPr>
            </w:pPr>
          </w:p>
        </w:tc>
        <w:tc>
          <w:tcPr>
            <w:tcW w:w="278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4660" w:type="dxa"/>
            <w:vAlign w:val="bottom"/>
          </w:tcPr>
          <w:p>
            <w:pPr>
              <w:spacing w:after="0"/>
              <w:rPr>
                <w:sz w:val="17"/>
                <w:szCs w:val="17"/>
                <w:color w:val="auto"/>
              </w:rPr>
            </w:pPr>
          </w:p>
        </w:tc>
        <w:tc>
          <w:tcPr>
            <w:tcW w:w="27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1995</w:t>
            </w:r>
          </w:p>
        </w:tc>
      </w:tr>
      <w:tr>
        <w:trPr>
          <w:trHeight w:val="295"/>
        </w:trPr>
        <w:tc>
          <w:tcPr>
            <w:tcW w:w="466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09"/>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revenues ...............................</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812</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$1,773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$1,720</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 ...</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84</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149</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Provision for income taxes .................</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r>
        <w:trPr>
          <w:trHeight w:val="295"/>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 ........</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bl>
    <w:p>
      <w:pPr>
        <w:spacing w:after="0" w:line="200" w:lineRule="exact"/>
        <w:rPr>
          <w:sz w:val="20"/>
          <w:szCs w:val="20"/>
          <w:color w:val="auto"/>
        </w:rPr>
      </w:pPr>
    </w:p>
    <w:p>
      <w:pPr>
        <w:spacing w:after="0" w:line="310" w:lineRule="exact"/>
        <w:rPr>
          <w:sz w:val="20"/>
          <w:szCs w:val="20"/>
          <w:color w:val="auto"/>
        </w:rPr>
      </w:pPr>
    </w:p>
    <w:p>
      <w:pPr>
        <w:ind w:right="2039"/>
        <w:spacing w:after="0" w:line="264" w:lineRule="auto"/>
        <w:rPr>
          <w:sz w:val="20"/>
          <w:szCs w:val="20"/>
          <w:color w:val="auto"/>
        </w:rPr>
      </w:pPr>
      <w:r>
        <w:rPr>
          <w:rFonts w:ascii="Courier New" w:cs="Courier New" w:eastAsia="Courier New" w:hAnsi="Courier New"/>
          <w:sz w:val="17"/>
          <w:szCs w:val="17"/>
          <w:color w:val="auto"/>
        </w:rPr>
        <w:t>The Defense Systems and Electronics business included products such as radar systems, navigation systems, infrared surveillance and fire control systems, defense suppression missiles, missile guidance and control systems, and electronic warfare systems, which were sold to the U.S. government (either directly or through prime contractors) and to international customers approved by the U.S. government. TI provided various ongoing services to DSE including, but not limited to, facilities management, data processing, security, payroll and employee benefits administration, insurance administration, duplicating and telecommunications services. Their inclusion in discontinued operations was based upon TI's intercorporate allocation proce-</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w:t>
      </w:r>
    </w:p>
    <w:p>
      <w:pPr>
        <w:spacing w:after="0" w:line="210" w:lineRule="exact"/>
        <w:rPr>
          <w:sz w:val="20"/>
          <w:szCs w:val="20"/>
          <w:color w:val="auto"/>
        </w:rPr>
      </w:pPr>
    </w:p>
    <w:p>
      <w:pPr>
        <w:ind w:right="2039"/>
        <w:spacing w:after="0" w:line="269" w:lineRule="auto"/>
        <w:rPr>
          <w:sz w:val="20"/>
          <w:szCs w:val="20"/>
          <w:color w:val="auto"/>
        </w:rPr>
      </w:pPr>
      <w:r>
        <w:rPr>
          <w:rFonts w:ascii="Courier New" w:cs="Courier New" w:eastAsia="Courier New" w:hAnsi="Courier New"/>
          <w:sz w:val="17"/>
          <w:szCs w:val="17"/>
          <w:color w:val="auto"/>
        </w:rPr>
        <w:t>dures for such services. The allocation basis of these expenses and all other central operating costs was first on the basis of direct usage when identifiable, with the remainder allocated among DSE and other TI businesses on the basis of their respective revenues, headcount or other measures. These expenses allocated to DSE totaled $76 million in 1997, $163 million in 1996 and $167 million in 1995. TI has agreements to receive payments from Raytheon for continuing to provide certain of these services on an ongoing basis and others on a transition basis to DSE.</w:t>
      </w:r>
    </w:p>
    <w:p>
      <w:pPr>
        <w:spacing w:after="0" w:line="86" w:lineRule="exact"/>
        <w:rPr>
          <w:sz w:val="20"/>
          <w:szCs w:val="20"/>
          <w:color w:val="auto"/>
        </w:rPr>
      </w:pPr>
    </w:p>
    <w:p>
      <w:pPr>
        <w:ind w:right="2559" w:firstLine="419"/>
        <w:spacing w:after="0" w:line="293" w:lineRule="auto"/>
        <w:rPr>
          <w:sz w:val="20"/>
          <w:szCs w:val="20"/>
          <w:color w:val="auto"/>
        </w:rPr>
      </w:pPr>
      <w:r>
        <w:rPr>
          <w:rFonts w:ascii="Courier New" w:cs="Courier New" w:eastAsia="Courier New" w:hAnsi="Courier New"/>
          <w:sz w:val="17"/>
          <w:szCs w:val="17"/>
          <w:color w:val="auto"/>
        </w:rPr>
        <w:t>Income from discontinued operations for 1996 includes the effect of a fourth quarter pretax charge of $32 million for voluntary and involuntary severance actions in the United States. These actions were essentially completed by year-end 1996 and affected approximately 700 DSE employees.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EQUIVALENTS AND INVESTMENTS</w:t>
      </w:r>
    </w:p>
    <w:p>
      <w:pPr>
        <w:spacing w:after="0" w:line="41"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Debt securities with original maturities within three months are considered</w:t>
      </w:r>
    </w:p>
    <w:p>
      <w:pPr>
        <w:sectPr>
          <w:pgSz w:w="11900" w:h="16849" w:orient="portrait"/>
          <w:cols w:equalWidth="0" w:num="1">
            <w:col w:w="10219"/>
          </w:cols>
          <w:pgMar w:left="240" w:top="110" w:right="1440" w:bottom="0" w:gutter="0" w:footer="0" w:header="0"/>
        </w:sectPr>
      </w:pPr>
    </w:p>
    <w:bookmarkStart w:id="24" w:name="page25"/>
    <w:bookmarkEnd w:id="24"/>
    <w:p>
      <w:pPr>
        <w:spacing w:after="0" w:line="116" w:lineRule="exact"/>
        <w:rPr>
          <w:sz w:val="20"/>
          <w:szCs w:val="20"/>
          <w:color w:val="auto"/>
        </w:rPr>
      </w:pPr>
    </w:p>
    <w:p>
      <w:pPr>
        <w:ind w:right="2039"/>
        <w:spacing w:after="0" w:line="261" w:lineRule="auto"/>
        <w:rPr>
          <w:sz w:val="20"/>
          <w:szCs w:val="20"/>
          <w:color w:val="auto"/>
        </w:rPr>
      </w:pPr>
      <w:r>
        <w:rPr>
          <w:rFonts w:ascii="Courier New" w:cs="Courier New" w:eastAsia="Courier New" w:hAnsi="Courier New"/>
          <w:sz w:val="17"/>
          <w:szCs w:val="17"/>
          <w:color w:val="auto"/>
        </w:rPr>
        <w:t>cash equivalents. Debt securities with original maturities beyond three months have remaining maturities within 13 months and are considered short-term investments. These cash equivalent and short-term investment debt securities are available for sale and stated at fair value, which approximates their specific amortized cost. As of December 31, 1997, these debt securities consisted primarily of the following types: corporate ($1943 million), and asset-backed commercial paper ($623 million). At December 31, 1996, these debt securities consisted primarily of the following types: U.S. government ($9 million), corporate ($413 million), and asset-backed commercial paper ($300 million). Gross realized and unrealized gains and losses for each of these security types were immaterial in 1997, 1996 and 1995. Proceeds from sales of these cash equivalent and short-term investment debt securities in 1997, 1996 and 1995 were $859 million, $10 million and $190 million.</w:t>
      </w:r>
    </w:p>
    <w:p>
      <w:pPr>
        <w:spacing w:after="0" w:line="97" w:lineRule="exact"/>
        <w:rPr>
          <w:sz w:val="20"/>
          <w:szCs w:val="20"/>
          <w:color w:val="auto"/>
        </w:rPr>
      </w:pPr>
    </w:p>
    <w:p>
      <w:pPr>
        <w:ind w:right="2039" w:firstLine="419"/>
        <w:spacing w:after="0" w:line="260" w:lineRule="auto"/>
        <w:rPr>
          <w:sz w:val="20"/>
          <w:szCs w:val="20"/>
          <w:color w:val="auto"/>
        </w:rPr>
      </w:pPr>
      <w:r>
        <w:rPr>
          <w:rFonts w:ascii="Courier New" w:cs="Courier New" w:eastAsia="Courier New" w:hAnsi="Courier New"/>
          <w:sz w:val="17"/>
          <w:szCs w:val="17"/>
          <w:color w:val="auto"/>
        </w:rPr>
        <w:t>Adjustments to fair value of cash equivalent and short-term investments as well as noncurrent publicly traded equity investments are recorded as an increase or decrease in stockholders' equity. As of December 31, 1997, this adjustment, net of a deferred tax effect of $10 million, was a decrease of $18 million (zero for cash equivalent and short-term investments and $18 million for noncurrent equity investments). At December 31, 1996, the adjustment, net of a deferred tax effect of $15 million, was an increase of $28 million (zero for cash equivalent and short-term investments and $28 million for noncurrent equity investments). At year-end 1995 this adjustment was zero. Gross realized and unrealized holding gains and losses and proceeds from sales of equity investments were not material in 1997, 1996 and 1995. The aggregate fair value of these noncurrent equity investments at December 31, 1997 and 1996, was $30 million and $63 million, compared to their original cost of $15 million and $20 million.</w:t>
      </w: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60" w:type="dxa"/>
            <w:vAlign w:val="bottom"/>
          </w:tcPr>
          <w:p>
            <w:pPr>
              <w:spacing w:after="0"/>
              <w:rPr>
                <w:sz w:val="17"/>
                <w:szCs w:val="17"/>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17"/>
                <w:szCs w:val="17"/>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4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1996</w:t>
            </w:r>
          </w:p>
        </w:tc>
        <w:tc>
          <w:tcPr>
            <w:tcW w:w="0" w:type="dxa"/>
            <w:vAlign w:val="bottom"/>
          </w:tcPr>
          <w:p>
            <w:pPr>
              <w:spacing w:after="0"/>
              <w:rPr>
                <w:sz w:val="1"/>
                <w:szCs w:val="1"/>
                <w:color w:val="auto"/>
              </w:rPr>
            </w:pPr>
          </w:p>
        </w:tc>
      </w:tr>
      <w:tr>
        <w:trPr>
          <w:trHeight w:val="295"/>
        </w:trPr>
        <w:tc>
          <w:tcPr>
            <w:tcW w:w="5760" w:type="dxa"/>
            <w:vAlign w:val="bottom"/>
          </w:tcPr>
          <w:p>
            <w:pPr>
              <w:spacing w:after="0"/>
              <w:rPr>
                <w:sz w:val="24"/>
                <w:szCs w:val="24"/>
                <w:color w:val="auto"/>
              </w:rPr>
            </w:pP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760" w:type="dxa"/>
            <w:vAlign w:val="bottom"/>
          </w:tcPr>
          <w:p>
            <w:pPr>
              <w:spacing w:after="0"/>
              <w:rPr>
                <w:sz w:val="20"/>
                <w:szCs w:val="20"/>
                <w:color w:val="auto"/>
              </w:rPr>
            </w:pPr>
            <w:r>
              <w:rPr>
                <w:rFonts w:ascii="Courier New" w:cs="Courier New" w:eastAsia="Courier New" w:hAnsi="Courier New"/>
                <w:sz w:val="17"/>
                <w:szCs w:val="17"/>
                <w:color w:val="auto"/>
              </w:rPr>
              <w:t>Raw materials and purchased parts ....................</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111</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Work in process ......................................</w:t>
            </w:r>
          </w:p>
        </w:tc>
        <w:tc>
          <w:tcPr>
            <w:tcW w:w="3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364</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361</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Finished goods .......................................</w:t>
            </w:r>
          </w:p>
        </w:tc>
        <w:tc>
          <w:tcPr>
            <w:tcW w:w="3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273</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231</w:t>
            </w:r>
          </w:p>
        </w:tc>
        <w:tc>
          <w:tcPr>
            <w:tcW w:w="0" w:type="dxa"/>
            <w:vAlign w:val="bottom"/>
          </w:tcPr>
          <w:p>
            <w:pPr>
              <w:spacing w:after="0"/>
              <w:rPr>
                <w:sz w:val="1"/>
                <w:szCs w:val="1"/>
                <w:color w:val="auto"/>
              </w:rPr>
            </w:pPr>
          </w:p>
        </w:tc>
      </w:tr>
      <w:tr>
        <w:trPr>
          <w:trHeight w:val="201"/>
        </w:trPr>
        <w:tc>
          <w:tcPr>
            <w:tcW w:w="5760" w:type="dxa"/>
            <w:vAlign w:val="bottom"/>
            <w:vMerge w:val="restart"/>
          </w:tcPr>
          <w:p>
            <w:pPr>
              <w:spacing w:after="0"/>
              <w:rPr>
                <w:sz w:val="20"/>
                <w:szCs w:val="20"/>
                <w:color w:val="auto"/>
              </w:rPr>
            </w:pPr>
            <w:r>
              <w:rPr>
                <w:rFonts w:ascii="Courier New" w:cs="Courier New" w:eastAsia="Courier New" w:hAnsi="Courier New"/>
                <w:sz w:val="17"/>
                <w:szCs w:val="17"/>
                <w:color w:val="auto"/>
              </w:rPr>
              <w:t>Inventories ..........................................</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10"/>
                <w:szCs w:val="10"/>
                <w:color w:val="auto"/>
                <w:w w:val="71"/>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742</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703</w:t>
            </w:r>
          </w:p>
        </w:tc>
        <w:tc>
          <w:tcPr>
            <w:tcW w:w="0" w:type="dxa"/>
            <w:vAlign w:val="bottom"/>
          </w:tcPr>
          <w:p>
            <w:pPr>
              <w:spacing w:after="0"/>
              <w:rPr>
                <w:sz w:val="1"/>
                <w:szCs w:val="1"/>
                <w:color w:val="auto"/>
              </w:rPr>
            </w:pPr>
          </w:p>
        </w:tc>
      </w:tr>
      <w:tr>
        <w:trPr>
          <w:trHeight w:val="295"/>
        </w:trPr>
        <w:tc>
          <w:tcPr>
            <w:tcW w:w="5760" w:type="dxa"/>
            <w:vAlign w:val="bottom"/>
          </w:tcPr>
          <w:p>
            <w:pPr>
              <w:spacing w:after="0"/>
              <w:rPr>
                <w:sz w:val="24"/>
                <w:szCs w:val="24"/>
                <w:color w:val="auto"/>
              </w:rPr>
            </w:pP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039"/>
        <w:spacing w:after="0" w:line="260" w:lineRule="auto"/>
        <w:rPr>
          <w:sz w:val="20"/>
          <w:szCs w:val="20"/>
          <w:color w:val="auto"/>
        </w:rPr>
      </w:pPr>
      <w:r>
        <w:rPr>
          <w:rFonts w:ascii="Courier New" w:cs="Courier New" w:eastAsia="Courier New" w:hAnsi="Courier New"/>
          <w:sz w:val="17"/>
          <w:szCs w:val="17"/>
          <w:color w:val="auto"/>
        </w:rPr>
        <w:t>To secure access to additional semiconductor plant capacity, TI participates in several joint ventures formed to construct and operate DRAM semiconductor manufacturing facilities. TI holds minority interests in, and has long-term inventory purchase commitments with, each joint venture. Under the agreements, TI purchases the output of the ventures at prices based upon percentage discounts from TI's average selling prices. This pricing method is designed to help reduce the effect of market volatility on TI, although it has not been able to comprehend fully a sharp decline in average unit prices. Certain co-venturers have the right to buy a portion of the output from TI. Under the ventures' financing arrangements, the venturers have provided certain debt and other guarantees. At December 31, 1997 and 1996, TI was contingently liable for an aggregate of $19 million and $25 million of such guarantees. TI and other co-venturers are currently exploring further measures with respect to the joint venture structures. In this regard, TI and Hitachi, Ltd., major co-venturers in one joint venture,</w:t>
      </w:r>
    </w:p>
    <w:p>
      <w:pPr>
        <w:spacing w:after="0" w:line="93"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21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139"/>
        <w:spacing w:after="0" w:line="300" w:lineRule="auto"/>
        <w:rPr>
          <w:sz w:val="20"/>
          <w:szCs w:val="20"/>
          <w:color w:val="auto"/>
        </w:rPr>
      </w:pPr>
      <w:r>
        <w:rPr>
          <w:rFonts w:ascii="Courier New" w:cs="Courier New" w:eastAsia="Courier New" w:hAnsi="Courier New"/>
          <w:sz w:val="17"/>
          <w:szCs w:val="17"/>
          <w:color w:val="auto"/>
        </w:rPr>
        <w:t>announced on February 9, 1998, plans to discontinue their joint venture arrangement, with TI to purchase the assets of the venture. In connection with this action, TI expects to take a special charge in the first quarter of 1998.</w:t>
      </w:r>
    </w:p>
    <w:p>
      <w:pPr>
        <w:spacing w:after="0" w:line="285" w:lineRule="exact"/>
        <w:rPr>
          <w:sz w:val="20"/>
          <w:szCs w:val="20"/>
          <w:color w:val="auto"/>
        </w:rPr>
      </w:pPr>
    </w:p>
    <w:p>
      <w:pPr>
        <w:ind w:right="2459" w:firstLine="419"/>
        <w:spacing w:after="0" w:line="293" w:lineRule="auto"/>
        <w:rPr>
          <w:sz w:val="20"/>
          <w:szCs w:val="20"/>
          <w:color w:val="auto"/>
        </w:rPr>
      </w:pPr>
      <w:r>
        <w:rPr>
          <w:rFonts w:ascii="Courier New" w:cs="Courier New" w:eastAsia="Courier New" w:hAnsi="Courier New"/>
          <w:sz w:val="17"/>
          <w:szCs w:val="17"/>
          <w:color w:val="auto"/>
        </w:rPr>
        <w:t>Inventory purchases from the ventures aggregated $977 million in 1997, $1176 million in 1996 and $1779 million in 1995. Receivables from and payables to the ventures were $135 million and $69 million at December 31, 1997, and $43 million and $66 million at December 31, 1996.</w:t>
      </w:r>
    </w:p>
    <w:p>
      <w:pPr>
        <w:spacing w:after="0" w:line="67" w:lineRule="exact"/>
        <w:rPr>
          <w:sz w:val="20"/>
          <w:szCs w:val="20"/>
          <w:color w:val="auto"/>
        </w:rPr>
      </w:pPr>
    </w:p>
    <w:p>
      <w:pPr>
        <w:ind w:right="2039" w:firstLine="419"/>
        <w:spacing w:after="0" w:line="283" w:lineRule="auto"/>
        <w:rPr>
          <w:sz w:val="20"/>
          <w:szCs w:val="20"/>
          <w:color w:val="auto"/>
        </w:rPr>
      </w:pPr>
      <w:r>
        <w:rPr>
          <w:rFonts w:ascii="Courier New" w:cs="Courier New" w:eastAsia="Courier New" w:hAnsi="Courier New"/>
          <w:sz w:val="17"/>
          <w:szCs w:val="17"/>
          <w:color w:val="auto"/>
        </w:rPr>
        <w:t>The purpose of the joint ventures is to provide semiconductor output for TI and other co-venturers. As a result, TI expects to recover its cost of the ventures through sale of the semiconductor output, and is amortizing its cost of the ventures over the expected initial output period of 3 to 5 years, and recognizing its share of any cumulative venture net losses in excess of</w:t>
      </w:r>
    </w:p>
    <w:p>
      <w:pPr>
        <w:sectPr>
          <w:pgSz w:w="11900" w:h="16954" w:orient="portrait"/>
          <w:cols w:equalWidth="0" w:num="1">
            <w:col w:w="10219"/>
          </w:cols>
          <w:pgMar w:left="240" w:top="110" w:right="1440" w:bottom="0" w:gutter="0" w:footer="0" w:header="0"/>
        </w:sectPr>
      </w:pPr>
    </w:p>
    <w:bookmarkStart w:id="25" w:name="page26"/>
    <w:bookmarkEnd w:id="25"/>
    <w:p>
      <w:pPr>
        <w:spacing w:after="0" w:line="93" w:lineRule="exact"/>
        <w:rPr>
          <w:sz w:val="20"/>
          <w:szCs w:val="20"/>
          <w:color w:val="auto"/>
        </w:rPr>
      </w:pPr>
    </w:p>
    <w:p>
      <w:pPr>
        <w:ind w:right="2359"/>
        <w:spacing w:after="0" w:line="379" w:lineRule="auto"/>
        <w:rPr>
          <w:sz w:val="20"/>
          <w:szCs w:val="20"/>
          <w:color w:val="auto"/>
        </w:rPr>
      </w:pPr>
      <w:r>
        <w:rPr>
          <w:rFonts w:ascii="Courier New" w:cs="Courier New" w:eastAsia="Courier New" w:hAnsi="Courier New"/>
          <w:sz w:val="17"/>
          <w:szCs w:val="17"/>
          <w:color w:val="auto"/>
        </w:rPr>
        <w:t>amortization. The related expense charged to operations was $88 million in 1997, $33 million in 1996 and $15 million in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 AT COST</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21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Depreciable Lives</w:t>
            </w: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01"/>
        </w:trPr>
        <w:tc>
          <w:tcPr>
            <w:tcW w:w="3620" w:type="dxa"/>
            <w:vAlign w:val="bottom"/>
            <w:vMerge w:val="restart"/>
          </w:tcPr>
          <w:p>
            <w:pPr>
              <w:spacing w:after="0"/>
              <w:rPr>
                <w:sz w:val="20"/>
                <w:szCs w:val="20"/>
                <w:color w:val="auto"/>
              </w:rPr>
            </w:pPr>
            <w:r>
              <w:rPr>
                <w:rFonts w:ascii="Courier New" w:cs="Courier New" w:eastAsia="Courier New" w:hAnsi="Courier New"/>
                <w:sz w:val="17"/>
                <w:szCs w:val="17"/>
                <w:color w:val="auto"/>
              </w:rPr>
              <w:t>Land ............................</w:t>
            </w:r>
          </w:p>
        </w:tc>
        <w:tc>
          <w:tcPr>
            <w:tcW w:w="21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620" w:type="dxa"/>
            <w:vAlign w:val="bottom"/>
            <w:vMerge w:val="continue"/>
          </w:tcPr>
          <w:p>
            <w:pPr>
              <w:spacing w:after="0"/>
              <w:rPr>
                <w:sz w:val="17"/>
                <w:szCs w:val="17"/>
                <w:color w:val="auto"/>
              </w:rPr>
            </w:pPr>
          </w:p>
        </w:tc>
        <w:tc>
          <w:tcPr>
            <w:tcW w:w="2100" w:type="dxa"/>
            <w:vAlign w:val="bottom"/>
            <w:vMerge w:val="restart"/>
          </w:tcPr>
          <w:p>
            <w:pPr>
              <w:ind w:left="480"/>
              <w:spacing w:after="0"/>
              <w:rPr>
                <w:sz w:val="20"/>
                <w:szCs w:val="20"/>
                <w:color w:val="auto"/>
              </w:rPr>
            </w:pPr>
            <w:r>
              <w:rPr>
                <w:rFonts w:ascii="Courier New" w:cs="Courier New" w:eastAsia="Courier New" w:hAnsi="Courier New"/>
                <w:sz w:val="17"/>
                <w:szCs w:val="17"/>
                <w:color w:val="auto"/>
              </w:rPr>
              <w:t>5-40 years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89</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Courier New" w:cs="Courier New" w:eastAsia="Courier New" w:hAnsi="Courier New"/>
                <w:sz w:val="17"/>
                <w:szCs w:val="17"/>
                <w:color w:val="auto"/>
              </w:rPr>
              <w:t>Buildings and improvements ......</w:t>
            </w:r>
          </w:p>
        </w:tc>
        <w:tc>
          <w:tcPr>
            <w:tcW w:w="2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2,583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2,372</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Courier New" w:cs="Courier New" w:eastAsia="Courier New" w:hAnsi="Courier New"/>
                <w:sz w:val="17"/>
                <w:szCs w:val="17"/>
                <w:color w:val="auto"/>
              </w:rPr>
              <w:t>Machinery and equipment .........</w:t>
            </w: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3-10 years</w:t>
            </w:r>
          </w:p>
        </w:tc>
        <w:tc>
          <w:tcPr>
            <w:tcW w:w="36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4,737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4,251</w:t>
            </w:r>
          </w:p>
        </w:tc>
        <w:tc>
          <w:tcPr>
            <w:tcW w:w="0" w:type="dxa"/>
            <w:vAlign w:val="bottom"/>
          </w:tcPr>
          <w:p>
            <w:pPr>
              <w:spacing w:after="0"/>
              <w:rPr>
                <w:sz w:val="1"/>
                <w:szCs w:val="1"/>
                <w:color w:val="auto"/>
              </w:rPr>
            </w:pPr>
          </w:p>
        </w:tc>
      </w:tr>
      <w:tr>
        <w:trPr>
          <w:trHeight w:val="201"/>
        </w:trPr>
        <w:tc>
          <w:tcPr>
            <w:tcW w:w="362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210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3"/>
                <w:vertAlign w:val="subscript"/>
              </w:rPr>
              <w:t>$</w:t>
            </w:r>
            <w:r>
              <w:rPr>
                <w:rFonts w:ascii="Courier New" w:cs="Courier New" w:eastAsia="Courier New" w:hAnsi="Courier New"/>
                <w:sz w:val="11"/>
                <w:szCs w:val="11"/>
                <w:color w:val="auto"/>
                <w:w w:val="73"/>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7,414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62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$6,712</w:t>
            </w:r>
          </w:p>
        </w:tc>
        <w:tc>
          <w:tcPr>
            <w:tcW w:w="0" w:type="dxa"/>
            <w:vAlign w:val="bottom"/>
          </w:tcPr>
          <w:p>
            <w:pPr>
              <w:spacing w:after="0"/>
              <w:rPr>
                <w:sz w:val="1"/>
                <w:szCs w:val="1"/>
                <w:color w:val="auto"/>
              </w:rPr>
            </w:pPr>
          </w:p>
        </w:tc>
      </w:tr>
      <w:tr>
        <w:trPr>
          <w:trHeight w:val="295"/>
        </w:trPr>
        <w:tc>
          <w:tcPr>
            <w:tcW w:w="3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139"/>
        <w:spacing w:after="0" w:line="315" w:lineRule="auto"/>
        <w:rPr>
          <w:sz w:val="20"/>
          <w:szCs w:val="20"/>
          <w:color w:val="auto"/>
        </w:rPr>
      </w:pPr>
      <w:r>
        <w:rPr>
          <w:rFonts w:ascii="Courier New" w:cs="Courier New" w:eastAsia="Courier New" w:hAnsi="Courier New"/>
          <w:sz w:val="17"/>
          <w:szCs w:val="17"/>
          <w:color w:val="auto"/>
        </w:rPr>
        <w:t>Authorizations for property, plant and equipment expenditures in future years were approximately $1105 million at December 31, 1997, and $795 million at December 31, 1996.</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PAYABLE AND ACCRUED EXPENSES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01"/>
        </w:trPr>
        <w:tc>
          <w:tcPr>
            <w:tcW w:w="5720" w:type="dxa"/>
            <w:vAlign w:val="bottom"/>
            <w:vMerge w:val="restart"/>
          </w:tcPr>
          <w:p>
            <w:pPr>
              <w:spacing w:after="0"/>
              <w:rPr>
                <w:sz w:val="20"/>
                <w:szCs w:val="20"/>
                <w:color w:val="auto"/>
              </w:rPr>
            </w:pPr>
            <w:r>
              <w:rPr>
                <w:rFonts w:ascii="Courier New" w:cs="Courier New" w:eastAsia="Courier New" w:hAnsi="Courier New"/>
                <w:sz w:val="17"/>
                <w:szCs w:val="17"/>
                <w:color w:val="auto"/>
              </w:rPr>
              <w:t>Accounts payable ....................................</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3"/>
                <w:vertAlign w:val="subscript"/>
              </w:rPr>
              <w:t>$</w:t>
            </w:r>
            <w:r>
              <w:rPr>
                <w:rFonts w:ascii="Courier New" w:cs="Courier New" w:eastAsia="Courier New" w:hAnsi="Courier New"/>
                <w:sz w:val="11"/>
                <w:szCs w:val="11"/>
                <w:color w:val="auto"/>
                <w:w w:val="73"/>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698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12"/>
        </w:trPr>
        <w:tc>
          <w:tcPr>
            <w:tcW w:w="572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775</w:t>
            </w:r>
          </w:p>
        </w:tc>
        <w:tc>
          <w:tcPr>
            <w:tcW w:w="0" w:type="dxa"/>
            <w:vAlign w:val="bottom"/>
          </w:tcPr>
          <w:p>
            <w:pPr>
              <w:spacing w:after="0"/>
              <w:rPr>
                <w:sz w:val="1"/>
                <w:szCs w:val="1"/>
                <w:color w:val="auto"/>
              </w:rPr>
            </w:pPr>
          </w:p>
        </w:tc>
      </w:tr>
      <w:tr>
        <w:trPr>
          <w:trHeight w:val="386"/>
        </w:trPr>
        <w:tc>
          <w:tcPr>
            <w:tcW w:w="5720" w:type="dxa"/>
            <w:vAlign w:val="bottom"/>
          </w:tcPr>
          <w:p>
            <w:pPr>
              <w:spacing w:after="0"/>
              <w:rPr>
                <w:sz w:val="20"/>
                <w:szCs w:val="20"/>
                <w:color w:val="auto"/>
              </w:rPr>
            </w:pPr>
            <w:r>
              <w:rPr>
                <w:rFonts w:ascii="Courier New" w:cs="Courier New" w:eastAsia="Courier New" w:hAnsi="Courier New"/>
                <w:sz w:val="17"/>
                <w:szCs w:val="17"/>
                <w:color w:val="auto"/>
              </w:rPr>
              <w:t>Advance payments ....................................</w:t>
            </w:r>
          </w:p>
        </w:tc>
        <w:tc>
          <w:tcPr>
            <w:tcW w:w="36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c>
          <w:tcPr>
            <w:tcW w:w="0" w:type="dxa"/>
            <w:vAlign w:val="bottom"/>
          </w:tcPr>
          <w:p>
            <w:pPr>
              <w:spacing w:after="0"/>
              <w:rPr>
                <w:sz w:val="1"/>
                <w:szCs w:val="1"/>
                <w:color w:val="auto"/>
              </w:rPr>
            </w:pPr>
          </w:p>
        </w:tc>
      </w:tr>
      <w:tr>
        <w:trPr>
          <w:trHeight w:val="309"/>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Accrued salaries, wages, severance</w:t>
            </w:r>
          </w:p>
        </w:tc>
        <w:tc>
          <w:tcPr>
            <w:tcW w:w="360" w:type="dxa"/>
            <w:vAlign w:val="bottom"/>
          </w:tcPr>
          <w:p>
            <w:pPr>
              <w:spacing w:after="0"/>
              <w:rPr>
                <w:sz w:val="24"/>
                <w:szCs w:val="24"/>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405</w:t>
            </w: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309</w:t>
            </w:r>
          </w:p>
        </w:tc>
        <w:tc>
          <w:tcPr>
            <w:tcW w:w="0" w:type="dxa"/>
            <w:vAlign w:val="bottom"/>
          </w:tcPr>
          <w:p>
            <w:pPr>
              <w:spacing w:after="0"/>
              <w:rPr>
                <w:sz w:val="1"/>
                <w:szCs w:val="1"/>
                <w:color w:val="auto"/>
              </w:rPr>
            </w:pPr>
          </w:p>
        </w:tc>
      </w:tr>
      <w:tr>
        <w:trPr>
          <w:trHeight w:val="295"/>
        </w:trPr>
        <w:tc>
          <w:tcPr>
            <w:tcW w:w="5720" w:type="dxa"/>
            <w:vAlign w:val="bottom"/>
          </w:tcPr>
          <w:p>
            <w:pPr>
              <w:ind w:left="120"/>
              <w:spacing w:after="0"/>
              <w:rPr>
                <w:sz w:val="20"/>
                <w:szCs w:val="20"/>
                <w:color w:val="auto"/>
              </w:rPr>
            </w:pPr>
            <w:r>
              <w:rPr>
                <w:rFonts w:ascii="Courier New" w:cs="Courier New" w:eastAsia="Courier New" w:hAnsi="Courier New"/>
                <w:sz w:val="17"/>
                <w:szCs w:val="17"/>
                <w:color w:val="auto"/>
              </w:rPr>
              <w:t>and vacation pay ...................................</w:t>
            </w:r>
          </w:p>
        </w:tc>
        <w:tc>
          <w:tcPr>
            <w:tcW w:w="3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720" w:type="dxa"/>
            <w:vAlign w:val="bottom"/>
          </w:tcPr>
          <w:p>
            <w:pPr>
              <w:spacing w:after="0"/>
              <w:rPr>
                <w:sz w:val="20"/>
                <w:szCs w:val="20"/>
                <w:color w:val="auto"/>
              </w:rPr>
            </w:pPr>
            <w:r>
              <w:rPr>
                <w:rFonts w:ascii="Courier New" w:cs="Courier New" w:eastAsia="Courier New" w:hAnsi="Courier New"/>
                <w:sz w:val="17"/>
                <w:szCs w:val="17"/>
                <w:color w:val="auto"/>
              </w:rPr>
              <w:t>Other accrued expenses and liabilities ..............</w:t>
            </w:r>
          </w:p>
        </w:tc>
        <w:tc>
          <w:tcPr>
            <w:tcW w:w="36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966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772</w:t>
            </w:r>
          </w:p>
        </w:tc>
        <w:tc>
          <w:tcPr>
            <w:tcW w:w="0" w:type="dxa"/>
            <w:vAlign w:val="bottom"/>
          </w:tcPr>
          <w:p>
            <w:pPr>
              <w:spacing w:after="0"/>
              <w:rPr>
                <w:sz w:val="1"/>
                <w:szCs w:val="1"/>
                <w:color w:val="auto"/>
              </w:rPr>
            </w:pPr>
          </w:p>
        </w:tc>
      </w:tr>
      <w:tr>
        <w:trPr>
          <w:trHeight w:val="295"/>
        </w:trPr>
        <w:tc>
          <w:tcPr>
            <w:tcW w:w="5720" w:type="dxa"/>
            <w:vAlign w:val="bottom"/>
          </w:tcPr>
          <w:p>
            <w:pPr>
              <w:spacing w:after="0"/>
              <w:rPr>
                <w:sz w:val="24"/>
                <w:szCs w:val="24"/>
                <w:color w:val="auto"/>
              </w:rPr>
            </w:pPr>
          </w:p>
        </w:tc>
        <w:tc>
          <w:tcPr>
            <w:tcW w:w="12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2,082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$1,940</w:t>
            </w:r>
          </w:p>
        </w:tc>
        <w:tc>
          <w:tcPr>
            <w:tcW w:w="0" w:type="dxa"/>
            <w:vAlign w:val="bottom"/>
          </w:tcPr>
          <w:p>
            <w:pPr>
              <w:spacing w:after="0"/>
              <w:rPr>
                <w:sz w:val="1"/>
                <w:szCs w:val="1"/>
                <w:color w:val="auto"/>
              </w:rPr>
            </w:pPr>
          </w:p>
        </w:tc>
      </w:tr>
      <w:tr>
        <w:trPr>
          <w:trHeight w:val="295"/>
        </w:trPr>
        <w:tc>
          <w:tcPr>
            <w:tcW w:w="5720" w:type="dxa"/>
            <w:vAlign w:val="bottom"/>
          </w:tcPr>
          <w:p>
            <w:pPr>
              <w:spacing w:after="0"/>
              <w:rPr>
                <w:sz w:val="24"/>
                <w:szCs w:val="24"/>
                <w:color w:val="auto"/>
              </w:rPr>
            </w:pPr>
          </w:p>
        </w:tc>
        <w:tc>
          <w:tcPr>
            <w:tcW w:w="12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AND LINES OF CREDIT</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60" w:type="dxa"/>
            <w:vAlign w:val="bottom"/>
            <w:gridSpan w:val="3"/>
          </w:tcPr>
          <w:p>
            <w:pPr>
              <w:jc w:val="right"/>
              <w:ind w:right="13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582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Long-Term Debt</w:t>
            </w:r>
          </w:p>
        </w:tc>
        <w:tc>
          <w:tcPr>
            <w:tcW w:w="2260" w:type="dxa"/>
            <w:vAlign w:val="bottom"/>
            <w:gridSpan w:val="3"/>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8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01"/>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6.75%</w:t>
            </w:r>
          </w:p>
        </w:tc>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notes due 1999 ..................................</w:t>
            </w:r>
          </w:p>
        </w:tc>
        <w:tc>
          <w:tcPr>
            <w:tcW w:w="260" w:type="dxa"/>
            <w:vAlign w:val="bottom"/>
            <w:vMerge w:val="continue"/>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200</w:t>
            </w:r>
          </w:p>
        </w:tc>
        <w:tc>
          <w:tcPr>
            <w:tcW w:w="0" w:type="dxa"/>
            <w:vAlign w:val="bottom"/>
          </w:tcPr>
          <w:p>
            <w:pPr>
              <w:spacing w:after="0"/>
              <w:rPr>
                <w:sz w:val="1"/>
                <w:szCs w:val="1"/>
                <w:color w:val="auto"/>
              </w:rPr>
            </w:pPr>
          </w:p>
        </w:tc>
      </w:tr>
      <w:tr>
        <w:trPr>
          <w:trHeight w:val="201"/>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6.875% notes due 2000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w:t>
            </w:r>
          </w:p>
        </w:tc>
        <w:tc>
          <w:tcPr>
            <w:tcW w:w="0" w:type="dxa"/>
            <w:vAlign w:val="bottom"/>
          </w:tcPr>
          <w:p>
            <w:pPr>
              <w:spacing w:after="0"/>
              <w:rPr>
                <w:sz w:val="1"/>
                <w:szCs w:val="1"/>
                <w:color w:val="auto"/>
              </w:rPr>
            </w:pPr>
          </w:p>
        </w:tc>
      </w:tr>
      <w:tr>
        <w:trPr>
          <w:trHeight w:val="201"/>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9.0% notes due 2001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6.65%</w:t>
            </w:r>
          </w:p>
        </w:tc>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notes, due in installments through 2001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204</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9.25%</w:t>
            </w:r>
          </w:p>
        </w:tc>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notes due 2003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104</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w:t>
            </w:r>
          </w:p>
        </w:tc>
        <w:tc>
          <w:tcPr>
            <w:tcW w:w="0" w:type="dxa"/>
            <w:vAlign w:val="bottom"/>
          </w:tcPr>
          <w:p>
            <w:pPr>
              <w:spacing w:after="0"/>
              <w:rPr>
                <w:sz w:val="1"/>
                <w:szCs w:val="1"/>
                <w:color w:val="auto"/>
              </w:rPr>
            </w:pPr>
          </w:p>
        </w:tc>
      </w:tr>
      <w:tr>
        <w:trPr>
          <w:trHeight w:val="201"/>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6.125% notes due 2006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300</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8.75%</w:t>
            </w:r>
          </w:p>
        </w:tc>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notes due 2007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43</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3.80%</w:t>
            </w:r>
          </w:p>
        </w:tc>
        <w:tc>
          <w:tcPr>
            <w:tcW w:w="5240" w:type="dxa"/>
            <w:vAlign w:val="bottom"/>
          </w:tcPr>
          <w:p>
            <w:pPr>
              <w:ind w:left="60"/>
              <w:spacing w:after="0"/>
              <w:rPr>
                <w:sz w:val="20"/>
                <w:szCs w:val="20"/>
                <w:color w:val="auto"/>
              </w:rPr>
            </w:pPr>
            <w:r>
              <w:rPr>
                <w:rFonts w:ascii="Courier New" w:cs="Courier New" w:eastAsia="Courier New" w:hAnsi="Courier New"/>
                <w:sz w:val="17"/>
                <w:szCs w:val="17"/>
                <w:color w:val="auto"/>
              </w:rPr>
              <w:t>to 6.10% Italian lira mortgage notes</w:t>
            </w:r>
          </w:p>
        </w:tc>
        <w:tc>
          <w:tcPr>
            <w:tcW w:w="260" w:type="dxa"/>
            <w:vAlign w:val="bottom"/>
          </w:tcPr>
          <w:p>
            <w:pPr>
              <w:spacing w:after="0"/>
              <w:rPr>
                <w:sz w:val="17"/>
                <w:szCs w:val="17"/>
                <w:color w:val="auto"/>
              </w:rPr>
            </w:pP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190</w:t>
            </w:r>
          </w:p>
        </w:tc>
        <w:tc>
          <w:tcPr>
            <w:tcW w:w="10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200</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swapped for 1.60% U.S. dollar obligation) .......</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2.75%</w:t>
            </w:r>
          </w:p>
        </w:tc>
        <w:tc>
          <w:tcPr>
            <w:tcW w:w="5240" w:type="dxa"/>
            <w:vAlign w:val="bottom"/>
          </w:tcPr>
          <w:p>
            <w:pPr>
              <w:ind w:left="60"/>
              <w:spacing w:after="0"/>
              <w:rPr>
                <w:sz w:val="20"/>
                <w:szCs w:val="20"/>
                <w:color w:val="auto"/>
              </w:rPr>
            </w:pPr>
            <w:r>
              <w:rPr>
                <w:rFonts w:ascii="Courier New" w:cs="Courier New" w:eastAsia="Courier New" w:hAnsi="Courier New"/>
                <w:sz w:val="17"/>
                <w:szCs w:val="17"/>
                <w:color w:val="auto"/>
              </w:rPr>
              <w:t>convertible subordinated</w:t>
            </w:r>
          </w:p>
        </w:tc>
        <w:tc>
          <w:tcPr>
            <w:tcW w:w="260" w:type="dxa"/>
            <w:vAlign w:val="bottom"/>
          </w:tcPr>
          <w:p>
            <w:pPr>
              <w:spacing w:after="0"/>
              <w:rPr>
                <w:sz w:val="17"/>
                <w:szCs w:val="17"/>
                <w:color w:val="auto"/>
              </w:rPr>
            </w:pP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103</w:t>
            </w:r>
          </w:p>
        </w:tc>
        <w:tc>
          <w:tcPr>
            <w:tcW w:w="0" w:type="dxa"/>
            <w:vAlign w:val="bottom"/>
          </w:tcPr>
          <w:p>
            <w:pPr>
              <w:spacing w:after="0"/>
              <w:rPr>
                <w:sz w:val="1"/>
                <w:szCs w:val="1"/>
                <w:color w:val="auto"/>
              </w:rPr>
            </w:pPr>
          </w:p>
        </w:tc>
      </w:tr>
      <w:tr>
        <w:trPr>
          <w:trHeight w:val="201"/>
        </w:trPr>
        <w:tc>
          <w:tcPr>
            <w:tcW w:w="5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debentures due 2002 ..................................</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57</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59</w:t>
            </w: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w w:val="97"/>
              </w:rPr>
              <w:t>1,353</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1,712</w:t>
            </w:r>
          </w:p>
        </w:tc>
        <w:tc>
          <w:tcPr>
            <w:tcW w:w="0" w:type="dxa"/>
            <w:vAlign w:val="bottom"/>
          </w:tcPr>
          <w:p>
            <w:pPr>
              <w:spacing w:after="0"/>
              <w:rPr>
                <w:sz w:val="1"/>
                <w:szCs w:val="1"/>
                <w:color w:val="auto"/>
              </w:rPr>
            </w:pPr>
          </w:p>
        </w:tc>
      </w:tr>
      <w:tr>
        <w:trPr>
          <w:trHeight w:val="309"/>
        </w:trPr>
        <w:tc>
          <w:tcPr>
            <w:tcW w:w="5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Less current portion long-term debt ...................</w:t>
            </w:r>
          </w:p>
        </w:tc>
        <w:tc>
          <w:tcPr>
            <w:tcW w:w="260" w:type="dxa"/>
            <w:vAlign w:val="bottom"/>
          </w:tcPr>
          <w:p>
            <w:pPr>
              <w:spacing w:after="0"/>
              <w:rPr>
                <w:sz w:val="24"/>
                <w:szCs w:val="24"/>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67</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w:t>
            </w:r>
          </w:p>
        </w:tc>
        <w:tc>
          <w:tcPr>
            <w:tcW w:w="0" w:type="dxa"/>
            <w:vAlign w:val="bottom"/>
          </w:tcPr>
          <w:p>
            <w:pPr>
              <w:spacing w:after="0"/>
              <w:rPr>
                <w:sz w:val="1"/>
                <w:szCs w:val="1"/>
                <w:color w:val="auto"/>
              </w:rPr>
            </w:pPr>
          </w:p>
        </w:tc>
      </w:tr>
      <w:tr>
        <w:trPr>
          <w:trHeight w:val="201"/>
        </w:trPr>
        <w:tc>
          <w:tcPr>
            <w:tcW w:w="580" w:type="dxa"/>
            <w:vAlign w:val="bottom"/>
            <w:vMerge w:val="restart"/>
          </w:tcPr>
          <w:p>
            <w:pPr>
              <w:spacing w:after="0"/>
              <w:rPr>
                <w:sz w:val="20"/>
                <w:szCs w:val="20"/>
                <w:color w:val="auto"/>
              </w:rPr>
            </w:pPr>
            <w:r>
              <w:rPr>
                <w:rFonts w:ascii="Courier New" w:cs="Courier New" w:eastAsia="Courier New" w:hAnsi="Courier New"/>
                <w:sz w:val="17"/>
                <w:szCs w:val="17"/>
                <w:color w:val="auto"/>
              </w:rPr>
              <w:t>Total</w:t>
            </w:r>
          </w:p>
        </w:tc>
        <w:tc>
          <w:tcPr>
            <w:tcW w:w="524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3"/>
                <w:vertAlign w:val="subscript"/>
              </w:rPr>
              <w:t>$</w:t>
            </w:r>
            <w:r>
              <w:rPr>
                <w:rFonts w:ascii="Courier New" w:cs="Courier New" w:eastAsia="Courier New" w:hAnsi="Courier New"/>
                <w:sz w:val="8"/>
                <w:szCs w:val="8"/>
                <w:color w:val="auto"/>
                <w:w w:val="73"/>
              </w:rPr>
              <w:t>------</w:t>
            </w: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w w:val="97"/>
              </w:rPr>
              <w:t>1,286</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80" w:type="dxa"/>
            <w:vAlign w:val="bottom"/>
            <w:vMerge w:val="continue"/>
          </w:tcPr>
          <w:p>
            <w:pPr>
              <w:spacing w:after="0"/>
              <w:rPr>
                <w:sz w:val="17"/>
                <w:szCs w:val="17"/>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$1,697</w:t>
            </w:r>
          </w:p>
        </w:tc>
        <w:tc>
          <w:tcPr>
            <w:tcW w:w="0" w:type="dxa"/>
            <w:vAlign w:val="bottom"/>
          </w:tcPr>
          <w:p>
            <w:pPr>
              <w:spacing w:after="0"/>
              <w:rPr>
                <w:sz w:val="1"/>
                <w:szCs w:val="1"/>
                <w:color w:val="auto"/>
              </w:rPr>
            </w:pPr>
          </w:p>
        </w:tc>
      </w:tr>
      <w:tr>
        <w:trPr>
          <w:trHeight w:val="29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139"/>
        <w:spacing w:after="0" w:line="262" w:lineRule="auto"/>
        <w:rPr>
          <w:sz w:val="20"/>
          <w:szCs w:val="20"/>
          <w:color w:val="auto"/>
        </w:rPr>
      </w:pPr>
      <w:r>
        <w:rPr>
          <w:rFonts w:ascii="Courier New" w:cs="Courier New" w:eastAsia="Courier New" w:hAnsi="Courier New"/>
          <w:sz w:val="17"/>
          <w:szCs w:val="17"/>
          <w:color w:val="auto"/>
        </w:rPr>
        <w:t>In the third quarter of 1997, the company gave notice of redemption for the $103 million outstanding balance of its 2.75% convertible subordinated debentures due 2002. In response, essentially all of the debenture holders elected to convert their debentures into TI common stock. This resulted in the issuance of 2,488,175 shares of TI common stock in the third quarter. In addition, the company announced on October 14, 1997, a fixed-spread tender offer for any or all of its 9.0% notes due 2001, its 9.25% notes due 2003 and its 8.75% notes due 2007. As a result of the tender offer, which closed October 21, an aggregate of $248 million of such debt principal was tendered at a price of $280 million and extinguished by the company through the use of existing cash balances. This resulted in an extraordinary charge of $22 million in the fourth quarter of 1997, after elimination of deferred issuance</w:t>
      </w:r>
    </w:p>
    <w:p>
      <w:pPr>
        <w:sectPr>
          <w:pgSz w:w="11900" w:h="16932" w:orient="portrait"/>
          <w:cols w:equalWidth="0" w:num="1">
            <w:col w:w="10219"/>
          </w:cols>
          <w:pgMar w:left="240" w:top="110" w:right="1440" w:bottom="0" w:gutter="0" w:footer="0" w:header="0"/>
        </w:sectPr>
      </w:pPr>
    </w:p>
    <w:bookmarkStart w:id="26" w:name="page27"/>
    <w:bookmarkEnd w:id="26"/>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costs and recognition of an income tax effect of $12 million.</w:t>
      </w:r>
    </w:p>
    <w:p>
      <w:pPr>
        <w:spacing w:after="0" w:line="210" w:lineRule="exact"/>
        <w:rPr>
          <w:sz w:val="20"/>
          <w:szCs w:val="20"/>
          <w:color w:val="auto"/>
        </w:rPr>
      </w:pPr>
    </w:p>
    <w:p>
      <w:pPr>
        <w:ind w:right="2039" w:firstLine="419"/>
        <w:spacing w:after="0" w:line="276" w:lineRule="auto"/>
        <w:rPr>
          <w:sz w:val="20"/>
          <w:szCs w:val="20"/>
          <w:color w:val="auto"/>
        </w:rPr>
      </w:pPr>
      <w:r>
        <w:rPr>
          <w:rFonts w:ascii="Courier New" w:cs="Courier New" w:eastAsia="Courier New" w:hAnsi="Courier New"/>
          <w:sz w:val="17"/>
          <w:szCs w:val="17"/>
          <w:color w:val="auto"/>
        </w:rPr>
        <w:t>The coupon rates for the notes due 2006 (in 1996, notes due 2001 and 2007) have been swapped for LIBOR-based variable rates through 2006, for an effective interest rate of approximately 5.1% and 9.1% as of December 31, 1997 and 1996. The Italian lira mortgage notes, and related swaps, are due in installments through 2005. The mortgage notes are collateralized by real estate and building equipment.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w:t>
      </w:r>
    </w:p>
    <w:p>
      <w:pPr>
        <w:spacing w:after="0" w:line="210" w:lineRule="exact"/>
        <w:rPr>
          <w:sz w:val="20"/>
          <w:szCs w:val="20"/>
          <w:color w:val="auto"/>
        </w:rPr>
      </w:pPr>
    </w:p>
    <w:p>
      <w:pPr>
        <w:ind w:right="2039" w:firstLine="419"/>
        <w:spacing w:after="0" w:line="283" w:lineRule="auto"/>
        <w:rPr>
          <w:sz w:val="20"/>
          <w:szCs w:val="20"/>
          <w:color w:val="auto"/>
        </w:rPr>
      </w:pPr>
      <w:r>
        <w:rPr>
          <w:rFonts w:ascii="Courier New" w:cs="Courier New" w:eastAsia="Courier New" w:hAnsi="Courier New"/>
          <w:sz w:val="17"/>
          <w:szCs w:val="17"/>
          <w:color w:val="auto"/>
        </w:rPr>
        <w:t>Interest incurred on loans in 1997, 1996 and 1995 was $114 million, $108 million and $69 million. Of these amounts, $20 million in 1997, $35 million in 1996 and $21 million in 1995 were capitalized as a component of capital asset construction costs. Interest paid on loans (net of amounts capitalized) was $94 million in 1997, $54 million in 1996 and $48 million in 1995.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 w:type="dxa"/>
            <w:vAlign w:val="bottom"/>
          </w:tcPr>
          <w:p>
            <w:pPr>
              <w:spacing w:after="0"/>
              <w:rPr>
                <w:sz w:val="17"/>
                <w:szCs w:val="17"/>
                <w:color w:val="auto"/>
              </w:rPr>
            </w:pPr>
          </w:p>
        </w:tc>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Aggregate maturities of long-term debt due during the four</w:t>
            </w:r>
          </w:p>
        </w:tc>
        <w:tc>
          <w:tcPr>
            <w:tcW w:w="11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years</w:t>
            </w:r>
          </w:p>
        </w:tc>
      </w:tr>
      <w:tr>
        <w:trPr>
          <w:trHeight w:val="295"/>
        </w:trPr>
        <w:tc>
          <w:tcPr>
            <w:tcW w:w="6560" w:type="dxa"/>
            <w:vAlign w:val="bottom"/>
            <w:gridSpan w:val="2"/>
          </w:tcPr>
          <w:p>
            <w:pPr>
              <w:spacing w:after="0"/>
              <w:rPr>
                <w:sz w:val="20"/>
                <w:szCs w:val="20"/>
                <w:color w:val="auto"/>
              </w:rPr>
            </w:pPr>
            <w:r>
              <w:rPr>
                <w:rFonts w:ascii="Courier New" w:cs="Courier New" w:eastAsia="Courier New" w:hAnsi="Courier New"/>
                <w:sz w:val="17"/>
                <w:szCs w:val="17"/>
                <w:color w:val="auto"/>
              </w:rPr>
              <w:t>subsequent to December 31, 1998, are as follows:</w:t>
            </w:r>
          </w:p>
        </w:tc>
        <w:tc>
          <w:tcPr>
            <w:tcW w:w="1100" w:type="dxa"/>
            <w:vAlign w:val="bottom"/>
          </w:tcPr>
          <w:p>
            <w:pPr>
              <w:spacing w:after="0"/>
              <w:rPr>
                <w:sz w:val="24"/>
                <w:szCs w:val="24"/>
                <w:color w:val="auto"/>
              </w:rPr>
            </w:pPr>
          </w:p>
        </w:tc>
      </w:tr>
      <w:tr>
        <w:trPr>
          <w:trHeight w:val="309"/>
        </w:trPr>
        <w:tc>
          <w:tcPr>
            <w:tcW w:w="420" w:type="dxa"/>
            <w:vAlign w:val="bottom"/>
          </w:tcPr>
          <w:p>
            <w:pPr>
              <w:spacing w:after="0"/>
              <w:rPr>
                <w:sz w:val="24"/>
                <w:szCs w:val="24"/>
                <w:color w:val="auto"/>
              </w:rPr>
            </w:pPr>
          </w:p>
        </w:tc>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MILLIONS</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OF DOLLARS</w:t>
            </w:r>
          </w:p>
        </w:tc>
      </w:tr>
      <w:tr>
        <w:trPr>
          <w:trHeight w:val="295"/>
        </w:trPr>
        <w:tc>
          <w:tcPr>
            <w:tcW w:w="420" w:type="dxa"/>
            <w:vAlign w:val="bottom"/>
          </w:tcPr>
          <w:p>
            <w:pPr>
              <w:spacing w:after="0"/>
              <w:rPr>
                <w:sz w:val="24"/>
                <w:szCs w:val="24"/>
                <w:color w:val="auto"/>
              </w:rPr>
            </w:pPr>
          </w:p>
        </w:tc>
        <w:tc>
          <w:tcPr>
            <w:tcW w:w="7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1999</w:t>
            </w:r>
          </w:p>
        </w:tc>
        <w:tc>
          <w:tcPr>
            <w:tcW w:w="61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259</w:t>
            </w:r>
          </w:p>
        </w:tc>
      </w:tr>
      <w:tr>
        <w:trPr>
          <w:trHeight w:val="403"/>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2000</w:t>
            </w:r>
          </w:p>
        </w:tc>
        <w:tc>
          <w:tcPr>
            <w:tcW w:w="61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314</w:t>
            </w:r>
          </w:p>
        </w:tc>
      </w:tr>
      <w:tr>
        <w:trPr>
          <w:trHeight w:val="403"/>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2001</w:t>
            </w:r>
          </w:p>
        </w:tc>
        <w:tc>
          <w:tcPr>
            <w:tcW w:w="61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135</w:t>
            </w:r>
          </w:p>
        </w:tc>
      </w:tr>
      <w:tr>
        <w:trPr>
          <w:trHeight w:val="403"/>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2002</w:t>
            </w:r>
          </w:p>
        </w:tc>
        <w:tc>
          <w:tcPr>
            <w:tcW w:w="61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26</w:t>
            </w:r>
          </w:p>
        </w:tc>
      </w:tr>
    </w:tbl>
    <w:p>
      <w:pPr>
        <w:spacing w:after="0" w:line="200" w:lineRule="exact"/>
        <w:rPr>
          <w:sz w:val="20"/>
          <w:szCs w:val="20"/>
          <w:color w:val="auto"/>
        </w:rPr>
      </w:pPr>
    </w:p>
    <w:p>
      <w:pPr>
        <w:spacing w:after="0" w:line="310" w:lineRule="exact"/>
        <w:rPr>
          <w:sz w:val="20"/>
          <w:szCs w:val="20"/>
          <w:color w:val="auto"/>
        </w:rPr>
      </w:pPr>
    </w:p>
    <w:p>
      <w:pPr>
        <w:ind w:right="2039"/>
        <w:spacing w:after="0" w:line="267" w:lineRule="auto"/>
        <w:rPr>
          <w:sz w:val="20"/>
          <w:szCs w:val="20"/>
          <w:color w:val="auto"/>
        </w:rPr>
      </w:pPr>
      <w:r>
        <w:rPr>
          <w:rFonts w:ascii="Courier New" w:cs="Courier New" w:eastAsia="Courier New" w:hAnsi="Courier New"/>
          <w:sz w:val="17"/>
          <w:szCs w:val="17"/>
          <w:color w:val="auto"/>
        </w:rPr>
        <w:t>The company maintains lines of credit to support commercial paper borrowings and to provide additional liquidity. These lines of credit totaled $651 million at December 31, 1997, and $696 million at December 31, 1996. Of these amounts, at December 31, 1997 and 1996, $600 million existed to support outstanding and future commercial paper borrowings or short-term bank loans. At December 31, 1996, outstanding commercial paper borrowings of $299 million with a weighted-average interest rate of 5.49% were included in current loans payable. No commercial paper borrowings were outstanding at December 31, 1997.</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INSTRUMENTS AND RISK CONCENTRATION</w:t>
      </w:r>
    </w:p>
    <w:p>
      <w:pPr>
        <w:spacing w:after="0" w:line="41"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03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INSTRUMENTS: In addition to the swaps discussed in the preceding note, as of December 31, 1997, the company had forward currency exchange contracts outstanding of $275 million to hedge net balance sheet exposures (including $101 million to buy lira, $73 million to buy deutsche marks, and $24 million to buy Singapore dollars). At December 31, 1996, the company had forward currency exchange contracts outstanding of $333 million to hedge net balance sheet exposures (including $82 million to buy deutsche marks, $48 million to sell yen, and $36 million to sell French francs). As of December 31, 1997 and 1996, the carrying amounts and current market settlement values of these swaps and forward contracts were not significant.</w:t>
      </w:r>
    </w:p>
    <w:p>
      <w:pPr>
        <w:spacing w:after="0" w:line="97" w:lineRule="exact"/>
        <w:rPr>
          <w:sz w:val="20"/>
          <w:szCs w:val="20"/>
          <w:color w:val="auto"/>
        </w:rPr>
      </w:pPr>
    </w:p>
    <w:p>
      <w:pPr>
        <w:ind w:right="2039" w:firstLine="419"/>
        <w:spacing w:after="0" w:line="265" w:lineRule="auto"/>
        <w:rPr>
          <w:sz w:val="20"/>
          <w:szCs w:val="20"/>
          <w:color w:val="auto"/>
        </w:rPr>
      </w:pPr>
      <w:r>
        <w:rPr>
          <w:rFonts w:ascii="Courier New" w:cs="Courier New" w:eastAsia="Courier New" w:hAnsi="Courier New"/>
          <w:sz w:val="17"/>
          <w:szCs w:val="17"/>
          <w:color w:val="auto"/>
        </w:rPr>
        <w:t>The company uses forward currency exchange contracts, including the lira note currency swaps, to minimize the adverse earnings impact from the effect of exchange rate fluctuations on the company's non-U.S. dollar net balance sheet exposures. The interest rate swaps for the company's notes due 2006 (in 1996, notes due 2001 and 2007) are used to change the characteristics of the interest rate stream on the debt from fixed rates to short-term variable rates in order to achieve a mix of interest rates which, over time, is expected to moderate financing costs. The effect of these interest rate swaps was to reduce interest expense by $2 million in 1997 and increase interest expense by $2 million and $6 million in 1996 and 1995.</w:t>
      </w:r>
    </w:p>
    <w:p>
      <w:pPr>
        <w:spacing w:after="0" w:line="89" w:lineRule="exact"/>
        <w:rPr>
          <w:sz w:val="20"/>
          <w:szCs w:val="20"/>
          <w:color w:val="auto"/>
        </w:rPr>
      </w:pPr>
    </w:p>
    <w:p>
      <w:pPr>
        <w:jc w:val="both"/>
        <w:ind w:right="2259" w:firstLine="419"/>
        <w:spacing w:after="0" w:line="315" w:lineRule="auto"/>
        <w:rPr>
          <w:sz w:val="20"/>
          <w:szCs w:val="20"/>
          <w:color w:val="auto"/>
        </w:rPr>
      </w:pPr>
      <w:r>
        <w:rPr>
          <w:rFonts w:ascii="Courier New" w:cs="Courier New" w:eastAsia="Courier New" w:hAnsi="Courier New"/>
          <w:sz w:val="17"/>
          <w:szCs w:val="17"/>
          <w:color w:val="auto"/>
        </w:rPr>
        <w:t>In order to minimize its exposure to credit risk, the company limits its counterparties on the forward currency exchange contracts and interest rate swaps to investment-grade rated financial institutions.</w:t>
      </w:r>
    </w:p>
    <w:p>
      <w:pPr>
        <w:spacing w:after="0" w:line="47" w:lineRule="exact"/>
        <w:rPr>
          <w:sz w:val="20"/>
          <w:szCs w:val="20"/>
          <w:color w:val="auto"/>
        </w:rPr>
      </w:pPr>
    </w:p>
    <w:p>
      <w:pPr>
        <w:jc w:val="both"/>
        <w:ind w:right="2139" w:firstLine="419"/>
        <w:spacing w:after="0" w:line="315" w:lineRule="auto"/>
        <w:rPr>
          <w:sz w:val="20"/>
          <w:szCs w:val="20"/>
          <w:color w:val="auto"/>
        </w:rPr>
      </w:pPr>
      <w:r>
        <w:rPr>
          <w:rFonts w:ascii="Courier New" w:cs="Courier New" w:eastAsia="Courier New" w:hAnsi="Courier New"/>
          <w:sz w:val="17"/>
          <w:szCs w:val="17"/>
          <w:color w:val="auto"/>
        </w:rPr>
        <w:t>As of December 31, 1997 and 1996, the fair value of long-term debt, based on current interest rates, was approximately $1390 million and $1759 million, compared with the carrying amount of $1353 million and $1712 million.</w:t>
      </w:r>
    </w:p>
    <w:p>
      <w:pPr>
        <w:spacing w:after="0" w:line="47" w:lineRule="exact"/>
        <w:rPr>
          <w:sz w:val="20"/>
          <w:szCs w:val="20"/>
          <w:color w:val="auto"/>
        </w:rPr>
      </w:pPr>
    </w:p>
    <w:p>
      <w:pPr>
        <w:ind w:right="2139"/>
        <w:spacing w:after="0" w:line="276" w:lineRule="auto"/>
        <w:rPr>
          <w:sz w:val="20"/>
          <w:szCs w:val="20"/>
          <w:color w:val="auto"/>
        </w:rPr>
      </w:pPr>
      <w:r>
        <w:rPr>
          <w:rFonts w:ascii="Courier New" w:cs="Courier New" w:eastAsia="Courier New" w:hAnsi="Courier New"/>
          <w:sz w:val="17"/>
          <w:szCs w:val="17"/>
          <w:color w:val="auto"/>
        </w:rPr>
        <w:t>RISK CONCENTRATION: Financial instruments which potentially subject the company to concentrations of credit risk are primarily cash investments and accounts receivable. The company places its cash investments in investment-grade, short-term debt securities and limits the amount of credit exposure to any one commercial issuer. Concentrations of credit risk with respect to the receivables are limited due to the large number of customers in the company's</w:t>
      </w:r>
    </w:p>
    <w:p>
      <w:pPr>
        <w:sectPr>
          <w:pgSz w:w="11900" w:h="16946" w:orient="portrait"/>
          <w:cols w:equalWidth="0" w:num="1">
            <w:col w:w="10219"/>
          </w:cols>
          <w:pgMar w:left="240" w:top="110" w:right="1440" w:bottom="0" w:gutter="0" w:footer="0" w:header="0"/>
        </w:sectPr>
      </w:pPr>
    </w:p>
    <w:bookmarkStart w:id="27" w:name="page28"/>
    <w:bookmarkEnd w:id="27"/>
    <w:p>
      <w:pPr>
        <w:spacing w:after="0" w:line="193" w:lineRule="exact"/>
        <w:rPr>
          <w:sz w:val="20"/>
          <w:szCs w:val="20"/>
          <w:color w:val="auto"/>
        </w:rPr>
      </w:pPr>
    </w:p>
    <w:p>
      <w:pPr>
        <w:ind w:right="2039"/>
        <w:spacing w:after="0" w:line="315" w:lineRule="auto"/>
        <w:rPr>
          <w:sz w:val="20"/>
          <w:szCs w:val="20"/>
          <w:color w:val="auto"/>
        </w:rPr>
      </w:pPr>
      <w:r>
        <w:rPr>
          <w:rFonts w:ascii="Courier New" w:cs="Courier New" w:eastAsia="Courier New" w:hAnsi="Courier New"/>
          <w:sz w:val="17"/>
          <w:szCs w:val="17"/>
          <w:color w:val="auto"/>
        </w:rPr>
        <w:t>customer base, and their dispersion across different industries and geographic areas. The company maintains an allowance for losses based upon the expected collectibility of accounts receivable.</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STOCKHOLDERS' EQUITY</w:t>
      </w:r>
    </w:p>
    <w:p>
      <w:pPr>
        <w:spacing w:after="0" w:line="41"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139"/>
        <w:spacing w:after="0" w:line="3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authorized to issue 10,000,000 shares of preferred stock. None are currently outstanding.</w:t>
      </w:r>
    </w:p>
    <w:p>
      <w:pPr>
        <w:spacing w:after="0" w:line="28" w:lineRule="exact"/>
        <w:rPr>
          <w:sz w:val="20"/>
          <w:szCs w:val="20"/>
          <w:color w:val="auto"/>
        </w:rPr>
      </w:pPr>
    </w:p>
    <w:p>
      <w:pPr>
        <w:ind w:right="2039" w:firstLine="419"/>
        <w:spacing w:after="0" w:line="376" w:lineRule="auto"/>
        <w:rPr>
          <w:sz w:val="20"/>
          <w:szCs w:val="20"/>
          <w:color w:val="auto"/>
        </w:rPr>
      </w:pPr>
      <w:r>
        <w:rPr>
          <w:rFonts w:ascii="Courier New" w:cs="Courier New" w:eastAsia="Courier New" w:hAnsi="Courier New"/>
          <w:sz w:val="17"/>
          <w:szCs w:val="17"/>
          <w:color w:val="auto"/>
        </w:rPr>
        <w:t>Each outstanding share of the company's common stock carries one-fourth of a stock purchase right. Under certain circum-</w:t>
      </w:r>
    </w:p>
    <w:p>
      <w:pPr>
        <w:spacing w:after="0" w:line="1"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23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139"/>
        <w:spacing w:after="0" w:line="269" w:lineRule="auto"/>
        <w:rPr>
          <w:sz w:val="20"/>
          <w:szCs w:val="20"/>
          <w:color w:val="auto"/>
        </w:rPr>
      </w:pPr>
      <w:r>
        <w:rPr>
          <w:rFonts w:ascii="Courier New" w:cs="Courier New" w:eastAsia="Courier New" w:hAnsi="Courier New"/>
          <w:sz w:val="17"/>
          <w:szCs w:val="17"/>
          <w:color w:val="auto"/>
        </w:rPr>
        <w:t>stances, each right may be exercised to purchase one one-hundredth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1998.</w:t>
      </w: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 EXPENSE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p>
      <w:pPr>
        <w:ind w:right="2039"/>
        <w:spacing w:after="0" w:line="258" w:lineRule="auto"/>
        <w:rPr>
          <w:sz w:val="20"/>
          <w:szCs w:val="20"/>
          <w:color w:val="auto"/>
        </w:rPr>
      </w:pPr>
      <w:r>
        <w:rPr>
          <w:rFonts w:ascii="Courier New" w:cs="Courier New" w:eastAsia="Courier New" w:hAnsi="Courier New"/>
          <w:sz w:val="17"/>
          <w:szCs w:val="17"/>
          <w:color w:val="auto"/>
        </w:rPr>
        <w:t>Research and development expense, which totaled $1536 million in 1997, $1181 million in 1996 and $842 million in 1995, included a charge in 1997 of $461 million for the value of acquired in-process research and development as a result of the acquisition of Amati Communications Corporation (Amati). The company acquired Amati as a result of an all-cash tender offer which commenced on November 25, 1997, and expired on December 23, 1997, through which approximately 78% of Amati's outstanding common shares were acquired for an aggregate of $306 million, or $20 per share. As contractually required, the company is acquiring the balance of the Amati shares through a second-step merger transaction for an aggregate of $89 million, or $20 per share. In addition to these stock purchase costs, the company has incurred approximately $121 million of additional acquisition costs, which includes $73 million for the value of TI common stock options contractually required to be issued to replace outstanding Amati employee stock options. Research and development expense for 1996 included a charge of $192 million for the value of acquired in-process research and development in connection with the 1996 acquisition of Silicon Systems, Inc. (SSi). There was no tax offset associated with either of these two charges.</w:t>
      </w: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(EXPENSE) NET</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334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420" w:type="dxa"/>
            <w:vAlign w:val="bottom"/>
          </w:tcPr>
          <w:p>
            <w:pPr>
              <w:spacing w:after="0"/>
              <w:rPr>
                <w:sz w:val="17"/>
                <w:szCs w:val="17"/>
                <w:color w:val="auto"/>
              </w:rPr>
            </w:pPr>
          </w:p>
        </w:tc>
        <w:tc>
          <w:tcPr>
            <w:tcW w:w="116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7"/>
              </w:rPr>
              <w:t>1996</w:t>
            </w:r>
          </w:p>
        </w:tc>
        <w:tc>
          <w:tcPr>
            <w:tcW w:w="10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1995</w:t>
            </w:r>
          </w:p>
        </w:tc>
        <w:tc>
          <w:tcPr>
            <w:tcW w:w="0" w:type="dxa"/>
            <w:vAlign w:val="bottom"/>
          </w:tcPr>
          <w:p>
            <w:pPr>
              <w:spacing w:after="0"/>
              <w:rPr>
                <w:sz w:val="1"/>
                <w:szCs w:val="1"/>
                <w:color w:val="auto"/>
              </w:rPr>
            </w:pPr>
          </w:p>
        </w:tc>
      </w:tr>
      <w:tr>
        <w:trPr>
          <w:trHeight w:val="20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Interest income ...........................</w:t>
            </w:r>
          </w:p>
        </w:tc>
        <w:tc>
          <w:tcPr>
            <w:tcW w:w="20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146</w:t>
            </w:r>
          </w:p>
        </w:tc>
        <w:tc>
          <w:tcPr>
            <w:tcW w:w="15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12"/>
        </w:trPr>
        <w:tc>
          <w:tcPr>
            <w:tcW w:w="462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62</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w:t>
            </w:r>
          </w:p>
        </w:tc>
        <w:tc>
          <w:tcPr>
            <w:tcW w:w="0" w:type="dxa"/>
            <w:vAlign w:val="bottom"/>
          </w:tcPr>
          <w:p>
            <w:pPr>
              <w:spacing w:after="0"/>
              <w:rPr>
                <w:sz w:val="1"/>
                <w:szCs w:val="1"/>
                <w:color w:val="auto"/>
              </w:rPr>
            </w:pPr>
          </w:p>
        </w:tc>
      </w:tr>
      <w:tr>
        <w:trPr>
          <w:trHeight w:val="292"/>
        </w:trPr>
        <w:tc>
          <w:tcPr>
            <w:tcW w:w="4620" w:type="dxa"/>
            <w:vAlign w:val="bottom"/>
          </w:tcPr>
          <w:p>
            <w:pPr>
              <w:spacing w:after="0"/>
              <w:rPr>
                <w:sz w:val="20"/>
                <w:szCs w:val="20"/>
                <w:color w:val="auto"/>
              </w:rPr>
            </w:pPr>
            <w:r>
              <w:rPr>
                <w:rFonts w:ascii="Courier New" w:cs="Courier New" w:eastAsia="Courier New" w:hAnsi="Courier New"/>
                <w:sz w:val="17"/>
                <w:szCs w:val="17"/>
                <w:color w:val="auto"/>
              </w:rPr>
              <w:t>Other income (expense) net ................</w:t>
            </w:r>
          </w:p>
        </w:tc>
        <w:tc>
          <w:tcPr>
            <w:tcW w:w="20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46</w:t>
            </w:r>
          </w:p>
        </w:tc>
        <w:tc>
          <w:tcPr>
            <w:tcW w:w="420" w:type="dxa"/>
            <w:vAlign w:val="bottom"/>
          </w:tcPr>
          <w:p>
            <w:pPr>
              <w:spacing w:after="0"/>
              <w:rPr>
                <w:sz w:val="24"/>
                <w:szCs w:val="24"/>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14</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20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20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192</w:t>
            </w:r>
          </w:p>
        </w:tc>
        <w:tc>
          <w:tcPr>
            <w:tcW w:w="15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76</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4"/>
                <w:szCs w:val="24"/>
                <w:color w:val="auto"/>
              </w:rPr>
            </w:pPr>
          </w:p>
        </w:tc>
        <w:tc>
          <w:tcPr>
            <w:tcW w:w="1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w:t>
      </w:r>
    </w:p>
    <w:p>
      <w:pPr>
        <w:spacing w:after="0" w:line="41"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13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stock options outstanding to participants under the Texas Instruments 1996 Long-Term Incentive Plan, approved by stockholders on April 18, 1996. Options are also outstanding under the 1984 and 1988 Stock Option Plans and the Texas Instruments Long-Term Incentive Plan; however, no further options may be granted under these plans. Under all these stockholder-approved plans, unless the options are replacement options, e.g., acquisition-related, the option price per share may not be less than 100 percent of the fair market value on the date of the grant. Substantially all the options have a 10-year term. Options granted in 1997 generally vest ratably over four years. Options granted prior to that are either fully vested or will vest within one year.</w:t>
      </w:r>
    </w:p>
    <w:p>
      <w:pPr>
        <w:spacing w:after="0" w:line="299" w:lineRule="exact"/>
        <w:rPr>
          <w:sz w:val="20"/>
          <w:szCs w:val="20"/>
          <w:color w:val="auto"/>
        </w:rPr>
      </w:pPr>
    </w:p>
    <w:p>
      <w:pPr>
        <w:ind w:right="2359" w:firstLine="419"/>
        <w:spacing w:after="0" w:line="379" w:lineRule="auto"/>
        <w:rPr>
          <w:sz w:val="20"/>
          <w:szCs w:val="20"/>
          <w:color w:val="auto"/>
        </w:rPr>
      </w:pPr>
      <w:r>
        <w:rPr>
          <w:rFonts w:ascii="Courier New" w:cs="Courier New" w:eastAsia="Courier New" w:hAnsi="Courier New"/>
          <w:sz w:val="17"/>
          <w:szCs w:val="17"/>
          <w:color w:val="auto"/>
        </w:rPr>
        <w:t>Under the 1996 Long-Term Incentive Plan, the company may grant stock options, including incentive stock options; restricted stock and restricted</w:t>
      </w:r>
    </w:p>
    <w:p>
      <w:pPr>
        <w:sectPr>
          <w:pgSz w:w="11900" w:h="17031" w:orient="portrait"/>
          <w:cols w:equalWidth="0" w:num="1">
            <w:col w:w="10219"/>
          </w:cols>
          <w:pgMar w:left="240" w:top="110" w:right="1440" w:bottom="0" w:gutter="0" w:footer="0" w:header="0"/>
        </w:sectPr>
      </w:pPr>
    </w:p>
    <w:bookmarkStart w:id="28" w:name="page29"/>
    <w:bookmarkEnd w:id="28"/>
    <w:p>
      <w:pPr>
        <w:spacing w:after="0" w:line="108" w:lineRule="exact"/>
        <w:rPr>
          <w:sz w:val="20"/>
          <w:szCs w:val="20"/>
          <w:color w:val="auto"/>
        </w:rPr>
      </w:pPr>
    </w:p>
    <w:p>
      <w:pPr>
        <w:ind w:right="2039"/>
        <w:spacing w:after="0" w:line="262" w:lineRule="auto"/>
        <w:rPr>
          <w:sz w:val="20"/>
          <w:szCs w:val="20"/>
          <w:color w:val="auto"/>
        </w:rPr>
      </w:pPr>
      <w:r>
        <w:rPr>
          <w:rFonts w:ascii="Courier New" w:cs="Courier New" w:eastAsia="Courier New" w:hAnsi="Courier New"/>
          <w:sz w:val="17"/>
          <w:szCs w:val="17"/>
          <w:color w:val="auto"/>
        </w:rPr>
        <w:t>stock units; performance units; and other stock-based awards. The plan provides for the issuance of 37,000,000 shares of the company's common stock; in addition, if any award under the 1984 or 1988 Stock Option Plans or the Long-Term Incentive Plan terminates, then any unissued shares subject to the terminated award become available for granting awards under the 1996 Long-Term Incentive Plan. No more than 4,000,000 shares of common stock may be awarded as restricted stock, restricted stock units or other stock-based awards under the plan. In 1997 and 1996, 201,500 and 110,028 shares of restricted stock units, which vest over 1 to 5 years, were granted (weighted-average award-date value of $37.78 and $22.65 per share). In addition, in 1997 and 1996, 5,700 and 69,812 previously unissued shares were issued as Annual Incentive Plan stock awards</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w:t>
      </w:r>
    </w:p>
    <w:p>
      <w:pPr>
        <w:spacing w:after="0" w:line="210" w:lineRule="exact"/>
        <w:rPr>
          <w:sz w:val="20"/>
          <w:szCs w:val="20"/>
          <w:color w:val="auto"/>
        </w:rPr>
      </w:pPr>
    </w:p>
    <w:p>
      <w:pPr>
        <w:ind w:right="2779"/>
        <w:spacing w:after="0" w:line="315" w:lineRule="auto"/>
        <w:rPr>
          <w:sz w:val="20"/>
          <w:szCs w:val="20"/>
          <w:color w:val="auto"/>
        </w:rPr>
      </w:pPr>
      <w:r>
        <w:rPr>
          <w:rFonts w:ascii="Courier New" w:cs="Courier New" w:eastAsia="Courier New" w:hAnsi="Courier New"/>
          <w:sz w:val="17"/>
          <w:szCs w:val="17"/>
          <w:color w:val="auto"/>
        </w:rPr>
        <w:t>(weighted-average award-date value of $22.94 and $23.28 per share). Compensation expense for restricted stock units and annual stock awards totaled $3.5 million and $1.6 million in 1997 and 1996.</w:t>
      </w:r>
    </w:p>
    <w:p>
      <w:pPr>
        <w:spacing w:after="0" w:line="47" w:lineRule="exact"/>
        <w:rPr>
          <w:sz w:val="20"/>
          <w:szCs w:val="20"/>
          <w:color w:val="auto"/>
        </w:rPr>
      </w:pPr>
    </w:p>
    <w:p>
      <w:pPr>
        <w:ind w:right="2039" w:firstLine="419"/>
        <w:spacing w:after="0" w:line="265" w:lineRule="auto"/>
        <w:rPr>
          <w:sz w:val="20"/>
          <w:szCs w:val="20"/>
          <w:color w:val="auto"/>
        </w:rPr>
      </w:pPr>
      <w:r>
        <w:rPr>
          <w:rFonts w:ascii="Courier New" w:cs="Courier New" w:eastAsia="Courier New" w:hAnsi="Courier New"/>
          <w:sz w:val="17"/>
          <w:szCs w:val="17"/>
          <w:color w:val="auto"/>
        </w:rPr>
        <w:t>The company also has stock options outstanding under the Employee Stock Purchase Plan approved by stockholders in 1997. The plan provides for options to be offered semiannually to all eligible employees in amounts based on a percentage of the employee's compensation. The option price per share may not be less than 85 percent of the fair market value on the date of grant. If the optionee authorizes and does not cancel payroll deductions which will be equal to or greater than the purchase price, options granted become exercisable 7 months, and expire not more than 13 months, from date of grant. Options are also outstanding under the 1988 Employees Stock Option Purchase Plan; however, no further options may be granted under this plan.</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Stock option transactions during 1997, 1996 and 1995 were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rPr>
              <w:t>LONG-TERM</w:t>
            </w:r>
          </w:p>
        </w:tc>
        <w:tc>
          <w:tcPr>
            <w:tcW w:w="114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rPr>
              <w:t>WEIGHTED-</w:t>
            </w:r>
          </w:p>
        </w:tc>
        <w:tc>
          <w:tcPr>
            <w:tcW w:w="18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WEIGHTED-</w:t>
            </w:r>
          </w:p>
        </w:tc>
        <w:tc>
          <w:tcPr>
            <w:tcW w:w="0" w:type="dxa"/>
            <w:vAlign w:val="bottom"/>
          </w:tcPr>
          <w:p>
            <w:pPr>
              <w:spacing w:after="0"/>
              <w:rPr>
                <w:sz w:val="1"/>
                <w:szCs w:val="1"/>
                <w:color w:val="auto"/>
              </w:rPr>
            </w:pPr>
          </w:p>
        </w:tc>
      </w:tr>
      <w:tr>
        <w:trPr>
          <w:trHeight w:val="201"/>
        </w:trPr>
        <w:tc>
          <w:tcPr>
            <w:tcW w:w="32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rPr>
              <w:t>INCENTIVE</w:t>
            </w:r>
          </w:p>
        </w:tc>
        <w:tc>
          <w:tcPr>
            <w:tcW w:w="1140" w:type="dxa"/>
            <w:vAlign w:val="bottom"/>
            <w:vMerge w:val="continue"/>
          </w:tcPr>
          <w:p>
            <w:pPr>
              <w:spacing w:after="0"/>
              <w:rPr>
                <w:sz w:val="17"/>
                <w:szCs w:val="17"/>
                <w:color w:val="auto"/>
              </w:rPr>
            </w:pPr>
          </w:p>
        </w:tc>
        <w:tc>
          <w:tcPr>
            <w:tcW w:w="18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EMPLOYEE STOCK</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rPr>
              <w:t>AND STOCK</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AVERAGE</w:t>
            </w:r>
          </w:p>
        </w:tc>
        <w:tc>
          <w:tcPr>
            <w:tcW w:w="1840" w:type="dxa"/>
            <w:vAlign w:val="bottom"/>
            <w:vMerge w:val="continue"/>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AVERAGE</w:t>
            </w:r>
          </w:p>
        </w:tc>
        <w:tc>
          <w:tcPr>
            <w:tcW w:w="0" w:type="dxa"/>
            <w:vAlign w:val="bottom"/>
          </w:tcPr>
          <w:p>
            <w:pPr>
              <w:spacing w:after="0"/>
              <w:rPr>
                <w:sz w:val="1"/>
                <w:szCs w:val="1"/>
                <w:color w:val="auto"/>
              </w:rPr>
            </w:pPr>
          </w:p>
        </w:tc>
      </w:tr>
      <w:tr>
        <w:trPr>
          <w:trHeight w:val="201"/>
        </w:trPr>
        <w:tc>
          <w:tcPr>
            <w:tcW w:w="3200" w:type="dxa"/>
            <w:vAlign w:val="bottom"/>
          </w:tcPr>
          <w:p>
            <w:pPr>
              <w:spacing w:after="0"/>
              <w:rPr>
                <w:sz w:val="17"/>
                <w:szCs w:val="17"/>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OPTION</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EXERCISE</w:t>
            </w:r>
          </w:p>
        </w:tc>
        <w:tc>
          <w:tcPr>
            <w:tcW w:w="1840" w:type="dxa"/>
            <w:vAlign w:val="bottom"/>
          </w:tcPr>
          <w:p>
            <w:pPr>
              <w:ind w:left="100"/>
              <w:spacing w:after="0"/>
              <w:rPr>
                <w:sz w:val="20"/>
                <w:szCs w:val="20"/>
                <w:color w:val="auto"/>
              </w:rPr>
            </w:pPr>
            <w:r>
              <w:rPr>
                <w:rFonts w:ascii="Courier New" w:cs="Courier New" w:eastAsia="Courier New" w:hAnsi="Courier New"/>
                <w:sz w:val="17"/>
                <w:szCs w:val="17"/>
                <w:color w:val="auto"/>
              </w:rPr>
              <w:t>AND STOCK OPTION</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EXERCISE</w:t>
            </w:r>
          </w:p>
        </w:tc>
        <w:tc>
          <w:tcPr>
            <w:tcW w:w="0" w:type="dxa"/>
            <w:vAlign w:val="bottom"/>
          </w:tcPr>
          <w:p>
            <w:pPr>
              <w:spacing w:after="0"/>
              <w:rPr>
                <w:sz w:val="1"/>
                <w:szCs w:val="1"/>
                <w:color w:val="auto"/>
              </w:rPr>
            </w:pPr>
          </w:p>
        </w:tc>
      </w:tr>
      <w:tr>
        <w:trPr>
          <w:trHeight w:val="201"/>
        </w:trPr>
        <w:tc>
          <w:tcPr>
            <w:tcW w:w="32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rPr>
              <w:t>PLANS</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PRICE</w:t>
            </w:r>
          </w:p>
        </w:tc>
        <w:tc>
          <w:tcPr>
            <w:tcW w:w="1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PURCHASE PLANS</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PRICE</w:t>
            </w:r>
          </w:p>
        </w:tc>
        <w:tc>
          <w:tcPr>
            <w:tcW w:w="0" w:type="dxa"/>
            <w:vAlign w:val="bottom"/>
          </w:tcPr>
          <w:p>
            <w:pPr>
              <w:spacing w:after="0"/>
              <w:rPr>
                <w:sz w:val="1"/>
                <w:szCs w:val="1"/>
                <w:color w:val="auto"/>
              </w:rPr>
            </w:pPr>
          </w:p>
        </w:tc>
      </w:tr>
      <w:tr>
        <w:trPr>
          <w:trHeight w:val="295"/>
        </w:trPr>
        <w:tc>
          <w:tcPr>
            <w:tcW w:w="3200" w:type="dxa"/>
            <w:vAlign w:val="bottom"/>
          </w:tcPr>
          <w:p>
            <w:pPr>
              <w:spacing w:after="0"/>
              <w:rPr>
                <w:sz w:val="24"/>
                <w:szCs w:val="24"/>
                <w:color w:val="auto"/>
              </w:rPr>
            </w:pP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309"/>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Dec. 31, 1994 .......</w:t>
            </w: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16,319,108</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$11.96</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1,897,564</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$19.19</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Granted .....................</w:t>
            </w: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5,823,520</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17.84</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1,965,896*</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29.66</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Forfeited ...................</w:t>
            </w:r>
          </w:p>
        </w:tc>
        <w:tc>
          <w:tcPr>
            <w:tcW w:w="13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(236,728)</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16.84</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(220,970)</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24.23</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Expired .....................</w:t>
            </w: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Exercised** .................</w:t>
            </w:r>
          </w:p>
        </w:tc>
        <w:tc>
          <w:tcPr>
            <w:tcW w:w="13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(6,140,756)</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10.49</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(1,375,072)</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18.71</w:t>
            </w:r>
          </w:p>
        </w:tc>
        <w:tc>
          <w:tcPr>
            <w:tcW w:w="0" w:type="dxa"/>
            <w:vAlign w:val="bottom"/>
          </w:tcPr>
          <w:p>
            <w:pPr>
              <w:spacing w:after="0"/>
              <w:rPr>
                <w:sz w:val="1"/>
                <w:szCs w:val="1"/>
                <w:color w:val="auto"/>
              </w:rPr>
            </w:pPr>
          </w:p>
        </w:tc>
      </w:tr>
      <w:tr>
        <w:trPr>
          <w:trHeight w:val="201"/>
        </w:trPr>
        <w:tc>
          <w:tcPr>
            <w:tcW w:w="3200" w:type="dxa"/>
            <w:vAlign w:val="bottom"/>
            <w:vMerge w:val="restart"/>
          </w:tcPr>
          <w:p>
            <w:pPr>
              <w:spacing w:after="0"/>
              <w:rPr>
                <w:sz w:val="20"/>
                <w:szCs w:val="20"/>
                <w:color w:val="auto"/>
              </w:rPr>
            </w:pPr>
            <w:r>
              <w:rPr>
                <w:rFonts w:ascii="Courier New" w:cs="Courier New" w:eastAsia="Courier New" w:hAnsi="Courier New"/>
                <w:sz w:val="17"/>
                <w:szCs w:val="17"/>
                <w:color w:val="auto"/>
              </w:rPr>
              <w:t>Balance, Dec. 31, 1995</w:t>
            </w:r>
          </w:p>
        </w:tc>
        <w:tc>
          <w:tcPr>
            <w:tcW w:w="1320" w:type="dxa"/>
            <w:vAlign w:val="bottom"/>
            <w:vMerge w:val="restart"/>
          </w:tcPr>
          <w:p>
            <w:pPr>
              <w:jc w:val="right"/>
              <w:ind w:right="136"/>
              <w:spacing w:after="0"/>
              <w:rPr>
                <w:sz w:val="20"/>
                <w:szCs w:val="20"/>
                <w:color w:val="auto"/>
              </w:rPr>
            </w:pPr>
            <w:r>
              <w:rPr>
                <w:rFonts w:ascii="Courier New" w:cs="Courier New" w:eastAsia="Courier New" w:hAnsi="Courier New"/>
                <w:sz w:val="20"/>
                <w:szCs w:val="20"/>
                <w:color w:val="auto"/>
                <w:w w:val="71"/>
                <w:vertAlign w:val="subscript"/>
              </w:rPr>
              <w:t>15,765,144</w:t>
            </w:r>
            <w:r>
              <w:rPr>
                <w:rFonts w:ascii="Courier New" w:cs="Courier New" w:eastAsia="Courier New" w:hAnsi="Courier New"/>
                <w:sz w:val="12"/>
                <w:szCs w:val="12"/>
                <w:color w:val="auto"/>
                <w:w w:val="71"/>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vMerge w:val="continue"/>
          </w:tcPr>
          <w:p>
            <w:pPr>
              <w:jc w:val="right"/>
              <w:spacing w:after="0" w:line="178" w:lineRule="exact"/>
              <w:rPr>
                <w:sz w:val="20"/>
                <w:szCs w:val="20"/>
                <w:color w:val="auto"/>
              </w:rPr>
            </w:pPr>
            <w:r>
              <w:rPr>
                <w:rFonts w:ascii="Courier New" w:cs="Courier New" w:eastAsia="Courier New" w:hAnsi="Courier New"/>
                <w:sz w:val="17"/>
                <w:szCs w:val="17"/>
                <w:color w:val="auto"/>
              </w:rPr>
              <w:t>.......</w:t>
            </w:r>
          </w:p>
        </w:tc>
        <w:tc>
          <w:tcPr>
            <w:tcW w:w="1320" w:type="dxa"/>
            <w:vAlign w:val="bottom"/>
            <w:vMerge w:val="continue"/>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14.62</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2,267,418</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28.07</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Granted .....................</w:t>
            </w: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5,326,750</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22.92</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1,697,092*</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28.13</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Forfeited ...................</w:t>
            </w:r>
          </w:p>
        </w:tc>
        <w:tc>
          <w:tcPr>
            <w:tcW w:w="13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(397,478)</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13.08</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(799,818)</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29.22</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Expired .....................</w:t>
            </w: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Exercised** .................</w:t>
            </w:r>
          </w:p>
        </w:tc>
        <w:tc>
          <w:tcPr>
            <w:tcW w:w="13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(869,320)</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12.90</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(772,324)</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25.18</w:t>
            </w:r>
          </w:p>
        </w:tc>
        <w:tc>
          <w:tcPr>
            <w:tcW w:w="0" w:type="dxa"/>
            <w:vAlign w:val="bottom"/>
          </w:tcPr>
          <w:p>
            <w:pPr>
              <w:spacing w:after="0"/>
              <w:rPr>
                <w:sz w:val="1"/>
                <w:szCs w:val="1"/>
                <w:color w:val="auto"/>
              </w:rPr>
            </w:pPr>
          </w:p>
        </w:tc>
      </w:tr>
      <w:tr>
        <w:trPr>
          <w:trHeight w:val="201"/>
        </w:trPr>
        <w:tc>
          <w:tcPr>
            <w:tcW w:w="3200" w:type="dxa"/>
            <w:vAlign w:val="bottom"/>
            <w:vMerge w:val="restart"/>
          </w:tcPr>
          <w:p>
            <w:pPr>
              <w:spacing w:after="0"/>
              <w:rPr>
                <w:sz w:val="20"/>
                <w:szCs w:val="20"/>
                <w:color w:val="auto"/>
              </w:rPr>
            </w:pPr>
            <w:r>
              <w:rPr>
                <w:rFonts w:ascii="Courier New" w:cs="Courier New" w:eastAsia="Courier New" w:hAnsi="Courier New"/>
                <w:sz w:val="17"/>
                <w:szCs w:val="17"/>
                <w:color w:val="auto"/>
              </w:rPr>
              <w:t>Balance, Dec. 31, 1996</w:t>
            </w:r>
          </w:p>
        </w:tc>
        <w:tc>
          <w:tcPr>
            <w:tcW w:w="1320" w:type="dxa"/>
            <w:vAlign w:val="bottom"/>
            <w:vMerge w:val="restart"/>
          </w:tcPr>
          <w:p>
            <w:pPr>
              <w:jc w:val="right"/>
              <w:ind w:right="136"/>
              <w:spacing w:after="0"/>
              <w:rPr>
                <w:sz w:val="20"/>
                <w:szCs w:val="20"/>
                <w:color w:val="auto"/>
              </w:rPr>
            </w:pPr>
            <w:r>
              <w:rPr>
                <w:rFonts w:ascii="Courier New" w:cs="Courier New" w:eastAsia="Courier New" w:hAnsi="Courier New"/>
                <w:sz w:val="12"/>
                <w:szCs w:val="12"/>
                <w:color w:val="auto"/>
                <w:w w:val="71"/>
              </w:rPr>
              <w:t>19,825,096</w:t>
            </w:r>
            <w:r>
              <w:rPr>
                <w:rFonts w:ascii="Courier New" w:cs="Courier New" w:eastAsia="Courier New" w:hAnsi="Courier New"/>
                <w:sz w:val="20"/>
                <w:szCs w:val="20"/>
                <w:color w:val="auto"/>
                <w:w w:val="71"/>
                <w:vertAlign w:val="superscript"/>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16.96</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2,392,368</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28.66</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Granted .....................</w:t>
            </w: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10,237,160</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36.45</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1,187,887*</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48.30</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Forfeited ...................</w:t>
            </w:r>
          </w:p>
        </w:tc>
        <w:tc>
          <w:tcPr>
            <w:tcW w:w="13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(2,365,382)</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28.79</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(763,335)</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30.02</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Expired .....................</w:t>
            </w: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Exercised** .................</w:t>
            </w:r>
          </w:p>
        </w:tc>
        <w:tc>
          <w:tcPr>
            <w:tcW w:w="13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(3,874,438)</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14.01</w:t>
            </w:r>
          </w:p>
        </w:tc>
        <w:tc>
          <w:tcPr>
            <w:tcW w:w="1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(1,487,181)</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28.96</w:t>
            </w:r>
          </w:p>
        </w:tc>
        <w:tc>
          <w:tcPr>
            <w:tcW w:w="0" w:type="dxa"/>
            <w:vAlign w:val="bottom"/>
          </w:tcPr>
          <w:p>
            <w:pPr>
              <w:spacing w:after="0"/>
              <w:rPr>
                <w:sz w:val="1"/>
                <w:szCs w:val="1"/>
                <w:color w:val="auto"/>
              </w:rPr>
            </w:pPr>
          </w:p>
        </w:tc>
      </w:tr>
      <w:tr>
        <w:trPr>
          <w:trHeight w:val="201"/>
        </w:trPr>
        <w:tc>
          <w:tcPr>
            <w:tcW w:w="3200" w:type="dxa"/>
            <w:vAlign w:val="bottom"/>
            <w:vMerge w:val="restart"/>
          </w:tcPr>
          <w:p>
            <w:pPr>
              <w:spacing w:after="0"/>
              <w:rPr>
                <w:sz w:val="20"/>
                <w:szCs w:val="20"/>
                <w:color w:val="auto"/>
              </w:rPr>
            </w:pPr>
            <w:r>
              <w:rPr>
                <w:rFonts w:ascii="Courier New" w:cs="Courier New" w:eastAsia="Courier New" w:hAnsi="Courier New"/>
                <w:sz w:val="17"/>
                <w:szCs w:val="17"/>
                <w:color w:val="auto"/>
              </w:rPr>
              <w:t>Balance, Dec. 31, 1997</w:t>
            </w:r>
          </w:p>
        </w:tc>
        <w:tc>
          <w:tcPr>
            <w:tcW w:w="1320" w:type="dxa"/>
            <w:vAlign w:val="bottom"/>
            <w:vMerge w:val="restart"/>
          </w:tcPr>
          <w:p>
            <w:pPr>
              <w:jc w:val="right"/>
              <w:ind w:right="136"/>
              <w:spacing w:after="0"/>
              <w:rPr>
                <w:sz w:val="20"/>
                <w:szCs w:val="20"/>
                <w:color w:val="auto"/>
              </w:rPr>
            </w:pPr>
            <w:r>
              <w:rPr>
                <w:rFonts w:ascii="Courier New" w:cs="Courier New" w:eastAsia="Courier New" w:hAnsi="Courier New"/>
                <w:sz w:val="12"/>
                <w:szCs w:val="12"/>
                <w:color w:val="auto"/>
                <w:w w:val="71"/>
              </w:rPr>
              <w:t>23,822,436</w:t>
            </w:r>
            <w:r>
              <w:rPr>
                <w:rFonts w:ascii="Courier New" w:cs="Courier New" w:eastAsia="Courier New" w:hAnsi="Courier New"/>
                <w:sz w:val="20"/>
                <w:szCs w:val="20"/>
                <w:color w:val="auto"/>
                <w:w w:val="71"/>
                <w:vertAlign w:val="superscript"/>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$24.64</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1,329,739</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$44.71</w:t>
            </w:r>
          </w:p>
        </w:tc>
        <w:tc>
          <w:tcPr>
            <w:tcW w:w="0" w:type="dxa"/>
            <w:vAlign w:val="bottom"/>
          </w:tcPr>
          <w:p>
            <w:pPr>
              <w:spacing w:after="0"/>
              <w:rPr>
                <w:sz w:val="1"/>
                <w:szCs w:val="1"/>
                <w:color w:val="auto"/>
              </w:rPr>
            </w:pPr>
          </w:p>
        </w:tc>
      </w:tr>
      <w:tr>
        <w:trPr>
          <w:trHeight w:val="295"/>
        </w:trPr>
        <w:tc>
          <w:tcPr>
            <w:tcW w:w="3200" w:type="dxa"/>
            <w:vAlign w:val="bottom"/>
          </w:tcPr>
          <w:p>
            <w:pPr>
              <w:spacing w:after="0"/>
              <w:rPr>
                <w:sz w:val="24"/>
                <w:szCs w:val="24"/>
                <w:color w:val="auto"/>
              </w:rPr>
            </w:pPr>
          </w:p>
        </w:tc>
        <w:tc>
          <w:tcPr>
            <w:tcW w:w="13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Excludes options offered but not accepted.</w:t>
      </w:r>
    </w:p>
    <w:p>
      <w:pPr>
        <w:spacing w:after="0" w:line="41" w:lineRule="exact"/>
        <w:rPr>
          <w:sz w:val="20"/>
          <w:szCs w:val="20"/>
          <w:color w:val="auto"/>
        </w:rPr>
      </w:pPr>
    </w:p>
    <w:p>
      <w:pPr>
        <w:ind w:left="320" w:hanging="313"/>
        <w:spacing w:after="0"/>
        <w:tabs>
          <w:tab w:leader="none" w:pos="3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previously unissued shares and treasury shares of 5,324,348 and</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37,271; 1,641,644 and zero; and 7,414,786 and 101,042 for 1997, 1996 and 1995.</w:t>
      </w:r>
    </w:p>
    <w:p>
      <w:pPr>
        <w:spacing w:after="0" w:line="380"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7"/>
          <w:szCs w:val="17"/>
          <w:color w:val="auto"/>
        </w:rPr>
        <w:t>In accordance with the terms of APB No. 25, the company records no Compensation expense for its stock option awards. As required by SFAS</w:t>
      </w:r>
    </w:p>
    <w:p>
      <w:pPr>
        <w:spacing w:after="0" w:line="2"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No. 123, the company provides the following disclosure of hypothetical values for these awards. The weighted-average grant-date value of options granted during 1997 and 1996 was estimated to be $15.72 and $9.24 under the Long-Term Incentive Plans (Long-Term Plans) and $13.47 and $6.05 under the Employee Stock and Stock Option Purchase Plans (Employee Plans). These values were estimated using the Black-Scholes option-pricing model with the following weighted-average assumptions for 1997 and 1996: expected dividend yields of</w:t>
      </w:r>
    </w:p>
    <w:p>
      <w:pPr>
        <w:ind w:right="1939" w:firstLine="105"/>
        <w:spacing w:after="0" w:line="273" w:lineRule="auto"/>
        <w:rPr>
          <w:sz w:val="20"/>
          <w:szCs w:val="20"/>
          <w:color w:val="auto"/>
        </w:rPr>
      </w:pPr>
      <w:r>
        <w:rPr>
          <w:rFonts w:ascii="Courier New" w:cs="Courier New" w:eastAsia="Courier New" w:hAnsi="Courier New"/>
          <w:sz w:val="17"/>
          <w:szCs w:val="17"/>
          <w:color w:val="auto"/>
        </w:rPr>
        <w:t>.93% and 1.48% (Long-Term Plans) and .70% and 1.21% (Employee Plans); expected volatility of 39%; risk-free interest rates of 5.76% and 5.42% (Long-Term Plans) and 5.69% and 6.15% (Employee Plans); and expected lives of 6 years (Long-Term Plans) and .8 years and 1.5 years (Employee Plans). Had compensation expense been recorded based on these hypothetical values, the</w:t>
      </w:r>
    </w:p>
    <w:p>
      <w:pPr>
        <w:sectPr>
          <w:pgSz w:w="11900" w:h="16946" w:orient="portrait"/>
          <w:cols w:equalWidth="0" w:num="1">
            <w:col w:w="10219"/>
          </w:cols>
          <w:pgMar w:left="240" w:top="110" w:right="1440" w:bottom="0" w:gutter="0" w:footer="0" w:header="0"/>
        </w:sectPr>
      </w:pPr>
    </w:p>
    <w:bookmarkStart w:id="29" w:name="page30"/>
    <w:bookmarkEnd w:id="29"/>
    <w:p>
      <w:pPr>
        <w:spacing w:after="0" w:line="108" w:lineRule="exact"/>
        <w:rPr>
          <w:sz w:val="20"/>
          <w:szCs w:val="20"/>
          <w:color w:val="auto"/>
        </w:rPr>
      </w:pPr>
    </w:p>
    <w:p>
      <w:pPr>
        <w:ind w:right="2259"/>
        <w:spacing w:after="0" w:line="272" w:lineRule="auto"/>
        <w:rPr>
          <w:sz w:val="20"/>
          <w:szCs w:val="20"/>
          <w:color w:val="auto"/>
        </w:rPr>
      </w:pPr>
      <w:r>
        <w:rPr>
          <w:rFonts w:ascii="Courier New" w:cs="Courier New" w:eastAsia="Courier New" w:hAnsi="Courier New"/>
          <w:sz w:val="17"/>
          <w:szCs w:val="17"/>
          <w:color w:val="auto"/>
        </w:rPr>
        <w:t>company's 1997 net income would have been $1764 million, or diluted earnings per share of $4.43. A similar computation for 1996 and 1995 would have resulted in net income of $40 million and $1078 million, or diluted earnings per share of $0.11 and $2.78. Because options vest over several years and additional option grants are expected, the effects of these hypothetical calculations are not likely to be representative of similar future calculations.</w:t>
      </w:r>
    </w:p>
    <w:p>
      <w:pPr>
        <w:spacing w:after="0" w:line="285" w:lineRule="exact"/>
        <w:rPr>
          <w:sz w:val="20"/>
          <w:szCs w:val="20"/>
          <w:color w:val="auto"/>
        </w:rPr>
      </w:pPr>
    </w:p>
    <w:p>
      <w:pPr>
        <w:ind w:right="2139" w:firstLine="524"/>
        <w:spacing w:after="0" w:line="340" w:lineRule="auto"/>
        <w:rPr>
          <w:sz w:val="20"/>
          <w:szCs w:val="20"/>
          <w:color w:val="auto"/>
        </w:rPr>
      </w:pPr>
      <w:r>
        <w:rPr>
          <w:rFonts w:ascii="Courier New" w:cs="Courier New" w:eastAsia="Courier New" w:hAnsi="Courier New"/>
          <w:sz w:val="17"/>
          <w:szCs w:val="17"/>
          <w:color w:val="auto"/>
        </w:rPr>
        <w:t>Summarized information about stock options outstanding under the Long-Term Plans and 1984 and 1988 Stock Option Plans at December 31, 1997, is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gridSpan w:val="3"/>
          </w:tcPr>
          <w:p>
            <w:pPr>
              <w:spacing w:after="0"/>
              <w:rPr>
                <w:sz w:val="20"/>
                <w:szCs w:val="20"/>
                <w:color w:val="auto"/>
              </w:rPr>
            </w:pPr>
            <w:r>
              <w:rPr>
                <w:rFonts w:ascii="Courier New" w:cs="Courier New" w:eastAsia="Courier New" w:hAnsi="Courier New"/>
                <w:sz w:val="17"/>
                <w:szCs w:val="17"/>
                <w:color w:val="auto"/>
              </w:rPr>
              <w:t>OPTIONS OUTSTANDING</w:t>
            </w: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OPTIONS EXERCISABLE</w:t>
            </w:r>
          </w:p>
        </w:tc>
        <w:tc>
          <w:tcPr>
            <w:tcW w:w="0" w:type="dxa"/>
            <w:vAlign w:val="bottom"/>
          </w:tcPr>
          <w:p>
            <w:pPr>
              <w:spacing w:after="0"/>
              <w:rPr>
                <w:sz w:val="1"/>
                <w:szCs w:val="1"/>
                <w:color w:val="auto"/>
              </w:rPr>
            </w:pPr>
          </w:p>
        </w:tc>
      </w:tr>
      <w:tr>
        <w:trPr>
          <w:trHeight w:val="295"/>
        </w:trPr>
        <w:tc>
          <w:tcPr>
            <w:tcW w:w="8800" w:type="dxa"/>
            <w:vAlign w:val="bottom"/>
            <w:gridSpan w:val="7"/>
          </w:tcPr>
          <w:p>
            <w:pPr>
              <w:spacing w:after="0"/>
              <w:rPr>
                <w:sz w:val="20"/>
                <w:szCs w:val="20"/>
                <w:color w:val="auto"/>
              </w:rPr>
            </w:pPr>
            <w:r>
              <w:rPr>
                <w:rFonts w:ascii="Courier New" w:cs="Courier New" w:eastAsia="Courier New" w:hAnsi="Courier New"/>
                <w:sz w:val="17"/>
                <w:szCs w:val="17"/>
                <w:color w:val="auto"/>
              </w:rPr>
              <w:t>- ------------------------------------------------------------  --------------------</w:t>
            </w: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vMerge w:val="restart"/>
          </w:tcPr>
          <w:p>
            <w:pPr>
              <w:ind w:left="420"/>
              <w:spacing w:after="0"/>
              <w:rPr>
                <w:sz w:val="20"/>
                <w:szCs w:val="20"/>
                <w:color w:val="auto"/>
              </w:rPr>
            </w:pPr>
            <w:r>
              <w:rPr>
                <w:rFonts w:ascii="Courier New" w:cs="Courier New" w:eastAsia="Courier New" w:hAnsi="Courier New"/>
                <w:sz w:val="17"/>
                <w:szCs w:val="17"/>
                <w:color w:val="auto"/>
              </w:rPr>
              <w:t>NUMBER</w:t>
            </w:r>
          </w:p>
        </w:tc>
        <w:tc>
          <w:tcPr>
            <w:tcW w:w="166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WEIGHTED-</w:t>
            </w:r>
          </w:p>
        </w:tc>
        <w:tc>
          <w:tcPr>
            <w:tcW w:w="10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WEIGHTED-</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NUMBER</w:t>
            </w:r>
          </w:p>
        </w:tc>
        <w:tc>
          <w:tcPr>
            <w:tcW w:w="11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WEIGHTED-</w:t>
            </w:r>
          </w:p>
        </w:tc>
        <w:tc>
          <w:tcPr>
            <w:tcW w:w="0" w:type="dxa"/>
            <w:vAlign w:val="bottom"/>
          </w:tcPr>
          <w:p>
            <w:pPr>
              <w:spacing w:after="0"/>
              <w:rPr>
                <w:sz w:val="1"/>
                <w:szCs w:val="1"/>
                <w:color w:val="auto"/>
              </w:rPr>
            </w:pPr>
          </w:p>
        </w:tc>
      </w:tr>
      <w:tr>
        <w:trPr>
          <w:trHeight w:val="201"/>
        </w:trPr>
        <w:tc>
          <w:tcPr>
            <w:tcW w:w="1780" w:type="dxa"/>
            <w:vAlign w:val="bottom"/>
            <w:gridSpan w:val="2"/>
            <w:vMerge w:val="restart"/>
          </w:tcPr>
          <w:p>
            <w:pPr>
              <w:ind w:left="220"/>
              <w:spacing w:after="0"/>
              <w:rPr>
                <w:sz w:val="20"/>
                <w:szCs w:val="20"/>
                <w:color w:val="auto"/>
              </w:rPr>
            </w:pPr>
            <w:r>
              <w:rPr>
                <w:rFonts w:ascii="Courier New" w:cs="Courier New" w:eastAsia="Courier New" w:hAnsi="Courier New"/>
                <w:sz w:val="17"/>
                <w:szCs w:val="17"/>
                <w:color w:val="auto"/>
              </w:rPr>
              <w:t>RANGE OF</w:t>
            </w:r>
          </w:p>
        </w:tc>
        <w:tc>
          <w:tcPr>
            <w:tcW w:w="1900" w:type="dxa"/>
            <w:vAlign w:val="bottom"/>
            <w:vMerge w:val="continue"/>
          </w:tcPr>
          <w:p>
            <w:pPr>
              <w:spacing w:after="0"/>
              <w:rPr>
                <w:sz w:val="17"/>
                <w:szCs w:val="17"/>
                <w:color w:val="auto"/>
              </w:rPr>
            </w:pPr>
          </w:p>
        </w:tc>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AVERAGE</w:t>
            </w:r>
          </w:p>
        </w:tc>
        <w:tc>
          <w:tcPr>
            <w:tcW w:w="10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AVERAGE</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EXERCISABLE</w:t>
            </w:r>
          </w:p>
        </w:tc>
        <w:tc>
          <w:tcPr>
            <w:tcW w:w="114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AVERAGE</w:t>
            </w:r>
          </w:p>
        </w:tc>
        <w:tc>
          <w:tcPr>
            <w:tcW w:w="0" w:type="dxa"/>
            <w:vAlign w:val="bottom"/>
          </w:tcPr>
          <w:p>
            <w:pPr>
              <w:spacing w:after="0"/>
              <w:rPr>
                <w:sz w:val="1"/>
                <w:szCs w:val="1"/>
                <w:color w:val="auto"/>
              </w:rPr>
            </w:pPr>
          </w:p>
        </w:tc>
      </w:tr>
      <w:tr>
        <w:trPr>
          <w:trHeight w:val="201"/>
        </w:trPr>
        <w:tc>
          <w:tcPr>
            <w:tcW w:w="1780" w:type="dxa"/>
            <w:vAlign w:val="bottom"/>
            <w:gridSpan w:val="2"/>
            <w:vMerge w:val="continue"/>
          </w:tcPr>
          <w:p>
            <w:pPr>
              <w:spacing w:after="0"/>
              <w:rPr>
                <w:sz w:val="17"/>
                <w:szCs w:val="17"/>
                <w:color w:val="auto"/>
              </w:rPr>
            </w:pPr>
          </w:p>
        </w:tc>
        <w:tc>
          <w:tcPr>
            <w:tcW w:w="1900" w:type="dxa"/>
            <w:vAlign w:val="bottom"/>
          </w:tcPr>
          <w:p>
            <w:pPr>
              <w:ind w:left="220"/>
              <w:spacing w:after="0"/>
              <w:rPr>
                <w:sz w:val="20"/>
                <w:szCs w:val="20"/>
                <w:color w:val="auto"/>
              </w:rPr>
            </w:pPr>
            <w:r>
              <w:rPr>
                <w:rFonts w:ascii="Courier New" w:cs="Courier New" w:eastAsia="Courier New" w:hAnsi="Courier New"/>
                <w:sz w:val="17"/>
                <w:szCs w:val="17"/>
                <w:color w:val="auto"/>
              </w:rPr>
              <w:t>OUTSTANDING</w:t>
            </w:r>
          </w:p>
        </w:tc>
        <w:tc>
          <w:tcPr>
            <w:tcW w:w="166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REMAINING</w:t>
            </w:r>
          </w:p>
        </w:tc>
        <w:tc>
          <w:tcPr>
            <w:tcW w:w="23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EXERCISE AT DEC. 31,</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EXERCISE</w:t>
            </w:r>
          </w:p>
        </w:tc>
        <w:tc>
          <w:tcPr>
            <w:tcW w:w="0" w:type="dxa"/>
            <w:vAlign w:val="bottom"/>
          </w:tcPr>
          <w:p>
            <w:pPr>
              <w:spacing w:after="0"/>
              <w:rPr>
                <w:sz w:val="1"/>
                <w:szCs w:val="1"/>
                <w:color w:val="auto"/>
              </w:rPr>
            </w:pPr>
          </w:p>
        </w:tc>
      </w:tr>
      <w:tr>
        <w:trPr>
          <w:trHeight w:val="201"/>
        </w:trPr>
        <w:tc>
          <w:tcPr>
            <w:tcW w:w="17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EXERCISE PRICES</w:t>
            </w:r>
          </w:p>
        </w:tc>
        <w:tc>
          <w:tcPr>
            <w:tcW w:w="1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AT DEC. 31, 1997</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CONTRACTUAL LIFE</w:t>
            </w:r>
          </w:p>
        </w:tc>
        <w:tc>
          <w:tcPr>
            <w:tcW w:w="10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PRICE</w:t>
            </w:r>
          </w:p>
        </w:tc>
        <w:tc>
          <w:tcPr>
            <w:tcW w:w="126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center"/>
              <w:ind w:right="133"/>
              <w:spacing w:after="0"/>
              <w:rPr>
                <w:sz w:val="20"/>
                <w:szCs w:val="20"/>
                <w:color w:val="auto"/>
              </w:rPr>
            </w:pPr>
            <w:r>
              <w:rPr>
                <w:rFonts w:ascii="Courier New" w:cs="Courier New" w:eastAsia="Courier New" w:hAnsi="Courier New"/>
                <w:sz w:val="17"/>
                <w:szCs w:val="17"/>
                <w:color w:val="auto"/>
              </w:rPr>
              <w:t>PRICE</w:t>
            </w:r>
          </w:p>
        </w:tc>
        <w:tc>
          <w:tcPr>
            <w:tcW w:w="0" w:type="dxa"/>
            <w:vAlign w:val="bottom"/>
          </w:tcPr>
          <w:p>
            <w:pPr>
              <w:spacing w:after="0"/>
              <w:rPr>
                <w:sz w:val="1"/>
                <w:szCs w:val="1"/>
                <w:color w:val="auto"/>
              </w:rPr>
            </w:pPr>
          </w:p>
        </w:tc>
      </w:tr>
      <w:tr>
        <w:trPr>
          <w:trHeight w:val="201"/>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90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51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c>
          <w:tcPr>
            <w:tcW w:w="0" w:type="dxa"/>
            <w:vAlign w:val="bottom"/>
          </w:tcPr>
          <w:p>
            <w:pPr>
              <w:spacing w:after="0"/>
              <w:rPr>
                <w:sz w:val="1"/>
                <w:szCs w:val="1"/>
                <w:color w:val="auto"/>
              </w:rPr>
            </w:pP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$ 8.21</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to 25.94</w:t>
            </w:r>
          </w:p>
        </w:tc>
        <w:tc>
          <w:tcPr>
            <w:tcW w:w="19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14,772,536</w:t>
            </w:r>
          </w:p>
        </w:tc>
        <w:tc>
          <w:tcPr>
            <w:tcW w:w="16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6.3 years</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$17.21</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9,328,942</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$14.51</w:t>
            </w:r>
          </w:p>
        </w:tc>
        <w:tc>
          <w:tcPr>
            <w:tcW w:w="0" w:type="dxa"/>
            <w:vAlign w:val="bottom"/>
          </w:tcPr>
          <w:p>
            <w:pPr>
              <w:spacing w:after="0"/>
              <w:rPr>
                <w:sz w:val="1"/>
                <w:szCs w:val="1"/>
                <w:color w:val="auto"/>
              </w:rPr>
            </w:pPr>
          </w:p>
        </w:tc>
      </w:tr>
      <w:tr>
        <w:trPr>
          <w:trHeight w:val="201"/>
        </w:trPr>
        <w:tc>
          <w:tcPr>
            <w:tcW w:w="680" w:type="dxa"/>
            <w:vAlign w:val="bottom"/>
          </w:tcPr>
          <w:p>
            <w:pPr>
              <w:ind w:left="120"/>
              <w:spacing w:after="0"/>
              <w:rPr>
                <w:sz w:val="20"/>
                <w:szCs w:val="20"/>
                <w:color w:val="auto"/>
              </w:rPr>
            </w:pPr>
            <w:r>
              <w:rPr>
                <w:rFonts w:ascii="Courier New" w:cs="Courier New" w:eastAsia="Courier New" w:hAnsi="Courier New"/>
                <w:sz w:val="17"/>
                <w:szCs w:val="17"/>
                <w:color w:val="auto"/>
              </w:rPr>
              <w:t>31.74</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to 47.41</w:t>
            </w:r>
          </w:p>
        </w:tc>
        <w:tc>
          <w:tcPr>
            <w:tcW w:w="19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8,495,820</w:t>
            </w:r>
          </w:p>
        </w:tc>
        <w:tc>
          <w:tcPr>
            <w:tcW w:w="16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9.1</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34.83</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74,700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36.74</w:t>
            </w:r>
          </w:p>
        </w:tc>
        <w:tc>
          <w:tcPr>
            <w:tcW w:w="0" w:type="dxa"/>
            <w:vAlign w:val="bottom"/>
          </w:tcPr>
          <w:p>
            <w:pPr>
              <w:spacing w:after="0"/>
              <w:rPr>
                <w:sz w:val="1"/>
                <w:szCs w:val="1"/>
                <w:color w:val="auto"/>
              </w:rPr>
            </w:pPr>
          </w:p>
        </w:tc>
      </w:tr>
      <w:tr>
        <w:trPr>
          <w:trHeight w:val="201"/>
        </w:trPr>
        <w:tc>
          <w:tcPr>
            <w:tcW w:w="680" w:type="dxa"/>
            <w:vAlign w:val="bottom"/>
          </w:tcPr>
          <w:p>
            <w:pPr>
              <w:ind w:left="120"/>
              <w:spacing w:after="0"/>
              <w:rPr>
                <w:sz w:val="20"/>
                <w:szCs w:val="20"/>
                <w:color w:val="auto"/>
              </w:rPr>
            </w:pPr>
            <w:r>
              <w:rPr>
                <w:rFonts w:ascii="Courier New" w:cs="Courier New" w:eastAsia="Courier New" w:hAnsi="Courier New"/>
                <w:sz w:val="17"/>
                <w:szCs w:val="17"/>
                <w:color w:val="auto"/>
              </w:rPr>
              <w:t>55.22</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to 70.41</w:t>
            </w:r>
          </w:p>
        </w:tc>
        <w:tc>
          <w:tcPr>
            <w:tcW w:w="19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554,080</w:t>
            </w:r>
          </w:p>
        </w:tc>
        <w:tc>
          <w:tcPr>
            <w:tcW w:w="16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9.7</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66.49</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90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$ 8.21</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to 70.41</w:t>
            </w:r>
          </w:p>
        </w:tc>
        <w:tc>
          <w:tcPr>
            <w:tcW w:w="19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23,822,436</w:t>
            </w:r>
          </w:p>
        </w:tc>
        <w:tc>
          <w:tcPr>
            <w:tcW w:w="16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7.4</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$24.64</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9,403,642</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$14.69</w:t>
            </w:r>
          </w:p>
        </w:tc>
        <w:tc>
          <w:tcPr>
            <w:tcW w:w="0" w:type="dxa"/>
            <w:vAlign w:val="bottom"/>
          </w:tcPr>
          <w:p>
            <w:pPr>
              <w:spacing w:after="0"/>
              <w:rPr>
                <w:sz w:val="1"/>
                <w:szCs w:val="1"/>
                <w:color w:val="auto"/>
              </w:rPr>
            </w:pPr>
          </w:p>
        </w:tc>
      </w:tr>
      <w:tr>
        <w:trPr>
          <w:trHeight w:val="295"/>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60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25</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139"/>
        <w:spacing w:after="0" w:line="293" w:lineRule="auto"/>
        <w:rPr>
          <w:sz w:val="20"/>
          <w:szCs w:val="20"/>
          <w:color w:val="auto"/>
        </w:rPr>
      </w:pPr>
      <w:r>
        <w:rPr>
          <w:rFonts w:ascii="Courier New" w:cs="Courier New" w:eastAsia="Courier New" w:hAnsi="Courier New"/>
          <w:sz w:val="17"/>
          <w:szCs w:val="17"/>
          <w:color w:val="auto"/>
        </w:rPr>
        <w:t>At December 31, 1997, the stock options outstanding under the Employee Plans have exercise prices of $48.30 or $28.13, depending on the year of grant, and a weighted-average remaining contractual life of 8 to 9 months. Of the total outstanding options, 236,771 are exercisable at year-end 1997.</w:t>
      </w:r>
    </w:p>
    <w:p>
      <w:pPr>
        <w:spacing w:after="0" w:line="67" w:lineRule="exact"/>
        <w:rPr>
          <w:sz w:val="20"/>
          <w:szCs w:val="20"/>
          <w:color w:val="auto"/>
        </w:rPr>
      </w:pPr>
    </w:p>
    <w:p>
      <w:pPr>
        <w:ind w:right="2039" w:firstLine="419"/>
        <w:spacing w:after="0" w:line="283" w:lineRule="auto"/>
        <w:rPr>
          <w:sz w:val="20"/>
          <w:szCs w:val="20"/>
          <w:color w:val="auto"/>
        </w:rPr>
      </w:pPr>
      <w:r>
        <w:rPr>
          <w:rFonts w:ascii="Courier New" w:cs="Courier New" w:eastAsia="Courier New" w:hAnsi="Courier New"/>
          <w:sz w:val="17"/>
          <w:szCs w:val="17"/>
          <w:color w:val="auto"/>
        </w:rPr>
        <w:t>At year-end 1997, 28,825,652 shares were available for future grants under the 1996 Long-Term Incentive Plan and 8,907,032 shares under the Employee Stock Purchase Plan. As of year-end 1997, 53,016,852 shares were reserved for issuance under the company's stock option and incentive plans and 10,000,000 shares were reserved for issuance under the Employee Stock Purchase Plan.</w:t>
      </w:r>
    </w:p>
    <w:p>
      <w:pPr>
        <w:spacing w:after="0" w:line="73" w:lineRule="exact"/>
        <w:rPr>
          <w:sz w:val="20"/>
          <w:szCs w:val="20"/>
          <w:color w:val="auto"/>
        </w:rPr>
      </w:pPr>
    </w:p>
    <w:p>
      <w:pPr>
        <w:ind w:right="2039" w:firstLine="419"/>
        <w:spacing w:after="0" w:line="265" w:lineRule="auto"/>
        <w:rPr>
          <w:sz w:val="20"/>
          <w:szCs w:val="20"/>
          <w:color w:val="auto"/>
        </w:rPr>
      </w:pPr>
      <w:r>
        <w:rPr>
          <w:rFonts w:ascii="Courier New" w:cs="Courier New" w:eastAsia="Courier New" w:hAnsi="Courier New"/>
          <w:sz w:val="17"/>
          <w:szCs w:val="17"/>
          <w:color w:val="auto"/>
        </w:rPr>
        <w:t>In the third quarter of 1997, the company began a stock repurchase program with the goal of neutralizing the dilutive effect of shares to be issued upon the exercise of stock options under the new Employee Stock Purchase Plan and Long-Term Plans. Treasury shares acquired in connection with this repurchase program and other stock transactions in 1997, 1996 and 1995 were 754,511 shares, 7,730 shares and 135,001 shares. Previously unissued common shares issued under the Long-Term Incentive Plan and the Annual Incentive Plan in 1997, 1996 and 1995 were 30,174 shares, 98,072 shares and 32,772 shares. Treasury shares issued under the Texas Instruments Restricted Stock Unit Plan for Directors in 1997 and 1996 were zero shares and 2,334 shares.</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 SHARING AND RETIREMENT PLANS</w:t>
      </w:r>
    </w:p>
    <w:p>
      <w:pPr>
        <w:spacing w:after="0" w:line="41" w:lineRule="exact"/>
        <w:rPr>
          <w:sz w:val="20"/>
          <w:szCs w:val="20"/>
          <w:color w:val="auto"/>
        </w:rPr>
      </w:pPr>
    </w:p>
    <w:p>
      <w:pPr>
        <w:ind w:left="220" w:hanging="213"/>
        <w:spacing w:after="0"/>
        <w:tabs>
          <w:tab w:leader="none" w:pos="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1939"/>
        <w:spacing w:after="0" w:line="28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provides various incentive plans for employees, including general profit sharing and savings programs as well as annual performance awards. The company also provides pension and retiree health care benefit plans in the U.S. and pension plans in certain non-U.S. locations.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 SHARING: Profit sharing expense was $122 million in 1997 and</w:t>
      </w:r>
    </w:p>
    <w:p>
      <w:pPr>
        <w:spacing w:after="0" w:line="41" w:lineRule="exact"/>
        <w:rPr>
          <w:sz w:val="20"/>
          <w:szCs w:val="20"/>
          <w:color w:val="auto"/>
        </w:rPr>
      </w:pPr>
    </w:p>
    <w:p>
      <w:pPr>
        <w:ind w:right="2039"/>
        <w:spacing w:after="0" w:line="262" w:lineRule="auto"/>
        <w:rPr>
          <w:sz w:val="20"/>
          <w:szCs w:val="20"/>
          <w:color w:val="auto"/>
        </w:rPr>
      </w:pPr>
      <w:r>
        <w:rPr>
          <w:rFonts w:ascii="Courier New" w:cs="Courier New" w:eastAsia="Courier New" w:hAnsi="Courier New"/>
          <w:sz w:val="17"/>
          <w:szCs w:val="17"/>
          <w:color w:val="auto"/>
        </w:rPr>
        <w:t>$257 million in 1995. There was no profit sharing expense in 1996. Under the plans, unless otherwise provided by local law, the company and certain of its subsidiaries contribute a portion of their net profits equal to 25% of the amount by which consolidated income (as defined) before profit sharing and income taxes exceeds 8% of the company's consolidated average assets for the year. In 1997, the board of directors of the company amended the plans to exclude from consolidated income for purposes of this computation the 1997 fourth quarter charge of $461 million for acquired in-process research and development arising as a result of the acquisition of Amati.</w:t>
      </w:r>
    </w:p>
    <w:p>
      <w:pPr>
        <w:spacing w:after="0" w:line="90" w:lineRule="exact"/>
        <w:rPr>
          <w:sz w:val="20"/>
          <w:szCs w:val="20"/>
          <w:color w:val="auto"/>
        </w:rPr>
      </w:pPr>
    </w:p>
    <w:p>
      <w:pPr>
        <w:ind w:right="2039" w:firstLine="419"/>
        <w:spacing w:after="0" w:line="276" w:lineRule="auto"/>
        <w:rPr>
          <w:sz w:val="20"/>
          <w:szCs w:val="20"/>
          <w:color w:val="auto"/>
        </w:rPr>
      </w:pPr>
      <w:r>
        <w:rPr>
          <w:rFonts w:ascii="Courier New" w:cs="Courier New" w:eastAsia="Courier New" w:hAnsi="Courier New"/>
          <w:sz w:val="17"/>
          <w:szCs w:val="17"/>
          <w:color w:val="auto"/>
        </w:rPr>
        <w:t>Beginning January 1, 1998, the profit sharing formula will change in order to more closely align it with the company's business objectives. Under the new formula, unless otherwise provided by local law or other plans (e.g., the separate profit sharing plan for the materials &amp; controls business), the worldwide profit sharing amount will be based on the company's annual consolidated profit from operations (PFO) performance including profit</w:t>
      </w:r>
    </w:p>
    <w:p>
      <w:pPr>
        <w:sectPr>
          <w:pgSz w:w="11900" w:h="16946" w:orient="portrait"/>
          <w:cols w:equalWidth="0" w:num="1">
            <w:col w:w="10219"/>
          </w:cols>
          <w:pgMar w:left="240" w:top="110" w:right="1440" w:bottom="0" w:gutter="0" w:footer="0" w:header="0"/>
        </w:sectPr>
      </w:pPr>
    </w:p>
    <w:bookmarkStart w:id="30" w:name="page31"/>
    <w:bookmarkEnd w:id="30"/>
    <w:p>
      <w:pPr>
        <w:spacing w:after="0" w:line="81" w:lineRule="exact"/>
        <w:rPr>
          <w:sz w:val="20"/>
          <w:szCs w:val="20"/>
          <w:color w:val="auto"/>
        </w:rPr>
      </w:pPr>
    </w:p>
    <w:p>
      <w:pPr>
        <w:ind w:right="2039"/>
        <w:spacing w:after="0" w:line="272" w:lineRule="auto"/>
        <w:rPr>
          <w:sz w:val="20"/>
          <w:szCs w:val="20"/>
          <w:color w:val="auto"/>
        </w:rPr>
      </w:pPr>
      <w:r>
        <w:rPr>
          <w:rFonts w:ascii="Courier New" w:cs="Courier New" w:eastAsia="Courier New" w:hAnsi="Courier New"/>
          <w:sz w:val="17"/>
          <w:szCs w:val="17"/>
          <w:color w:val="auto"/>
        </w:rPr>
        <w:t>sharing. The profit sharing contribution percentage, which is applied to employees' earnings worldwide to determine the annual profit sharing amount, will vary depending on the PFO percentage attained, i.e., PFO divided by net revenues. For example, for a PFO percentage below 10%, the profit sharing contribution percentage is zero; at 10% PFO, the contribution percentage to be applied to employees' earnings is 4%. At 16% PFO, the contribution percentage is 16%; at PFO of 20% or above, the contribution percentage is 26%.</w:t>
      </w:r>
    </w:p>
    <w:p>
      <w:pPr>
        <w:spacing w:after="0" w:line="84" w:lineRule="exact"/>
        <w:rPr>
          <w:sz w:val="20"/>
          <w:szCs w:val="20"/>
          <w:color w:val="auto"/>
        </w:rPr>
      </w:pPr>
    </w:p>
    <w:p>
      <w:pPr>
        <w:ind w:right="2039" w:firstLine="419"/>
        <w:spacing w:after="0" w:line="276" w:lineRule="auto"/>
        <w:rPr>
          <w:sz w:val="20"/>
          <w:szCs w:val="20"/>
          <w:color w:val="auto"/>
        </w:rPr>
      </w:pPr>
      <w:r>
        <w:rPr>
          <w:rFonts w:ascii="Courier New" w:cs="Courier New" w:eastAsia="Courier New" w:hAnsi="Courier New"/>
          <w:sz w:val="17"/>
          <w:szCs w:val="17"/>
          <w:color w:val="auto"/>
        </w:rPr>
        <w:t>The majority of the profit sharing plans worldwide provide that, depending on the individual plan, from 50% to 100% of the profit sharing earned by employees is paid in cash to the eligible participants with the balance contributed to a deferred plan. For non-U.S. employees, contributions to a deferred plan generally are invested in TI common stock. For U.S. employees, several investment options, including TI common stock, are available.</w:t>
      </w:r>
    </w:p>
    <w:p>
      <w:pPr>
        <w:spacing w:after="0" w:line="81" w:lineRule="exact"/>
        <w:rPr>
          <w:sz w:val="20"/>
          <w:szCs w:val="20"/>
          <w:color w:val="auto"/>
        </w:rPr>
      </w:pPr>
    </w:p>
    <w:p>
      <w:pPr>
        <w:ind w:right="2139" w:firstLine="419"/>
        <w:spacing w:after="0" w:line="276" w:lineRule="auto"/>
        <w:rPr>
          <w:sz w:val="20"/>
          <w:szCs w:val="20"/>
          <w:color w:val="auto"/>
        </w:rPr>
      </w:pPr>
      <w:r>
        <w:rPr>
          <w:rFonts w:ascii="Courier New" w:cs="Courier New" w:eastAsia="Courier New" w:hAnsi="Courier New"/>
          <w:sz w:val="17"/>
          <w:szCs w:val="17"/>
          <w:color w:val="auto"/>
        </w:rPr>
        <w:t>Except in the event of company contributions in stock, investments in TI common stock are made by the trustees through purchases of outstanding shares or through purchases of shares offered from time to time by the company. The board of directors has authorized the issuance of previously unissued shares for purposes of the plans; 9,233,836 of such shares were available for future issuance at December 31, 1997.</w:t>
      </w:r>
    </w:p>
    <w:p>
      <w:pPr>
        <w:spacing w:after="0" w:line="81" w:lineRule="exact"/>
        <w:rPr>
          <w:sz w:val="20"/>
          <w:szCs w:val="20"/>
          <w:color w:val="auto"/>
        </w:rPr>
      </w:pPr>
    </w:p>
    <w:p>
      <w:pPr>
        <w:ind w:right="2259" w:firstLine="419"/>
        <w:spacing w:after="0" w:line="315" w:lineRule="auto"/>
        <w:rPr>
          <w:sz w:val="20"/>
          <w:szCs w:val="20"/>
          <w:color w:val="auto"/>
        </w:rPr>
      </w:pPr>
      <w:r>
        <w:rPr>
          <w:rFonts w:ascii="Courier New" w:cs="Courier New" w:eastAsia="Courier New" w:hAnsi="Courier New"/>
          <w:sz w:val="17"/>
          <w:szCs w:val="17"/>
          <w:color w:val="auto"/>
        </w:rPr>
        <w:t>The trustees of the profit sharing plans purchased 3,535,471 outstanding shares of TI common stock in 1997 (3,123,905 shares in 1996 and 4,762,460 shares in 1995) and no previously unissued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w:t>
      </w:r>
    </w:p>
    <w:p>
      <w:pPr>
        <w:spacing w:after="0" w:line="210" w:lineRule="exact"/>
        <w:rPr>
          <w:sz w:val="20"/>
          <w:szCs w:val="20"/>
          <w:color w:val="auto"/>
        </w:rPr>
      </w:pPr>
    </w:p>
    <w:p>
      <w:pPr>
        <w:ind w:right="2139"/>
        <w:spacing w:after="0" w:line="376" w:lineRule="auto"/>
        <w:rPr>
          <w:sz w:val="20"/>
          <w:szCs w:val="20"/>
          <w:color w:val="auto"/>
        </w:rPr>
      </w:pPr>
      <w:r>
        <w:rPr>
          <w:rFonts w:ascii="Courier New" w:cs="Courier New" w:eastAsia="Courier New" w:hAnsi="Courier New"/>
          <w:sz w:val="17"/>
          <w:szCs w:val="17"/>
          <w:color w:val="auto"/>
        </w:rPr>
        <w:t>shares in 1997, 1996 and 1995 for use in the profit sharing plans and savings program.</w:t>
      </w:r>
    </w:p>
    <w:p>
      <w:pPr>
        <w:spacing w:after="0" w:line="1" w:lineRule="exact"/>
        <w:rPr>
          <w:sz w:val="20"/>
          <w:szCs w:val="20"/>
          <w:color w:val="auto"/>
        </w:rPr>
      </w:pPr>
    </w:p>
    <w:p>
      <w:pPr>
        <w:ind w:right="2139"/>
        <w:spacing w:after="0" w:line="276" w:lineRule="auto"/>
        <w:rPr>
          <w:sz w:val="20"/>
          <w:szCs w:val="20"/>
          <w:color w:val="auto"/>
        </w:rPr>
      </w:pPr>
      <w:r>
        <w:rPr>
          <w:rFonts w:ascii="Courier New" w:cs="Courier New" w:eastAsia="Courier New" w:hAnsi="Courier New"/>
          <w:sz w:val="17"/>
          <w:szCs w:val="17"/>
          <w:color w:val="auto"/>
        </w:rPr>
        <w:t>SAVINGS PROGRAM: The company provides a matched savings program whereby a U.S. employee's contribution, up to 4% of earnings, is matched by the company at the rate of 50 cents per dollar. Contributions are subject to statutory limitations. The contributions may be invested in several investment funds including TI common stock. The company's expense under this program was $15 million in 1997, $17 million in 1996 and $14 million in 1995.</w:t>
      </w:r>
    </w:p>
    <w:p>
      <w:pPr>
        <w:spacing w:after="0" w:line="81" w:lineRule="exact"/>
        <w:rPr>
          <w:sz w:val="20"/>
          <w:szCs w:val="20"/>
          <w:color w:val="auto"/>
        </w:rPr>
      </w:pPr>
    </w:p>
    <w:p>
      <w:pPr>
        <w:ind w:right="2039"/>
        <w:spacing w:after="0" w:line="265" w:lineRule="auto"/>
        <w:rPr>
          <w:sz w:val="20"/>
          <w:szCs w:val="20"/>
          <w:color w:val="auto"/>
        </w:rPr>
      </w:pPr>
      <w:r>
        <w:rPr>
          <w:rFonts w:ascii="Courier New" w:cs="Courier New" w:eastAsia="Courier New" w:hAnsi="Courier New"/>
          <w:sz w:val="17"/>
          <w:szCs w:val="17"/>
          <w:color w:val="auto"/>
        </w:rPr>
        <w:t>U.S. PENSION PLAN: The company has a defined benefit plan covering most U.S. employees with benefits based on years of service and employee's compensation. The plan is a career-average-pay plan which has been amended periodically in the past to produce approximately the same results as a final-pay type plan. The board of directors of the company has expressed an intent to make such amendments in the future, circumstances permitting, and the expected effects of such amendments have been considered in calculating U.S. pension expense. The company's funding policy is to contribute to the plan at least the minimum amount required by ERISA. Plan assets consist primarily of common stock, U.S. government obligations, commercial paper and real estate.</w:t>
      </w:r>
    </w:p>
    <w:p>
      <w:pPr>
        <w:spacing w:after="0" w:line="89" w:lineRule="exact"/>
        <w:rPr>
          <w:sz w:val="20"/>
          <w:szCs w:val="20"/>
          <w:color w:val="auto"/>
        </w:rPr>
      </w:pPr>
    </w:p>
    <w:p>
      <w:pPr>
        <w:ind w:right="2039" w:firstLine="419"/>
        <w:spacing w:after="0" w:line="260" w:lineRule="auto"/>
        <w:rPr>
          <w:sz w:val="20"/>
          <w:szCs w:val="20"/>
          <w:color w:val="auto"/>
        </w:rPr>
      </w:pPr>
      <w:r>
        <w:rPr>
          <w:rFonts w:ascii="Courier New" w:cs="Courier New" w:eastAsia="Courier New" w:hAnsi="Courier New"/>
          <w:sz w:val="17"/>
          <w:szCs w:val="17"/>
          <w:color w:val="auto"/>
        </w:rPr>
        <w:t>Effective January 1, 1998, the company will provide an alternative to the combination of the current defined benefit plan and savings program (current plan) for U.S. employees employed prior to December 1, 1997. The alternative plan (new plan) is designed to favorably compare with other retirement programs in the semiconductor industry. It consists of a defined contribution plan whereby the company will contribute 2% of an employee's earnings, and a matched savings program whereby an employee's contribution, up to 4% of the employee's earnings, will be matched by the company at a dollar-per-dollar rate. The contributions may be invested in several investment funds including TI common stock. During a selection period, which ended December 12, 1997, employees irrevocably elected whether to remain in the current plan or choose the new plan. Benefits earned through December 31, 1997, under the current plan will be retained by those employees who chose the new plan. Approximately 36% chose the new plan. Employees hired subsequent to November 30, 1997, will automatically participate in the new plan.</w:t>
      </w:r>
    </w:p>
    <w:p>
      <w:pPr>
        <w:spacing w:after="0" w:line="93" w:lineRule="exact"/>
        <w:rPr>
          <w:sz w:val="20"/>
          <w:szCs w:val="20"/>
          <w:color w:val="auto"/>
        </w:rPr>
      </w:pPr>
    </w:p>
    <w:p>
      <w:pPr>
        <w:ind w:right="2039" w:firstLine="419"/>
        <w:spacing w:after="0" w:line="276" w:lineRule="auto"/>
        <w:rPr>
          <w:sz w:val="20"/>
          <w:szCs w:val="20"/>
          <w:color w:val="auto"/>
        </w:rPr>
      </w:pPr>
      <w:r>
        <w:rPr>
          <w:rFonts w:ascii="Courier New" w:cs="Courier New" w:eastAsia="Courier New" w:hAnsi="Courier New"/>
          <w:sz w:val="17"/>
          <w:szCs w:val="17"/>
          <w:color w:val="auto"/>
        </w:rPr>
        <w:t>As noted in the Discontinued Operations footnote, accrued retirement costs of $226 million at year-end 1996, which consisted primarily of the U.S. pension plan and the retiree health care benefit plan obligations and assets related to DSE employees, were included in the net assets of discontinued operations. The following information on pension and retiree health care benefit plans excludes discontinued operations amounts.</w:t>
      </w:r>
    </w:p>
    <w:p>
      <w:pPr>
        <w:spacing w:after="0" w:line="81"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Pension expense of the U.S. plan includes the following components: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1997</w:t>
            </w:r>
          </w:p>
        </w:tc>
        <w:tc>
          <w:tcPr>
            <w:tcW w:w="20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1996</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460" w:type="dxa"/>
            <w:vAlign w:val="bottom"/>
            <w:vMerge w:val="restart"/>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07"/>
        </w:trPr>
        <w:tc>
          <w:tcPr>
            <w:tcW w:w="4460" w:type="dxa"/>
            <w:vAlign w:val="bottom"/>
            <w:vMerge w:val="continue"/>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36</w:t>
            </w:r>
          </w:p>
        </w:tc>
        <w:tc>
          <w:tcPr>
            <w:tcW w:w="2040" w:type="dxa"/>
            <w:vAlign w:val="bottom"/>
            <w:vMerge w:val="restart"/>
          </w:tcPr>
          <w:p>
            <w:pPr>
              <w:jc w:val="right"/>
              <w:ind w:right="653"/>
              <w:spacing w:after="0"/>
              <w:rPr>
                <w:sz w:val="20"/>
                <w:szCs w:val="20"/>
                <w:color w:val="auto"/>
              </w:rPr>
            </w:pPr>
            <w:r>
              <w:rPr>
                <w:rFonts w:ascii="Courier New" w:cs="Courier New" w:eastAsia="Courier New" w:hAnsi="Courier New"/>
                <w:sz w:val="17"/>
                <w:szCs w:val="17"/>
                <w:color w:val="auto"/>
              </w:rPr>
              <w:t>$   40</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7"/>
              </w:rPr>
              <w:t>$   31</w:t>
            </w:r>
          </w:p>
        </w:tc>
        <w:tc>
          <w:tcPr>
            <w:tcW w:w="0" w:type="dxa"/>
            <w:vAlign w:val="bottom"/>
          </w:tcPr>
          <w:p>
            <w:pPr>
              <w:spacing w:after="0"/>
              <w:rPr>
                <w:sz w:val="1"/>
                <w:szCs w:val="1"/>
                <w:color w:val="auto"/>
              </w:rPr>
            </w:pPr>
          </w:p>
        </w:tc>
      </w:tr>
      <w:tr>
        <w:trPr>
          <w:trHeight w:val="201"/>
        </w:trPr>
        <w:tc>
          <w:tcPr>
            <w:tcW w:w="4460" w:type="dxa"/>
            <w:vAlign w:val="bottom"/>
          </w:tcPr>
          <w:p>
            <w:pPr>
              <w:ind w:left="120"/>
              <w:spacing w:after="0"/>
              <w:rPr>
                <w:sz w:val="20"/>
                <w:szCs w:val="20"/>
                <w:color w:val="auto"/>
              </w:rPr>
            </w:pPr>
            <w:r>
              <w:rPr>
                <w:rFonts w:ascii="Courier New" w:cs="Courier New" w:eastAsia="Courier New" w:hAnsi="Courier New"/>
                <w:sz w:val="17"/>
                <w:szCs w:val="17"/>
                <w:color w:val="auto"/>
              </w:rPr>
              <w:t>during the period ......................</w:t>
            </w:r>
          </w:p>
        </w:tc>
        <w:tc>
          <w:tcPr>
            <w:tcW w:w="840" w:type="dxa"/>
            <w:vAlign w:val="bottom"/>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Interest cost on projected benefit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48</w:t>
            </w:r>
          </w:p>
        </w:tc>
        <w:tc>
          <w:tcPr>
            <w:tcW w:w="2040" w:type="dxa"/>
            <w:vAlign w:val="bottom"/>
            <w:vMerge w:val="restart"/>
          </w:tcPr>
          <w:p>
            <w:pPr>
              <w:jc w:val="right"/>
              <w:ind w:right="653"/>
              <w:spacing w:after="0"/>
              <w:rPr>
                <w:sz w:val="20"/>
                <w:szCs w:val="20"/>
                <w:color w:val="auto"/>
              </w:rPr>
            </w:pPr>
            <w:r>
              <w:rPr>
                <w:rFonts w:ascii="Courier New" w:cs="Courier New" w:eastAsia="Courier New" w:hAnsi="Courier New"/>
                <w:sz w:val="17"/>
                <w:szCs w:val="17"/>
                <w:color w:val="auto"/>
              </w:rPr>
              <w:t>51</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44</w:t>
            </w:r>
          </w:p>
        </w:tc>
        <w:tc>
          <w:tcPr>
            <w:tcW w:w="0" w:type="dxa"/>
            <w:vAlign w:val="bottom"/>
          </w:tcPr>
          <w:p>
            <w:pPr>
              <w:spacing w:after="0"/>
              <w:rPr>
                <w:sz w:val="1"/>
                <w:szCs w:val="1"/>
                <w:color w:val="auto"/>
              </w:rPr>
            </w:pPr>
          </w:p>
        </w:tc>
      </w:tr>
      <w:tr>
        <w:trPr>
          <w:trHeight w:val="295"/>
        </w:trPr>
        <w:tc>
          <w:tcPr>
            <w:tcW w:w="4460" w:type="dxa"/>
            <w:vAlign w:val="bottom"/>
          </w:tcPr>
          <w:p>
            <w:pPr>
              <w:ind w:left="120"/>
              <w:spacing w:after="0"/>
              <w:rPr>
                <w:sz w:val="20"/>
                <w:szCs w:val="20"/>
                <w:color w:val="auto"/>
              </w:rPr>
            </w:pPr>
            <w:r>
              <w:rPr>
                <w:rFonts w:ascii="Courier New" w:cs="Courier New" w:eastAsia="Courier New" w:hAnsi="Courier New"/>
                <w:sz w:val="17"/>
                <w:szCs w:val="17"/>
                <w:color w:val="auto"/>
              </w:rPr>
              <w:t>obligation .............................</w:t>
            </w:r>
          </w:p>
        </w:tc>
        <w:tc>
          <w:tcPr>
            <w:tcW w:w="84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920" w:orient="portrait"/>
          <w:cols w:equalWidth="0" w:num="1">
            <w:col w:w="10219"/>
          </w:cols>
          <w:pgMar w:left="240" w:top="110" w:right="1440" w:bottom="0" w:gutter="0" w:footer="0" w:header="0"/>
        </w:sectPr>
      </w:pPr>
    </w:p>
    <w:bookmarkStart w:id="31" w:name="page32"/>
    <w:bookmarkEnd w:id="31"/>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60" w:type="dxa"/>
            <w:vAlign w:val="bottom"/>
          </w:tcPr>
          <w:p>
            <w:pPr>
              <w:jc w:val="right"/>
              <w:ind w:right="2053"/>
              <w:spacing w:after="0"/>
              <w:rPr>
                <w:sz w:val="20"/>
                <w:szCs w:val="20"/>
                <w:color w:val="auto"/>
              </w:rPr>
            </w:pPr>
            <w:r>
              <w:rPr>
                <w:rFonts w:ascii="Courier New" w:cs="Courier New" w:eastAsia="Courier New" w:hAnsi="Courier New"/>
                <w:sz w:val="17"/>
                <w:szCs w:val="17"/>
                <w:color w:val="auto"/>
              </w:rPr>
              <w:t>Return on plan assets:</w:t>
            </w:r>
          </w:p>
        </w:tc>
        <w:tc>
          <w:tcPr>
            <w:tcW w:w="120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(102)</w:t>
            </w:r>
          </w:p>
        </w:tc>
        <w:tc>
          <w:tcPr>
            <w:tcW w:w="136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(123)</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(95)</w:t>
            </w: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Actual return ..........................</w:t>
            </w:r>
          </w:p>
        </w:tc>
        <w:tc>
          <w:tcPr>
            <w:tcW w:w="12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Deferral ...............................</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69</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82</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57</w:t>
            </w: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amortization ........................</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r>
        <w:trPr>
          <w:trHeight w:val="201"/>
        </w:trPr>
        <w:tc>
          <w:tcPr>
            <w:tcW w:w="44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U.S. pension expense ....................</w:t>
            </w:r>
          </w:p>
        </w:tc>
        <w:tc>
          <w:tcPr>
            <w:tcW w:w="1200" w:type="dxa"/>
            <w:vAlign w:val="bottom"/>
            <w:vMerge w:val="restart"/>
          </w:tcPr>
          <w:p>
            <w:pPr>
              <w:jc w:val="right"/>
              <w:ind w:right="333"/>
              <w:spacing w:after="0"/>
              <w:rPr>
                <w:sz w:val="20"/>
                <w:szCs w:val="20"/>
                <w:color w:val="auto"/>
              </w:rPr>
            </w:pPr>
            <w:r>
              <w:rPr>
                <w:rFonts w:ascii="Courier New" w:cs="Courier New" w:eastAsia="Courier New" w:hAnsi="Courier New"/>
                <w:sz w:val="34"/>
                <w:szCs w:val="34"/>
                <w:color w:val="auto"/>
                <w:w w:val="74"/>
                <w:vertAlign w:val="subscript"/>
              </w:rPr>
              <w:t>$</w:t>
            </w:r>
            <w:r>
              <w:rPr>
                <w:rFonts w:ascii="Courier New" w:cs="Courier New" w:eastAsia="Courier New" w:hAnsi="Courier New"/>
                <w:sz w:val="17"/>
                <w:szCs w:val="17"/>
                <w:color w:val="auto"/>
                <w:w w:val="74"/>
              </w:rPr>
              <w:t>------</w:t>
            </w:r>
            <w:r>
              <w:rPr>
                <w:rFonts w:ascii="Courier New" w:cs="Courier New" w:eastAsia="Courier New" w:hAnsi="Courier New"/>
                <w:sz w:val="34"/>
                <w:szCs w:val="34"/>
                <w:color w:val="auto"/>
                <w:w w:val="74"/>
                <w:vertAlign w:val="subscript"/>
              </w:rPr>
              <w:t>51</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48</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32</w:t>
            </w:r>
          </w:p>
        </w:tc>
        <w:tc>
          <w:tcPr>
            <w:tcW w:w="0" w:type="dxa"/>
            <w:vAlign w:val="bottom"/>
          </w:tcPr>
          <w:p>
            <w:pPr>
              <w:spacing w:after="0"/>
              <w:rPr>
                <w:sz w:val="1"/>
                <w:szCs w:val="1"/>
                <w:color w:val="auto"/>
              </w:rPr>
            </w:pPr>
          </w:p>
        </w:tc>
      </w:tr>
      <w:tr>
        <w:trPr>
          <w:trHeight w:val="295"/>
        </w:trPr>
        <w:tc>
          <w:tcPr>
            <w:tcW w:w="4460" w:type="dxa"/>
            <w:vAlign w:val="bottom"/>
          </w:tcPr>
          <w:p>
            <w:pPr>
              <w:spacing w:after="0"/>
              <w:rPr>
                <w:sz w:val="24"/>
                <w:szCs w:val="24"/>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funded status of the U.S. plan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4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514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36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5140" w:type="dxa"/>
            <w:vAlign w:val="bottom"/>
            <w:vMerge w:val="restart"/>
          </w:tcPr>
          <w:p>
            <w:pPr>
              <w:spacing w:after="0"/>
              <w:rPr>
                <w:sz w:val="20"/>
                <w:szCs w:val="20"/>
                <w:color w:val="auto"/>
              </w:rPr>
            </w:pPr>
            <w:r>
              <w:rPr>
                <w:rFonts w:ascii="Courier New" w:cs="Courier New" w:eastAsia="Courier New" w:hAnsi="Courier New"/>
                <w:sz w:val="17"/>
                <w:szCs w:val="17"/>
                <w:color w:val="auto"/>
              </w:rPr>
              <w:t>Actuarial present value at Dec. 31 of:</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140" w:type="dxa"/>
            <w:vAlign w:val="bottom"/>
            <w:vMerge w:val="continue"/>
          </w:tcPr>
          <w:p>
            <w:pPr>
              <w:spacing w:after="0"/>
              <w:rPr>
                <w:sz w:val="9"/>
                <w:szCs w:val="9"/>
                <w:color w:val="auto"/>
              </w:rPr>
            </w:pPr>
          </w:p>
        </w:tc>
        <w:tc>
          <w:tcPr>
            <w:tcW w:w="4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(428)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(540)</w:t>
            </w:r>
          </w:p>
        </w:tc>
        <w:tc>
          <w:tcPr>
            <w:tcW w:w="0" w:type="dxa"/>
            <w:vAlign w:val="bottom"/>
          </w:tcPr>
          <w:p>
            <w:pPr>
              <w:spacing w:after="0"/>
              <w:rPr>
                <w:sz w:val="1"/>
                <w:szCs w:val="1"/>
                <w:color w:val="auto"/>
              </w:rPr>
            </w:pPr>
          </w:p>
        </w:tc>
      </w:tr>
      <w:tr>
        <w:trPr>
          <w:trHeight w:val="201"/>
        </w:trPr>
        <w:tc>
          <w:tcPr>
            <w:tcW w:w="5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Vested benefit obligation ....................</w:t>
            </w: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Accumulated benefit obligation ...............</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vMerge w:val="continue"/>
          </w:tcPr>
          <w:p>
            <w:pPr>
              <w:spacing w:after="0"/>
              <w:rPr>
                <w:sz w:val="17"/>
                <w:szCs w:val="17"/>
                <w:color w:val="auto"/>
              </w:rPr>
            </w:pP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(595)</w:t>
            </w:r>
          </w:p>
        </w:tc>
        <w:tc>
          <w:tcPr>
            <w:tcW w:w="0" w:type="dxa"/>
            <w:vAlign w:val="bottom"/>
          </w:tcPr>
          <w:p>
            <w:pPr>
              <w:spacing w:after="0"/>
              <w:rPr>
                <w:sz w:val="1"/>
                <w:szCs w:val="1"/>
                <w:color w:val="auto"/>
              </w:rPr>
            </w:pPr>
          </w:p>
        </w:tc>
      </w:tr>
      <w:tr>
        <w:trPr>
          <w:trHeight w:val="201"/>
        </w:trPr>
        <w:tc>
          <w:tcPr>
            <w:tcW w:w="51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Projected benefit obligation .................</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vMerge w:val="continue"/>
          </w:tcPr>
          <w:p>
            <w:pPr>
              <w:spacing w:after="0"/>
              <w:rPr>
                <w:sz w:val="17"/>
                <w:szCs w:val="17"/>
                <w:color w:val="auto"/>
              </w:rPr>
            </w:pP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(688)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(819)</w:t>
            </w:r>
          </w:p>
        </w:tc>
        <w:tc>
          <w:tcPr>
            <w:tcW w:w="0" w:type="dxa"/>
            <w:vAlign w:val="bottom"/>
          </w:tcPr>
          <w:p>
            <w:pPr>
              <w:spacing w:after="0"/>
              <w:rPr>
                <w:sz w:val="1"/>
                <w:szCs w:val="1"/>
                <w:color w:val="auto"/>
              </w:rPr>
            </w:pPr>
          </w:p>
        </w:tc>
      </w:tr>
      <w:tr>
        <w:trPr>
          <w:trHeight w:val="201"/>
        </w:trPr>
        <w:tc>
          <w:tcPr>
            <w:tcW w:w="5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Plan assets at fair value .....................</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543</w:t>
            </w:r>
          </w:p>
        </w:tc>
        <w:tc>
          <w:tcPr>
            <w:tcW w:w="36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611</w:t>
            </w:r>
          </w:p>
        </w:tc>
        <w:tc>
          <w:tcPr>
            <w:tcW w:w="0" w:type="dxa"/>
            <w:vAlign w:val="bottom"/>
          </w:tcPr>
          <w:p>
            <w:pPr>
              <w:spacing w:after="0"/>
              <w:rPr>
                <w:sz w:val="1"/>
                <w:szCs w:val="1"/>
                <w:color w:val="auto"/>
              </w:rPr>
            </w:pPr>
          </w:p>
        </w:tc>
      </w:tr>
      <w:tr>
        <w:trPr>
          <w:trHeight w:val="295"/>
        </w:trPr>
        <w:tc>
          <w:tcPr>
            <w:tcW w:w="5140" w:type="dxa"/>
            <w:vAlign w:val="bottom"/>
            <w:vMerge w:val="restart"/>
          </w:tcPr>
          <w:p>
            <w:pPr>
              <w:spacing w:after="0"/>
              <w:rPr>
                <w:sz w:val="20"/>
                <w:szCs w:val="20"/>
                <w:color w:val="auto"/>
              </w:rPr>
            </w:pPr>
            <w:r>
              <w:rPr>
                <w:rFonts w:ascii="Courier New" w:cs="Courier New" w:eastAsia="Courier New" w:hAnsi="Courier New"/>
                <w:sz w:val="17"/>
                <w:szCs w:val="17"/>
                <w:color w:val="auto"/>
              </w:rPr>
              <w:t>Projected benefit obligation in excess of</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1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(145)</w:t>
            </w:r>
          </w:p>
        </w:tc>
        <w:tc>
          <w:tcPr>
            <w:tcW w:w="3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(208)</w:t>
            </w:r>
          </w:p>
        </w:tc>
        <w:tc>
          <w:tcPr>
            <w:tcW w:w="0" w:type="dxa"/>
            <w:vAlign w:val="bottom"/>
          </w:tcPr>
          <w:p>
            <w:pPr>
              <w:spacing w:after="0"/>
              <w:rPr>
                <w:sz w:val="1"/>
                <w:szCs w:val="1"/>
                <w:color w:val="auto"/>
              </w:rPr>
            </w:pPr>
          </w:p>
        </w:tc>
      </w:tr>
      <w:tr>
        <w:trPr>
          <w:trHeight w:val="201"/>
        </w:trPr>
        <w:tc>
          <w:tcPr>
            <w:tcW w:w="5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plan assets ..................................</w:t>
            </w: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Unrecognized net asset from initial</w:t>
            </w:r>
          </w:p>
        </w:tc>
        <w:tc>
          <w:tcPr>
            <w:tcW w:w="420" w:type="dxa"/>
            <w:vAlign w:val="bottom"/>
          </w:tcPr>
          <w:p>
            <w:pPr>
              <w:spacing w:after="0"/>
              <w:rPr>
                <w:sz w:val="17"/>
                <w:szCs w:val="17"/>
                <w:color w:val="auto"/>
              </w:rPr>
            </w:pPr>
          </w:p>
        </w:tc>
        <w:tc>
          <w:tcPr>
            <w:tcW w:w="8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(16)</w:t>
            </w:r>
          </w:p>
        </w:tc>
        <w:tc>
          <w:tcPr>
            <w:tcW w:w="3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w:t>
            </w:r>
          </w:p>
        </w:tc>
        <w:tc>
          <w:tcPr>
            <w:tcW w:w="0" w:type="dxa"/>
            <w:vAlign w:val="bottom"/>
          </w:tcPr>
          <w:p>
            <w:pPr>
              <w:spacing w:after="0"/>
              <w:rPr>
                <w:sz w:val="1"/>
                <w:szCs w:val="1"/>
                <w:color w:val="auto"/>
              </w:rPr>
            </w:pPr>
          </w:p>
        </w:tc>
      </w:tr>
      <w:tr>
        <w:trPr>
          <w:trHeight w:val="201"/>
        </w:trPr>
        <w:tc>
          <w:tcPr>
            <w:tcW w:w="5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application of SFAS 87 .......................</w:t>
            </w: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Unrecognized net (gain) loss ..................</w:t>
            </w:r>
          </w:p>
        </w:tc>
        <w:tc>
          <w:tcPr>
            <w:tcW w:w="4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w:t>
            </w:r>
          </w:p>
        </w:tc>
        <w:tc>
          <w:tcPr>
            <w:tcW w:w="36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201"/>
        </w:trPr>
        <w:tc>
          <w:tcPr>
            <w:tcW w:w="5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Unrecognized prior service cost ...............</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w:t>
            </w:r>
          </w:p>
        </w:tc>
        <w:tc>
          <w:tcPr>
            <w:tcW w:w="36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01"/>
        </w:trPr>
        <w:tc>
          <w:tcPr>
            <w:tcW w:w="51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Accrued pension at Dec. 31 ....................</w:t>
            </w:r>
          </w:p>
        </w:tc>
        <w:tc>
          <w:tcPr>
            <w:tcW w:w="420" w:type="dxa"/>
            <w:vAlign w:val="bottom"/>
          </w:tcPr>
          <w:p>
            <w:pPr>
              <w:ind w:left="200"/>
              <w:spacing w:after="0"/>
              <w:rPr>
                <w:sz w:val="20"/>
                <w:szCs w:val="20"/>
                <w:color w:val="auto"/>
              </w:rPr>
            </w:pPr>
            <w:r>
              <w:rPr>
                <w:rFonts w:ascii="Courier New" w:cs="Courier New" w:eastAsia="Courier New" w:hAnsi="Courier New"/>
                <w:sz w:val="5"/>
                <w:szCs w:val="5"/>
                <w:color w:val="auto"/>
                <w:w w:val="95"/>
              </w:rPr>
              <w:t>-------</w:t>
            </w:r>
          </w:p>
        </w:tc>
        <w:tc>
          <w:tcPr>
            <w:tcW w:w="8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(182)</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(202)</w:t>
            </w:r>
          </w:p>
        </w:tc>
        <w:tc>
          <w:tcPr>
            <w:tcW w:w="0" w:type="dxa"/>
            <w:vAlign w:val="bottom"/>
          </w:tcPr>
          <w:p>
            <w:pPr>
              <w:spacing w:after="0"/>
              <w:rPr>
                <w:sz w:val="1"/>
                <w:szCs w:val="1"/>
                <w:color w:val="auto"/>
              </w:rPr>
            </w:pPr>
          </w:p>
        </w:tc>
      </w:tr>
      <w:tr>
        <w:trPr>
          <w:trHeight w:val="201"/>
        </w:trPr>
        <w:tc>
          <w:tcPr>
            <w:tcW w:w="5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Less current portion ..........................</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w:t>
            </w:r>
          </w:p>
        </w:tc>
        <w:tc>
          <w:tcPr>
            <w:tcW w:w="36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w:t>
            </w:r>
          </w:p>
        </w:tc>
        <w:tc>
          <w:tcPr>
            <w:tcW w:w="0" w:type="dxa"/>
            <w:vAlign w:val="bottom"/>
          </w:tcPr>
          <w:p>
            <w:pPr>
              <w:spacing w:after="0"/>
              <w:rPr>
                <w:sz w:val="1"/>
                <w:szCs w:val="1"/>
                <w:color w:val="auto"/>
              </w:rPr>
            </w:pPr>
          </w:p>
        </w:tc>
      </w:tr>
      <w:tr>
        <w:trPr>
          <w:trHeight w:val="201"/>
        </w:trPr>
        <w:tc>
          <w:tcPr>
            <w:tcW w:w="51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Accrued U.S. pension costs ....................</w:t>
            </w:r>
          </w:p>
        </w:tc>
        <w:tc>
          <w:tcPr>
            <w:tcW w:w="420" w:type="dxa"/>
            <w:vAlign w:val="bottom"/>
            <w:vMerge w:val="restart"/>
          </w:tcPr>
          <w:p>
            <w:pPr>
              <w:ind w:left="200"/>
              <w:spacing w:after="0"/>
              <w:rPr>
                <w:sz w:val="20"/>
                <w:szCs w:val="20"/>
                <w:color w:val="auto"/>
              </w:rPr>
            </w:pPr>
            <w:r>
              <w:rPr>
                <w:rFonts w:ascii="Courier New" w:cs="Courier New" w:eastAsia="Courier New" w:hAnsi="Courier New"/>
                <w:sz w:val="8"/>
                <w:szCs w:val="8"/>
                <w:color w:val="auto"/>
                <w:w w:val="99"/>
                <w:vertAlign w:val="subscript"/>
              </w:rPr>
              <w:t>$</w:t>
            </w:r>
            <w:r>
              <w:rPr>
                <w:rFonts w:ascii="Courier New" w:cs="Courier New" w:eastAsia="Courier New" w:hAnsi="Courier New"/>
                <w:sz w:val="4"/>
                <w:szCs w:val="4"/>
                <w:color w:val="auto"/>
                <w:w w:val="99"/>
              </w:rPr>
              <w:t>-------</w:t>
            </w:r>
          </w:p>
        </w:tc>
        <w:tc>
          <w:tcPr>
            <w:tcW w:w="8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(142)</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(157)</w:t>
            </w: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27</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139"/>
        <w:spacing w:after="0" w:line="293" w:lineRule="auto"/>
        <w:rPr>
          <w:sz w:val="20"/>
          <w:szCs w:val="20"/>
          <w:color w:val="auto"/>
        </w:rPr>
      </w:pPr>
      <w:r>
        <w:rPr>
          <w:rFonts w:ascii="Courier New" w:cs="Courier New" w:eastAsia="Courier New" w:hAnsi="Courier New"/>
          <w:sz w:val="17"/>
          <w:szCs w:val="17"/>
          <w:color w:val="auto"/>
        </w:rPr>
        <w:t>The projected benefit obligations for 1997 and 1996 were determined using assumed discount rates of 7.0% and 7.25% and an assumed average long-term pay progression rate of 4.25%. The assumed long-term rate of return on plan assets was 9.0%.</w:t>
      </w:r>
    </w:p>
    <w:p>
      <w:pPr>
        <w:spacing w:after="0" w:line="67" w:lineRule="exact"/>
        <w:rPr>
          <w:sz w:val="20"/>
          <w:szCs w:val="20"/>
          <w:color w:val="auto"/>
        </w:rPr>
      </w:pPr>
    </w:p>
    <w:p>
      <w:pPr>
        <w:ind w:right="2039"/>
        <w:spacing w:after="0" w:line="276" w:lineRule="auto"/>
        <w:rPr>
          <w:sz w:val="20"/>
          <w:szCs w:val="20"/>
          <w:color w:val="auto"/>
        </w:rPr>
      </w:pPr>
      <w:r>
        <w:rPr>
          <w:rFonts w:ascii="Courier New" w:cs="Courier New" w:eastAsia="Courier New" w:hAnsi="Courier New"/>
          <w:sz w:val="17"/>
          <w:szCs w:val="17"/>
          <w:color w:val="auto"/>
        </w:rPr>
        <w:t>NON-U.S. PENSION PLANS: Retirement coverage for non-U.S. employees of the company is provided, to the extent deemed appropriate, through separate plans. Retirement benefits are based on years of service and employee's compensation, generally during a fixed number of years immediately prior to retirement. Funding policies are based on local statutes. Plan assets consist primarily of common stock, government obligations and corporate bonds.</w:t>
      </w:r>
    </w:p>
    <w:p>
      <w:pPr>
        <w:spacing w:after="0" w:line="81"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Pension expense of the non-U.S. plans includes the following components: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350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1997</w:t>
            </w:r>
          </w:p>
        </w:tc>
        <w:tc>
          <w:tcPr>
            <w:tcW w:w="420" w:type="dxa"/>
            <w:vAlign w:val="bottom"/>
          </w:tcPr>
          <w:p>
            <w:pPr>
              <w:spacing w:after="0"/>
              <w:rPr>
                <w:sz w:val="17"/>
                <w:szCs w:val="17"/>
                <w:color w:val="auto"/>
              </w:rPr>
            </w:pPr>
          </w:p>
        </w:tc>
        <w:tc>
          <w:tcPr>
            <w:tcW w:w="110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7"/>
              </w:rPr>
              <w:t>1996</w:t>
            </w:r>
          </w:p>
        </w:tc>
        <w:tc>
          <w:tcPr>
            <w:tcW w:w="16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1995</w:t>
            </w:r>
          </w:p>
        </w:tc>
        <w:tc>
          <w:tcPr>
            <w:tcW w:w="0" w:type="dxa"/>
            <w:vAlign w:val="bottom"/>
          </w:tcPr>
          <w:p>
            <w:pPr>
              <w:spacing w:after="0"/>
              <w:rPr>
                <w:sz w:val="1"/>
                <w:szCs w:val="1"/>
                <w:color w:val="auto"/>
              </w:rPr>
            </w:pPr>
          </w:p>
        </w:tc>
      </w:tr>
      <w:tr>
        <w:trPr>
          <w:trHeight w:val="295"/>
        </w:trPr>
        <w:tc>
          <w:tcPr>
            <w:tcW w:w="4460" w:type="dxa"/>
            <w:vAlign w:val="bottom"/>
            <w:vMerge w:val="restart"/>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1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460" w:type="dxa"/>
            <w:vAlign w:val="bottom"/>
            <w:vMerge w:val="continue"/>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59</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64</w:t>
            </w:r>
          </w:p>
        </w:tc>
        <w:tc>
          <w:tcPr>
            <w:tcW w:w="1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59</w:t>
            </w: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during the period ......................</w:t>
            </w:r>
          </w:p>
        </w:tc>
        <w:tc>
          <w:tcPr>
            <w:tcW w:w="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Interest cost on projected benefit</w:t>
            </w:r>
          </w:p>
        </w:tc>
        <w:tc>
          <w:tcPr>
            <w:tcW w:w="260" w:type="dxa"/>
            <w:vAlign w:val="bottom"/>
          </w:tcPr>
          <w:p>
            <w:pPr>
              <w:spacing w:after="0"/>
              <w:rPr>
                <w:sz w:val="17"/>
                <w:szCs w:val="17"/>
                <w:color w:val="auto"/>
              </w:rPr>
            </w:pP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35</w:t>
            </w:r>
          </w:p>
        </w:tc>
        <w:tc>
          <w:tcPr>
            <w:tcW w:w="420" w:type="dxa"/>
            <w:vAlign w:val="bottom"/>
          </w:tcPr>
          <w:p>
            <w:pPr>
              <w:spacing w:after="0"/>
              <w:rPr>
                <w:sz w:val="17"/>
                <w:szCs w:val="17"/>
                <w:color w:val="auto"/>
              </w:rPr>
            </w:pPr>
          </w:p>
        </w:tc>
        <w:tc>
          <w:tcPr>
            <w:tcW w:w="110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34</w:t>
            </w:r>
          </w:p>
        </w:tc>
        <w:tc>
          <w:tcPr>
            <w:tcW w:w="160" w:type="dxa"/>
            <w:vAlign w:val="bottom"/>
          </w:tcPr>
          <w:p>
            <w:pPr>
              <w:spacing w:after="0"/>
              <w:rPr>
                <w:sz w:val="17"/>
                <w:szCs w:val="17"/>
                <w:color w:val="auto"/>
              </w:rPr>
            </w:pP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38</w:t>
            </w: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obligations ............................</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Return on plan assets:</w:t>
            </w:r>
          </w:p>
        </w:tc>
        <w:tc>
          <w:tcPr>
            <w:tcW w:w="260" w:type="dxa"/>
            <w:vAlign w:val="bottom"/>
          </w:tcPr>
          <w:p>
            <w:pPr>
              <w:spacing w:after="0"/>
              <w:rPr>
                <w:sz w:val="17"/>
                <w:szCs w:val="17"/>
                <w:color w:val="auto"/>
              </w:rPr>
            </w:pP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(60)</w:t>
            </w:r>
          </w:p>
        </w:tc>
        <w:tc>
          <w:tcPr>
            <w:tcW w:w="420" w:type="dxa"/>
            <w:vAlign w:val="bottom"/>
          </w:tcPr>
          <w:p>
            <w:pPr>
              <w:spacing w:after="0"/>
              <w:rPr>
                <w:sz w:val="17"/>
                <w:szCs w:val="17"/>
                <w:color w:val="auto"/>
              </w:rPr>
            </w:pPr>
          </w:p>
        </w:tc>
        <w:tc>
          <w:tcPr>
            <w:tcW w:w="1100" w:type="dxa"/>
            <w:vAlign w:val="bottom"/>
            <w:vMerge w:val="restart"/>
          </w:tcPr>
          <w:p>
            <w:pPr>
              <w:jc w:val="right"/>
              <w:ind w:right="373"/>
              <w:spacing w:after="0"/>
              <w:rPr>
                <w:sz w:val="20"/>
                <w:szCs w:val="20"/>
                <w:color w:val="auto"/>
              </w:rPr>
            </w:pPr>
            <w:r>
              <w:rPr>
                <w:rFonts w:ascii="Courier New" w:cs="Courier New" w:eastAsia="Courier New" w:hAnsi="Courier New"/>
                <w:sz w:val="17"/>
                <w:szCs w:val="17"/>
                <w:color w:val="auto"/>
              </w:rPr>
              <w:t>(49)</w:t>
            </w: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(32)</w:t>
            </w: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Actual return ..........................</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Deferral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22</w:t>
            </w:r>
          </w:p>
        </w:tc>
        <w:tc>
          <w:tcPr>
            <w:tcW w:w="42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14</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201"/>
        </w:trPr>
        <w:tc>
          <w:tcPr>
            <w:tcW w:w="4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amortization ........................</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w:t>
            </w:r>
          </w:p>
        </w:tc>
        <w:tc>
          <w:tcPr>
            <w:tcW w:w="42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13</w:t>
            </w:r>
          </w:p>
        </w:tc>
        <w:tc>
          <w:tcPr>
            <w:tcW w:w="16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01"/>
        </w:trPr>
        <w:tc>
          <w:tcPr>
            <w:tcW w:w="44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Non-U.S. pension expense ................</w:t>
            </w:r>
          </w:p>
        </w:tc>
        <w:tc>
          <w:tcPr>
            <w:tcW w:w="2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3"/>
                <w:vertAlign w:val="subscript"/>
              </w:rPr>
              <w:t>$</w:t>
            </w:r>
            <w:r>
              <w:rPr>
                <w:rFonts w:ascii="Courier New" w:cs="Courier New" w:eastAsia="Courier New" w:hAnsi="Courier New"/>
                <w:sz w:val="8"/>
                <w:szCs w:val="8"/>
                <w:color w:val="auto"/>
                <w:w w:val="73"/>
              </w:rPr>
              <w:t>------</w:t>
            </w: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68</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76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w:t>
            </w:r>
          </w:p>
        </w:tc>
        <w:tc>
          <w:tcPr>
            <w:tcW w:w="0" w:type="dxa"/>
            <w:vAlign w:val="bottom"/>
          </w:tcPr>
          <w:p>
            <w:pPr>
              <w:spacing w:after="0"/>
              <w:rPr>
                <w:sz w:val="1"/>
                <w:szCs w:val="1"/>
                <w:color w:val="auto"/>
              </w:rPr>
            </w:pPr>
          </w:p>
        </w:tc>
      </w:tr>
      <w:tr>
        <w:trPr>
          <w:trHeight w:val="295"/>
        </w:trPr>
        <w:tc>
          <w:tcPr>
            <w:tcW w:w="4460" w:type="dxa"/>
            <w:vAlign w:val="bottom"/>
          </w:tcPr>
          <w:p>
            <w:pPr>
              <w:spacing w:after="0"/>
              <w:rPr>
                <w:sz w:val="24"/>
                <w:szCs w:val="24"/>
                <w:color w:val="auto"/>
              </w:rPr>
            </w:pPr>
          </w:p>
        </w:tc>
        <w:tc>
          <w:tcPr>
            <w:tcW w:w="1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funded status of the non-U.S. plans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80" w:type="dxa"/>
            <w:vAlign w:val="bottom"/>
          </w:tcPr>
          <w:p>
            <w:pPr>
              <w:spacing w:after="0"/>
              <w:rPr>
                <w:sz w:val="17"/>
                <w:szCs w:val="17"/>
                <w:color w:val="auto"/>
              </w:rPr>
            </w:pPr>
          </w:p>
        </w:tc>
        <w:tc>
          <w:tcPr>
            <w:tcW w:w="2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24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4980" w:type="dxa"/>
            <w:vAlign w:val="bottom"/>
            <w:vMerge w:val="restart"/>
          </w:tcPr>
          <w:p>
            <w:pPr>
              <w:spacing w:after="0"/>
              <w:rPr>
                <w:sz w:val="20"/>
                <w:szCs w:val="20"/>
                <w:color w:val="auto"/>
              </w:rPr>
            </w:pPr>
            <w:r>
              <w:rPr>
                <w:rFonts w:ascii="Courier New" w:cs="Courier New" w:eastAsia="Courier New" w:hAnsi="Courier New"/>
                <w:sz w:val="17"/>
                <w:szCs w:val="17"/>
                <w:color w:val="auto"/>
              </w:rPr>
              <w:t>Actuarial present value at Sept. 30 of:</w:t>
            </w: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980" w:type="dxa"/>
            <w:vAlign w:val="bottom"/>
            <w:vMerge w:val="continue"/>
          </w:tcPr>
          <w:p>
            <w:pPr>
              <w:spacing w:after="0"/>
              <w:rPr>
                <w:sz w:val="9"/>
                <w:szCs w:val="9"/>
                <w:color w:val="auto"/>
              </w:rPr>
            </w:pPr>
          </w:p>
        </w:tc>
        <w:tc>
          <w:tcPr>
            <w:tcW w:w="132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 (583)</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(535)</w:t>
            </w:r>
          </w:p>
        </w:tc>
        <w:tc>
          <w:tcPr>
            <w:tcW w:w="0" w:type="dxa"/>
            <w:vAlign w:val="bottom"/>
          </w:tcPr>
          <w:p>
            <w:pPr>
              <w:spacing w:after="0"/>
              <w:rPr>
                <w:sz w:val="1"/>
                <w:szCs w:val="1"/>
                <w:color w:val="auto"/>
              </w:rPr>
            </w:pPr>
          </w:p>
        </w:tc>
      </w:tr>
      <w:tr>
        <w:trPr>
          <w:trHeight w:val="201"/>
        </w:trPr>
        <w:tc>
          <w:tcPr>
            <w:tcW w:w="4980" w:type="dxa"/>
            <w:vAlign w:val="bottom"/>
          </w:tcPr>
          <w:p>
            <w:pPr>
              <w:ind w:left="120"/>
              <w:spacing w:after="0"/>
              <w:rPr>
                <w:sz w:val="20"/>
                <w:szCs w:val="20"/>
                <w:color w:val="auto"/>
              </w:rPr>
            </w:pPr>
            <w:r>
              <w:rPr>
                <w:rFonts w:ascii="Courier New" w:cs="Courier New" w:eastAsia="Courier New" w:hAnsi="Courier New"/>
                <w:sz w:val="17"/>
                <w:szCs w:val="17"/>
                <w:color w:val="auto"/>
              </w:rPr>
              <w:t>Vested benefit obligations ..................</w:t>
            </w:r>
          </w:p>
        </w:tc>
        <w:tc>
          <w:tcPr>
            <w:tcW w:w="13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Accumulated benefit obligations .............</w:t>
            </w: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4980" w:type="dxa"/>
            <w:vAlign w:val="bottom"/>
            <w:vMerge w:val="continue"/>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 (753)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(696)</w:t>
            </w:r>
          </w:p>
        </w:tc>
        <w:tc>
          <w:tcPr>
            <w:tcW w:w="0" w:type="dxa"/>
            <w:vAlign w:val="bottom"/>
          </w:tcPr>
          <w:p>
            <w:pPr>
              <w:spacing w:after="0"/>
              <w:rPr>
                <w:sz w:val="1"/>
                <w:szCs w:val="1"/>
                <w:color w:val="auto"/>
              </w:rPr>
            </w:pPr>
          </w:p>
        </w:tc>
      </w:tr>
    </w:tbl>
    <w:p>
      <w:pPr>
        <w:sectPr>
          <w:pgSz w:w="11900" w:h="16920" w:orient="portrait"/>
          <w:cols w:equalWidth="0" w:num="1">
            <w:col w:w="10219"/>
          </w:cols>
          <w:pgMar w:left="240" w:top="110" w:right="1440"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Projected benefit obligations ...............</w:t>
            </w:r>
          </w:p>
        </w:tc>
        <w:tc>
          <w:tcPr>
            <w:tcW w:w="1320" w:type="dxa"/>
            <w:vAlign w:val="bottom"/>
            <w:gridSpan w:val="2"/>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80" w:type="dxa"/>
            <w:vAlign w:val="bottom"/>
            <w:vMerge w:val="continue"/>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(940)</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Plan assets at fair value ....................</w:t>
            </w:r>
          </w:p>
        </w:tc>
        <w:tc>
          <w:tcPr>
            <w:tcW w:w="360" w:type="dxa"/>
            <w:vAlign w:val="bottom"/>
          </w:tcPr>
          <w:p>
            <w:pPr>
              <w:spacing w:after="0"/>
              <w:rPr>
                <w:sz w:val="17"/>
                <w:szCs w:val="17"/>
                <w:color w:val="auto"/>
              </w:rPr>
            </w:pPr>
          </w:p>
        </w:tc>
        <w:tc>
          <w:tcPr>
            <w:tcW w:w="9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543</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w:t>
            </w:r>
          </w:p>
        </w:tc>
        <w:tc>
          <w:tcPr>
            <w:tcW w:w="0" w:type="dxa"/>
            <w:vAlign w:val="bottom"/>
          </w:tcPr>
          <w:p>
            <w:pPr>
              <w:spacing w:after="0"/>
              <w:rPr>
                <w:sz w:val="1"/>
                <w:szCs w:val="1"/>
                <w:color w:val="auto"/>
              </w:rPr>
            </w:pPr>
          </w:p>
        </w:tc>
      </w:tr>
      <w:tr>
        <w:trPr>
          <w:trHeight w:val="295"/>
        </w:trPr>
        <w:tc>
          <w:tcPr>
            <w:tcW w:w="4980" w:type="dxa"/>
            <w:vAlign w:val="bottom"/>
            <w:vMerge w:val="restart"/>
          </w:tcPr>
          <w:p>
            <w:pPr>
              <w:spacing w:after="0"/>
              <w:rPr>
                <w:sz w:val="20"/>
                <w:szCs w:val="20"/>
                <w:color w:val="auto"/>
              </w:rPr>
            </w:pPr>
            <w:r>
              <w:rPr>
                <w:rFonts w:ascii="Courier New" w:cs="Courier New" w:eastAsia="Courier New" w:hAnsi="Courier New"/>
                <w:sz w:val="17"/>
                <w:szCs w:val="17"/>
                <w:color w:val="auto"/>
              </w:rPr>
              <w:t>Projected benefit obligations in excess of</w:t>
            </w:r>
          </w:p>
        </w:tc>
        <w:tc>
          <w:tcPr>
            <w:tcW w:w="1320" w:type="dxa"/>
            <w:vAlign w:val="bottom"/>
            <w:gridSpan w:val="2"/>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9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(456)</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(440)</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plan assets .................................</w:t>
            </w: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Unrecognized net liabilities from initial</w:t>
            </w:r>
          </w:p>
        </w:tc>
        <w:tc>
          <w:tcPr>
            <w:tcW w:w="360" w:type="dxa"/>
            <w:vAlign w:val="bottom"/>
          </w:tcPr>
          <w:p>
            <w:pPr>
              <w:spacing w:after="0"/>
              <w:rPr>
                <w:sz w:val="17"/>
                <w:szCs w:val="17"/>
                <w:color w:val="auto"/>
              </w:rPr>
            </w:pPr>
          </w:p>
        </w:tc>
        <w:tc>
          <w:tcPr>
            <w:tcW w:w="960" w:type="dxa"/>
            <w:vAlign w:val="bottom"/>
            <w:vMerge w:val="restart"/>
          </w:tcPr>
          <w:p>
            <w:pPr>
              <w:jc w:val="right"/>
              <w:ind w:right="453"/>
              <w:spacing w:after="0"/>
              <w:rPr>
                <w:sz w:val="20"/>
                <w:szCs w:val="20"/>
                <w:color w:val="auto"/>
              </w:rPr>
            </w:pPr>
            <w:r>
              <w:rPr>
                <w:rFonts w:ascii="Courier New" w:cs="Courier New" w:eastAsia="Courier New" w:hAnsi="Courier New"/>
                <w:sz w:val="17"/>
                <w:szCs w:val="17"/>
                <w:color w:val="auto"/>
              </w:rPr>
              <w:t>13</w:t>
            </w:r>
          </w:p>
        </w:tc>
        <w:tc>
          <w:tcPr>
            <w:tcW w:w="11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application of SFAS 87 ......................</w:t>
            </w: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Unrecognized net loss ........................</w:t>
            </w:r>
          </w:p>
        </w:tc>
        <w:tc>
          <w:tcPr>
            <w:tcW w:w="360" w:type="dxa"/>
            <w:vAlign w:val="bottom"/>
          </w:tcPr>
          <w:p>
            <w:pPr>
              <w:spacing w:after="0"/>
              <w:rPr>
                <w:sz w:val="17"/>
                <w:szCs w:val="17"/>
                <w:color w:val="auto"/>
              </w:rPr>
            </w:pPr>
          </w:p>
        </w:tc>
        <w:tc>
          <w:tcPr>
            <w:tcW w:w="9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252</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236</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Unrecognized prior service cost ..............</w:t>
            </w:r>
          </w:p>
        </w:tc>
        <w:tc>
          <w:tcPr>
            <w:tcW w:w="360" w:type="dxa"/>
            <w:vAlign w:val="bottom"/>
          </w:tcPr>
          <w:p>
            <w:pPr>
              <w:spacing w:after="0"/>
              <w:rPr>
                <w:sz w:val="17"/>
                <w:szCs w:val="17"/>
                <w:color w:val="auto"/>
              </w:rPr>
            </w:pPr>
          </w:p>
        </w:tc>
        <w:tc>
          <w:tcPr>
            <w:tcW w:w="9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9</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201"/>
        </w:trPr>
        <w:tc>
          <w:tcPr>
            <w:tcW w:w="49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Accrued non-U.S. pension at Sept. 30 .........</w:t>
            </w:r>
          </w:p>
        </w:tc>
        <w:tc>
          <w:tcPr>
            <w:tcW w:w="360" w:type="dxa"/>
            <w:vAlign w:val="bottom"/>
          </w:tcPr>
          <w:p>
            <w:pPr>
              <w:ind w:left="160"/>
              <w:spacing w:after="0"/>
              <w:rPr>
                <w:sz w:val="20"/>
                <w:szCs w:val="20"/>
                <w:color w:val="auto"/>
              </w:rPr>
            </w:pPr>
            <w:r>
              <w:rPr>
                <w:rFonts w:ascii="Courier New" w:cs="Courier New" w:eastAsia="Courier New" w:hAnsi="Courier New"/>
                <w:sz w:val="7"/>
                <w:szCs w:val="7"/>
                <w:color w:val="auto"/>
                <w:w w:val="71"/>
              </w:rPr>
              <w:t>------</w:t>
            </w:r>
          </w:p>
        </w:tc>
        <w:tc>
          <w:tcPr>
            <w:tcW w:w="9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(182)</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(174)</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Additional minimum liability .................</w:t>
            </w:r>
          </w:p>
        </w:tc>
        <w:tc>
          <w:tcPr>
            <w:tcW w:w="360" w:type="dxa"/>
            <w:vAlign w:val="bottom"/>
          </w:tcPr>
          <w:p>
            <w:pPr>
              <w:spacing w:after="0"/>
              <w:rPr>
                <w:sz w:val="17"/>
                <w:szCs w:val="17"/>
                <w:color w:val="auto"/>
              </w:rPr>
            </w:pPr>
          </w:p>
        </w:tc>
        <w:tc>
          <w:tcPr>
            <w:tcW w:w="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Adjustments from Sept. 30 to Dec. 31 .........</w:t>
            </w:r>
          </w:p>
        </w:tc>
        <w:tc>
          <w:tcPr>
            <w:tcW w:w="360" w:type="dxa"/>
            <w:vAlign w:val="bottom"/>
          </w:tcPr>
          <w:p>
            <w:pPr>
              <w:spacing w:after="0"/>
              <w:rPr>
                <w:sz w:val="17"/>
                <w:szCs w:val="17"/>
                <w:color w:val="auto"/>
              </w:rPr>
            </w:pPr>
          </w:p>
        </w:tc>
        <w:tc>
          <w:tcPr>
            <w:tcW w:w="9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Less prepaid pension costs at Dec. 31 ........</w:t>
            </w:r>
          </w:p>
        </w:tc>
        <w:tc>
          <w:tcPr>
            <w:tcW w:w="360" w:type="dxa"/>
            <w:vAlign w:val="bottom"/>
          </w:tcPr>
          <w:p>
            <w:pPr>
              <w:spacing w:after="0"/>
              <w:rPr>
                <w:sz w:val="17"/>
                <w:szCs w:val="17"/>
                <w:color w:val="auto"/>
              </w:rPr>
            </w:pPr>
          </w:p>
        </w:tc>
        <w:tc>
          <w:tcPr>
            <w:tcW w:w="9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10</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r>
        <w:trPr>
          <w:trHeight w:val="201"/>
        </w:trPr>
        <w:tc>
          <w:tcPr>
            <w:tcW w:w="49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Accrued pension at Dec. 31 ...................</w:t>
            </w:r>
          </w:p>
        </w:tc>
        <w:tc>
          <w:tcPr>
            <w:tcW w:w="360" w:type="dxa"/>
            <w:vAlign w:val="bottom"/>
          </w:tcPr>
          <w:p>
            <w:pPr>
              <w:ind w:left="160"/>
              <w:spacing w:after="0"/>
              <w:rPr>
                <w:sz w:val="20"/>
                <w:szCs w:val="20"/>
                <w:color w:val="auto"/>
              </w:rPr>
            </w:pPr>
            <w:r>
              <w:rPr>
                <w:rFonts w:ascii="Courier New" w:cs="Courier New" w:eastAsia="Courier New" w:hAnsi="Courier New"/>
                <w:sz w:val="7"/>
                <w:szCs w:val="7"/>
                <w:color w:val="auto"/>
                <w:w w:val="71"/>
              </w:rPr>
              <w:t>------</w:t>
            </w:r>
          </w:p>
        </w:tc>
        <w:tc>
          <w:tcPr>
            <w:tcW w:w="9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(257)</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(238)</w:t>
            </w:r>
          </w:p>
        </w:tc>
        <w:tc>
          <w:tcPr>
            <w:tcW w:w="0" w:type="dxa"/>
            <w:vAlign w:val="bottom"/>
          </w:tcPr>
          <w:p>
            <w:pPr>
              <w:spacing w:after="0"/>
              <w:rPr>
                <w:sz w:val="1"/>
                <w:szCs w:val="1"/>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Less current portion .........................</w:t>
            </w:r>
          </w:p>
        </w:tc>
        <w:tc>
          <w:tcPr>
            <w:tcW w:w="360" w:type="dxa"/>
            <w:vAlign w:val="bottom"/>
          </w:tcPr>
          <w:p>
            <w:pPr>
              <w:spacing w:after="0"/>
              <w:rPr>
                <w:sz w:val="17"/>
                <w:szCs w:val="17"/>
                <w:color w:val="auto"/>
              </w:rPr>
            </w:pPr>
          </w:p>
        </w:tc>
        <w:tc>
          <w:tcPr>
            <w:tcW w:w="9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3</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201"/>
        </w:trPr>
        <w:tc>
          <w:tcPr>
            <w:tcW w:w="49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Accrued non-U.S. pension costs ...............</w:t>
            </w:r>
          </w:p>
        </w:tc>
        <w:tc>
          <w:tcPr>
            <w:tcW w:w="360" w:type="dxa"/>
            <w:vAlign w:val="bottom"/>
            <w:vMerge w:val="restart"/>
          </w:tcPr>
          <w:p>
            <w:pPr>
              <w:ind w:left="16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9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(254)</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8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(234)</w:t>
            </w:r>
          </w:p>
        </w:tc>
        <w:tc>
          <w:tcPr>
            <w:tcW w:w="0" w:type="dxa"/>
            <w:vAlign w:val="bottom"/>
          </w:tcPr>
          <w:p>
            <w:pPr>
              <w:spacing w:after="0"/>
              <w:rPr>
                <w:sz w:val="1"/>
                <w:szCs w:val="1"/>
                <w:color w:val="auto"/>
              </w:rPr>
            </w:pPr>
          </w:p>
        </w:tc>
      </w:tr>
      <w:tr>
        <w:trPr>
          <w:trHeight w:val="295"/>
        </w:trPr>
        <w:tc>
          <w:tcPr>
            <w:tcW w:w="4980" w:type="dxa"/>
            <w:vAlign w:val="bottom"/>
          </w:tcPr>
          <w:p>
            <w:pPr>
              <w:spacing w:after="0"/>
              <w:rPr>
                <w:sz w:val="24"/>
                <w:szCs w:val="24"/>
                <w:color w:val="auto"/>
              </w:rPr>
            </w:pPr>
          </w:p>
        </w:tc>
        <w:tc>
          <w:tcPr>
            <w:tcW w:w="1320" w:type="dxa"/>
            <w:vAlign w:val="bottom"/>
            <w:gridSpan w:val="2"/>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range of assumptions used for the non-U.S. plans reflects the</w:t>
      </w:r>
    </w:p>
    <w:p>
      <w:pPr>
        <w:spacing w:after="0" w:line="41"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different economic environments within the various countries. The projected benefit obligations were determined using a range of assumed discount rates of 2.5% to 7.0% in 1997 and 3.25% to 8.0% in 1996 and a range of assumed average long-term pay progression rates of 3.0% to 6.0% in 1997 and 1996. The range of assumed long-term rates of return on plan assets was 7.0% to 9.0%. Accrued pension at December 31 includes approximately $110 million in 1997 and $111 million in 1996 for two non-U.S. plans that are not funded. Pension accounting rules require recognition in the balance sheet of an additional minimum pension liability equal to the excess of the accumulated benefit obligation over the fair value of the plan assets. A corresponding amount is recognized as an intangible asset, not to exceed the amount of unrecognized prior service cost, with the balance recorded as a reduction of stockholders' equity. As of December 31, 1997 and 1996, the company has recorded an additional non-U.S. minimum pension</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28</w:t>
      </w:r>
    </w:p>
    <w:p>
      <w:pPr>
        <w:spacing w:after="0" w:line="210" w:lineRule="exact"/>
        <w:rPr>
          <w:sz w:val="20"/>
          <w:szCs w:val="20"/>
          <w:color w:val="auto"/>
        </w:rPr>
      </w:pPr>
    </w:p>
    <w:p>
      <w:pPr>
        <w:ind w:right="3199"/>
        <w:spacing w:after="0" w:line="379" w:lineRule="auto"/>
        <w:rPr>
          <w:sz w:val="20"/>
          <w:szCs w:val="20"/>
          <w:color w:val="auto"/>
        </w:rPr>
      </w:pPr>
      <w:r>
        <w:rPr>
          <w:rFonts w:ascii="Courier New" w:cs="Courier New" w:eastAsia="Courier New" w:hAnsi="Courier New"/>
          <w:sz w:val="17"/>
          <w:szCs w:val="17"/>
          <w:color w:val="auto"/>
        </w:rPr>
        <w:t>liability of $69 million and $48 million and an equity reduction of $63 million and $39 million.</w:t>
      </w:r>
    </w:p>
    <w:p>
      <w:pPr>
        <w:spacing w:after="0" w:line="197" w:lineRule="exact"/>
        <w:rPr>
          <w:sz w:val="20"/>
          <w:szCs w:val="20"/>
          <w:color w:val="auto"/>
        </w:rPr>
      </w:pPr>
    </w:p>
    <w:p>
      <w:pPr>
        <w:ind w:right="2039"/>
        <w:spacing w:after="0" w:line="255" w:lineRule="auto"/>
        <w:rPr>
          <w:sz w:val="20"/>
          <w:szCs w:val="20"/>
          <w:color w:val="auto"/>
        </w:rPr>
      </w:pPr>
      <w:r>
        <w:rPr>
          <w:rFonts w:ascii="Courier New" w:cs="Courier New" w:eastAsia="Courier New" w:hAnsi="Courier New"/>
          <w:sz w:val="17"/>
          <w:szCs w:val="17"/>
          <w:color w:val="auto"/>
        </w:rPr>
        <w:t>RETIREE HEALTH CARE BENEFIT PLAN: 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Any funding of the plan obligation will be at amounts determined at the discretion of management. Effective</w:t>
      </w:r>
    </w:p>
    <w:p>
      <w:pPr>
        <w:spacing w:after="0" w:line="3"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January 1, 1998, new employees will be eligible for this benefit when they reach 20 years of service, regardless of age. For a 15 year transition period, current employees may qualify for eligibility under either the new 20 year rule or the previous requirement, which is based upon retirement eligibility under the defined benefit pension plan. Coverage eligibility under the 20 year rule is only available at termination, i.e., no subsequent election to participate is allowable.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459" w:firstLine="419"/>
        <w:spacing w:after="0" w:line="376" w:lineRule="auto"/>
        <w:rPr>
          <w:sz w:val="20"/>
          <w:szCs w:val="20"/>
          <w:color w:val="auto"/>
        </w:rPr>
      </w:pPr>
      <w:r>
        <w:rPr>
          <w:rFonts w:ascii="Courier New" w:cs="Courier New" w:eastAsia="Courier New" w:hAnsi="Courier New"/>
          <w:sz w:val="17"/>
          <w:szCs w:val="17"/>
          <w:color w:val="auto"/>
        </w:rPr>
        <w:t>Expense of the retiree health care benefit plan includes the following components: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MILLIONS OF DOLLARS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1997</w:t>
            </w:r>
          </w:p>
        </w:tc>
        <w:tc>
          <w:tcPr>
            <w:tcW w:w="38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1996</w:t>
            </w:r>
          </w:p>
        </w:tc>
        <w:tc>
          <w:tcPr>
            <w:tcW w:w="8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920" w:type="dxa"/>
            <w:vAlign w:val="bottom"/>
            <w:vMerge w:val="restart"/>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10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9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4</w:t>
            </w:r>
          </w:p>
        </w:tc>
        <w:tc>
          <w:tcPr>
            <w:tcW w:w="58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during the period ...........................</w:t>
            </w: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Interest cost on accumulated</w:t>
            </w:r>
          </w:p>
        </w:tc>
        <w:tc>
          <w:tcPr>
            <w:tcW w:w="220" w:type="dxa"/>
            <w:vAlign w:val="bottom"/>
          </w:tcPr>
          <w:p>
            <w:pPr>
              <w:spacing w:after="0"/>
              <w:rPr>
                <w:sz w:val="17"/>
                <w:szCs w:val="17"/>
                <w:color w:val="auto"/>
              </w:rPr>
            </w:pPr>
          </w:p>
        </w:tc>
        <w:tc>
          <w:tcPr>
            <w:tcW w:w="7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20</w:t>
            </w:r>
          </w:p>
        </w:tc>
        <w:tc>
          <w:tcPr>
            <w:tcW w:w="380" w:type="dxa"/>
            <w:vAlign w:val="bottom"/>
          </w:tcPr>
          <w:p>
            <w:pPr>
              <w:spacing w:after="0"/>
              <w:rPr>
                <w:sz w:val="17"/>
                <w:szCs w:val="17"/>
                <w:color w:val="auto"/>
              </w:rPr>
            </w:pPr>
          </w:p>
        </w:tc>
        <w:tc>
          <w:tcPr>
            <w:tcW w:w="7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22</w:t>
            </w:r>
          </w:p>
        </w:tc>
        <w:tc>
          <w:tcPr>
            <w:tcW w:w="58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01"/>
        </w:trPr>
        <w:tc>
          <w:tcPr>
            <w:tcW w:w="4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postretirement benefit obligation ...........</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20" w:type="dxa"/>
            <w:vAlign w:val="bottom"/>
            <w:vMerge w:val="restart"/>
          </w:tcPr>
          <w:p>
            <w:pPr>
              <w:spacing w:after="0"/>
              <w:rPr>
                <w:sz w:val="20"/>
                <w:szCs w:val="20"/>
                <w:color w:val="auto"/>
              </w:rPr>
            </w:pPr>
            <w:r>
              <w:rPr>
                <w:rFonts w:ascii="Courier New" w:cs="Courier New" w:eastAsia="Courier New" w:hAnsi="Courier New"/>
                <w:sz w:val="17"/>
                <w:szCs w:val="17"/>
                <w:color w:val="auto"/>
              </w:rPr>
              <w:t>Retiree health care benefit expense</w:t>
            </w:r>
          </w:p>
        </w:tc>
        <w:tc>
          <w:tcPr>
            <w:tcW w:w="22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7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23</w:t>
            </w:r>
          </w:p>
        </w:tc>
        <w:tc>
          <w:tcPr>
            <w:tcW w:w="11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20" w:type="dxa"/>
            <w:vAlign w:val="bottom"/>
            <w:vMerge w:val="continue"/>
          </w:tcPr>
          <w:p>
            <w:pPr>
              <w:jc w:val="right"/>
              <w:ind w:right="13"/>
              <w:spacing w:after="0" w:line="178" w:lineRule="exact"/>
              <w:rPr>
                <w:sz w:val="20"/>
                <w:szCs w:val="20"/>
                <w:color w:val="auto"/>
              </w:rPr>
            </w:pPr>
            <w:r>
              <w:rPr>
                <w:rFonts w:ascii="Courier New" w:cs="Courier New" w:eastAsia="Courier New" w:hAnsi="Courier New"/>
                <w:sz w:val="17"/>
                <w:szCs w:val="17"/>
                <w:color w:val="auto"/>
              </w:rPr>
              <w:t>..........</w:t>
            </w: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w:t>
            </w: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c>
          <w:tcPr>
            <w:tcW w:w="0" w:type="dxa"/>
            <w:vAlign w:val="bottom"/>
          </w:tcPr>
          <w:p>
            <w:pPr>
              <w:spacing w:after="0"/>
              <w:rPr>
                <w:sz w:val="1"/>
                <w:szCs w:val="1"/>
                <w:color w:val="auto"/>
              </w:rPr>
            </w:pPr>
          </w:p>
        </w:tc>
      </w:tr>
      <w:tr>
        <w:trPr>
          <w:trHeight w:val="295"/>
        </w:trPr>
        <w:tc>
          <w:tcPr>
            <w:tcW w:w="4920" w:type="dxa"/>
            <w:vAlign w:val="bottom"/>
          </w:tcPr>
          <w:p>
            <w:pPr>
              <w:spacing w:after="0"/>
              <w:rPr>
                <w:sz w:val="24"/>
                <w:szCs w:val="24"/>
                <w:color w:val="auto"/>
              </w:rPr>
            </w:pPr>
          </w:p>
        </w:tc>
        <w:tc>
          <w:tcPr>
            <w:tcW w:w="10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funded status of the plan was as follows:</w:t>
      </w:r>
    </w:p>
    <w:p>
      <w:pPr>
        <w:sectPr>
          <w:pgSz w:w="11900" w:h="16838" w:orient="portrait"/>
          <w:cols w:equalWidth="0" w:num="1">
            <w:col w:w="10219"/>
          </w:cols>
          <w:pgMar w:left="240" w:top="110" w:right="1440" w:bottom="0" w:gutter="0" w:footer="0" w:header="0"/>
        </w:sectPr>
      </w:pPr>
    </w:p>
    <w:bookmarkStart w:id="33" w:name="page34"/>
    <w:bookmarkEnd w:id="33"/>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54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1997</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54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Actuarial present value at Dec. 31 of accumulated</w:t>
            </w:r>
          </w:p>
        </w:tc>
        <w:tc>
          <w:tcPr>
            <w:tcW w:w="13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460" w:type="dxa"/>
            <w:vAlign w:val="bottom"/>
          </w:tcPr>
          <w:p>
            <w:pPr>
              <w:jc w:val="right"/>
              <w:ind w:right="1693"/>
              <w:spacing w:after="0"/>
              <w:rPr>
                <w:sz w:val="20"/>
                <w:szCs w:val="20"/>
                <w:color w:val="auto"/>
              </w:rPr>
            </w:pPr>
            <w:r>
              <w:rPr>
                <w:rFonts w:ascii="Courier New" w:cs="Courier New" w:eastAsia="Courier New" w:hAnsi="Courier New"/>
                <w:sz w:val="17"/>
                <w:szCs w:val="17"/>
                <w:color w:val="auto"/>
              </w:rPr>
              <w:t>postretirement benefit obligation:</w:t>
            </w:r>
          </w:p>
        </w:tc>
        <w:tc>
          <w:tcPr>
            <w:tcW w:w="420" w:type="dxa"/>
            <w:vAlign w:val="bottom"/>
            <w:vMerge w:val="restart"/>
          </w:tcPr>
          <w:p>
            <w:pPr>
              <w:ind w:left="300"/>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(240)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(239)</w:t>
            </w:r>
          </w:p>
        </w:tc>
        <w:tc>
          <w:tcPr>
            <w:tcW w:w="0" w:type="dxa"/>
            <w:vAlign w:val="bottom"/>
          </w:tcPr>
          <w:p>
            <w:pPr>
              <w:spacing w:after="0"/>
              <w:rPr>
                <w:sz w:val="1"/>
                <w:szCs w:val="1"/>
                <w:color w:val="auto"/>
              </w:rPr>
            </w:pPr>
          </w:p>
        </w:tc>
      </w:tr>
      <w:tr>
        <w:trPr>
          <w:trHeight w:val="201"/>
        </w:trPr>
        <w:tc>
          <w:tcPr>
            <w:tcW w:w="5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Retirees .......................................</w:t>
            </w:r>
          </w:p>
        </w:tc>
        <w:tc>
          <w:tcPr>
            <w:tcW w:w="4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Fully eligible employees .......................</w:t>
            </w:r>
          </w:p>
        </w:tc>
        <w:tc>
          <w:tcPr>
            <w:tcW w:w="4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201"/>
        </w:trPr>
        <w:tc>
          <w:tcPr>
            <w:tcW w:w="5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Other employees ................................</w:t>
            </w:r>
          </w:p>
        </w:tc>
        <w:tc>
          <w:tcPr>
            <w:tcW w:w="4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(62)</w:t>
            </w:r>
          </w:p>
        </w:tc>
        <w:tc>
          <w:tcPr>
            <w:tcW w:w="0" w:type="dxa"/>
            <w:vAlign w:val="bottom"/>
          </w:tcPr>
          <w:p>
            <w:pPr>
              <w:spacing w:after="0"/>
              <w:rPr>
                <w:sz w:val="1"/>
                <w:szCs w:val="1"/>
                <w:color w:val="auto"/>
              </w:rPr>
            </w:pPr>
          </w:p>
        </w:tc>
      </w:tr>
      <w:tr>
        <w:trPr>
          <w:trHeight w:val="201"/>
        </w:trPr>
        <w:tc>
          <w:tcPr>
            <w:tcW w:w="54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Accumulated postretirement benefit obligation ....</w:t>
            </w:r>
          </w:p>
        </w:tc>
        <w:tc>
          <w:tcPr>
            <w:tcW w:w="420" w:type="dxa"/>
            <w:vAlign w:val="bottom"/>
          </w:tcPr>
          <w:p>
            <w:pPr>
              <w:ind w:left="300"/>
              <w:spacing w:after="0"/>
              <w:rPr>
                <w:sz w:val="20"/>
                <w:szCs w:val="20"/>
                <w:color w:val="auto"/>
              </w:rPr>
            </w:pPr>
            <w:r>
              <w:rPr>
                <w:rFonts w:ascii="Courier New" w:cs="Courier New" w:eastAsia="Courier New" w:hAnsi="Courier New"/>
                <w:sz w:val="3"/>
                <w:szCs w:val="3"/>
                <w:color w:val="auto"/>
                <w:w w:val="92"/>
              </w:rPr>
              <w:t>------</w:t>
            </w: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(319)</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4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(312)</w:t>
            </w:r>
          </w:p>
        </w:tc>
        <w:tc>
          <w:tcPr>
            <w:tcW w:w="0" w:type="dxa"/>
            <w:vAlign w:val="bottom"/>
          </w:tcPr>
          <w:p>
            <w:pPr>
              <w:spacing w:after="0"/>
              <w:rPr>
                <w:sz w:val="1"/>
                <w:szCs w:val="1"/>
                <w:color w:val="auto"/>
              </w:rPr>
            </w:pPr>
          </w:p>
        </w:tc>
      </w:tr>
      <w:tr>
        <w:trPr>
          <w:trHeight w:val="201"/>
        </w:trPr>
        <w:tc>
          <w:tcPr>
            <w:tcW w:w="5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Unrecognized net gain ............................</w:t>
            </w:r>
          </w:p>
        </w:tc>
        <w:tc>
          <w:tcPr>
            <w:tcW w:w="4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01"/>
        </w:trPr>
        <w:tc>
          <w:tcPr>
            <w:tcW w:w="5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Unrecognized prior service cost ..................</w:t>
            </w:r>
          </w:p>
        </w:tc>
        <w:tc>
          <w:tcPr>
            <w:tcW w:w="4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201"/>
        </w:trPr>
        <w:tc>
          <w:tcPr>
            <w:tcW w:w="54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Accrued at Dec. 31 ...............................</w:t>
            </w:r>
          </w:p>
        </w:tc>
        <w:tc>
          <w:tcPr>
            <w:tcW w:w="420" w:type="dxa"/>
            <w:vAlign w:val="bottom"/>
          </w:tcPr>
          <w:p>
            <w:pPr>
              <w:ind w:left="300"/>
              <w:spacing w:after="0"/>
              <w:rPr>
                <w:sz w:val="20"/>
                <w:szCs w:val="20"/>
                <w:color w:val="auto"/>
              </w:rPr>
            </w:pPr>
            <w:r>
              <w:rPr>
                <w:rFonts w:ascii="Courier New" w:cs="Courier New" w:eastAsia="Courier New" w:hAnsi="Courier New"/>
                <w:sz w:val="3"/>
                <w:szCs w:val="3"/>
                <w:color w:val="auto"/>
                <w:w w:val="92"/>
              </w:rPr>
              <w:t>------</w:t>
            </w: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(354)</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4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(342)</w:t>
            </w:r>
          </w:p>
        </w:tc>
        <w:tc>
          <w:tcPr>
            <w:tcW w:w="0" w:type="dxa"/>
            <w:vAlign w:val="bottom"/>
          </w:tcPr>
          <w:p>
            <w:pPr>
              <w:spacing w:after="0"/>
              <w:rPr>
                <w:sz w:val="1"/>
                <w:szCs w:val="1"/>
                <w:color w:val="auto"/>
              </w:rPr>
            </w:pPr>
          </w:p>
        </w:tc>
      </w:tr>
      <w:tr>
        <w:trPr>
          <w:trHeight w:val="201"/>
        </w:trPr>
        <w:tc>
          <w:tcPr>
            <w:tcW w:w="5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Less current portion .............................</w:t>
            </w:r>
          </w:p>
        </w:tc>
        <w:tc>
          <w:tcPr>
            <w:tcW w:w="4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w:t>
            </w:r>
          </w:p>
        </w:tc>
        <w:tc>
          <w:tcPr>
            <w:tcW w:w="0" w:type="dxa"/>
            <w:vAlign w:val="bottom"/>
          </w:tcPr>
          <w:p>
            <w:pPr>
              <w:spacing w:after="0"/>
              <w:rPr>
                <w:sz w:val="1"/>
                <w:szCs w:val="1"/>
                <w:color w:val="auto"/>
              </w:rPr>
            </w:pPr>
          </w:p>
        </w:tc>
      </w:tr>
      <w:tr>
        <w:trPr>
          <w:trHeight w:val="201"/>
        </w:trPr>
        <w:tc>
          <w:tcPr>
            <w:tcW w:w="54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Accrued retiree health care benefit costs ........</w:t>
            </w:r>
          </w:p>
        </w:tc>
        <w:tc>
          <w:tcPr>
            <w:tcW w:w="420" w:type="dxa"/>
            <w:vAlign w:val="bottom"/>
            <w:vMerge w:val="restart"/>
          </w:tcPr>
          <w:p>
            <w:pPr>
              <w:ind w:left="300"/>
              <w:spacing w:after="0"/>
              <w:rPr>
                <w:sz w:val="20"/>
                <w:szCs w:val="20"/>
                <w:color w:val="auto"/>
              </w:rPr>
            </w:pPr>
            <w:r>
              <w:rPr>
                <w:rFonts w:ascii="Courier New" w:cs="Courier New" w:eastAsia="Courier New" w:hAnsi="Courier New"/>
                <w:sz w:val="6"/>
                <w:szCs w:val="6"/>
                <w:color w:val="auto"/>
                <w:w w:val="75"/>
                <w:vertAlign w:val="subscript"/>
              </w:rPr>
              <w:t>$</w:t>
            </w:r>
            <w:r>
              <w:rPr>
                <w:rFonts w:ascii="Courier New" w:cs="Courier New" w:eastAsia="Courier New" w:hAnsi="Courier New"/>
                <w:sz w:val="3"/>
                <w:szCs w:val="3"/>
                <w:color w:val="auto"/>
                <w:w w:val="75"/>
              </w:rPr>
              <w:t>------</w:t>
            </w:r>
          </w:p>
        </w:tc>
        <w:tc>
          <w:tcPr>
            <w:tcW w:w="88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(335)</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4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(328)</w:t>
            </w:r>
          </w:p>
        </w:tc>
        <w:tc>
          <w:tcPr>
            <w:tcW w:w="0" w:type="dxa"/>
            <w:vAlign w:val="bottom"/>
          </w:tcPr>
          <w:p>
            <w:pPr>
              <w:spacing w:after="0"/>
              <w:rPr>
                <w:sz w:val="1"/>
                <w:szCs w:val="1"/>
                <w:color w:val="auto"/>
              </w:rPr>
            </w:pPr>
          </w:p>
        </w:tc>
      </w:tr>
      <w:tr>
        <w:trPr>
          <w:trHeight w:val="295"/>
        </w:trPr>
        <w:tc>
          <w:tcPr>
            <w:tcW w:w="5460" w:type="dxa"/>
            <w:vAlign w:val="bottom"/>
          </w:tcPr>
          <w:p>
            <w:pPr>
              <w:spacing w:after="0"/>
              <w:rPr>
                <w:sz w:val="24"/>
                <w:szCs w:val="24"/>
                <w:color w:val="auto"/>
              </w:rPr>
            </w:pPr>
          </w:p>
        </w:tc>
        <w:tc>
          <w:tcPr>
            <w:tcW w:w="13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139"/>
        <w:spacing w:after="0" w:line="276" w:lineRule="auto"/>
        <w:rPr>
          <w:sz w:val="20"/>
          <w:szCs w:val="20"/>
          <w:color w:val="auto"/>
        </w:rPr>
      </w:pPr>
      <w:r>
        <w:rPr>
          <w:rFonts w:ascii="Courier New" w:cs="Courier New" w:eastAsia="Courier New" w:hAnsi="Courier New"/>
          <w:sz w:val="17"/>
          <w:szCs w:val="17"/>
          <w:color w:val="auto"/>
        </w:rPr>
        <w:t>Retiree health care benefit amounts were determined using health care cost trend rates of 6.6% for 1998 decreasing to 5.0% by 2000, and assumed discount rates of 7.0% for 1997 and 7.25% for 1996. Increasing the health care cost trend rates by 1% would have increased the accumulated postretirement benefit obligation at December 31, 1997, by $16 million and 1997 plan expense by $1 million.</w:t>
      </w:r>
    </w:p>
    <w:p>
      <w:pPr>
        <w:spacing w:after="0" w:line="81" w:lineRule="exact"/>
        <w:rPr>
          <w:sz w:val="20"/>
          <w:szCs w:val="20"/>
          <w:color w:val="auto"/>
        </w:rPr>
      </w:pPr>
    </w:p>
    <w:p>
      <w:pPr>
        <w:ind w:right="2039"/>
        <w:spacing w:after="0" w:line="260" w:lineRule="auto"/>
        <w:rPr>
          <w:sz w:val="20"/>
          <w:szCs w:val="20"/>
          <w:color w:val="auto"/>
        </w:rPr>
      </w:pPr>
      <w:r>
        <w:rPr>
          <w:rFonts w:ascii="Courier New" w:cs="Courier New" w:eastAsia="Courier New" w:hAnsi="Courier New"/>
          <w:sz w:val="17"/>
          <w:szCs w:val="17"/>
          <w:color w:val="auto"/>
        </w:rPr>
        <w:t>SPECIAL ACTIONS: In the first quarter of 1997, the company sold its mobile computing business and terminated its digital imaging printing development program. As a result of these divestitures, the company took a pretax charge of $56 million in the first quarter, of which $27 million was for severance for involuntary reductions worldwide. These severance actions were essentially completed by the end of the quarter and affected approximately 1,045 employees. The balance, $29 million, was for other costs associated with the business sale and program termination, including vendor cancellation and lease charges. In the fourth quarter of 1997, the company took a pretax charge of $42 million, primarily for severance costs related to cost reduction actions by the materials &amp; controls business. These actions are expected to be completed in 1998 and affected approximately 260 employees. In the fourth quarter of 1996, the company took a pretax charge of $208 million, of which $91 million was for severance for cost</w:t>
      </w:r>
    </w:p>
    <w:p>
      <w:pPr>
        <w:spacing w:after="0" w:line="100"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259"/>
        <w:spacing w:after="0" w:line="258" w:lineRule="auto"/>
        <w:rPr>
          <w:sz w:val="20"/>
          <w:szCs w:val="20"/>
          <w:color w:val="auto"/>
        </w:rPr>
      </w:pPr>
      <w:r>
        <w:rPr>
          <w:rFonts w:ascii="Courier New" w:cs="Courier New" w:eastAsia="Courier New" w:hAnsi="Courier New"/>
          <w:sz w:val="17"/>
          <w:szCs w:val="17"/>
          <w:color w:val="auto"/>
        </w:rPr>
        <w:t>reduction actions consisting of a voluntary retirement program in the United States and selected involuntary employment reductions worldwide. These 1996 actions, which primarily involved the semiconductor segment as well as activities since divested, were essentially completed by year-end 1996 and affected approximately 2,600 employees. The balance of the charge,</w:t>
      </w:r>
    </w:p>
    <w:p>
      <w:pPr>
        <w:spacing w:after="0" w:line="4" w:lineRule="exact"/>
        <w:rPr>
          <w:sz w:val="20"/>
          <w:szCs w:val="20"/>
          <w:color w:val="auto"/>
        </w:rPr>
      </w:pPr>
    </w:p>
    <w:p>
      <w:pPr>
        <w:ind w:right="2359"/>
        <w:spacing w:after="0" w:line="339" w:lineRule="auto"/>
        <w:rPr>
          <w:sz w:val="20"/>
          <w:szCs w:val="20"/>
          <w:color w:val="auto"/>
        </w:rPr>
      </w:pPr>
      <w:r>
        <w:rPr>
          <w:rFonts w:ascii="Courier New" w:cs="Courier New" w:eastAsia="Courier New" w:hAnsi="Courier New"/>
          <w:sz w:val="17"/>
          <w:szCs w:val="17"/>
          <w:color w:val="auto"/>
        </w:rPr>
        <w:t>$117 million, was for asset write-downs on several product lines, primarily mobile computing, a divested activity.</w:t>
      </w: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SEGMENT AND GEOGRAPHIC AREA DATA</w:t>
      </w:r>
    </w:p>
    <w:p>
      <w:pPr>
        <w:spacing w:after="0" w:line="41" w:lineRule="exact"/>
        <w:rPr>
          <w:sz w:val="20"/>
          <w:szCs w:val="20"/>
          <w:color w:val="auto"/>
        </w:rPr>
      </w:pPr>
    </w:p>
    <w:p>
      <w:pPr>
        <w:ind w:left="220" w:hanging="213"/>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039"/>
        <w:spacing w:after="0" w:line="27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Texas Instruments develops, manufactures and sells a variety of products used in the commercial electronic and electrical equipment industry, primarily for industrial and consumer markets. The company's principal businesses are based on TI's broad semiconductor technology and application of this technology to digital solutions for the networked society.</w:t>
      </w:r>
    </w:p>
    <w:p>
      <w:pPr>
        <w:spacing w:after="0" w:line="81" w:lineRule="exact"/>
        <w:rPr>
          <w:sz w:val="20"/>
          <w:szCs w:val="20"/>
          <w:color w:val="auto"/>
        </w:rPr>
      </w:pPr>
    </w:p>
    <w:p>
      <w:pPr>
        <w:ind w:right="2259"/>
        <w:spacing w:after="0" w:line="315" w:lineRule="auto"/>
        <w:rPr>
          <w:sz w:val="20"/>
          <w:szCs w:val="20"/>
          <w:color w:val="auto"/>
        </w:rPr>
      </w:pPr>
      <w:r>
        <w:rPr>
          <w:rFonts w:ascii="Courier New" w:cs="Courier New" w:eastAsia="Courier New" w:hAnsi="Courier New"/>
          <w:sz w:val="17"/>
          <w:szCs w:val="17"/>
          <w:color w:val="auto"/>
        </w:rPr>
        <w:t>TI HAS THREE PRINCIPAL BUSINESSES: Semiconductor, Materials &amp; Controls, and Educational &amp; Productivity Solutions. Each of these is a business segment,with its respective financial performance detailed in this report.</w:t>
      </w:r>
    </w:p>
    <w:p>
      <w:pPr>
        <w:spacing w:after="0" w:line="47" w:lineRule="exact"/>
        <w:rPr>
          <w:sz w:val="20"/>
          <w:szCs w:val="20"/>
          <w:color w:val="auto"/>
        </w:rPr>
      </w:pPr>
    </w:p>
    <w:p>
      <w:pPr>
        <w:ind w:right="2259" w:firstLine="419"/>
        <w:spacing w:after="0" w:line="283" w:lineRule="auto"/>
        <w:rPr>
          <w:sz w:val="20"/>
          <w:szCs w:val="20"/>
          <w:color w:val="auto"/>
        </w:rPr>
      </w:pPr>
      <w:r>
        <w:rPr>
          <w:rFonts w:ascii="Courier New" w:cs="Courier New" w:eastAsia="Courier New" w:hAnsi="Courier New"/>
          <w:sz w:val="17"/>
          <w:szCs w:val="17"/>
          <w:color w:val="auto"/>
        </w:rPr>
        <w:t>Semiconductor consists of digital signal processors, mixed-signal/analog devices, application-specific integrated circuits, reduced instruction-set microprocessors, microcontrollers, standard logic, and memories. These semiconductors are sold primarily to original-equipment manufacturers and through distributors.</w:t>
      </w:r>
    </w:p>
    <w:p>
      <w:pPr>
        <w:spacing w:after="0" w:line="73" w:lineRule="exact"/>
        <w:rPr>
          <w:sz w:val="20"/>
          <w:szCs w:val="20"/>
          <w:color w:val="auto"/>
        </w:rPr>
      </w:pPr>
    </w:p>
    <w:p>
      <w:pPr>
        <w:ind w:right="2679" w:firstLine="419"/>
        <w:spacing w:after="0" w:line="315" w:lineRule="auto"/>
        <w:rPr>
          <w:sz w:val="20"/>
          <w:szCs w:val="20"/>
          <w:color w:val="auto"/>
        </w:rPr>
      </w:pPr>
      <w:r>
        <w:rPr>
          <w:rFonts w:ascii="Courier New" w:cs="Courier New" w:eastAsia="Courier New" w:hAnsi="Courier New"/>
          <w:sz w:val="17"/>
          <w:szCs w:val="17"/>
          <w:color w:val="auto"/>
        </w:rPr>
        <w:t>Materials &amp; Controls consists primarily of electrical and electronic control devices, electronic connectors and clad metals. They are sold primarily to original-equipment manufacturers and through distributors.</w:t>
      </w:r>
    </w:p>
    <w:p>
      <w:pPr>
        <w:spacing w:after="0" w:line="47" w:lineRule="exact"/>
        <w:rPr>
          <w:sz w:val="20"/>
          <w:szCs w:val="20"/>
          <w:color w:val="auto"/>
        </w:rPr>
      </w:pPr>
    </w:p>
    <w:p>
      <w:pPr>
        <w:ind w:right="2139" w:firstLine="419"/>
        <w:spacing w:after="0" w:line="379" w:lineRule="auto"/>
        <w:rPr>
          <w:sz w:val="20"/>
          <w:szCs w:val="20"/>
          <w:color w:val="auto"/>
        </w:rPr>
      </w:pPr>
      <w:r>
        <w:rPr>
          <w:rFonts w:ascii="Courier New" w:cs="Courier New" w:eastAsia="Courier New" w:hAnsi="Courier New"/>
          <w:sz w:val="17"/>
          <w:szCs w:val="17"/>
          <w:color w:val="auto"/>
        </w:rPr>
        <w:t>Educational &amp; Productivity Solutions, which includes educational and graphing calculators, are marketed primarily through retailers and to schools</w:t>
      </w:r>
    </w:p>
    <w:p>
      <w:pPr>
        <w:sectPr>
          <w:pgSz w:w="11900" w:h="17031" w:orient="portrait"/>
          <w:cols w:equalWidth="0" w:num="1">
            <w:col w:w="10219"/>
          </w:cols>
          <w:pgMar w:left="240" w:top="110" w:right="1440" w:bottom="0" w:gutter="0" w:footer="0" w:header="0"/>
        </w:sectPr>
      </w:pPr>
    </w:p>
    <w:bookmarkStart w:id="34" w:name="page35"/>
    <w:bookmarkEnd w:id="34"/>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through instructional dealers.</w:t>
      </w:r>
    </w:p>
    <w:p>
      <w:pPr>
        <w:spacing w:after="0" w:line="210" w:lineRule="exact"/>
        <w:rPr>
          <w:sz w:val="20"/>
          <w:szCs w:val="20"/>
          <w:color w:val="auto"/>
        </w:rPr>
      </w:pPr>
    </w:p>
    <w:p>
      <w:pPr>
        <w:ind w:right="2039" w:firstLine="419"/>
        <w:spacing w:after="0" w:line="272" w:lineRule="auto"/>
        <w:rPr>
          <w:sz w:val="20"/>
          <w:szCs w:val="20"/>
          <w:color w:val="auto"/>
        </w:rPr>
      </w:pPr>
      <w:r>
        <w:rPr>
          <w:rFonts w:ascii="Courier New" w:cs="Courier New" w:eastAsia="Courier New" w:hAnsi="Courier New"/>
          <w:sz w:val="17"/>
          <w:szCs w:val="17"/>
          <w:color w:val="auto"/>
        </w:rPr>
        <w:t>Operating profits of the three principal businesses include the effects of profit sharing and exclude the effects of special charges and gains. The results for semiconductor include the effects of all royalty revenues from semiconductor-related cross-license agreements. Results for semiconductor also include expenses charged to operations related to its joint ventures of $88 million, $33 million and $15 million in 1997, 1996 and 1995. Business assets are the owned or allocated assets used by each business.</w:t>
      </w:r>
    </w:p>
    <w:p>
      <w:pPr>
        <w:spacing w:after="0" w:line="84" w:lineRule="exact"/>
        <w:rPr>
          <w:sz w:val="20"/>
          <w:szCs w:val="20"/>
          <w:color w:val="auto"/>
        </w:rPr>
      </w:pPr>
    </w:p>
    <w:p>
      <w:pPr>
        <w:ind w:right="2559" w:firstLine="419"/>
        <w:spacing w:after="0" w:line="276" w:lineRule="auto"/>
        <w:rPr>
          <w:sz w:val="20"/>
          <w:szCs w:val="20"/>
          <w:color w:val="auto"/>
        </w:rPr>
      </w:pPr>
      <w:r>
        <w:rPr>
          <w:rFonts w:ascii="Courier New" w:cs="Courier New" w:eastAsia="Courier New" w:hAnsi="Courier New"/>
          <w:sz w:val="17"/>
          <w:szCs w:val="17"/>
          <w:color w:val="auto"/>
        </w:rPr>
        <w:t>Included in corporate activities are general corporate expenses, elimination of intersegment transactions (which are generally intended to approximate market prices), results for TI's emerging digital imaging operation, and royalty revenues from computer-related cross-license agreements. Assets of corporate activities include unallocated cash and short-term investments and deferred income taxes.</w:t>
      </w:r>
    </w:p>
    <w:p>
      <w:pPr>
        <w:spacing w:after="0" w:line="81" w:lineRule="exact"/>
        <w:rPr>
          <w:sz w:val="20"/>
          <w:szCs w:val="20"/>
          <w:color w:val="auto"/>
        </w:rPr>
      </w:pPr>
    </w:p>
    <w:p>
      <w:pPr>
        <w:ind w:right="2039" w:firstLine="419"/>
        <w:spacing w:after="0" w:line="315" w:lineRule="auto"/>
        <w:rPr>
          <w:sz w:val="20"/>
          <w:szCs w:val="20"/>
          <w:color w:val="auto"/>
        </w:rPr>
      </w:pPr>
      <w:r>
        <w:rPr>
          <w:rFonts w:ascii="Courier New" w:cs="Courier New" w:eastAsia="Courier New" w:hAnsi="Courier New"/>
          <w:sz w:val="17"/>
          <w:szCs w:val="17"/>
          <w:color w:val="auto"/>
        </w:rPr>
        <w:t>Divested activities include the historical operating results and assets of mobile computing and software (both sold in 1997), custom manufacturing services and printers (both sold in 1996), and other smaller divestitures.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520" w:type="dxa"/>
            <w:vAlign w:val="bottom"/>
          </w:tcPr>
          <w:p>
            <w:pPr>
              <w:spacing w:after="0"/>
              <w:rPr>
                <w:sz w:val="20"/>
                <w:szCs w:val="20"/>
                <w:color w:val="auto"/>
              </w:rPr>
            </w:pPr>
            <w:r>
              <w:rPr>
                <w:rFonts w:ascii="Courier New" w:cs="Courier New" w:eastAsia="Courier New" w:hAnsi="Courier New"/>
                <w:sz w:val="17"/>
                <w:szCs w:val="17"/>
                <w:color w:val="auto"/>
              </w:rPr>
              <w:t>Business Segment Net Revenues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40" w:type="dxa"/>
            <w:vAlign w:val="bottom"/>
            <w:gridSpan w:val="4"/>
          </w:tcPr>
          <w:p>
            <w:pPr>
              <w:jc w:val="right"/>
              <w:ind w:right="65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366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360" w:type="dxa"/>
            <w:vAlign w:val="bottom"/>
          </w:tcPr>
          <w:p>
            <w:pPr>
              <w:spacing w:after="0"/>
              <w:rPr>
                <w:sz w:val="17"/>
                <w:szCs w:val="17"/>
                <w:color w:val="auto"/>
              </w:rPr>
            </w:pPr>
          </w:p>
        </w:tc>
        <w:tc>
          <w:tcPr>
            <w:tcW w:w="8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1996</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520" w:type="dxa"/>
            <w:vAlign w:val="bottom"/>
            <w:vMerge w:val="restart"/>
          </w:tcPr>
          <w:p>
            <w:pPr>
              <w:spacing w:after="0"/>
              <w:rPr>
                <w:sz w:val="20"/>
                <w:szCs w:val="20"/>
                <w:color w:val="auto"/>
              </w:rPr>
            </w:pPr>
            <w:r>
              <w:rPr>
                <w:rFonts w:ascii="Courier New" w:cs="Courier New" w:eastAsia="Courier New" w:hAnsi="Courier New"/>
                <w:sz w:val="17"/>
                <w:szCs w:val="17"/>
                <w:color w:val="auto"/>
              </w:rPr>
              <w:t>Semiconductor</w:t>
            </w: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520" w:type="dxa"/>
            <w:vAlign w:val="bottom"/>
            <w:vMerge w:val="continue"/>
          </w:tcPr>
          <w:p>
            <w:pPr>
              <w:spacing w:after="0"/>
              <w:rPr>
                <w:sz w:val="9"/>
                <w:szCs w:val="9"/>
                <w:color w:val="auto"/>
              </w:rPr>
            </w:pPr>
          </w:p>
        </w:tc>
        <w:tc>
          <w:tcPr>
            <w:tcW w:w="1360" w:type="dxa"/>
            <w:vAlign w:val="bottom"/>
            <w:gridSpan w:val="2"/>
            <w:vMerge w:val="restart"/>
          </w:tcPr>
          <w:p>
            <w:pPr>
              <w:jc w:val="right"/>
              <w:ind w:right="233"/>
              <w:spacing w:after="0"/>
              <w:rPr>
                <w:sz w:val="20"/>
                <w:szCs w:val="20"/>
                <w:color w:val="auto"/>
              </w:rPr>
            </w:pPr>
            <w:r>
              <w:rPr>
                <w:rFonts w:ascii="Courier New" w:cs="Courier New" w:eastAsia="Courier New" w:hAnsi="Courier New"/>
                <w:sz w:val="17"/>
                <w:szCs w:val="17"/>
                <w:color w:val="auto"/>
              </w:rPr>
              <w:t>$ 8,063</w:t>
            </w:r>
          </w:p>
        </w:tc>
        <w:tc>
          <w:tcPr>
            <w:tcW w:w="1240" w:type="dxa"/>
            <w:vAlign w:val="bottom"/>
            <w:gridSpan w:val="2"/>
            <w:vMerge w:val="restart"/>
          </w:tcPr>
          <w:p>
            <w:pPr>
              <w:jc w:val="right"/>
              <w:ind w:right="213"/>
              <w:spacing w:after="0"/>
              <w:rPr>
                <w:sz w:val="20"/>
                <w:szCs w:val="20"/>
                <w:color w:val="auto"/>
              </w:rPr>
            </w:pPr>
            <w:r>
              <w:rPr>
                <w:rFonts w:ascii="Courier New" w:cs="Courier New" w:eastAsia="Courier New" w:hAnsi="Courier New"/>
                <w:sz w:val="17"/>
                <w:szCs w:val="17"/>
                <w:color w:val="auto"/>
              </w:rPr>
              <w:t>$ 7,310</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$ 8,750</w:t>
            </w: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Trade ................................</w:t>
            </w:r>
          </w:p>
        </w:tc>
        <w:tc>
          <w:tcPr>
            <w:tcW w:w="13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Intersegment .........................</w:t>
            </w:r>
          </w:p>
        </w:tc>
        <w:tc>
          <w:tcPr>
            <w:tcW w:w="5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w:t>
            </w:r>
          </w:p>
        </w:tc>
        <w:tc>
          <w:tcPr>
            <w:tcW w:w="3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47</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Courier New" w:cs="Courier New" w:eastAsia="Courier New" w:hAnsi="Courier New"/>
                <w:sz w:val="5"/>
                <w:szCs w:val="5"/>
                <w:color w:val="auto"/>
                <w:w w:val="95"/>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8,087</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7,357</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8,812</w:t>
            </w:r>
          </w:p>
        </w:tc>
        <w:tc>
          <w:tcPr>
            <w:tcW w:w="0" w:type="dxa"/>
            <w:vAlign w:val="bottom"/>
          </w:tcPr>
          <w:p>
            <w:pPr>
              <w:spacing w:after="0"/>
              <w:rPr>
                <w:sz w:val="1"/>
                <w:szCs w:val="1"/>
                <w:color w:val="auto"/>
              </w:rPr>
            </w:pPr>
          </w:p>
        </w:tc>
      </w:tr>
      <w:tr>
        <w:trPr>
          <w:trHeight w:val="295"/>
        </w:trPr>
        <w:tc>
          <w:tcPr>
            <w:tcW w:w="4520" w:type="dxa"/>
            <w:vAlign w:val="bottom"/>
            <w:vMerge w:val="restart"/>
          </w:tcPr>
          <w:p>
            <w:pPr>
              <w:spacing w:after="0"/>
              <w:rPr>
                <w:sz w:val="20"/>
                <w:szCs w:val="20"/>
                <w:color w:val="auto"/>
              </w:rPr>
            </w:pPr>
            <w:r>
              <w:rPr>
                <w:rFonts w:ascii="Courier New" w:cs="Courier New" w:eastAsia="Courier New" w:hAnsi="Courier New"/>
                <w:sz w:val="17"/>
                <w:szCs w:val="17"/>
                <w:color w:val="auto"/>
              </w:rPr>
              <w:t>Materials &amp; Controls</w:t>
            </w: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5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950</w:t>
            </w:r>
          </w:p>
        </w:tc>
        <w:tc>
          <w:tcPr>
            <w:tcW w:w="360" w:type="dxa"/>
            <w:vAlign w:val="bottom"/>
          </w:tcPr>
          <w:p>
            <w:pPr>
              <w:spacing w:after="0"/>
              <w:rPr>
                <w:sz w:val="9"/>
                <w:szCs w:val="9"/>
                <w:color w:val="auto"/>
              </w:rPr>
            </w:pPr>
          </w:p>
        </w:tc>
        <w:tc>
          <w:tcPr>
            <w:tcW w:w="88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887</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830</w:t>
            </w: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Trade ................................</w:t>
            </w:r>
          </w:p>
        </w:tc>
        <w:tc>
          <w:tcPr>
            <w:tcW w:w="5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Intersegment .........................</w:t>
            </w:r>
          </w:p>
        </w:tc>
        <w:tc>
          <w:tcPr>
            <w:tcW w:w="5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Courier New" w:cs="Courier New" w:eastAsia="Courier New" w:hAnsi="Courier New"/>
                <w:sz w:val="5"/>
                <w:szCs w:val="5"/>
                <w:color w:val="auto"/>
                <w:w w:val="95"/>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954</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890</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833</w:t>
            </w:r>
          </w:p>
        </w:tc>
        <w:tc>
          <w:tcPr>
            <w:tcW w:w="0" w:type="dxa"/>
            <w:vAlign w:val="bottom"/>
          </w:tcPr>
          <w:p>
            <w:pPr>
              <w:spacing w:after="0"/>
              <w:rPr>
                <w:sz w:val="1"/>
                <w:szCs w:val="1"/>
                <w:color w:val="auto"/>
              </w:rPr>
            </w:pPr>
          </w:p>
        </w:tc>
      </w:tr>
      <w:tr>
        <w:trPr>
          <w:trHeight w:val="295"/>
        </w:trPr>
        <w:tc>
          <w:tcPr>
            <w:tcW w:w="4520" w:type="dxa"/>
            <w:vAlign w:val="bottom"/>
            <w:vMerge w:val="restart"/>
          </w:tcPr>
          <w:p>
            <w:pPr>
              <w:spacing w:after="0"/>
              <w:rPr>
                <w:sz w:val="20"/>
                <w:szCs w:val="20"/>
                <w:color w:val="auto"/>
              </w:rPr>
            </w:pPr>
            <w:r>
              <w:rPr>
                <w:rFonts w:ascii="Courier New" w:cs="Courier New" w:eastAsia="Courier New" w:hAnsi="Courier New"/>
                <w:sz w:val="17"/>
                <w:szCs w:val="17"/>
                <w:color w:val="auto"/>
              </w:rPr>
              <w:t>Educational &amp; Productivity Solutions</w:t>
            </w: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5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447</w:t>
            </w:r>
          </w:p>
        </w:tc>
        <w:tc>
          <w:tcPr>
            <w:tcW w:w="360" w:type="dxa"/>
            <w:vAlign w:val="bottom"/>
          </w:tcPr>
          <w:p>
            <w:pPr>
              <w:spacing w:after="0"/>
              <w:rPr>
                <w:sz w:val="9"/>
                <w:szCs w:val="9"/>
                <w:color w:val="auto"/>
              </w:rPr>
            </w:pPr>
          </w:p>
        </w:tc>
        <w:tc>
          <w:tcPr>
            <w:tcW w:w="88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422</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381</w:t>
            </w:r>
          </w:p>
        </w:tc>
        <w:tc>
          <w:tcPr>
            <w:tcW w:w="0" w:type="dxa"/>
            <w:vAlign w:val="bottom"/>
          </w:tcPr>
          <w:p>
            <w:pPr>
              <w:spacing w:after="0"/>
              <w:rPr>
                <w:sz w:val="1"/>
                <w:szCs w:val="1"/>
                <w:color w:val="auto"/>
              </w:rPr>
            </w:pPr>
          </w:p>
        </w:tc>
      </w:tr>
      <w:tr>
        <w:trPr>
          <w:trHeight w:val="295"/>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Trade ................................</w:t>
            </w:r>
          </w:p>
        </w:tc>
        <w:tc>
          <w:tcPr>
            <w:tcW w:w="5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520" w:type="dxa"/>
            <w:vAlign w:val="bottom"/>
          </w:tcPr>
          <w:p>
            <w:pPr>
              <w:spacing w:after="0"/>
              <w:rPr>
                <w:sz w:val="20"/>
                <w:szCs w:val="20"/>
                <w:color w:val="auto"/>
              </w:rPr>
            </w:pPr>
            <w:r>
              <w:rPr>
                <w:rFonts w:ascii="Courier New" w:cs="Courier New" w:eastAsia="Courier New" w:hAnsi="Courier New"/>
                <w:sz w:val="17"/>
                <w:szCs w:val="17"/>
                <w:color w:val="auto"/>
              </w:rPr>
              <w:t>Corporate activities ..................</w:t>
            </w:r>
          </w:p>
        </w:tc>
        <w:tc>
          <w:tcPr>
            <w:tcW w:w="5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154</w:t>
            </w:r>
          </w:p>
        </w:tc>
        <w:tc>
          <w:tcPr>
            <w:tcW w:w="36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91</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Courier New" w:cs="Courier New" w:eastAsia="Courier New" w:hAnsi="Courier New"/>
                <w:sz w:val="17"/>
                <w:szCs w:val="17"/>
                <w:color w:val="auto"/>
              </w:rPr>
              <w:t>Divested activities....................</w:t>
            </w:r>
          </w:p>
        </w:tc>
        <w:tc>
          <w:tcPr>
            <w:tcW w:w="5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108</w:t>
            </w:r>
          </w:p>
        </w:tc>
        <w:tc>
          <w:tcPr>
            <w:tcW w:w="3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1,180</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1,367</w:t>
            </w:r>
          </w:p>
        </w:tc>
        <w:tc>
          <w:tcPr>
            <w:tcW w:w="0" w:type="dxa"/>
            <w:vAlign w:val="bottom"/>
          </w:tcPr>
          <w:p>
            <w:pPr>
              <w:spacing w:after="0"/>
              <w:rPr>
                <w:sz w:val="1"/>
                <w:szCs w:val="1"/>
                <w:color w:val="auto"/>
              </w:rPr>
            </w:pPr>
          </w:p>
        </w:tc>
      </w:tr>
      <w:tr>
        <w:trPr>
          <w:trHeight w:val="295"/>
        </w:trPr>
        <w:tc>
          <w:tcPr>
            <w:tcW w:w="4520" w:type="dxa"/>
            <w:vAlign w:val="bottom"/>
          </w:tcPr>
          <w:p>
            <w:pPr>
              <w:spacing w:after="0"/>
              <w:rPr>
                <w:sz w:val="24"/>
                <w:szCs w:val="24"/>
                <w:color w:val="auto"/>
              </w:rPr>
            </w:pP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52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$ 9,750</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$ 9,940</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$11,409</w:t>
            </w:r>
          </w:p>
        </w:tc>
        <w:tc>
          <w:tcPr>
            <w:tcW w:w="0" w:type="dxa"/>
            <w:vAlign w:val="bottom"/>
          </w:tcPr>
          <w:p>
            <w:pPr>
              <w:spacing w:after="0"/>
              <w:rPr>
                <w:sz w:val="1"/>
                <w:szCs w:val="1"/>
                <w:color w:val="auto"/>
              </w:rPr>
            </w:pPr>
          </w:p>
        </w:tc>
      </w:tr>
      <w:tr>
        <w:trPr>
          <w:trHeight w:val="295"/>
        </w:trPr>
        <w:tc>
          <w:tcPr>
            <w:tcW w:w="4520" w:type="dxa"/>
            <w:vAlign w:val="bottom"/>
          </w:tcPr>
          <w:p>
            <w:pPr>
              <w:spacing w:after="0"/>
              <w:rPr>
                <w:sz w:val="24"/>
                <w:szCs w:val="24"/>
                <w:color w:val="auto"/>
              </w:rPr>
            </w:pP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0"/>
                <w:szCs w:val="20"/>
                <w:color w:val="auto"/>
              </w:rPr>
            </w:pPr>
            <w:r>
              <w:rPr>
                <w:rFonts w:ascii="Courier New" w:cs="Courier New" w:eastAsia="Courier New" w:hAnsi="Courier New"/>
                <w:sz w:val="17"/>
                <w:szCs w:val="17"/>
                <w:color w:val="auto"/>
              </w:rPr>
              <w:t>30</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0"/>
                <w:szCs w:val="20"/>
                <w:color w:val="auto"/>
              </w:rPr>
            </w:pPr>
            <w:r>
              <w:rPr>
                <w:rFonts w:ascii="Courier New" w:cs="Courier New" w:eastAsia="Courier New" w:hAnsi="Courier New"/>
                <w:sz w:val="17"/>
                <w:szCs w:val="17"/>
                <w:color w:val="auto"/>
              </w:rPr>
              <w:t>Business Segment Profit (Loss)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40" w:type="dxa"/>
            <w:vAlign w:val="bottom"/>
            <w:gridSpan w:val="4"/>
          </w:tcPr>
          <w:p>
            <w:pPr>
              <w:jc w:val="right"/>
              <w:ind w:right="65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3660" w:type="dxa"/>
            <w:vAlign w:val="bottom"/>
            <w:gridSpan w:val="5"/>
          </w:tcPr>
          <w:p>
            <w:pPr>
              <w:ind w:left="3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360" w:type="dxa"/>
            <w:vAlign w:val="bottom"/>
          </w:tcPr>
          <w:p>
            <w:pPr>
              <w:spacing w:after="0"/>
              <w:rPr>
                <w:sz w:val="17"/>
                <w:szCs w:val="17"/>
                <w:color w:val="auto"/>
              </w:rPr>
            </w:pPr>
          </w:p>
        </w:tc>
        <w:tc>
          <w:tcPr>
            <w:tcW w:w="8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1996</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520" w:type="dxa"/>
            <w:vAlign w:val="bottom"/>
          </w:tcPr>
          <w:p>
            <w:pPr>
              <w:spacing w:after="0"/>
              <w:rPr>
                <w:sz w:val="24"/>
                <w:szCs w:val="24"/>
                <w:color w:val="auto"/>
              </w:rPr>
            </w:pP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520" w:type="dxa"/>
            <w:vAlign w:val="bottom"/>
          </w:tcPr>
          <w:p>
            <w:pPr>
              <w:spacing w:after="0"/>
              <w:rPr>
                <w:sz w:val="20"/>
                <w:szCs w:val="20"/>
                <w:color w:val="auto"/>
              </w:rPr>
            </w:pPr>
            <w:r>
              <w:rPr>
                <w:rFonts w:ascii="Courier New" w:cs="Courier New" w:eastAsia="Courier New" w:hAnsi="Courier New"/>
                <w:sz w:val="17"/>
                <w:szCs w:val="17"/>
                <w:color w:val="auto"/>
              </w:rPr>
              <w:t>Semiconductor .........................</w:t>
            </w: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$ 1,354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783</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$ 1,850</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Courier New" w:cs="Courier New" w:eastAsia="Courier New" w:hAnsi="Courier New"/>
                <w:sz w:val="17"/>
                <w:szCs w:val="17"/>
                <w:color w:val="auto"/>
              </w:rPr>
              <w:t>Materials &amp; Controls ..................</w:t>
            </w:r>
          </w:p>
        </w:tc>
        <w:tc>
          <w:tcPr>
            <w:tcW w:w="5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123</w:t>
            </w:r>
          </w:p>
        </w:tc>
        <w:tc>
          <w:tcPr>
            <w:tcW w:w="3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90</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Courier New" w:cs="Courier New" w:eastAsia="Courier New" w:hAnsi="Courier New"/>
                <w:sz w:val="17"/>
                <w:szCs w:val="17"/>
                <w:color w:val="auto"/>
              </w:rPr>
              <w:t>Educational &amp; Productivity Solutions ..</w:t>
            </w:r>
          </w:p>
        </w:tc>
        <w:tc>
          <w:tcPr>
            <w:tcW w:w="5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59</w:t>
            </w:r>
          </w:p>
        </w:tc>
        <w:tc>
          <w:tcPr>
            <w:tcW w:w="36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56</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Courier New" w:cs="Courier New" w:eastAsia="Courier New" w:hAnsi="Courier New"/>
                <w:sz w:val="17"/>
                <w:szCs w:val="17"/>
                <w:color w:val="auto"/>
              </w:rPr>
              <w:t>Corporate activities ..................</w:t>
            </w:r>
          </w:p>
        </w:tc>
        <w:tc>
          <w:tcPr>
            <w:tcW w:w="5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(273)</w:t>
            </w:r>
          </w:p>
        </w:tc>
        <w:tc>
          <w:tcPr>
            <w:tcW w:w="36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(332)</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Courier New" w:cs="Courier New" w:eastAsia="Courier New" w:hAnsi="Courier New"/>
                <w:sz w:val="17"/>
                <w:szCs w:val="17"/>
                <w:color w:val="auto"/>
              </w:rPr>
              <w:t>Special charges and gains, net of</w:t>
            </w:r>
          </w:p>
        </w:tc>
        <w:tc>
          <w:tcPr>
            <w:tcW w:w="520" w:type="dxa"/>
            <w:vAlign w:val="bottom"/>
          </w:tcPr>
          <w:p>
            <w:pPr>
              <w:spacing w:after="0"/>
              <w:rPr>
                <w:sz w:val="17"/>
                <w:szCs w:val="17"/>
                <w:color w:val="auto"/>
              </w:rPr>
            </w:pPr>
          </w:p>
        </w:tc>
        <w:tc>
          <w:tcPr>
            <w:tcW w:w="8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(532)</w:t>
            </w:r>
          </w:p>
        </w:tc>
        <w:tc>
          <w:tcPr>
            <w:tcW w:w="360" w:type="dxa"/>
            <w:vAlign w:val="bottom"/>
          </w:tcPr>
          <w:p>
            <w:pPr>
              <w:spacing w:after="0"/>
              <w:rPr>
                <w:sz w:val="17"/>
                <w:szCs w:val="17"/>
                <w:color w:val="auto"/>
              </w:rPr>
            </w:pPr>
          </w:p>
        </w:tc>
        <w:tc>
          <w:tcPr>
            <w:tcW w:w="8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(400)</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profit sharing* ......................</w:t>
            </w:r>
          </w:p>
        </w:tc>
        <w:tc>
          <w:tcPr>
            <w:tcW w:w="5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Courier New" w:cs="Courier New" w:eastAsia="Courier New" w:hAnsi="Courier New"/>
                <w:sz w:val="17"/>
                <w:szCs w:val="17"/>
                <w:color w:val="auto"/>
              </w:rPr>
              <w:t>Interest on loans/other income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(expense), excluding 1997 gain of</w:t>
            </w:r>
          </w:p>
        </w:tc>
        <w:tc>
          <w:tcPr>
            <w:tcW w:w="52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32</w:t>
            </w:r>
          </w:p>
        </w:tc>
        <w:tc>
          <w:tcPr>
            <w:tcW w:w="360" w:type="dxa"/>
            <w:vAlign w:val="bottom"/>
          </w:tcPr>
          <w:p>
            <w:pPr>
              <w:spacing w:after="0"/>
              <w:rPr>
                <w:sz w:val="17"/>
                <w:szCs w:val="17"/>
                <w:color w:val="auto"/>
              </w:rPr>
            </w:pPr>
          </w:p>
        </w:tc>
        <w:tc>
          <w:tcPr>
            <w:tcW w:w="88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3</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31</w:t>
            </w: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$66 million included above ..........</w:t>
            </w:r>
          </w:p>
        </w:tc>
        <w:tc>
          <w:tcPr>
            <w:tcW w:w="5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Courier New" w:cs="Courier New" w:eastAsia="Courier New" w:hAnsi="Courier New"/>
                <w:sz w:val="17"/>
                <w:szCs w:val="17"/>
                <w:color w:val="auto"/>
              </w:rPr>
              <w:t>Divested activities ...................</w:t>
            </w:r>
          </w:p>
        </w:tc>
        <w:tc>
          <w:tcPr>
            <w:tcW w:w="5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w:t>
            </w:r>
          </w:p>
        </w:tc>
        <w:tc>
          <w:tcPr>
            <w:tcW w:w="36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(212)</w:t>
            </w:r>
          </w:p>
        </w:tc>
        <w:tc>
          <w:tcPr>
            <w:tcW w:w="0" w:type="dxa"/>
            <w:vAlign w:val="bottom"/>
          </w:tcPr>
          <w:p>
            <w:pPr>
              <w:spacing w:after="0"/>
              <w:rPr>
                <w:sz w:val="1"/>
                <w:szCs w:val="1"/>
                <w:color w:val="auto"/>
              </w:rPr>
            </w:pPr>
          </w:p>
        </w:tc>
      </w:tr>
      <w:tr>
        <w:trPr>
          <w:trHeight w:val="295"/>
        </w:trPr>
        <w:tc>
          <w:tcPr>
            <w:tcW w:w="452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5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before provision for income taxes</w:t>
            </w:r>
          </w:p>
        </w:tc>
        <w:tc>
          <w:tcPr>
            <w:tcW w:w="52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713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(23)</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$ 1,470</w:t>
            </w:r>
          </w:p>
        </w:tc>
        <w:tc>
          <w:tcPr>
            <w:tcW w:w="0" w:type="dxa"/>
            <w:vAlign w:val="bottom"/>
          </w:tcPr>
          <w:p>
            <w:pPr>
              <w:spacing w:after="0"/>
              <w:rPr>
                <w:sz w:val="1"/>
                <w:szCs w:val="1"/>
                <w:color w:val="auto"/>
              </w:rPr>
            </w:pPr>
          </w:p>
        </w:tc>
      </w:tr>
      <w:tr>
        <w:trPr>
          <w:trHeight w:val="201"/>
        </w:trPr>
        <w:tc>
          <w:tcPr>
            <w:tcW w:w="4520" w:type="dxa"/>
            <w:vAlign w:val="bottom"/>
          </w:tcPr>
          <w:p>
            <w:pPr>
              <w:ind w:left="120"/>
              <w:spacing w:after="0"/>
              <w:rPr>
                <w:sz w:val="20"/>
                <w:szCs w:val="20"/>
                <w:color w:val="auto"/>
              </w:rPr>
            </w:pPr>
            <w:r>
              <w:rPr>
                <w:rFonts w:ascii="Courier New" w:cs="Courier New" w:eastAsia="Courier New" w:hAnsi="Courier New"/>
                <w:sz w:val="17"/>
                <w:szCs w:val="17"/>
                <w:color w:val="auto"/>
              </w:rPr>
              <w:t>and extraordinary item ...............</w:t>
            </w:r>
          </w:p>
        </w:tc>
        <w:tc>
          <w:tcPr>
            <w:tcW w:w="5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520" w:type="dxa"/>
            <w:vAlign w:val="bottom"/>
          </w:tcPr>
          <w:p>
            <w:pPr>
              <w:spacing w:after="0"/>
              <w:rPr>
                <w:sz w:val="24"/>
                <w:szCs w:val="24"/>
                <w:color w:val="auto"/>
              </w:rPr>
            </w:pP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10"/>
        </w:trPr>
        <w:tc>
          <w:tcPr>
            <w:tcW w:w="4520" w:type="dxa"/>
            <w:vAlign w:val="bottom"/>
          </w:tcPr>
          <w:p>
            <w:pPr>
              <w:spacing w:after="0"/>
              <w:rPr>
                <w:sz w:val="20"/>
                <w:szCs w:val="20"/>
                <w:color w:val="auto"/>
              </w:rPr>
            </w:pPr>
            <w:r>
              <w:rPr>
                <w:rFonts w:ascii="Courier New" w:cs="Courier New" w:eastAsia="Courier New" w:hAnsi="Courier New"/>
                <w:sz w:val="17"/>
                <w:szCs w:val="17"/>
                <w:color w:val="auto"/>
              </w:rPr>
              <w:t>*Details are as follows:</w:t>
            </w:r>
          </w:p>
        </w:tc>
        <w:tc>
          <w:tcPr>
            <w:tcW w:w="520" w:type="dxa"/>
            <w:vAlign w:val="bottom"/>
          </w:tcPr>
          <w:p>
            <w:pPr>
              <w:spacing w:after="0"/>
              <w:rPr>
                <w:sz w:val="24"/>
                <w:szCs w:val="24"/>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360" w:type="dxa"/>
            <w:vAlign w:val="bottom"/>
          </w:tcPr>
          <w:p>
            <w:pPr>
              <w:spacing w:after="0"/>
              <w:rPr>
                <w:sz w:val="24"/>
                <w:szCs w:val="24"/>
                <w:color w:val="auto"/>
              </w:rPr>
            </w:pPr>
          </w:p>
        </w:tc>
        <w:tc>
          <w:tcPr>
            <w:tcW w:w="8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1996</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01"/>
        </w:trPr>
        <w:tc>
          <w:tcPr>
            <w:tcW w:w="4520" w:type="dxa"/>
            <w:vAlign w:val="bottom"/>
            <w:vMerge w:val="restart"/>
          </w:tcPr>
          <w:p>
            <w:pPr>
              <w:spacing w:after="0"/>
              <w:rPr>
                <w:sz w:val="20"/>
                <w:szCs w:val="20"/>
                <w:color w:val="auto"/>
              </w:rPr>
            </w:pPr>
            <w:r>
              <w:rPr>
                <w:rFonts w:ascii="Courier New" w:cs="Courier New" w:eastAsia="Courier New" w:hAnsi="Courier New"/>
                <w:sz w:val="17"/>
                <w:szCs w:val="17"/>
                <w:color w:val="auto"/>
              </w:rPr>
              <w:t>Acquired in-process R&amp;D charge.........</w:t>
            </w:r>
          </w:p>
        </w:tc>
        <w:tc>
          <w:tcPr>
            <w:tcW w:w="520" w:type="dxa"/>
            <w:vAlign w:val="bottom"/>
            <w:vMerge w:val="restart"/>
          </w:tcPr>
          <w:p>
            <w:pPr>
              <w:ind w:left="300"/>
              <w:spacing w:after="0"/>
              <w:rPr>
                <w:sz w:val="20"/>
                <w:szCs w:val="20"/>
                <w:color w:val="auto"/>
              </w:rPr>
            </w:pPr>
            <w:r>
              <w:rPr>
                <w:rFonts w:ascii="Courier New" w:cs="Courier New" w:eastAsia="Courier New" w:hAnsi="Courier New"/>
                <w:sz w:val="8"/>
                <w:szCs w:val="8"/>
                <w:color w:val="auto"/>
                <w:w w:val="99"/>
                <w:vertAlign w:val="subscript"/>
              </w:rPr>
              <w:t>$</w:t>
            </w:r>
            <w:r>
              <w:rPr>
                <w:rFonts w:ascii="Courier New" w:cs="Courier New" w:eastAsia="Courier New" w:hAnsi="Courier New"/>
                <w:sz w:val="4"/>
                <w:szCs w:val="4"/>
                <w:color w:val="auto"/>
                <w:w w:val="99"/>
              </w:rPr>
              <w:t>-------</w:t>
            </w:r>
          </w:p>
        </w:tc>
        <w:tc>
          <w:tcPr>
            <w:tcW w:w="8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(461)</w:t>
            </w:r>
          </w:p>
        </w:tc>
        <w:tc>
          <w:tcPr>
            <w:tcW w:w="1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5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(192)</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4520" w:type="dxa"/>
            <w:vAlign w:val="bottom"/>
          </w:tcPr>
          <w:p>
            <w:pPr>
              <w:spacing w:after="0"/>
              <w:rPr>
                <w:sz w:val="20"/>
                <w:szCs w:val="20"/>
                <w:color w:val="auto"/>
              </w:rPr>
            </w:pPr>
            <w:r>
              <w:rPr>
                <w:rFonts w:ascii="Courier New" w:cs="Courier New" w:eastAsia="Courier New" w:hAnsi="Courier New"/>
                <w:sz w:val="17"/>
                <w:szCs w:val="17"/>
                <w:color w:val="auto"/>
              </w:rPr>
              <w:t>Severance and other costs, primarily</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0" w:orient="portrait"/>
          <w:cols w:equalWidth="0" w:num="1">
            <w:col w:w="10219"/>
          </w:cols>
          <w:pgMar w:left="240" w:top="110"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from the divestiture of mobile</w:t>
            </w:r>
          </w:p>
        </w:tc>
        <w:tc>
          <w:tcPr>
            <w:tcW w:w="110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(56)</w:t>
            </w:r>
          </w:p>
        </w:tc>
        <w:tc>
          <w:tcPr>
            <w:tcW w:w="320" w:type="dxa"/>
            <w:vAlign w:val="bottom"/>
          </w:tcPr>
          <w:p>
            <w:pPr>
              <w:spacing w:after="0"/>
              <w:rPr>
                <w:sz w:val="17"/>
                <w:szCs w:val="17"/>
                <w:color w:val="auto"/>
              </w:rPr>
            </w:pPr>
          </w:p>
        </w:tc>
        <w:tc>
          <w:tcPr>
            <w:tcW w:w="9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computing ...........................</w:t>
            </w: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Other income:  gain on sale of three</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divested activities, primarily</w:t>
            </w:r>
          </w:p>
        </w:tc>
        <w:tc>
          <w:tcPr>
            <w:tcW w:w="110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66</w:t>
            </w:r>
          </w:p>
        </w:tc>
        <w:tc>
          <w:tcPr>
            <w:tcW w:w="320" w:type="dxa"/>
            <w:vAlign w:val="bottom"/>
          </w:tcPr>
          <w:p>
            <w:pPr>
              <w:spacing w:after="0"/>
              <w:rPr>
                <w:sz w:val="17"/>
                <w:szCs w:val="17"/>
                <w:color w:val="auto"/>
              </w:rPr>
            </w:pPr>
          </w:p>
        </w:tc>
        <w:tc>
          <w:tcPr>
            <w:tcW w:w="9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software ............................</w:t>
            </w: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Termination of agreements related to</w:t>
            </w:r>
          </w:p>
        </w:tc>
        <w:tc>
          <w:tcPr>
            <w:tcW w:w="110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(44)</w:t>
            </w:r>
          </w:p>
        </w:tc>
        <w:tc>
          <w:tcPr>
            <w:tcW w:w="320" w:type="dxa"/>
            <w:vAlign w:val="bottom"/>
          </w:tcPr>
          <w:p>
            <w:pPr>
              <w:spacing w:after="0"/>
              <w:rPr>
                <w:sz w:val="17"/>
                <w:szCs w:val="17"/>
                <w:color w:val="auto"/>
              </w:rPr>
            </w:pPr>
          </w:p>
        </w:tc>
        <w:tc>
          <w:tcPr>
            <w:tcW w:w="9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proposed Thailand joint ventures ....</w:t>
            </w: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Severance and other costs, primarily</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for materials &amp; controls cost</w:t>
            </w:r>
          </w:p>
        </w:tc>
        <w:tc>
          <w:tcPr>
            <w:tcW w:w="110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(42)</w:t>
            </w:r>
          </w:p>
        </w:tc>
        <w:tc>
          <w:tcPr>
            <w:tcW w:w="320" w:type="dxa"/>
            <w:vAlign w:val="bottom"/>
          </w:tcPr>
          <w:p>
            <w:pPr>
              <w:spacing w:after="0"/>
              <w:rPr>
                <w:sz w:val="17"/>
                <w:szCs w:val="17"/>
                <w:color w:val="auto"/>
              </w:rPr>
            </w:pPr>
          </w:p>
        </w:tc>
        <w:tc>
          <w:tcPr>
            <w:tcW w:w="9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reductions ..........................</w:t>
            </w: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Asset write-downs, primarily mobile</w:t>
            </w:r>
          </w:p>
        </w:tc>
        <w:tc>
          <w:tcPr>
            <w:tcW w:w="110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(117)</w:t>
            </w:r>
          </w:p>
        </w:tc>
        <w:tc>
          <w:tcPr>
            <w:tcW w:w="320" w:type="dxa"/>
            <w:vAlign w:val="bottom"/>
          </w:tcPr>
          <w:p>
            <w:pPr>
              <w:spacing w:after="0"/>
              <w:rPr>
                <w:sz w:val="17"/>
                <w:szCs w:val="17"/>
                <w:color w:val="auto"/>
              </w:rPr>
            </w:pP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computing ...........................</w:t>
            </w: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Voluntary retirement and severance,</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primarily for semiconductor</w:t>
            </w:r>
          </w:p>
        </w:tc>
        <w:tc>
          <w:tcPr>
            <w:tcW w:w="110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(91)</w:t>
            </w:r>
          </w:p>
        </w:tc>
        <w:tc>
          <w:tcPr>
            <w:tcW w:w="320" w:type="dxa"/>
            <w:vAlign w:val="bottom"/>
          </w:tcPr>
          <w:p>
            <w:pPr>
              <w:spacing w:after="0"/>
              <w:rPr>
                <w:sz w:val="17"/>
                <w:szCs w:val="17"/>
                <w:color w:val="auto"/>
              </w:rPr>
            </w:pP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and activities since divested .......</w:t>
            </w: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Other, including profit sharing</w:t>
            </w:r>
          </w:p>
        </w:tc>
        <w:tc>
          <w:tcPr>
            <w:tcW w:w="110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5</w:t>
            </w:r>
          </w:p>
        </w:tc>
        <w:tc>
          <w:tcPr>
            <w:tcW w:w="320" w:type="dxa"/>
            <w:vAlign w:val="bottom"/>
          </w:tcPr>
          <w:p>
            <w:pPr>
              <w:spacing w:after="0"/>
              <w:rPr>
                <w:sz w:val="17"/>
                <w:szCs w:val="17"/>
                <w:color w:val="auto"/>
              </w:rPr>
            </w:pPr>
          </w:p>
        </w:tc>
        <w:tc>
          <w:tcPr>
            <w:tcW w:w="9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20"/>
              <w:spacing w:after="0"/>
              <w:rPr>
                <w:sz w:val="20"/>
                <w:szCs w:val="20"/>
                <w:color w:val="auto"/>
              </w:rPr>
            </w:pPr>
            <w:r>
              <w:rPr>
                <w:rFonts w:ascii="Courier New" w:cs="Courier New" w:eastAsia="Courier New" w:hAnsi="Courier New"/>
                <w:sz w:val="17"/>
                <w:szCs w:val="17"/>
                <w:color w:val="auto"/>
              </w:rPr>
              <w:t>effect of above items ...............</w:t>
            </w: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1100" w:type="dxa"/>
            <w:vAlign w:val="bottom"/>
            <w:vMerge w:val="restart"/>
          </w:tcPr>
          <w:p>
            <w:pPr>
              <w:jc w:val="right"/>
              <w:ind w:right="175"/>
              <w:spacing w:after="0"/>
              <w:rPr>
                <w:sz w:val="20"/>
                <w:szCs w:val="20"/>
                <w:color w:val="auto"/>
              </w:rPr>
            </w:pPr>
            <w:r>
              <w:rPr>
                <w:rFonts w:ascii="Courier New" w:cs="Courier New" w:eastAsia="Courier New" w:hAnsi="Courier New"/>
                <w:sz w:val="24"/>
                <w:szCs w:val="24"/>
                <w:color w:val="auto"/>
                <w:w w:val="70"/>
                <w:vertAlign w:val="subscript"/>
              </w:rPr>
              <w:t>$</w:t>
            </w:r>
            <w:r>
              <w:rPr>
                <w:rFonts w:ascii="Courier New" w:cs="Courier New" w:eastAsia="Courier New" w:hAnsi="Courier New"/>
                <w:sz w:val="14"/>
                <w:szCs w:val="14"/>
                <w:color w:val="auto"/>
                <w:w w:val="70"/>
              </w:rPr>
              <w:t>-------</w:t>
            </w:r>
            <w:r>
              <w:rPr>
                <w:rFonts w:ascii="Courier New" w:cs="Courier New" w:eastAsia="Courier New" w:hAnsi="Courier New"/>
                <w:sz w:val="24"/>
                <w:szCs w:val="24"/>
                <w:color w:val="auto"/>
                <w:w w:val="70"/>
                <w:vertAlign w:val="subscript"/>
              </w:rPr>
              <w:t>(532)</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12"/>
        </w:trPr>
        <w:tc>
          <w:tcPr>
            <w:tcW w:w="48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(400)</w:t>
            </w:r>
          </w:p>
        </w:tc>
        <w:tc>
          <w:tcPr>
            <w:tcW w:w="320" w:type="dxa"/>
            <w:vAlign w:val="bottom"/>
          </w:tcPr>
          <w:p>
            <w:pPr>
              <w:spacing w:after="0"/>
              <w:rPr>
                <w:sz w:val="24"/>
                <w:szCs w:val="24"/>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88"/>
        </w:trPr>
        <w:tc>
          <w:tcPr>
            <w:tcW w:w="4820" w:type="dxa"/>
            <w:vAlign w:val="bottom"/>
          </w:tcPr>
          <w:p>
            <w:pPr>
              <w:spacing w:after="0"/>
              <w:rPr>
                <w:sz w:val="20"/>
                <w:szCs w:val="20"/>
                <w:color w:val="auto"/>
              </w:rPr>
            </w:pPr>
            <w:r>
              <w:rPr>
                <w:rFonts w:ascii="Courier New" w:cs="Courier New" w:eastAsia="Courier New" w:hAnsi="Courier New"/>
                <w:sz w:val="17"/>
                <w:szCs w:val="17"/>
                <w:color w:val="auto"/>
              </w:rPr>
              <w:t>Business Segment Assets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3460" w:type="dxa"/>
            <w:vAlign w:val="bottom"/>
            <w:gridSpan w:val="5"/>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7"/>
                <w:szCs w:val="17"/>
                <w:color w:val="auto"/>
              </w:rPr>
              <w:t>1997</w:t>
            </w:r>
          </w:p>
        </w:tc>
        <w:tc>
          <w:tcPr>
            <w:tcW w:w="3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32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820" w:type="dxa"/>
            <w:vAlign w:val="bottom"/>
          </w:tcPr>
          <w:p>
            <w:pPr>
              <w:spacing w:after="0"/>
              <w:rPr>
                <w:sz w:val="24"/>
                <w:szCs w:val="24"/>
                <w:color w:val="auto"/>
              </w:rPr>
            </w:pP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0"/>
                <w:szCs w:val="20"/>
                <w:color w:val="auto"/>
              </w:rPr>
            </w:pPr>
            <w:r>
              <w:rPr>
                <w:rFonts w:ascii="Courier New" w:cs="Courier New" w:eastAsia="Courier New" w:hAnsi="Courier New"/>
                <w:sz w:val="17"/>
                <w:szCs w:val="17"/>
                <w:color w:val="auto"/>
              </w:rPr>
              <w:t>Semiconductor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$ 5,968</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$ 5,788</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$ 4,666</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Materials &amp; Controls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391</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380</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378</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Educational &amp; Productivity Solutions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151</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141</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129</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Corporate activities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4,309</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2,197</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2,489</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Divested activities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30</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325</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665</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Net assets of discontinued operations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529</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421</w:t>
            </w:r>
          </w:p>
        </w:tc>
        <w:tc>
          <w:tcPr>
            <w:tcW w:w="0" w:type="dxa"/>
            <w:vAlign w:val="bottom"/>
          </w:tcPr>
          <w:p>
            <w:pPr>
              <w:spacing w:after="0"/>
              <w:rPr>
                <w:sz w:val="1"/>
                <w:szCs w:val="1"/>
                <w:color w:val="auto"/>
              </w:rPr>
            </w:pPr>
          </w:p>
        </w:tc>
      </w:tr>
      <w:tr>
        <w:trPr>
          <w:trHeight w:val="20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100" w:type="dxa"/>
            <w:vAlign w:val="bottom"/>
            <w:vMerge w:val="restart"/>
          </w:tcPr>
          <w:p>
            <w:pPr>
              <w:jc w:val="right"/>
              <w:ind w:right="275"/>
              <w:spacing w:after="0"/>
              <w:rPr>
                <w:sz w:val="20"/>
                <w:szCs w:val="20"/>
                <w:color w:val="auto"/>
              </w:rPr>
            </w:pPr>
            <w:r>
              <w:rPr>
                <w:rFonts w:ascii="Courier New" w:cs="Courier New" w:eastAsia="Courier New" w:hAnsi="Courier New"/>
                <w:sz w:val="18"/>
                <w:szCs w:val="18"/>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18"/>
                <w:szCs w:val="18"/>
                <w:color w:val="auto"/>
                <w:w w:val="71"/>
                <w:vertAlign w:val="subscript"/>
              </w:rPr>
              <w:t>10,849</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$ 9,360</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$ 8,748</w:t>
            </w:r>
          </w:p>
        </w:tc>
        <w:tc>
          <w:tcPr>
            <w:tcW w:w="0" w:type="dxa"/>
            <w:vAlign w:val="bottom"/>
          </w:tcPr>
          <w:p>
            <w:pPr>
              <w:spacing w:after="0"/>
              <w:rPr>
                <w:sz w:val="1"/>
                <w:szCs w:val="1"/>
                <w:color w:val="auto"/>
              </w:rPr>
            </w:pPr>
          </w:p>
        </w:tc>
      </w:tr>
      <w:tr>
        <w:trPr>
          <w:trHeight w:val="295"/>
        </w:trPr>
        <w:tc>
          <w:tcPr>
            <w:tcW w:w="4820" w:type="dxa"/>
            <w:vAlign w:val="bottom"/>
          </w:tcPr>
          <w:p>
            <w:pPr>
              <w:spacing w:after="0"/>
              <w:rPr>
                <w:sz w:val="24"/>
                <w:szCs w:val="24"/>
                <w:color w:val="auto"/>
              </w:rPr>
            </w:pP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4820" w:type="dxa"/>
            <w:vAlign w:val="bottom"/>
          </w:tcPr>
          <w:p>
            <w:pPr>
              <w:spacing w:after="0"/>
              <w:rPr>
                <w:sz w:val="20"/>
                <w:szCs w:val="20"/>
                <w:color w:val="auto"/>
              </w:rPr>
            </w:pPr>
            <w:r>
              <w:rPr>
                <w:rFonts w:ascii="Courier New" w:cs="Courier New" w:eastAsia="Courier New" w:hAnsi="Courier New"/>
                <w:sz w:val="17"/>
                <w:szCs w:val="17"/>
                <w:color w:val="auto"/>
              </w:rPr>
              <w:t>Business Segment Property, Plant and Equipment</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Depreciation</w:t>
            </w:r>
          </w:p>
        </w:tc>
        <w:tc>
          <w:tcPr>
            <w:tcW w:w="3460" w:type="dxa"/>
            <w:vAlign w:val="bottom"/>
            <w:gridSpan w:val="5"/>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vMerge w:val="continue"/>
          </w:tcPr>
          <w:p>
            <w:pPr>
              <w:spacing w:after="0"/>
              <w:rPr>
                <w:sz w:val="17"/>
                <w:szCs w:val="17"/>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7"/>
                <w:szCs w:val="17"/>
                <w:color w:val="auto"/>
              </w:rPr>
              <w:t>1997</w:t>
            </w:r>
          </w:p>
        </w:tc>
        <w:tc>
          <w:tcPr>
            <w:tcW w:w="3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32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8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0"/>
                <w:szCs w:val="20"/>
                <w:color w:val="auto"/>
              </w:rPr>
            </w:pPr>
            <w:r>
              <w:rPr>
                <w:rFonts w:ascii="Courier New" w:cs="Courier New" w:eastAsia="Courier New" w:hAnsi="Courier New"/>
                <w:sz w:val="17"/>
                <w:szCs w:val="17"/>
                <w:color w:val="auto"/>
              </w:rPr>
              <w:t>Semiconductor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$ 1,002</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794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588</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Materials &amp; Controls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46</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41</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33</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Educational &amp; Productivity Solutions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Corporate activities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58</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56</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Divested activities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13</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0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100" w:type="dxa"/>
            <w:vAlign w:val="bottom"/>
            <w:vMerge w:val="restart"/>
          </w:tcPr>
          <w:p>
            <w:pPr>
              <w:jc w:val="right"/>
              <w:ind w:right="275"/>
              <w:spacing w:after="0"/>
              <w:rPr>
                <w:sz w:val="20"/>
                <w:szCs w:val="20"/>
                <w:color w:val="auto"/>
              </w:rPr>
            </w:pPr>
            <w:r>
              <w:rPr>
                <w:rFonts w:ascii="Courier New" w:cs="Courier New" w:eastAsia="Courier New" w:hAnsi="Courier New"/>
                <w:sz w:val="20"/>
                <w:szCs w:val="20"/>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0"/>
                <w:szCs w:val="20"/>
                <w:color w:val="auto"/>
                <w:w w:val="73"/>
                <w:vertAlign w:val="subscript"/>
              </w:rPr>
              <w:t>1,109</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904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681</w:t>
            </w:r>
          </w:p>
        </w:tc>
        <w:tc>
          <w:tcPr>
            <w:tcW w:w="0" w:type="dxa"/>
            <w:vAlign w:val="bottom"/>
          </w:tcPr>
          <w:p>
            <w:pPr>
              <w:spacing w:after="0"/>
              <w:rPr>
                <w:sz w:val="1"/>
                <w:szCs w:val="1"/>
                <w:color w:val="auto"/>
              </w:rPr>
            </w:pPr>
          </w:p>
        </w:tc>
      </w:tr>
      <w:tr>
        <w:trPr>
          <w:trHeight w:val="295"/>
        </w:trPr>
        <w:tc>
          <w:tcPr>
            <w:tcW w:w="4820" w:type="dxa"/>
            <w:vAlign w:val="bottom"/>
          </w:tcPr>
          <w:p>
            <w:pPr>
              <w:spacing w:after="0"/>
              <w:rPr>
                <w:sz w:val="24"/>
                <w:szCs w:val="24"/>
                <w:color w:val="auto"/>
              </w:rPr>
            </w:pP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Additions</w:t>
            </w:r>
          </w:p>
        </w:tc>
        <w:tc>
          <w:tcPr>
            <w:tcW w:w="3460" w:type="dxa"/>
            <w:vAlign w:val="bottom"/>
            <w:gridSpan w:val="5"/>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vMerge w:val="continue"/>
          </w:tcPr>
          <w:p>
            <w:pPr>
              <w:spacing w:after="0"/>
              <w:rPr>
                <w:sz w:val="17"/>
                <w:szCs w:val="17"/>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7"/>
                <w:szCs w:val="17"/>
                <w:color w:val="auto"/>
              </w:rPr>
              <w:t>1997</w:t>
            </w:r>
          </w:p>
        </w:tc>
        <w:tc>
          <w:tcPr>
            <w:tcW w:w="3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32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8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0"/>
                <w:szCs w:val="20"/>
                <w:color w:val="auto"/>
              </w:rPr>
            </w:pPr>
            <w:r>
              <w:rPr>
                <w:rFonts w:ascii="Courier New" w:cs="Courier New" w:eastAsia="Courier New" w:hAnsi="Courier New"/>
                <w:sz w:val="17"/>
                <w:szCs w:val="17"/>
                <w:color w:val="auto"/>
              </w:rPr>
              <w:t>Semiconductor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$ 1,039</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$ 1,768</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$ 1,132</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Materials &amp; Controls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49</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53</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Educational &amp; Productivity Solutions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Corporate activities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147</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225</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140</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Divested activities ...................</w:t>
            </w: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17</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0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100" w:type="dxa"/>
            <w:vAlign w:val="bottom"/>
            <w:vMerge w:val="restart"/>
          </w:tcPr>
          <w:p>
            <w:pPr>
              <w:jc w:val="right"/>
              <w:ind w:right="275"/>
              <w:spacing w:after="0"/>
              <w:rPr>
                <w:sz w:val="20"/>
                <w:szCs w:val="20"/>
                <w:color w:val="auto"/>
              </w:rPr>
            </w:pPr>
            <w:r>
              <w:rPr>
                <w:rFonts w:ascii="Courier New" w:cs="Courier New" w:eastAsia="Courier New" w:hAnsi="Courier New"/>
                <w:sz w:val="20"/>
                <w:szCs w:val="20"/>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0"/>
                <w:szCs w:val="20"/>
                <w:color w:val="auto"/>
                <w:w w:val="73"/>
                <w:vertAlign w:val="subscript"/>
              </w:rPr>
              <w:t>1,238</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8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$ 2,063</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$ 1,351</w:t>
            </w:r>
          </w:p>
        </w:tc>
        <w:tc>
          <w:tcPr>
            <w:tcW w:w="0" w:type="dxa"/>
            <w:vAlign w:val="bottom"/>
          </w:tcPr>
          <w:p>
            <w:pPr>
              <w:spacing w:after="0"/>
              <w:rPr>
                <w:sz w:val="1"/>
                <w:szCs w:val="1"/>
                <w:color w:val="auto"/>
              </w:rPr>
            </w:pPr>
          </w:p>
        </w:tc>
      </w:tr>
      <w:tr>
        <w:trPr>
          <w:trHeight w:val="295"/>
        </w:trPr>
        <w:tc>
          <w:tcPr>
            <w:tcW w:w="4820" w:type="dxa"/>
            <w:vAlign w:val="bottom"/>
          </w:tcPr>
          <w:p>
            <w:pPr>
              <w:spacing w:after="0"/>
              <w:rPr>
                <w:sz w:val="24"/>
                <w:szCs w:val="24"/>
                <w:color w:val="auto"/>
              </w:rPr>
            </w:pPr>
          </w:p>
        </w:tc>
        <w:tc>
          <w:tcPr>
            <w:tcW w:w="1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4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459"/>
        <w:spacing w:after="0" w:line="315" w:lineRule="auto"/>
        <w:rPr>
          <w:sz w:val="20"/>
          <w:szCs w:val="20"/>
          <w:color w:val="auto"/>
        </w:rPr>
      </w:pPr>
      <w:r>
        <w:rPr>
          <w:rFonts w:ascii="Courier New" w:cs="Courier New" w:eastAsia="Courier New" w:hAnsi="Courier New"/>
          <w:sz w:val="17"/>
          <w:szCs w:val="17"/>
          <w:color w:val="auto"/>
        </w:rPr>
        <w:t>The following geographic area data include trade revenues based on product shipment destination and royalty payor location, and property, plant and equipment based on physical location: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Net Trade Revenues</w:t>
      </w:r>
    </w:p>
    <w:p>
      <w:pPr>
        <w:sectPr>
          <w:pgSz w:w="11900" w:h="16838" w:orient="portrait"/>
          <w:cols w:equalWidth="0" w:num="1">
            <w:col w:w="10219"/>
          </w:cols>
          <w:pgMar w:left="240" w:top="110" w:right="1440" w:bottom="0" w:gutter="0" w:footer="0" w:header="0"/>
        </w:sectPr>
      </w:pPr>
    </w:p>
    <w:bookmarkStart w:id="36" w:name="page37"/>
    <w:bookmarkEnd w:id="36"/>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60" w:type="dxa"/>
            <w:vAlign w:val="bottom"/>
          </w:tcPr>
          <w:p>
            <w:pPr>
              <w:spacing w:after="0"/>
              <w:rPr>
                <w:sz w:val="17"/>
                <w:szCs w:val="17"/>
                <w:color w:val="auto"/>
              </w:rPr>
            </w:pPr>
          </w:p>
        </w:tc>
        <w:tc>
          <w:tcPr>
            <w:tcW w:w="3620" w:type="dxa"/>
            <w:vAlign w:val="bottom"/>
            <w:gridSpan w:val="3"/>
          </w:tcPr>
          <w:p>
            <w:pPr>
              <w:jc w:val="right"/>
              <w:ind w:right="55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01"/>
        </w:trPr>
        <w:tc>
          <w:tcPr>
            <w:tcW w:w="4460" w:type="dxa"/>
            <w:vAlign w:val="bottom"/>
            <w:vMerge w:val="restart"/>
          </w:tcPr>
          <w:p>
            <w:pPr>
              <w:spacing w:after="0"/>
              <w:rPr>
                <w:sz w:val="20"/>
                <w:szCs w:val="20"/>
                <w:color w:val="auto"/>
              </w:rPr>
            </w:pPr>
            <w:r>
              <w:rPr>
                <w:rFonts w:ascii="Courier New" w:cs="Courier New" w:eastAsia="Courier New" w:hAnsi="Courier New"/>
                <w:sz w:val="17"/>
                <w:szCs w:val="17"/>
                <w:color w:val="auto"/>
              </w:rPr>
              <w:t>United States</w:t>
            </w:r>
          </w:p>
        </w:tc>
        <w:tc>
          <w:tcPr>
            <w:tcW w:w="1360" w:type="dxa"/>
            <w:vAlign w:val="bottom"/>
            <w:vMerge w:val="restart"/>
          </w:tcPr>
          <w:p>
            <w:pPr>
              <w:jc w:val="right"/>
              <w:ind w:right="173"/>
              <w:spacing w:after="0"/>
              <w:rPr>
                <w:sz w:val="20"/>
                <w:szCs w:val="20"/>
                <w:color w:val="auto"/>
              </w:rPr>
            </w:pPr>
            <w:r>
              <w:rPr>
                <w:rFonts w:ascii="Courier New" w:cs="Courier New" w:eastAsia="Courier New" w:hAnsi="Courier New"/>
                <w:sz w:val="34"/>
                <w:szCs w:val="34"/>
                <w:color w:val="auto"/>
                <w:w w:val="70"/>
                <w:vertAlign w:val="subscript"/>
              </w:rPr>
              <w:t>$</w:t>
            </w:r>
            <w:r>
              <w:rPr>
                <w:rFonts w:ascii="Courier New" w:cs="Courier New" w:eastAsia="Courier New" w:hAnsi="Courier New"/>
                <w:sz w:val="17"/>
                <w:szCs w:val="17"/>
                <w:color w:val="auto"/>
                <w:w w:val="70"/>
              </w:rPr>
              <w:t>-------</w:t>
            </w:r>
            <w:r>
              <w:rPr>
                <w:rFonts w:ascii="Courier New" w:cs="Courier New" w:eastAsia="Courier New" w:hAnsi="Courier New"/>
                <w:sz w:val="34"/>
                <w:szCs w:val="34"/>
                <w:color w:val="auto"/>
                <w:w w:val="70"/>
                <w:vertAlign w:val="subscript"/>
              </w:rPr>
              <w:t>3,216</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ind w:left="1480"/>
              <w:spacing w:after="0" w:line="178" w:lineRule="exact"/>
              <w:rPr>
                <w:sz w:val="20"/>
                <w:szCs w:val="20"/>
                <w:color w:val="auto"/>
              </w:rPr>
            </w:pPr>
            <w:r>
              <w:rPr>
                <w:rFonts w:ascii="Courier New" w:cs="Courier New" w:eastAsia="Courier New" w:hAnsi="Courier New"/>
                <w:sz w:val="17"/>
                <w:szCs w:val="17"/>
                <w:color w:val="auto"/>
              </w:rPr>
              <w:t>.........................</w:t>
            </w:r>
          </w:p>
        </w:tc>
        <w:tc>
          <w:tcPr>
            <w:tcW w:w="1360" w:type="dxa"/>
            <w:vAlign w:val="bottom"/>
            <w:vMerge w:val="continue"/>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$ 3,548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$ 4,026</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Japan .................................</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1,971</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1,832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2,474</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Singapore .............................</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1,110</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866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918</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Rest of world .........................</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3,453</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3,694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3,991</w:t>
            </w:r>
          </w:p>
        </w:tc>
        <w:tc>
          <w:tcPr>
            <w:tcW w:w="0" w:type="dxa"/>
            <w:vAlign w:val="bottom"/>
          </w:tcPr>
          <w:p>
            <w:pPr>
              <w:spacing w:after="0"/>
              <w:rPr>
                <w:sz w:val="1"/>
                <w:szCs w:val="1"/>
                <w:color w:val="auto"/>
              </w:rPr>
            </w:pPr>
          </w:p>
        </w:tc>
      </w:tr>
      <w:tr>
        <w:trPr>
          <w:trHeight w:val="201"/>
        </w:trPr>
        <w:tc>
          <w:tcPr>
            <w:tcW w:w="446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360" w:type="dxa"/>
            <w:vAlign w:val="bottom"/>
            <w:vMerge w:val="restart"/>
          </w:tcPr>
          <w:p>
            <w:pPr>
              <w:jc w:val="right"/>
              <w:ind w:right="173"/>
              <w:spacing w:after="0"/>
              <w:rPr>
                <w:sz w:val="20"/>
                <w:szCs w:val="20"/>
                <w:color w:val="auto"/>
              </w:rPr>
            </w:pPr>
            <w:r>
              <w:rPr>
                <w:rFonts w:ascii="Courier New" w:cs="Courier New" w:eastAsia="Courier New" w:hAnsi="Courier New"/>
                <w:sz w:val="34"/>
                <w:szCs w:val="34"/>
                <w:color w:val="auto"/>
                <w:w w:val="70"/>
                <w:vertAlign w:val="subscript"/>
              </w:rPr>
              <w:t>$</w:t>
            </w:r>
            <w:r>
              <w:rPr>
                <w:rFonts w:ascii="Courier New" w:cs="Courier New" w:eastAsia="Courier New" w:hAnsi="Courier New"/>
                <w:sz w:val="17"/>
                <w:szCs w:val="17"/>
                <w:color w:val="auto"/>
                <w:w w:val="70"/>
              </w:rPr>
              <w:t>-------</w:t>
            </w:r>
            <w:r>
              <w:rPr>
                <w:rFonts w:ascii="Courier New" w:cs="Courier New" w:eastAsia="Courier New" w:hAnsi="Courier New"/>
                <w:sz w:val="34"/>
                <w:szCs w:val="34"/>
                <w:color w:val="auto"/>
                <w:w w:val="70"/>
                <w:vertAlign w:val="subscript"/>
              </w:rPr>
              <w:t>9,750</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$ 9,940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$11,409</w:t>
            </w:r>
          </w:p>
        </w:tc>
        <w:tc>
          <w:tcPr>
            <w:tcW w:w="0" w:type="dxa"/>
            <w:vAlign w:val="bottom"/>
          </w:tcPr>
          <w:p>
            <w:pPr>
              <w:spacing w:after="0"/>
              <w:rPr>
                <w:sz w:val="1"/>
                <w:szCs w:val="1"/>
                <w:color w:val="auto"/>
              </w:rPr>
            </w:pPr>
          </w:p>
        </w:tc>
      </w:tr>
      <w:tr>
        <w:trPr>
          <w:trHeight w:val="295"/>
        </w:trPr>
        <w:tc>
          <w:tcPr>
            <w:tcW w:w="4460" w:type="dxa"/>
            <w:vAlign w:val="bottom"/>
          </w:tcPr>
          <w:p>
            <w:pPr>
              <w:spacing w:after="0"/>
              <w:rPr>
                <w:sz w:val="24"/>
                <w:szCs w:val="24"/>
                <w:color w:val="auto"/>
              </w:rPr>
            </w:pP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604"/>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Geographic Area Property, Plant and Equipment (Net)</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tcPr>
          <w:p>
            <w:pPr>
              <w:spacing w:after="0"/>
              <w:rPr>
                <w:sz w:val="24"/>
                <w:szCs w:val="24"/>
                <w:color w:val="auto"/>
              </w:rPr>
            </w:pPr>
          </w:p>
        </w:tc>
        <w:tc>
          <w:tcPr>
            <w:tcW w:w="3620" w:type="dxa"/>
            <w:vAlign w:val="bottom"/>
            <w:gridSpan w:val="3"/>
          </w:tcPr>
          <w:p>
            <w:pPr>
              <w:jc w:val="right"/>
              <w:ind w:right="55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r>
        <w:trPr>
          <w:trHeight w:val="295"/>
        </w:trPr>
        <w:tc>
          <w:tcPr>
            <w:tcW w:w="4460" w:type="dxa"/>
            <w:vAlign w:val="bottom"/>
          </w:tcPr>
          <w:p>
            <w:pPr>
              <w:spacing w:after="0"/>
              <w:rPr>
                <w:sz w:val="24"/>
                <w:szCs w:val="24"/>
                <w:color w:val="auto"/>
              </w:rPr>
            </w:pP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460" w:type="dxa"/>
            <w:vAlign w:val="bottom"/>
          </w:tcPr>
          <w:p>
            <w:pPr>
              <w:spacing w:after="0"/>
              <w:rPr>
                <w:sz w:val="20"/>
                <w:szCs w:val="20"/>
                <w:color w:val="auto"/>
              </w:rPr>
            </w:pPr>
            <w:r>
              <w:rPr>
                <w:rFonts w:ascii="Courier New" w:cs="Courier New" w:eastAsia="Courier New" w:hAnsi="Courier New"/>
                <w:sz w:val="17"/>
                <w:szCs w:val="17"/>
                <w:color w:val="auto"/>
              </w:rPr>
              <w:t>United States .........................</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$ 2,640</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$ 2,619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$ 1,505</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Japan .................................</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478</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459</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Rest of world .........................</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1,062</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1,024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930</w:t>
            </w:r>
          </w:p>
        </w:tc>
        <w:tc>
          <w:tcPr>
            <w:tcW w:w="0" w:type="dxa"/>
            <w:vAlign w:val="bottom"/>
          </w:tcPr>
          <w:p>
            <w:pPr>
              <w:spacing w:after="0"/>
              <w:rPr>
                <w:sz w:val="1"/>
                <w:szCs w:val="1"/>
                <w:color w:val="auto"/>
              </w:rPr>
            </w:pPr>
          </w:p>
        </w:tc>
      </w:tr>
      <w:tr>
        <w:trPr>
          <w:trHeight w:val="201"/>
        </w:trPr>
        <w:tc>
          <w:tcPr>
            <w:tcW w:w="446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360" w:type="dxa"/>
            <w:vAlign w:val="bottom"/>
            <w:vMerge w:val="restart"/>
          </w:tcPr>
          <w:p>
            <w:pPr>
              <w:jc w:val="right"/>
              <w:ind w:right="173"/>
              <w:spacing w:after="0"/>
              <w:rPr>
                <w:sz w:val="20"/>
                <w:szCs w:val="20"/>
                <w:color w:val="auto"/>
              </w:rPr>
            </w:pPr>
            <w:r>
              <w:rPr>
                <w:rFonts w:ascii="Courier New" w:cs="Courier New" w:eastAsia="Courier New" w:hAnsi="Courier New"/>
                <w:sz w:val="34"/>
                <w:szCs w:val="34"/>
                <w:color w:val="auto"/>
                <w:w w:val="70"/>
                <w:vertAlign w:val="subscript"/>
              </w:rPr>
              <w:t>$</w:t>
            </w:r>
            <w:r>
              <w:rPr>
                <w:rFonts w:ascii="Courier New" w:cs="Courier New" w:eastAsia="Courier New" w:hAnsi="Courier New"/>
                <w:sz w:val="17"/>
                <w:szCs w:val="17"/>
                <w:color w:val="auto"/>
                <w:w w:val="70"/>
              </w:rPr>
              <w:t>-------</w:t>
            </w:r>
            <w:r>
              <w:rPr>
                <w:rFonts w:ascii="Courier New" w:cs="Courier New" w:eastAsia="Courier New" w:hAnsi="Courier New"/>
                <w:sz w:val="34"/>
                <w:szCs w:val="34"/>
                <w:color w:val="auto"/>
                <w:w w:val="70"/>
                <w:vertAlign w:val="subscript"/>
              </w:rPr>
              <w:t>4,180</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$ 4,162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$ 2,894</w:t>
            </w:r>
          </w:p>
        </w:tc>
        <w:tc>
          <w:tcPr>
            <w:tcW w:w="0" w:type="dxa"/>
            <w:vAlign w:val="bottom"/>
          </w:tcPr>
          <w:p>
            <w:pPr>
              <w:spacing w:after="0"/>
              <w:rPr>
                <w:sz w:val="1"/>
                <w:szCs w:val="1"/>
                <w:color w:val="auto"/>
              </w:rPr>
            </w:pPr>
          </w:p>
        </w:tc>
      </w:tr>
      <w:tr>
        <w:trPr>
          <w:trHeight w:val="295"/>
        </w:trPr>
        <w:tc>
          <w:tcPr>
            <w:tcW w:w="4460" w:type="dxa"/>
            <w:vAlign w:val="bottom"/>
          </w:tcPr>
          <w:p>
            <w:pPr>
              <w:spacing w:after="0"/>
              <w:rPr>
                <w:sz w:val="24"/>
                <w:szCs w:val="24"/>
                <w:color w:val="auto"/>
              </w:rPr>
            </w:pP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0"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Income (Loss) from Continuing Operations before Provision for Income Taxes and Extraordinary Item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w:t>
            </w:r>
          </w:p>
        </w:tc>
        <w:tc>
          <w:tcPr>
            <w:tcW w:w="17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DOLLARS</w:t>
            </w:r>
          </w:p>
        </w:tc>
        <w:tc>
          <w:tcPr>
            <w:tcW w:w="0" w:type="dxa"/>
            <w:vAlign w:val="bottom"/>
          </w:tcPr>
          <w:p>
            <w:pPr>
              <w:spacing w:after="0"/>
              <w:rPr>
                <w:sz w:val="1"/>
                <w:szCs w:val="1"/>
                <w:color w:val="auto"/>
              </w:rPr>
            </w:pPr>
          </w:p>
        </w:tc>
      </w:tr>
      <w:tr>
        <w:trPr>
          <w:trHeight w:val="201"/>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U.S.</w:t>
            </w:r>
          </w:p>
        </w:tc>
        <w:tc>
          <w:tcPr>
            <w:tcW w:w="1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Non-U.S.</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Total</w:t>
            </w:r>
          </w:p>
        </w:tc>
        <w:tc>
          <w:tcPr>
            <w:tcW w:w="0" w:type="dxa"/>
            <w:vAlign w:val="bottom"/>
          </w:tcPr>
          <w:p>
            <w:pPr>
              <w:spacing w:after="0"/>
              <w:rPr>
                <w:sz w:val="1"/>
                <w:szCs w:val="1"/>
                <w:color w:val="auto"/>
              </w:rPr>
            </w:pPr>
          </w:p>
        </w:tc>
      </w:tr>
      <w:tr>
        <w:trPr>
          <w:trHeight w:val="201"/>
        </w:trPr>
        <w:tc>
          <w:tcPr>
            <w:tcW w:w="3200" w:type="dxa"/>
            <w:vAlign w:val="bottom"/>
            <w:vMerge w:val="restart"/>
          </w:tcPr>
          <w:p>
            <w:pPr>
              <w:jc w:val="right"/>
              <w:ind w:right="2693"/>
              <w:spacing w:after="0"/>
              <w:rPr>
                <w:sz w:val="20"/>
                <w:szCs w:val="20"/>
                <w:color w:val="auto"/>
              </w:rPr>
            </w:pPr>
            <w:r>
              <w:rPr>
                <w:rFonts w:ascii="Courier New" w:cs="Courier New" w:eastAsia="Courier New" w:hAnsi="Courier New"/>
                <w:sz w:val="17"/>
                <w:szCs w:val="17"/>
                <w:color w:val="auto"/>
                <w:w w:val="97"/>
              </w:rPr>
              <w:t>1997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w w:val="72"/>
              </w:rPr>
              <w:t>-------</w:t>
            </w:r>
            <w:r>
              <w:rPr>
                <w:rFonts w:ascii="Courier New" w:cs="Courier New" w:eastAsia="Courier New" w:hAnsi="Courier New"/>
                <w:sz w:val="34"/>
                <w:szCs w:val="34"/>
                <w:color w:val="auto"/>
                <w:w w:val="72"/>
                <w:vertAlign w:val="subscript"/>
              </w:rPr>
              <w:t>93</w:t>
            </w:r>
          </w:p>
        </w:tc>
        <w:tc>
          <w:tcPr>
            <w:tcW w:w="1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200" w:type="dxa"/>
            <w:vAlign w:val="bottom"/>
            <w:vMerge w:val="continue"/>
          </w:tcPr>
          <w:p>
            <w:pPr>
              <w:jc w:val="right"/>
              <w:ind w:right="73"/>
              <w:spacing w:after="0" w:line="178" w:lineRule="exact"/>
              <w:rPr>
                <w:sz w:val="20"/>
                <w:szCs w:val="20"/>
                <w:color w:val="auto"/>
              </w:rPr>
            </w:pPr>
            <w:r>
              <w:rPr>
                <w:rFonts w:ascii="Courier New" w:cs="Courier New" w:eastAsia="Courier New" w:hAnsi="Courier New"/>
                <w:sz w:val="17"/>
                <w:szCs w:val="17"/>
                <w:color w:val="auto"/>
              </w:rPr>
              <w:t>........................</w:t>
            </w:r>
          </w:p>
        </w:tc>
        <w:tc>
          <w:tcPr>
            <w:tcW w:w="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620</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713</w:t>
            </w:r>
          </w:p>
        </w:tc>
        <w:tc>
          <w:tcPr>
            <w:tcW w:w="0" w:type="dxa"/>
            <w:vAlign w:val="bottom"/>
          </w:tcPr>
          <w:p>
            <w:pPr>
              <w:spacing w:after="0"/>
              <w:rPr>
                <w:sz w:val="1"/>
                <w:szCs w:val="1"/>
                <w:color w:val="auto"/>
              </w:rPr>
            </w:pPr>
          </w:p>
        </w:tc>
      </w:tr>
      <w:tr>
        <w:trPr>
          <w:trHeight w:val="201"/>
        </w:trPr>
        <w:tc>
          <w:tcPr>
            <w:tcW w:w="3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1996 ........................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(529)</w:t>
            </w:r>
          </w:p>
        </w:tc>
        <w:tc>
          <w:tcPr>
            <w:tcW w:w="5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506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95"/>
        </w:trPr>
        <w:tc>
          <w:tcPr>
            <w:tcW w:w="3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24"/>
                <w:szCs w:val="24"/>
                <w:color w:val="auto"/>
              </w:rPr>
            </w:pPr>
          </w:p>
        </w:tc>
        <w:tc>
          <w:tcPr>
            <w:tcW w:w="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1,026</w:t>
            </w:r>
          </w:p>
        </w:tc>
        <w:tc>
          <w:tcPr>
            <w:tcW w:w="5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444</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1,470</w:t>
            </w:r>
          </w:p>
        </w:tc>
        <w:tc>
          <w:tcPr>
            <w:tcW w:w="0" w:type="dxa"/>
            <w:vAlign w:val="bottom"/>
          </w:tcPr>
          <w:p>
            <w:pPr>
              <w:spacing w:after="0"/>
              <w:rPr>
                <w:sz w:val="1"/>
                <w:szCs w:val="1"/>
                <w:color w:val="auto"/>
              </w:rPr>
            </w:pPr>
          </w:p>
        </w:tc>
      </w:tr>
    </w:tbl>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Provision (Credit) for Income Taxes</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20" w:type="dxa"/>
            <w:vAlign w:val="bottom"/>
            <w:gridSpan w:val="3"/>
          </w:tcPr>
          <w:p>
            <w:pPr>
              <w:jc w:val="right"/>
              <w:ind w:right="493"/>
              <w:spacing w:after="0"/>
              <w:rPr>
                <w:sz w:val="20"/>
                <w:szCs w:val="20"/>
                <w:color w:val="auto"/>
              </w:rPr>
            </w:pPr>
            <w:r>
              <w:rPr>
                <w:rFonts w:ascii="Courier New" w:cs="Courier New" w:eastAsia="Courier New" w:hAnsi="Courier New"/>
                <w:sz w:val="17"/>
                <w:szCs w:val="17"/>
                <w:color w:val="auto"/>
              </w:rPr>
              <w:t>MILLIONS OF DOLLARS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48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U.S. Federal</w:t>
            </w:r>
          </w:p>
        </w:tc>
        <w:tc>
          <w:tcPr>
            <w:tcW w:w="1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Non-U.S.</w:t>
            </w:r>
          </w:p>
        </w:tc>
        <w:tc>
          <w:tcPr>
            <w:tcW w:w="13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U.S. State</w:t>
            </w:r>
          </w:p>
        </w:tc>
        <w:tc>
          <w:tcPr>
            <w:tcW w:w="7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Total</w:t>
            </w:r>
          </w:p>
        </w:tc>
        <w:tc>
          <w:tcPr>
            <w:tcW w:w="0" w:type="dxa"/>
            <w:vAlign w:val="bottom"/>
          </w:tcPr>
          <w:p>
            <w:pPr>
              <w:spacing w:after="0"/>
              <w:rPr>
                <w:sz w:val="1"/>
                <w:szCs w:val="1"/>
                <w:color w:val="auto"/>
              </w:rPr>
            </w:pPr>
          </w:p>
        </w:tc>
      </w:tr>
      <w:tr>
        <w:trPr>
          <w:trHeight w:val="295"/>
        </w:trPr>
        <w:tc>
          <w:tcPr>
            <w:tcW w:w="3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36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2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$ 232</w:t>
            </w:r>
          </w:p>
        </w:tc>
        <w:tc>
          <w:tcPr>
            <w:tcW w:w="12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$ 323</w:t>
            </w:r>
          </w:p>
        </w:tc>
        <w:tc>
          <w:tcPr>
            <w:tcW w:w="5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ind w:right="393"/>
              <w:spacing w:after="0"/>
              <w:rPr>
                <w:sz w:val="20"/>
                <w:szCs w:val="20"/>
                <w:color w:val="auto"/>
              </w:rPr>
            </w:pPr>
            <w:r>
              <w:rPr>
                <w:rFonts w:ascii="Courier New" w:cs="Courier New" w:eastAsia="Courier New" w:hAnsi="Courier New"/>
                <w:sz w:val="17"/>
                <w:szCs w:val="17"/>
                <w:color w:val="auto"/>
              </w:rPr>
              <w:t>4</w:t>
            </w:r>
          </w:p>
        </w:tc>
        <w:tc>
          <w:tcPr>
            <w:tcW w:w="780" w:type="dxa"/>
            <w:vAlign w:val="bottom"/>
            <w:gridSpan w:val="2"/>
            <w:vMerge w:val="restart"/>
          </w:tcPr>
          <w:p>
            <w:pPr>
              <w:jc w:val="right"/>
              <w:ind w:right="13"/>
              <w:spacing w:after="0"/>
              <w:rPr>
                <w:sz w:val="20"/>
                <w:szCs w:val="20"/>
                <w:color w:val="auto"/>
              </w:rPr>
            </w:pPr>
            <w:r>
              <w:rPr>
                <w:rFonts w:ascii="Courier New" w:cs="Courier New" w:eastAsia="Courier New" w:hAnsi="Courier New"/>
                <w:sz w:val="17"/>
                <w:szCs w:val="17"/>
                <w:color w:val="auto"/>
              </w:rPr>
              <w:t>$ 559</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Current .......................</w:t>
            </w:r>
          </w:p>
        </w:tc>
        <w:tc>
          <w:tcPr>
            <w:tcW w:w="14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Deferred ......................</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(69)</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(81)</w:t>
            </w:r>
          </w:p>
        </w:tc>
        <w:tc>
          <w:tcPr>
            <w:tcW w:w="580" w:type="dxa"/>
            <w:vAlign w:val="bottom"/>
          </w:tcPr>
          <w:p>
            <w:pPr>
              <w:spacing w:after="0"/>
              <w:rPr>
                <w:sz w:val="17"/>
                <w:szCs w:val="17"/>
                <w:color w:val="auto"/>
              </w:rPr>
            </w:pPr>
          </w:p>
        </w:tc>
        <w:tc>
          <w:tcPr>
            <w:tcW w:w="8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(148)</w:t>
            </w:r>
          </w:p>
        </w:tc>
        <w:tc>
          <w:tcPr>
            <w:tcW w:w="0" w:type="dxa"/>
            <w:vAlign w:val="bottom"/>
          </w:tcPr>
          <w:p>
            <w:pPr>
              <w:spacing w:after="0"/>
              <w:rPr>
                <w:sz w:val="1"/>
                <w:szCs w:val="1"/>
                <w:color w:val="auto"/>
              </w:rPr>
            </w:pPr>
          </w:p>
        </w:tc>
      </w:tr>
      <w:tr>
        <w:trPr>
          <w:trHeight w:val="201"/>
        </w:trPr>
        <w:tc>
          <w:tcPr>
            <w:tcW w:w="336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360" w:type="dxa"/>
            <w:vAlign w:val="bottom"/>
            <w:vMerge w:val="continue"/>
          </w:tcPr>
          <w:p>
            <w:pPr>
              <w:spacing w:after="0"/>
              <w:rPr>
                <w:sz w:val="17"/>
                <w:szCs w:val="17"/>
                <w:color w:val="auto"/>
              </w:rPr>
            </w:pP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$ 163</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$ 242</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$ 411</w:t>
            </w:r>
          </w:p>
        </w:tc>
        <w:tc>
          <w:tcPr>
            <w:tcW w:w="0" w:type="dxa"/>
            <w:vAlign w:val="bottom"/>
          </w:tcPr>
          <w:p>
            <w:pPr>
              <w:spacing w:after="0"/>
              <w:rPr>
                <w:sz w:val="1"/>
                <w:szCs w:val="1"/>
                <w:color w:val="auto"/>
              </w:rPr>
            </w:pPr>
          </w:p>
        </w:tc>
      </w:tr>
      <w:tr>
        <w:trPr>
          <w:trHeight w:val="295"/>
        </w:trPr>
        <w:tc>
          <w:tcPr>
            <w:tcW w:w="3360" w:type="dxa"/>
            <w:vAlign w:val="bottom"/>
            <w:vMerge w:val="restart"/>
          </w:tcPr>
          <w:p>
            <w:pPr>
              <w:spacing w:after="0"/>
              <w:rPr>
                <w:sz w:val="20"/>
                <w:szCs w:val="20"/>
                <w:color w:val="auto"/>
              </w:rPr>
            </w:pPr>
            <w:r>
              <w:rPr>
                <w:rFonts w:ascii="Courier New" w:cs="Courier New" w:eastAsia="Courier New" w:hAnsi="Courier New"/>
                <w:sz w:val="17"/>
                <w:szCs w:val="17"/>
                <w:color w:val="auto"/>
              </w:rPr>
              <w:t>1996</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3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20" w:type="dxa"/>
            <w:vAlign w:val="bottom"/>
            <w:vMerge w:val="restart"/>
          </w:tcPr>
          <w:p>
            <w:pPr>
              <w:jc w:val="right"/>
              <w:ind w:right="393"/>
              <w:spacing w:after="0"/>
              <w:rPr>
                <w:sz w:val="20"/>
                <w:szCs w:val="20"/>
                <w:color w:val="auto"/>
              </w:rPr>
            </w:pPr>
            <w:r>
              <w:rPr>
                <w:rFonts w:ascii="Courier New" w:cs="Courier New" w:eastAsia="Courier New" w:hAnsi="Courier New"/>
                <w:sz w:val="17"/>
                <w:szCs w:val="17"/>
                <w:color w:val="auto"/>
              </w:rPr>
              <w:t>$(125)</w:t>
            </w:r>
          </w:p>
        </w:tc>
        <w:tc>
          <w:tcPr>
            <w:tcW w:w="12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$ 202</w:t>
            </w:r>
          </w:p>
        </w:tc>
        <w:tc>
          <w:tcPr>
            <w:tcW w:w="5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(3)</w:t>
            </w:r>
          </w:p>
        </w:tc>
        <w:tc>
          <w:tcPr>
            <w:tcW w:w="260" w:type="dxa"/>
            <w:vAlign w:val="bottom"/>
            <w:vMerge w:val="restart"/>
          </w:tcPr>
          <w:p>
            <w:pPr>
              <w:ind w:left="140"/>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74</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Current .......................</w:t>
            </w:r>
          </w:p>
        </w:tc>
        <w:tc>
          <w:tcPr>
            <w:tcW w:w="14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Deferred ......................</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(44)</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w:t>
            </w:r>
          </w:p>
        </w:tc>
        <w:tc>
          <w:tcPr>
            <w:tcW w:w="580" w:type="dxa"/>
            <w:vAlign w:val="bottom"/>
          </w:tcPr>
          <w:p>
            <w:pPr>
              <w:spacing w:after="0"/>
              <w:rPr>
                <w:sz w:val="17"/>
                <w:szCs w:val="17"/>
                <w:color w:val="auto"/>
              </w:rPr>
            </w:pPr>
          </w:p>
        </w:tc>
        <w:tc>
          <w:tcPr>
            <w:tcW w:w="8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c>
          <w:tcPr>
            <w:tcW w:w="0" w:type="dxa"/>
            <w:vAlign w:val="bottom"/>
          </w:tcPr>
          <w:p>
            <w:pPr>
              <w:spacing w:after="0"/>
              <w:rPr>
                <w:sz w:val="1"/>
                <w:szCs w:val="1"/>
                <w:color w:val="auto"/>
              </w:rPr>
            </w:pPr>
          </w:p>
        </w:tc>
      </w:tr>
      <w:tr>
        <w:trPr>
          <w:trHeight w:val="201"/>
        </w:trPr>
        <w:tc>
          <w:tcPr>
            <w:tcW w:w="336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360" w:type="dxa"/>
            <w:vAlign w:val="bottom"/>
            <w:vMerge w:val="continue"/>
          </w:tcPr>
          <w:p>
            <w:pPr>
              <w:spacing w:after="0"/>
              <w:rPr>
                <w:sz w:val="17"/>
                <w:szCs w:val="17"/>
                <w:color w:val="auto"/>
              </w:rPr>
            </w:pP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$(169)</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$ 196</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w:t>
            </w:r>
          </w:p>
        </w:tc>
        <w:tc>
          <w:tcPr>
            <w:tcW w:w="260" w:type="dxa"/>
            <w:vAlign w:val="bottom"/>
          </w:tcPr>
          <w:p>
            <w:pPr>
              <w:ind w:left="140"/>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95"/>
        </w:trPr>
        <w:tc>
          <w:tcPr>
            <w:tcW w:w="3360" w:type="dxa"/>
            <w:vAlign w:val="bottom"/>
            <w:vMerge w:val="restart"/>
          </w:tcPr>
          <w:p>
            <w:pPr>
              <w:spacing w:after="0"/>
              <w:rPr>
                <w:sz w:val="20"/>
                <w:szCs w:val="20"/>
                <w:color w:val="auto"/>
              </w:rPr>
            </w:pPr>
            <w:r>
              <w:rPr>
                <w:rFonts w:ascii="Courier New" w:cs="Courier New" w:eastAsia="Courier New" w:hAnsi="Courier New"/>
                <w:sz w:val="17"/>
                <w:szCs w:val="17"/>
                <w:color w:val="auto"/>
              </w:rPr>
              <w:t>1995</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3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2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$ 319</w:t>
            </w:r>
          </w:p>
        </w:tc>
        <w:tc>
          <w:tcPr>
            <w:tcW w:w="124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$ 182</w:t>
            </w:r>
          </w:p>
        </w:tc>
        <w:tc>
          <w:tcPr>
            <w:tcW w:w="5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ind w:right="393"/>
              <w:spacing w:after="0"/>
              <w:rPr>
                <w:sz w:val="20"/>
                <w:szCs w:val="20"/>
                <w:color w:val="auto"/>
              </w:rPr>
            </w:pPr>
            <w:r>
              <w:rPr>
                <w:rFonts w:ascii="Courier New" w:cs="Courier New" w:eastAsia="Courier New" w:hAnsi="Courier New"/>
                <w:sz w:val="17"/>
                <w:szCs w:val="17"/>
                <w:color w:val="auto"/>
              </w:rPr>
              <w:t>27</w:t>
            </w:r>
          </w:p>
        </w:tc>
        <w:tc>
          <w:tcPr>
            <w:tcW w:w="780" w:type="dxa"/>
            <w:vAlign w:val="bottom"/>
            <w:gridSpan w:val="2"/>
            <w:vMerge w:val="restart"/>
          </w:tcPr>
          <w:p>
            <w:pPr>
              <w:jc w:val="right"/>
              <w:ind w:right="13"/>
              <w:spacing w:after="0"/>
              <w:rPr>
                <w:sz w:val="20"/>
                <w:szCs w:val="20"/>
                <w:color w:val="auto"/>
              </w:rPr>
            </w:pPr>
            <w:r>
              <w:rPr>
                <w:rFonts w:ascii="Courier New" w:cs="Courier New" w:eastAsia="Courier New" w:hAnsi="Courier New"/>
                <w:sz w:val="17"/>
                <w:szCs w:val="17"/>
                <w:color w:val="auto"/>
              </w:rPr>
              <w:t>$ 528</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Current .......................</w:t>
            </w:r>
          </w:p>
        </w:tc>
        <w:tc>
          <w:tcPr>
            <w:tcW w:w="14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Deferred ......................</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(36)</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w:t>
            </w:r>
          </w:p>
        </w:tc>
        <w:tc>
          <w:tcPr>
            <w:tcW w:w="580" w:type="dxa"/>
            <w:vAlign w:val="bottom"/>
          </w:tcPr>
          <w:p>
            <w:pPr>
              <w:spacing w:after="0"/>
              <w:rPr>
                <w:sz w:val="17"/>
                <w:szCs w:val="17"/>
                <w:color w:val="auto"/>
              </w:rPr>
            </w:pPr>
          </w:p>
        </w:tc>
        <w:tc>
          <w:tcPr>
            <w:tcW w:w="8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c>
          <w:tcPr>
            <w:tcW w:w="0" w:type="dxa"/>
            <w:vAlign w:val="bottom"/>
          </w:tcPr>
          <w:p>
            <w:pPr>
              <w:spacing w:after="0"/>
              <w:rPr>
                <w:sz w:val="1"/>
                <w:szCs w:val="1"/>
                <w:color w:val="auto"/>
              </w:rPr>
            </w:pPr>
          </w:p>
        </w:tc>
      </w:tr>
      <w:tr>
        <w:trPr>
          <w:trHeight w:val="201"/>
        </w:trPr>
        <w:tc>
          <w:tcPr>
            <w:tcW w:w="3360" w:type="dxa"/>
            <w:vAlign w:val="bottom"/>
            <w:vMerge w:val="restart"/>
          </w:tcPr>
          <w:p>
            <w:pPr>
              <w:spacing w:after="0"/>
              <w:rPr>
                <w:sz w:val="20"/>
                <w:szCs w:val="20"/>
                <w:color w:val="auto"/>
              </w:rPr>
            </w:pPr>
            <w:r>
              <w:rPr>
                <w:rFonts w:ascii="Courier New" w:cs="Courier New" w:eastAsia="Courier New" w:hAnsi="Courier New"/>
                <w:sz w:val="17"/>
                <w:szCs w:val="17"/>
                <w:color w:val="auto"/>
              </w:rPr>
              <w:t>Total .........................</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360" w:type="dxa"/>
            <w:vAlign w:val="bottom"/>
            <w:vMerge w:val="continue"/>
          </w:tcPr>
          <w:p>
            <w:pPr>
              <w:spacing w:after="0"/>
              <w:rPr>
                <w:sz w:val="17"/>
                <w:szCs w:val="17"/>
                <w:color w:val="auto"/>
              </w:rPr>
            </w:pP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$ 283</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$ 163</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28</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$ 474</w:t>
            </w:r>
          </w:p>
        </w:tc>
        <w:tc>
          <w:tcPr>
            <w:tcW w:w="0" w:type="dxa"/>
            <w:vAlign w:val="bottom"/>
          </w:tcPr>
          <w:p>
            <w:pPr>
              <w:spacing w:after="0"/>
              <w:rPr>
                <w:sz w:val="1"/>
                <w:szCs w:val="1"/>
                <w:color w:val="auto"/>
              </w:rPr>
            </w:pPr>
          </w:p>
        </w:tc>
      </w:tr>
      <w:tr>
        <w:trPr>
          <w:trHeight w:val="295"/>
        </w:trPr>
        <w:tc>
          <w:tcPr>
            <w:tcW w:w="3360" w:type="dxa"/>
            <w:vAlign w:val="bottom"/>
          </w:tcPr>
          <w:p>
            <w:pPr>
              <w:spacing w:after="0"/>
              <w:rPr>
                <w:sz w:val="24"/>
                <w:szCs w:val="24"/>
                <w:color w:val="auto"/>
              </w:rPr>
            </w:pP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979"/>
        <w:spacing w:after="0" w:line="376" w:lineRule="auto"/>
        <w:rPr>
          <w:sz w:val="20"/>
          <w:szCs w:val="20"/>
          <w:color w:val="auto"/>
        </w:rPr>
      </w:pPr>
      <w:r>
        <w:rPr>
          <w:rFonts w:ascii="Courier New" w:cs="Courier New" w:eastAsia="Courier New" w:hAnsi="Courier New"/>
          <w:sz w:val="17"/>
          <w:szCs w:val="17"/>
          <w:color w:val="auto"/>
        </w:rPr>
        <w:t>Principal reconciling items from income tax computed at the statutory federal rate follow.</w:t>
      </w:r>
    </w:p>
    <w:p>
      <w:pPr>
        <w:spacing w:after="0" w:line="1"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MILLIONS OF DOLLARS</w:t>
      </w:r>
    </w:p>
    <w:p>
      <w:pPr>
        <w:spacing w:after="0" w:line="41"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tbl>
      <w:tblPr>
        <w:tblLayout w:type="fixed"/>
        <w:tblInd w:w="4820" w:type="dxa"/>
        <w:tblCellMar>
          <w:top w:w="0" w:type="dxa"/>
          <w:left w:w="0" w:type="dxa"/>
          <w:bottom w:w="0" w:type="dxa"/>
          <w:right w:w="0" w:type="dxa"/>
        </w:tblCellMar>
      </w:tblPr>
      <w:tr>
        <w:trPr>
          <w:trHeight w:val="178"/>
        </w:trPr>
        <w:tc>
          <w:tcPr>
            <w:tcW w:w="940" w:type="dxa"/>
            <w:vAlign w:val="bottom"/>
          </w:tcPr>
          <w:p>
            <w:pPr>
              <w:jc w:val="right"/>
              <w:ind w:right="333"/>
              <w:spacing w:after="0" w:line="179" w:lineRule="exact"/>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ind w:right="333"/>
              <w:spacing w:after="0" w:line="179" w:lineRule="exact"/>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ind w:right="13"/>
              <w:spacing w:after="0" w:line="179" w:lineRule="exact"/>
              <w:rPr>
                <w:sz w:val="20"/>
                <w:szCs w:val="20"/>
                <w:color w:val="auto"/>
              </w:rPr>
            </w:pPr>
            <w:r>
              <w:rPr>
                <w:rFonts w:ascii="Courier New" w:cs="Courier New" w:eastAsia="Courier New" w:hAnsi="Courier New"/>
                <w:sz w:val="17"/>
                <w:szCs w:val="17"/>
                <w:color w:val="auto"/>
              </w:rPr>
              <w:t>1995</w:t>
            </w:r>
          </w:p>
        </w:tc>
      </w:tr>
      <w:tr>
        <w:trPr>
          <w:trHeight w:val="295"/>
        </w:trPr>
        <w:tc>
          <w:tcPr>
            <w:tcW w:w="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920" w:orient="portrait"/>
          <w:cols w:equalWidth="0" w:num="1">
            <w:col w:w="10219"/>
          </w:cols>
          <w:pgMar w:left="240" w:top="311" w:right="1440" w:bottom="0" w:gutter="0" w:footer="0" w:header="0"/>
        </w:sectPr>
      </w:pPr>
    </w:p>
    <w:bookmarkStart w:id="37" w:name="page38"/>
    <w:bookmarkEnd w:id="37"/>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Computed tax at statutory rate ..............</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249</w:t>
            </w:r>
          </w:p>
        </w:tc>
        <w:tc>
          <w:tcPr>
            <w:tcW w:w="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515</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Effect of acquired in-process R&amp;D ...........</w:t>
            </w:r>
          </w:p>
        </w:tc>
        <w:tc>
          <w:tcPr>
            <w:tcW w:w="360" w:type="dxa"/>
            <w:vAlign w:val="bottom"/>
          </w:tcPr>
          <w:p>
            <w:pPr>
              <w:spacing w:after="0"/>
              <w:rPr>
                <w:sz w:val="17"/>
                <w:szCs w:val="17"/>
                <w:color w:val="auto"/>
              </w:rPr>
            </w:pP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161</w:t>
            </w:r>
          </w:p>
        </w:tc>
        <w:tc>
          <w:tcPr>
            <w:tcW w:w="48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67</w:t>
            </w:r>
          </w:p>
        </w:tc>
        <w:tc>
          <w:tcPr>
            <w:tcW w:w="460" w:type="dxa"/>
            <w:vAlign w:val="bottom"/>
          </w:tcPr>
          <w:p>
            <w:pPr>
              <w:spacing w:after="0"/>
              <w:rPr>
                <w:sz w:val="17"/>
                <w:szCs w:val="17"/>
                <w:color w:val="auto"/>
              </w:rPr>
            </w:pP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Effect of non-U.S. rates ....................</w:t>
            </w:r>
          </w:p>
        </w:tc>
        <w:tc>
          <w:tcPr>
            <w:tcW w:w="360" w:type="dxa"/>
            <w:vAlign w:val="bottom"/>
          </w:tcPr>
          <w:p>
            <w:pPr>
              <w:spacing w:after="0"/>
              <w:rPr>
                <w:sz w:val="17"/>
                <w:szCs w:val="17"/>
                <w:color w:val="auto"/>
              </w:rPr>
            </w:pPr>
          </w:p>
        </w:tc>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(11)</w:t>
            </w:r>
          </w:p>
        </w:tc>
        <w:tc>
          <w:tcPr>
            <w:tcW w:w="4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Research and experimentation tax credits ....</w:t>
            </w:r>
          </w:p>
        </w:tc>
        <w:tc>
          <w:tcPr>
            <w:tcW w:w="360" w:type="dxa"/>
            <w:vAlign w:val="bottom"/>
          </w:tcPr>
          <w:p>
            <w:pPr>
              <w:spacing w:after="0"/>
              <w:rPr>
                <w:sz w:val="17"/>
                <w:szCs w:val="17"/>
                <w:color w:val="auto"/>
              </w:rPr>
            </w:pPr>
          </w:p>
        </w:tc>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(30)</w:t>
            </w:r>
          </w:p>
        </w:tc>
        <w:tc>
          <w:tcPr>
            <w:tcW w:w="4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Effect of U.S. state income taxes ...........</w:t>
            </w:r>
          </w:p>
        </w:tc>
        <w:tc>
          <w:tcPr>
            <w:tcW w:w="360" w:type="dxa"/>
            <w:vAlign w:val="bottom"/>
          </w:tcPr>
          <w:p>
            <w:pPr>
              <w:spacing w:after="0"/>
              <w:rPr>
                <w:sz w:val="17"/>
                <w:szCs w:val="17"/>
                <w:color w:val="auto"/>
              </w:rPr>
            </w:pP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w:t>
            </w:r>
          </w:p>
        </w:tc>
        <w:tc>
          <w:tcPr>
            <w:tcW w:w="4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17"/>
                <w:szCs w:val="17"/>
                <w:color w:val="auto"/>
              </w:rPr>
            </w:pP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Effect of unbenefited joint venture costs ...</w:t>
            </w:r>
          </w:p>
        </w:tc>
        <w:tc>
          <w:tcPr>
            <w:tcW w:w="360" w:type="dxa"/>
            <w:vAlign w:val="bottom"/>
          </w:tcPr>
          <w:p>
            <w:pPr>
              <w:spacing w:after="0"/>
              <w:rPr>
                <w:sz w:val="17"/>
                <w:szCs w:val="17"/>
                <w:color w:val="auto"/>
              </w:rPr>
            </w:pP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w:t>
            </w:r>
          </w:p>
        </w:tc>
        <w:tc>
          <w:tcPr>
            <w:tcW w:w="48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w:t>
            </w:r>
          </w:p>
        </w:tc>
        <w:tc>
          <w:tcPr>
            <w:tcW w:w="460" w:type="dxa"/>
            <w:vAlign w:val="bottom"/>
          </w:tcPr>
          <w:p>
            <w:pPr>
              <w:spacing w:after="0"/>
              <w:rPr>
                <w:sz w:val="17"/>
                <w:szCs w:val="17"/>
                <w:color w:val="auto"/>
              </w:rPr>
            </w:pP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Other .......................................</w:t>
            </w:r>
          </w:p>
        </w:tc>
        <w:tc>
          <w:tcPr>
            <w:tcW w:w="360" w:type="dxa"/>
            <w:vAlign w:val="bottom"/>
          </w:tcPr>
          <w:p>
            <w:pPr>
              <w:spacing w:after="0"/>
              <w:rPr>
                <w:sz w:val="17"/>
                <w:szCs w:val="17"/>
                <w:color w:val="auto"/>
              </w:rPr>
            </w:pP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w:t>
            </w:r>
          </w:p>
        </w:tc>
        <w:tc>
          <w:tcPr>
            <w:tcW w:w="4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w:t>
            </w:r>
          </w:p>
        </w:tc>
        <w:tc>
          <w:tcPr>
            <w:tcW w:w="460" w:type="dxa"/>
            <w:vAlign w:val="bottom"/>
          </w:tcPr>
          <w:p>
            <w:pPr>
              <w:spacing w:after="0"/>
              <w:rPr>
                <w:sz w:val="17"/>
                <w:szCs w:val="17"/>
                <w:color w:val="auto"/>
              </w:rPr>
            </w:pP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31</w:t>
            </w:r>
          </w:p>
        </w:tc>
        <w:tc>
          <w:tcPr>
            <w:tcW w:w="0" w:type="dxa"/>
            <w:vAlign w:val="bottom"/>
          </w:tcPr>
          <w:p>
            <w:pPr>
              <w:spacing w:after="0"/>
              <w:rPr>
                <w:sz w:val="1"/>
                <w:szCs w:val="1"/>
                <w:color w:val="auto"/>
              </w:rPr>
            </w:pPr>
          </w:p>
        </w:tc>
      </w:tr>
      <w:tr>
        <w:trPr>
          <w:trHeight w:val="201"/>
        </w:trPr>
        <w:tc>
          <w:tcPr>
            <w:tcW w:w="4780" w:type="dxa"/>
            <w:vAlign w:val="bottom"/>
            <w:vMerge w:val="restart"/>
          </w:tcPr>
          <w:p>
            <w:pPr>
              <w:spacing w:after="0"/>
              <w:rPr>
                <w:sz w:val="20"/>
                <w:szCs w:val="20"/>
                <w:color w:val="auto"/>
              </w:rPr>
            </w:pPr>
            <w:r>
              <w:rPr>
                <w:rFonts w:ascii="Courier New" w:cs="Courier New" w:eastAsia="Courier New" w:hAnsi="Courier New"/>
                <w:sz w:val="17"/>
                <w:szCs w:val="17"/>
                <w:color w:val="auto"/>
              </w:rPr>
              <w:t>Total provision for income taxes ............</w:t>
            </w:r>
          </w:p>
        </w:tc>
        <w:tc>
          <w:tcPr>
            <w:tcW w:w="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10"/>
                <w:szCs w:val="10"/>
                <w:color w:val="auto"/>
                <w:w w:val="71"/>
              </w:rPr>
              <w:t>------</w:t>
            </w:r>
          </w:p>
        </w:tc>
        <w:tc>
          <w:tcPr>
            <w:tcW w:w="68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w w:val="97"/>
              </w:rPr>
              <w:t>411</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78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474</w:t>
            </w:r>
          </w:p>
        </w:tc>
        <w:tc>
          <w:tcPr>
            <w:tcW w:w="0" w:type="dxa"/>
            <w:vAlign w:val="bottom"/>
          </w:tcPr>
          <w:p>
            <w:pPr>
              <w:spacing w:after="0"/>
              <w:rPr>
                <w:sz w:val="1"/>
                <w:szCs w:val="1"/>
                <w:color w:val="auto"/>
              </w:rPr>
            </w:pPr>
          </w:p>
        </w:tc>
      </w:tr>
      <w:tr>
        <w:trPr>
          <w:trHeight w:val="295"/>
        </w:trPr>
        <w:tc>
          <w:tcPr>
            <w:tcW w:w="4780" w:type="dxa"/>
            <w:vAlign w:val="bottom"/>
          </w:tcPr>
          <w:p>
            <w:pPr>
              <w:spacing w:after="0"/>
              <w:rPr>
                <w:sz w:val="24"/>
                <w:szCs w:val="24"/>
                <w:color w:val="auto"/>
              </w:rPr>
            </w:pPr>
          </w:p>
        </w:tc>
        <w:tc>
          <w:tcPr>
            <w:tcW w:w="104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39"/>
        <w:spacing w:after="0" w:line="264" w:lineRule="auto"/>
        <w:rPr>
          <w:sz w:val="20"/>
          <w:szCs w:val="20"/>
          <w:color w:val="auto"/>
        </w:rPr>
      </w:pPr>
      <w:r>
        <w:rPr>
          <w:rFonts w:ascii="Courier New" w:cs="Courier New" w:eastAsia="Courier New" w:hAnsi="Courier New"/>
          <w:sz w:val="17"/>
          <w:szCs w:val="17"/>
          <w:color w:val="auto"/>
        </w:rPr>
        <w:t>Included in the effect of non-U.S. rates for 1996 and 1995 is a $4 million and a $93 million benefit from tax loss carryforward utilization reduced by certain non-U.S. taxes and losses for which no benefit was recognized. Provision has been made for deferred taxes on undistributed earnings of non-U.S. subsidiaries to the extent that dividend payments from such companies are expected to result in additional tax liability. The remaining undistributed earnings (approximately $870 million at December 31, 1997) have been indefinitely reinvested; therefore, no provision has been made for taxes due upon remittance of these earnings. Determination of the amount of unrecognized deferred tax liability on these unremitted earnings is not practicable.</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32</w:t>
      </w:r>
    </w:p>
    <w:p>
      <w:pPr>
        <w:spacing w:after="0" w:line="210" w:lineRule="exact"/>
        <w:rPr>
          <w:sz w:val="20"/>
          <w:szCs w:val="20"/>
          <w:color w:val="auto"/>
        </w:rPr>
      </w:pPr>
    </w:p>
    <w:p>
      <w:pPr>
        <w:ind w:right="2679" w:firstLine="419"/>
        <w:spacing w:after="0" w:line="376" w:lineRule="auto"/>
        <w:rPr>
          <w:sz w:val="20"/>
          <w:szCs w:val="20"/>
          <w:color w:val="auto"/>
        </w:rPr>
      </w:pPr>
      <w:r>
        <w:rPr>
          <w:rFonts w:ascii="Courier New" w:cs="Courier New" w:eastAsia="Courier New" w:hAnsi="Courier New"/>
          <w:sz w:val="17"/>
          <w:szCs w:val="17"/>
          <w:color w:val="auto"/>
        </w:rPr>
        <w:t>The primary components of deferred income tax assets and liabilities at December 31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40" w:type="dxa"/>
            <w:vAlign w:val="bottom"/>
          </w:tcPr>
          <w:p>
            <w:pPr>
              <w:spacing w:after="0"/>
              <w:rPr>
                <w:sz w:val="17"/>
                <w:szCs w:val="17"/>
                <w:color w:val="auto"/>
              </w:rPr>
            </w:pPr>
          </w:p>
        </w:tc>
        <w:tc>
          <w:tcPr>
            <w:tcW w:w="21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21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1997</w:t>
            </w:r>
          </w:p>
        </w:tc>
        <w:tc>
          <w:tcPr>
            <w:tcW w:w="32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1996</w:t>
            </w:r>
          </w:p>
        </w:tc>
        <w:tc>
          <w:tcPr>
            <w:tcW w:w="0" w:type="dxa"/>
            <w:vAlign w:val="bottom"/>
          </w:tcPr>
          <w:p>
            <w:pPr>
              <w:spacing w:after="0"/>
              <w:rPr>
                <w:sz w:val="1"/>
                <w:szCs w:val="1"/>
                <w:color w:val="auto"/>
              </w:rPr>
            </w:pPr>
          </w:p>
        </w:tc>
      </w:tr>
      <w:tr>
        <w:trPr>
          <w:trHeight w:val="295"/>
        </w:trPr>
        <w:tc>
          <w:tcPr>
            <w:tcW w:w="5340" w:type="dxa"/>
            <w:vAlign w:val="bottom"/>
            <w:vMerge w:val="restart"/>
          </w:tcPr>
          <w:p>
            <w:pPr>
              <w:spacing w:after="0"/>
              <w:rPr>
                <w:sz w:val="20"/>
                <w:szCs w:val="20"/>
                <w:color w:val="auto"/>
              </w:rPr>
            </w:pPr>
            <w:r>
              <w:rPr>
                <w:rFonts w:ascii="Courier New" w:cs="Courier New" w:eastAsia="Courier New" w:hAnsi="Courier New"/>
                <w:sz w:val="17"/>
                <w:szCs w:val="17"/>
                <w:color w:val="auto"/>
              </w:rPr>
              <w:t>Deferred income tax assets:</w:t>
            </w: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3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Accrued retirement costs (pension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221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220</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retiree health care) ............................</w:t>
            </w: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Inventories and related reserves .................</w:t>
            </w:r>
          </w:p>
        </w:tc>
        <w:tc>
          <w:tcPr>
            <w:tcW w:w="3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216</w:t>
            </w:r>
          </w:p>
        </w:tc>
        <w:tc>
          <w:tcPr>
            <w:tcW w:w="32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Accrued expenses .................................</w:t>
            </w:r>
          </w:p>
        </w:tc>
        <w:tc>
          <w:tcPr>
            <w:tcW w:w="3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283</w:t>
            </w:r>
          </w:p>
        </w:tc>
        <w:tc>
          <w:tcPr>
            <w:tcW w:w="32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186</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Loss and credit carryforwards ....................</w:t>
            </w:r>
          </w:p>
        </w:tc>
        <w:tc>
          <w:tcPr>
            <w:tcW w:w="3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w:t>
            </w:r>
          </w:p>
        </w:tc>
        <w:tc>
          <w:tcPr>
            <w:tcW w:w="32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3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210</w:t>
            </w:r>
          </w:p>
        </w:tc>
        <w:tc>
          <w:tcPr>
            <w:tcW w:w="32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197</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1,010</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840</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Less valuation allowance ..........................</w:t>
            </w:r>
          </w:p>
        </w:tc>
        <w:tc>
          <w:tcPr>
            <w:tcW w:w="3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8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(121)</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(134)</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889</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706</w:t>
            </w:r>
          </w:p>
        </w:tc>
        <w:tc>
          <w:tcPr>
            <w:tcW w:w="0" w:type="dxa"/>
            <w:vAlign w:val="bottom"/>
          </w:tcPr>
          <w:p>
            <w:pPr>
              <w:spacing w:after="0"/>
              <w:rPr>
                <w:sz w:val="1"/>
                <w:szCs w:val="1"/>
                <w:color w:val="auto"/>
              </w:rPr>
            </w:pPr>
          </w:p>
        </w:tc>
      </w:tr>
      <w:tr>
        <w:trPr>
          <w:trHeight w:val="295"/>
        </w:trPr>
        <w:tc>
          <w:tcPr>
            <w:tcW w:w="5340" w:type="dxa"/>
            <w:vAlign w:val="bottom"/>
            <w:vMerge w:val="restart"/>
          </w:tcPr>
          <w:p>
            <w:pPr>
              <w:spacing w:after="0"/>
              <w:rPr>
                <w:sz w:val="20"/>
                <w:szCs w:val="20"/>
                <w:color w:val="auto"/>
              </w:rPr>
            </w:pPr>
            <w:r>
              <w:rPr>
                <w:rFonts w:ascii="Courier New" w:cs="Courier New" w:eastAsia="Courier New" w:hAnsi="Courier New"/>
                <w:sz w:val="17"/>
                <w:szCs w:val="17"/>
                <w:color w:val="auto"/>
              </w:rPr>
              <w:t>Deferred income tax liabilities:</w:t>
            </w: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3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(165)</w:t>
            </w:r>
          </w:p>
        </w:tc>
        <w:tc>
          <w:tcPr>
            <w:tcW w:w="3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(96)</w:t>
            </w: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Property, plant and equipment ....................</w:t>
            </w: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3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(155)</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8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(313)</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(251)</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Net deferred income tax asset .....................</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10"/>
                <w:szCs w:val="10"/>
                <w:color w:val="auto"/>
                <w:w w:val="71"/>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576</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455</w:t>
            </w:r>
          </w:p>
        </w:tc>
        <w:tc>
          <w:tcPr>
            <w:tcW w:w="0" w:type="dxa"/>
            <w:vAlign w:val="bottom"/>
          </w:tcPr>
          <w:p>
            <w:pPr>
              <w:spacing w:after="0"/>
              <w:rPr>
                <w:sz w:val="1"/>
                <w:szCs w:val="1"/>
                <w:color w:val="auto"/>
              </w:rPr>
            </w:pPr>
          </w:p>
        </w:tc>
      </w:tr>
      <w:tr>
        <w:trPr>
          <w:trHeight w:val="295"/>
        </w:trPr>
        <w:tc>
          <w:tcPr>
            <w:tcW w:w="5340" w:type="dxa"/>
            <w:vAlign w:val="bottom"/>
          </w:tcPr>
          <w:p>
            <w:pPr>
              <w:spacing w:after="0"/>
              <w:rPr>
                <w:sz w:val="24"/>
                <w:szCs w:val="24"/>
                <w:color w:val="auto"/>
              </w:rPr>
            </w:pP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39"/>
        <w:spacing w:after="0" w:line="262" w:lineRule="auto"/>
        <w:rPr>
          <w:sz w:val="20"/>
          <w:szCs w:val="20"/>
          <w:color w:val="auto"/>
        </w:rPr>
      </w:pPr>
      <w:r>
        <w:rPr>
          <w:rFonts w:ascii="Courier New" w:cs="Courier New" w:eastAsia="Courier New" w:hAnsi="Courier New"/>
          <w:sz w:val="17"/>
          <w:szCs w:val="17"/>
          <w:color w:val="auto"/>
        </w:rPr>
        <w:t>As of December 31, 1997 and 1996, the net deferred income tax asset of $576 million and $455 million was presented in the balance sheet, based on tax jurisdiction, as deferred income tax assets of $711 million and $587 million and deferred income tax liabilities of $135 million and $132 million. The valuation allowance shown above reflects the company's ongoing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w:t>
      </w:r>
    </w:p>
    <w:p>
      <w:pPr>
        <w:spacing w:after="0" w:line="306" w:lineRule="exact"/>
        <w:rPr>
          <w:sz w:val="20"/>
          <w:szCs w:val="20"/>
          <w:color w:val="auto"/>
        </w:rPr>
      </w:pPr>
    </w:p>
    <w:p>
      <w:pPr>
        <w:ind w:right="2259" w:firstLine="419"/>
        <w:spacing w:after="0" w:line="293" w:lineRule="auto"/>
        <w:rPr>
          <w:sz w:val="20"/>
          <w:szCs w:val="20"/>
          <w:color w:val="auto"/>
        </w:rPr>
      </w:pPr>
      <w:r>
        <w:rPr>
          <w:rFonts w:ascii="Courier New" w:cs="Courier New" w:eastAsia="Courier New" w:hAnsi="Courier New"/>
          <w:sz w:val="17"/>
          <w:szCs w:val="17"/>
          <w:color w:val="auto"/>
        </w:rPr>
        <w:t>The company has aggregate U.S. and non-U.S. tax loss carryforwards of approximately $80 million and U.S. tax credit carryforwards of $47 million. Of these amounts, $113 million expires through the year 2007 and $14 million of the loss carryforwards has no expiration.</w:t>
      </w:r>
    </w:p>
    <w:p>
      <w:pPr>
        <w:spacing w:after="0" w:line="67" w:lineRule="exact"/>
        <w:rPr>
          <w:sz w:val="20"/>
          <w:szCs w:val="20"/>
          <w:color w:val="auto"/>
        </w:rPr>
      </w:pPr>
    </w:p>
    <w:p>
      <w:pPr>
        <w:ind w:right="2359" w:firstLine="419"/>
        <w:spacing w:after="0" w:line="379" w:lineRule="auto"/>
        <w:rPr>
          <w:sz w:val="20"/>
          <w:szCs w:val="20"/>
          <w:color w:val="auto"/>
        </w:rPr>
      </w:pPr>
      <w:r>
        <w:rPr>
          <w:rFonts w:ascii="Courier New" w:cs="Courier New" w:eastAsia="Courier New" w:hAnsi="Courier New"/>
          <w:sz w:val="17"/>
          <w:szCs w:val="17"/>
          <w:color w:val="auto"/>
        </w:rPr>
        <w:t>Income taxes paid were $1145 million, $240 million and $384 million for 1997, 1996 and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RENTAL EXPENSE AND LEASE COMMITMENTS</w:t>
      </w:r>
    </w:p>
    <w:p>
      <w:pPr>
        <w:spacing w:after="0" w:line="41" w:lineRule="exact"/>
        <w:rPr>
          <w:sz w:val="20"/>
          <w:szCs w:val="20"/>
          <w:color w:val="auto"/>
        </w:rPr>
      </w:pPr>
    </w:p>
    <w:p>
      <w:pPr>
        <w:ind w:left="220" w:hanging="213"/>
        <w:spacing w:after="0"/>
        <w:tabs>
          <w:tab w:leader="none" w:pos="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359"/>
        <w:spacing w:after="0" w:line="29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Rental and lease expense was $168 million in 1997, $175 million in 1996 and $151 million in 1995. The company conducts certain operations in leased facilities and also leases a portion of its data processing and other</w:t>
      </w:r>
    </w:p>
    <w:p>
      <w:pPr>
        <w:sectPr>
          <w:pgSz w:w="11900" w:h="16964" w:orient="portrait"/>
          <w:cols w:equalWidth="0" w:num="1">
            <w:col w:w="10219"/>
          </w:cols>
          <w:pgMar w:left="240" w:top="110" w:right="1440" w:bottom="0" w:gutter="0" w:footer="0" w:header="0"/>
        </w:sectPr>
      </w:pPr>
    </w:p>
    <w:bookmarkStart w:id="38" w:name="page39"/>
    <w:bookmarkEnd w:id="38"/>
    <w:p>
      <w:pPr>
        <w:spacing w:after="0" w:line="81" w:lineRule="exact"/>
        <w:rPr>
          <w:sz w:val="20"/>
          <w:szCs w:val="20"/>
          <w:color w:val="auto"/>
        </w:rPr>
      </w:pPr>
    </w:p>
    <w:p>
      <w:pPr>
        <w:ind w:right="2459"/>
        <w:spacing w:after="0" w:line="315" w:lineRule="auto"/>
        <w:rPr>
          <w:sz w:val="20"/>
          <w:szCs w:val="20"/>
          <w:color w:val="auto"/>
        </w:rPr>
      </w:pPr>
      <w:r>
        <w:rPr>
          <w:rFonts w:ascii="Courier New" w:cs="Courier New" w:eastAsia="Courier New" w:hAnsi="Courier New"/>
          <w:sz w:val="17"/>
          <w:szCs w:val="17"/>
          <w:color w:val="auto"/>
        </w:rPr>
        <w:t>equipment. The lease agreements frequently include purchase and renewal provisions and require the company to pay taxes, insurance and maintenance costs.</w:t>
      </w:r>
    </w:p>
    <w:p>
      <w:pPr>
        <w:spacing w:after="0" w:line="47" w:lineRule="exact"/>
        <w:rPr>
          <w:sz w:val="20"/>
          <w:szCs w:val="20"/>
          <w:color w:val="auto"/>
        </w:rPr>
      </w:pPr>
    </w:p>
    <w:p>
      <w:pPr>
        <w:ind w:right="2779" w:firstLine="419"/>
        <w:spacing w:after="0" w:line="379" w:lineRule="auto"/>
        <w:rPr>
          <w:sz w:val="20"/>
          <w:szCs w:val="20"/>
          <w:color w:val="auto"/>
        </w:rPr>
      </w:pPr>
      <w:r>
        <w:rPr>
          <w:rFonts w:ascii="Courier New" w:cs="Courier New" w:eastAsia="Courier New" w:hAnsi="Courier New"/>
          <w:sz w:val="17"/>
          <w:szCs w:val="17"/>
          <w:color w:val="auto"/>
        </w:rPr>
        <w:t>At December 31, 1997, the company was committed under noncancelable leases with minimum rentals in succeeding years as follows: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NONCANCELABLE LEASES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MILLIONS</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OF DOLLARS</w:t>
            </w:r>
          </w:p>
        </w:tc>
      </w:tr>
      <w:tr>
        <w:trPr>
          <w:trHeight w:val="295"/>
        </w:trPr>
        <w:tc>
          <w:tcPr>
            <w:tcW w:w="546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806"/>
        </w:trPr>
        <w:tc>
          <w:tcPr>
            <w:tcW w:w="5460" w:type="dxa"/>
            <w:vAlign w:val="bottom"/>
          </w:tcPr>
          <w:p>
            <w:pPr>
              <w:spacing w:after="0"/>
              <w:rPr>
                <w:sz w:val="20"/>
                <w:szCs w:val="20"/>
                <w:color w:val="auto"/>
              </w:rPr>
            </w:pPr>
            <w:r>
              <w:rPr>
                <w:rFonts w:ascii="Courier New" w:cs="Courier New" w:eastAsia="Courier New" w:hAnsi="Courier New"/>
                <w:sz w:val="17"/>
                <w:szCs w:val="17"/>
                <w:color w:val="auto"/>
              </w:rPr>
              <w:t>1998 ............................................</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97</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1999 ............................................</w:t>
            </w:r>
          </w:p>
        </w:tc>
        <w:tc>
          <w:tcPr>
            <w:tcW w:w="1140" w:type="dxa"/>
            <w:vAlign w:val="bottom"/>
          </w:tcPr>
          <w:p>
            <w:pPr>
              <w:spacing w:after="0"/>
              <w:rPr>
                <w:sz w:val="24"/>
                <w:szCs w:val="24"/>
                <w:color w:val="auto"/>
              </w:rPr>
            </w:pPr>
          </w:p>
        </w:tc>
        <w:tc>
          <w:tcPr>
            <w:tcW w:w="11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67</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2000 ............................................</w:t>
            </w:r>
          </w:p>
        </w:tc>
        <w:tc>
          <w:tcPr>
            <w:tcW w:w="1140" w:type="dxa"/>
            <w:vAlign w:val="bottom"/>
          </w:tcPr>
          <w:p>
            <w:pPr>
              <w:spacing w:after="0"/>
              <w:rPr>
                <w:sz w:val="24"/>
                <w:szCs w:val="24"/>
                <w:color w:val="auto"/>
              </w:rPr>
            </w:pPr>
          </w:p>
        </w:tc>
        <w:tc>
          <w:tcPr>
            <w:tcW w:w="11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46</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2001 ............................................</w:t>
            </w:r>
          </w:p>
        </w:tc>
        <w:tc>
          <w:tcPr>
            <w:tcW w:w="1140" w:type="dxa"/>
            <w:vAlign w:val="bottom"/>
          </w:tcPr>
          <w:p>
            <w:pPr>
              <w:spacing w:after="0"/>
              <w:rPr>
                <w:sz w:val="24"/>
                <w:szCs w:val="24"/>
                <w:color w:val="auto"/>
              </w:rPr>
            </w:pPr>
          </w:p>
        </w:tc>
        <w:tc>
          <w:tcPr>
            <w:tcW w:w="11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31</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2002 ............................................</w:t>
            </w:r>
          </w:p>
        </w:tc>
        <w:tc>
          <w:tcPr>
            <w:tcW w:w="1140" w:type="dxa"/>
            <w:vAlign w:val="bottom"/>
          </w:tcPr>
          <w:p>
            <w:pPr>
              <w:spacing w:after="0"/>
              <w:rPr>
                <w:sz w:val="24"/>
                <w:szCs w:val="24"/>
                <w:color w:val="auto"/>
              </w:rPr>
            </w:pPr>
          </w:p>
        </w:tc>
        <w:tc>
          <w:tcPr>
            <w:tcW w:w="11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19</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Thereafter  .....................................</w:t>
            </w:r>
          </w:p>
        </w:tc>
        <w:tc>
          <w:tcPr>
            <w:tcW w:w="1140" w:type="dxa"/>
            <w:vAlign w:val="bottom"/>
          </w:tcPr>
          <w:p>
            <w:pPr>
              <w:spacing w:after="0"/>
              <w:rPr>
                <w:sz w:val="24"/>
                <w:szCs w:val="24"/>
                <w:color w:val="auto"/>
              </w:rPr>
            </w:pPr>
          </w:p>
        </w:tc>
        <w:tc>
          <w:tcPr>
            <w:tcW w:w="1160" w:type="dxa"/>
            <w:vAlign w:val="bottom"/>
          </w:tcPr>
          <w:p>
            <w:pPr>
              <w:jc w:val="right"/>
              <w:ind w:right="753"/>
              <w:spacing w:after="0"/>
              <w:rPr>
                <w:sz w:val="20"/>
                <w:szCs w:val="20"/>
                <w:color w:val="auto"/>
              </w:rPr>
            </w:pPr>
            <w:r>
              <w:rPr>
                <w:rFonts w:ascii="Courier New" w:cs="Courier New" w:eastAsia="Courier New" w:hAnsi="Courier New"/>
                <w:sz w:val="17"/>
                <w:szCs w:val="17"/>
                <w:color w:val="auto"/>
                <w:w w:val="97"/>
              </w:rPr>
              <w:t>154</w:t>
            </w:r>
          </w:p>
        </w:tc>
      </w:tr>
    </w:tbl>
    <w:p>
      <w:pPr>
        <w:spacing w:after="0" w:line="107"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33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Ernst &amp; Young LLP, Independent Auditors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w:t>
      </w:r>
    </w:p>
    <w:p>
      <w:pPr>
        <w:spacing w:after="0" w:line="380" w:lineRule="exact"/>
        <w:rPr>
          <w:sz w:val="20"/>
          <w:szCs w:val="20"/>
          <w:color w:val="auto"/>
        </w:rPr>
      </w:pPr>
    </w:p>
    <w:p>
      <w:pPr>
        <w:ind w:right="2259"/>
        <w:spacing w:after="0" w:line="272" w:lineRule="auto"/>
        <w:rPr>
          <w:sz w:val="20"/>
          <w:szCs w:val="20"/>
          <w:color w:val="auto"/>
        </w:rPr>
      </w:pPr>
      <w:r>
        <w:rPr>
          <w:rFonts w:ascii="Courier New" w:cs="Courier New" w:eastAsia="Courier New" w:hAnsi="Courier New"/>
          <w:sz w:val="17"/>
          <w:szCs w:val="17"/>
          <w:color w:val="auto"/>
        </w:rPr>
        <w:t>We have audited the accompanying consolidated balance sheets of Texas Instruments Incorporated and subsidiaries (the Company) at December 31, 1997 and 1996, and the related consolidated statements of income,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84" w:lineRule="exact"/>
        <w:rPr>
          <w:sz w:val="20"/>
          <w:szCs w:val="20"/>
          <w:color w:val="auto"/>
        </w:rPr>
      </w:pPr>
    </w:p>
    <w:p>
      <w:pPr>
        <w:ind w:right="2039" w:firstLine="419"/>
        <w:spacing w:after="0" w:line="267"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00" w:lineRule="exact"/>
        <w:rPr>
          <w:sz w:val="20"/>
          <w:szCs w:val="20"/>
          <w:color w:val="auto"/>
        </w:rPr>
      </w:pPr>
    </w:p>
    <w:p>
      <w:pPr>
        <w:ind w:right="2259" w:firstLine="419"/>
        <w:spacing w:after="0" w:line="276"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financial position of Texas Instruments Incorporated and subsidiaries at December 31, 1997 and 1996, and the results of its operations and cash flows for each of the three years in the period ended December 31, 1997, in conformity with generally accepted accounting principles.</w:t>
      </w:r>
    </w:p>
    <w:p>
      <w:pPr>
        <w:spacing w:after="0" w:line="282"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/s/Ernst &amp; Young LLP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20,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780" w:type="dxa"/>
            <w:vAlign w:val="bottom"/>
          </w:tcPr>
          <w:p>
            <w:pPr>
              <w:spacing w:after="0"/>
              <w:rPr>
                <w:sz w:val="20"/>
                <w:szCs w:val="20"/>
                <w:color w:val="auto"/>
              </w:rPr>
            </w:pPr>
            <w:r>
              <w:rPr>
                <w:rFonts w:ascii="Courier New" w:cs="Courier New" w:eastAsia="Courier New" w:hAnsi="Courier New"/>
                <w:sz w:val="17"/>
                <w:szCs w:val="17"/>
                <w:color w:val="auto"/>
              </w:rPr>
              <w:t>Summary of Selected Financial Data</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w:t>
            </w:r>
          </w:p>
        </w:tc>
        <w:tc>
          <w:tcPr>
            <w:tcW w:w="11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DOLLARS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80" w:type="dxa"/>
            <w:vAlign w:val="bottom"/>
            <w:vMerge w:val="restart"/>
          </w:tcPr>
          <w:p>
            <w:pPr>
              <w:spacing w:after="0"/>
              <w:rPr>
                <w:sz w:val="20"/>
                <w:szCs w:val="20"/>
                <w:color w:val="auto"/>
              </w:rPr>
            </w:pPr>
            <w:r>
              <w:rPr>
                <w:rFonts w:ascii="Courier New" w:cs="Courier New" w:eastAsia="Courier New" w:hAnsi="Courier New"/>
                <w:sz w:val="17"/>
                <w:szCs w:val="17"/>
                <w:color w:val="auto"/>
              </w:rPr>
              <w:t>YEARS ENDED DECEMBER 31</w:t>
            </w:r>
          </w:p>
        </w:tc>
        <w:tc>
          <w:tcPr>
            <w:tcW w:w="45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33"/>
        </w:trPr>
        <w:tc>
          <w:tcPr>
            <w:tcW w:w="3780" w:type="dxa"/>
            <w:vAlign w:val="bottom"/>
            <w:vMerge w:val="continue"/>
          </w:tcPr>
          <w:p>
            <w:pPr>
              <w:spacing w:after="0"/>
              <w:rPr>
                <w:sz w:val="20"/>
                <w:szCs w:val="20"/>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7"/>
                <w:szCs w:val="17"/>
                <w:color w:val="auto"/>
              </w:rPr>
              <w:t>1997</w:t>
            </w:r>
          </w:p>
        </w:tc>
        <w:tc>
          <w:tcPr>
            <w:tcW w:w="9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11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680" w:type="dxa"/>
            <w:vAlign w:val="bottom"/>
          </w:tcPr>
          <w:p>
            <w:pPr>
              <w:spacing w:after="0"/>
              <w:rPr>
                <w:sz w:val="20"/>
                <w:szCs w:val="20"/>
                <w:color w:val="auto"/>
              </w:rPr>
            </w:pPr>
            <w:r>
              <w:rPr>
                <w:rFonts w:ascii="Courier New" w:cs="Courier New" w:eastAsia="Courier New" w:hAnsi="Courier New"/>
                <w:sz w:val="17"/>
                <w:szCs w:val="17"/>
                <w:color w:val="auto"/>
              </w:rPr>
              <w:t>Net revenues .....................</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$ 9,750</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$ 9,940</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$11,409</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$ 8,608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$ 6,687</w:t>
            </w:r>
          </w:p>
        </w:tc>
      </w:tr>
    </w:tbl>
    <w:p>
      <w:pPr>
        <w:sectPr>
          <w:pgSz w:w="11900" w:h="16920" w:orient="portrait"/>
          <w:cols w:equalWidth="0" w:num="1">
            <w:col w:w="10219"/>
          </w:cols>
          <w:pgMar w:left="240" w:top="110" w:right="1440" w:bottom="0" w:gutter="0" w:footer="0" w:header="0"/>
        </w:sectPr>
      </w:pPr>
    </w:p>
    <w:bookmarkStart w:id="39" w:name="page40"/>
    <w:bookmarkEnd w:id="39"/>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Operating costs and expenses .....</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9,135</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9,966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9,970</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7,682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6,157</w:t>
            </w:r>
          </w:p>
        </w:tc>
        <w:tc>
          <w:tcPr>
            <w:tcW w:w="0" w:type="dxa"/>
            <w:vAlign w:val="bottom"/>
          </w:tcPr>
          <w:p>
            <w:pPr>
              <w:spacing w:after="0"/>
              <w:rPr>
                <w:sz w:val="1"/>
                <w:szCs w:val="1"/>
                <w:color w:val="auto"/>
              </w:rPr>
            </w:pPr>
          </w:p>
        </w:tc>
      </w:tr>
      <w:tr>
        <w:trPr>
          <w:trHeight w:val="201"/>
        </w:trPr>
        <w:tc>
          <w:tcPr>
            <w:tcW w:w="3680" w:type="dxa"/>
            <w:vAlign w:val="bottom"/>
            <w:vMerge w:val="restart"/>
          </w:tcPr>
          <w:p>
            <w:pPr>
              <w:spacing w:after="0"/>
              <w:rPr>
                <w:sz w:val="20"/>
                <w:szCs w:val="20"/>
                <w:color w:val="auto"/>
              </w:rPr>
            </w:pPr>
            <w:r>
              <w:rPr>
                <w:rFonts w:ascii="Courier New" w:cs="Courier New" w:eastAsia="Courier New" w:hAnsi="Courier New"/>
                <w:sz w:val="17"/>
                <w:szCs w:val="17"/>
                <w:color w:val="auto"/>
              </w:rPr>
              <w:t>Profit (loss) from operations ....</w:t>
            </w: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w w:val="73"/>
              </w:rPr>
              <w:t>-------</w:t>
            </w:r>
            <w:r>
              <w:rPr>
                <w:rFonts w:ascii="Courier New" w:cs="Courier New" w:eastAsia="Courier New" w:hAnsi="Courier New"/>
                <w:sz w:val="34"/>
                <w:szCs w:val="34"/>
                <w:color w:val="auto"/>
                <w:w w:val="73"/>
                <w:vertAlign w:val="subscript"/>
              </w:rPr>
              <w:t>615</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6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1,439</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530</w:t>
            </w:r>
          </w:p>
        </w:tc>
        <w:tc>
          <w:tcPr>
            <w:tcW w:w="0" w:type="dxa"/>
            <w:vAlign w:val="bottom"/>
          </w:tcPr>
          <w:p>
            <w:pPr>
              <w:spacing w:after="0"/>
              <w:rPr>
                <w:sz w:val="1"/>
                <w:szCs w:val="1"/>
                <w:color w:val="auto"/>
              </w:rPr>
            </w:pP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192</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c>
          <w:tcPr>
            <w:tcW w:w="0" w:type="dxa"/>
            <w:vAlign w:val="bottom"/>
          </w:tcPr>
          <w:p>
            <w:pPr>
              <w:spacing w:after="0"/>
              <w:rPr>
                <w:sz w:val="1"/>
                <w:szCs w:val="1"/>
                <w:color w:val="auto"/>
              </w:rPr>
            </w:pP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Interest on loans ................</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73</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c>
          <w:tcPr>
            <w:tcW w:w="0" w:type="dxa"/>
            <w:vAlign w:val="bottom"/>
          </w:tcPr>
          <w:p>
            <w:pPr>
              <w:spacing w:after="0"/>
              <w:rPr>
                <w:sz w:val="1"/>
                <w:szCs w:val="1"/>
                <w:color w:val="auto"/>
              </w:rPr>
            </w:pPr>
          </w:p>
        </w:tc>
      </w:tr>
      <w:tr>
        <w:trPr>
          <w:trHeight w:val="295"/>
        </w:trPr>
        <w:tc>
          <w:tcPr>
            <w:tcW w:w="368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from continuing</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6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operations before provision</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for income taxes, extraordinary</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item and cumulative effect of</w:t>
            </w: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713</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1,470</w:t>
            </w: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887</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502</w:t>
            </w:r>
          </w:p>
        </w:tc>
        <w:tc>
          <w:tcPr>
            <w:tcW w:w="0" w:type="dxa"/>
            <w:vAlign w:val="bottom"/>
          </w:tcPr>
          <w:p>
            <w:pPr>
              <w:spacing w:after="0"/>
              <w:rPr>
                <w:sz w:val="1"/>
                <w:szCs w:val="1"/>
                <w:color w:val="auto"/>
              </w:rPr>
            </w:pPr>
          </w:p>
        </w:tc>
      </w:tr>
      <w:tr>
        <w:trPr>
          <w:trHeight w:val="295"/>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accounting changes...............</w:t>
            </w:r>
          </w:p>
        </w:tc>
        <w:tc>
          <w:tcPr>
            <w:tcW w:w="9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680" w:type="dxa"/>
            <w:vAlign w:val="bottom"/>
          </w:tcPr>
          <w:p>
            <w:pPr>
              <w:spacing w:after="0"/>
              <w:rPr>
                <w:sz w:val="20"/>
                <w:szCs w:val="20"/>
                <w:color w:val="auto"/>
              </w:rPr>
            </w:pPr>
            <w:r>
              <w:rPr>
                <w:rFonts w:ascii="Courier New" w:cs="Courier New" w:eastAsia="Courier New" w:hAnsi="Courier New"/>
                <w:sz w:val="17"/>
                <w:szCs w:val="17"/>
                <w:color w:val="auto"/>
              </w:rPr>
              <w:t>Provision for income taxes .......</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411</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474</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c>
          <w:tcPr>
            <w:tcW w:w="0" w:type="dxa"/>
            <w:vAlign w:val="bottom"/>
          </w:tcPr>
          <w:p>
            <w:pPr>
              <w:spacing w:after="0"/>
              <w:rPr>
                <w:sz w:val="1"/>
                <w:szCs w:val="1"/>
                <w:color w:val="auto"/>
              </w:rPr>
            </w:pPr>
          </w:p>
        </w:tc>
      </w:tr>
      <w:tr>
        <w:trPr>
          <w:trHeight w:val="295"/>
        </w:trPr>
        <w:tc>
          <w:tcPr>
            <w:tcW w:w="368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from continuing</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6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operations before extraordinary</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item and cumulative effect</w:t>
            </w: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302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(46)</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996</w:t>
            </w: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592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355</w:t>
            </w: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of accounting changes ...........</w:t>
            </w: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ind w:left="220" w:hanging="213"/>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20" w:right="7379" w:hanging="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Diluted earnings (loss) per common share from continuing operations before extraordinary item and cumulative effect of</w:t>
      </w:r>
    </w:p>
    <w:tbl>
      <w:tblPr>
        <w:tblLayout w:type="fixed"/>
        <w:tblInd w:w="0" w:type="dxa"/>
        <w:tblCellMar>
          <w:top w:w="0" w:type="dxa"/>
          <w:left w:w="0" w:type="dxa"/>
          <w:bottom w:w="0" w:type="dxa"/>
          <w:right w:w="0" w:type="dxa"/>
        </w:tblCellMar>
      </w:tblPr>
      <w:tr>
        <w:trPr>
          <w:trHeight w:val="169"/>
        </w:trPr>
        <w:tc>
          <w:tcPr>
            <w:tcW w:w="3680" w:type="dxa"/>
            <w:vAlign w:val="bottom"/>
          </w:tcPr>
          <w:p>
            <w:pPr>
              <w:ind w:left="120"/>
              <w:spacing w:after="0" w:line="170" w:lineRule="exact"/>
              <w:rPr>
                <w:sz w:val="20"/>
                <w:szCs w:val="20"/>
                <w:color w:val="auto"/>
              </w:rPr>
            </w:pPr>
            <w:r>
              <w:rPr>
                <w:rFonts w:ascii="Courier New" w:cs="Courier New" w:eastAsia="Courier New" w:hAnsi="Courier New"/>
                <w:sz w:val="17"/>
                <w:szCs w:val="17"/>
                <w:color w:val="auto"/>
              </w:rPr>
              <w:t>accounting changes ..............</w:t>
            </w:r>
          </w:p>
        </w:tc>
        <w:tc>
          <w:tcPr>
            <w:tcW w:w="360" w:type="dxa"/>
            <w:vAlign w:val="bottom"/>
          </w:tcPr>
          <w:p>
            <w:pPr>
              <w:jc w:val="right"/>
              <w:ind w:right="73"/>
              <w:spacing w:after="0" w:line="170" w:lineRule="exact"/>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line="170" w:lineRule="exact"/>
              <w:rPr>
                <w:sz w:val="20"/>
                <w:szCs w:val="20"/>
                <w:color w:val="auto"/>
              </w:rPr>
            </w:pPr>
            <w:r>
              <w:rPr>
                <w:rFonts w:ascii="Courier New" w:cs="Courier New" w:eastAsia="Courier New" w:hAnsi="Courier New"/>
                <w:sz w:val="17"/>
                <w:szCs w:val="17"/>
                <w:color w:val="auto"/>
              </w:rPr>
              <w:t>.76</w:t>
            </w:r>
          </w:p>
        </w:tc>
        <w:tc>
          <w:tcPr>
            <w:tcW w:w="1000" w:type="dxa"/>
            <w:vAlign w:val="bottom"/>
          </w:tcPr>
          <w:p>
            <w:pPr>
              <w:ind w:left="100"/>
              <w:spacing w:after="0" w:line="170" w:lineRule="exact"/>
              <w:rPr>
                <w:sz w:val="20"/>
                <w:szCs w:val="20"/>
                <w:color w:val="auto"/>
              </w:rPr>
            </w:pPr>
            <w:r>
              <w:rPr>
                <w:rFonts w:ascii="Courier New" w:cs="Courier New" w:eastAsia="Courier New" w:hAnsi="Courier New"/>
                <w:sz w:val="17"/>
                <w:szCs w:val="17"/>
                <w:color w:val="auto"/>
              </w:rPr>
              <w:t>$  (.12)</w:t>
            </w:r>
          </w:p>
        </w:tc>
        <w:tc>
          <w:tcPr>
            <w:tcW w:w="880" w:type="dxa"/>
            <w:vAlign w:val="bottom"/>
          </w:tcPr>
          <w:p>
            <w:pPr>
              <w:jc w:val="right"/>
              <w:ind w:right="13"/>
              <w:spacing w:after="0" w:line="170" w:lineRule="exact"/>
              <w:rPr>
                <w:sz w:val="20"/>
                <w:szCs w:val="20"/>
                <w:color w:val="auto"/>
              </w:rPr>
            </w:pPr>
            <w:r>
              <w:rPr>
                <w:rFonts w:ascii="Courier New" w:cs="Courier New" w:eastAsia="Courier New" w:hAnsi="Courier New"/>
                <w:sz w:val="17"/>
                <w:szCs w:val="17"/>
                <w:color w:val="auto"/>
              </w:rPr>
              <w:t>$  2.58</w:t>
            </w:r>
          </w:p>
        </w:tc>
        <w:tc>
          <w:tcPr>
            <w:tcW w:w="940" w:type="dxa"/>
            <w:vAlign w:val="bottom"/>
          </w:tcPr>
          <w:p>
            <w:pPr>
              <w:jc w:val="right"/>
              <w:ind w:right="13"/>
              <w:spacing w:after="0" w:line="170" w:lineRule="exact"/>
              <w:rPr>
                <w:sz w:val="20"/>
                <w:szCs w:val="20"/>
                <w:color w:val="auto"/>
              </w:rPr>
            </w:pPr>
            <w:r>
              <w:rPr>
                <w:rFonts w:ascii="Courier New" w:cs="Courier New" w:eastAsia="Courier New" w:hAnsi="Courier New"/>
                <w:sz w:val="17"/>
                <w:szCs w:val="17"/>
                <w:color w:val="auto"/>
              </w:rPr>
              <w:t>$  1.56</w:t>
            </w:r>
          </w:p>
        </w:tc>
        <w:tc>
          <w:tcPr>
            <w:tcW w:w="360" w:type="dxa"/>
            <w:vAlign w:val="bottom"/>
          </w:tcPr>
          <w:p>
            <w:pPr>
              <w:jc w:val="right"/>
              <w:ind w:right="53"/>
              <w:spacing w:after="0" w:line="170" w:lineRule="exact"/>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line="170" w:lineRule="exact"/>
              <w:rPr>
                <w:sz w:val="20"/>
                <w:szCs w:val="20"/>
                <w:color w:val="auto"/>
              </w:rPr>
            </w:pPr>
            <w:r>
              <w:rPr>
                <w:rFonts w:ascii="Courier New" w:cs="Courier New" w:eastAsia="Courier New" w:hAnsi="Courier New"/>
                <w:sz w:val="17"/>
                <w:szCs w:val="17"/>
                <w:color w:val="auto"/>
              </w:rPr>
              <w:t>.94</w:t>
            </w:r>
          </w:p>
        </w:tc>
        <w:tc>
          <w:tcPr>
            <w:tcW w:w="0" w:type="dxa"/>
            <w:vAlign w:val="bottom"/>
          </w:tcPr>
          <w:p>
            <w:pPr>
              <w:spacing w:after="0"/>
              <w:rPr>
                <w:sz w:val="1"/>
                <w:szCs w:val="1"/>
                <w:color w:val="auto"/>
              </w:rPr>
            </w:pPr>
          </w:p>
        </w:tc>
      </w:tr>
      <w:tr>
        <w:trPr>
          <w:trHeight w:val="295"/>
        </w:trPr>
        <w:tc>
          <w:tcPr>
            <w:tcW w:w="3680" w:type="dxa"/>
            <w:vAlign w:val="bottom"/>
          </w:tcPr>
          <w:p>
            <w:pPr>
              <w:spacing w:after="0"/>
              <w:rPr>
                <w:sz w:val="24"/>
                <w:szCs w:val="24"/>
                <w:color w:val="auto"/>
              </w:rPr>
            </w:pP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680" w:type="dxa"/>
            <w:vAlign w:val="bottom"/>
          </w:tcPr>
          <w:p>
            <w:pPr>
              <w:spacing w:after="0"/>
              <w:rPr>
                <w:sz w:val="20"/>
                <w:szCs w:val="20"/>
                <w:color w:val="auto"/>
              </w:rPr>
            </w:pPr>
            <w:r>
              <w:rPr>
                <w:rFonts w:ascii="Courier New" w:cs="Courier New" w:eastAsia="Courier New" w:hAnsi="Courier New"/>
                <w:sz w:val="17"/>
                <w:szCs w:val="17"/>
                <w:color w:val="auto"/>
              </w:rPr>
              <w:t>Basic earnings (loss) per</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common share from</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continuing operations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before extraordinary item</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and cumulative effect of</w:t>
            </w:r>
          </w:p>
        </w:tc>
        <w:tc>
          <w:tcPr>
            <w:tcW w:w="3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.78</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  (.12)</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2.65</w:t>
            </w: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1.61</w:t>
            </w:r>
          </w:p>
        </w:tc>
        <w:tc>
          <w:tcPr>
            <w:tcW w:w="36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.97</w:t>
            </w: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accounting changes ..............</w:t>
            </w:r>
          </w:p>
        </w:tc>
        <w:tc>
          <w:tcPr>
            <w:tcW w:w="3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680" w:type="dxa"/>
            <w:vAlign w:val="bottom"/>
            <w:vMerge w:val="restart"/>
          </w:tcPr>
          <w:p>
            <w:pPr>
              <w:spacing w:after="0"/>
              <w:rPr>
                <w:sz w:val="20"/>
                <w:szCs w:val="20"/>
                <w:color w:val="auto"/>
              </w:rPr>
            </w:pPr>
            <w:r>
              <w:rPr>
                <w:rFonts w:ascii="Courier New" w:cs="Courier New" w:eastAsia="Courier New" w:hAnsi="Courier New"/>
                <w:sz w:val="17"/>
                <w:szCs w:val="17"/>
                <w:color w:val="auto"/>
              </w:rPr>
              <w:t>Dividends declared per</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680" w:type="dxa"/>
            <w:vAlign w:val="bottom"/>
            <w:vMerge w:val="continue"/>
          </w:tcPr>
          <w:p>
            <w:pPr>
              <w:spacing w:after="0"/>
              <w:rPr>
                <w:sz w:val="9"/>
                <w:szCs w:val="9"/>
                <w:color w:val="auto"/>
              </w:rPr>
            </w:pPr>
          </w:p>
        </w:tc>
        <w:tc>
          <w:tcPr>
            <w:tcW w:w="3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.34</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   .34</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.32</w:t>
            </w: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.235</w:t>
            </w:r>
          </w:p>
        </w:tc>
        <w:tc>
          <w:tcPr>
            <w:tcW w:w="36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33"/>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common share ....................</w:t>
            </w:r>
          </w:p>
        </w:tc>
        <w:tc>
          <w:tcPr>
            <w:tcW w:w="3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3"/>
        <w:spacing w:after="0"/>
        <w:tabs>
          <w:tab w:leader="none" w:pos="2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20" w:right="7379" w:hanging="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Average common and dilutive potential common shares</w:t>
      </w:r>
    </w:p>
    <w:tbl>
      <w:tblPr>
        <w:tblLayout w:type="fixed"/>
        <w:tblInd w:w="120" w:type="dxa"/>
        <w:tblCellMar>
          <w:top w:w="0" w:type="dxa"/>
          <w:left w:w="0" w:type="dxa"/>
          <w:bottom w:w="0" w:type="dxa"/>
          <w:right w:w="0" w:type="dxa"/>
        </w:tblCellMar>
      </w:tblPr>
      <w:tr>
        <w:trPr>
          <w:trHeight w:val="169"/>
        </w:trPr>
        <w:tc>
          <w:tcPr>
            <w:tcW w:w="3560" w:type="dxa"/>
            <w:vAlign w:val="bottom"/>
          </w:tcPr>
          <w:p>
            <w:pPr>
              <w:spacing w:after="0" w:line="170" w:lineRule="exact"/>
              <w:rPr>
                <w:sz w:val="20"/>
                <w:szCs w:val="20"/>
                <w:color w:val="auto"/>
              </w:rPr>
            </w:pPr>
            <w:r>
              <w:rPr>
                <w:rFonts w:ascii="Courier New" w:cs="Courier New" w:eastAsia="Courier New" w:hAnsi="Courier New"/>
                <w:sz w:val="17"/>
                <w:szCs w:val="17"/>
                <w:color w:val="auto"/>
              </w:rPr>
              <w:t>outstanding during year,</w:t>
            </w:r>
          </w:p>
        </w:tc>
        <w:tc>
          <w:tcPr>
            <w:tcW w:w="4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397,727  379,388  387,262  381,709  363,396</w:t>
            </w: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 thousands ....................</w:t>
            </w:r>
          </w:p>
        </w:tc>
        <w:tc>
          <w:tcPr>
            <w:tcW w:w="4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w:t>
            </w:r>
          </w:p>
        </w:tc>
        <w:tc>
          <w:tcPr>
            <w:tcW w:w="11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DOLLARS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80" w:type="dxa"/>
            <w:vAlign w:val="bottom"/>
            <w:vMerge w:val="restart"/>
          </w:tcPr>
          <w:p>
            <w:pPr>
              <w:spacing w:after="0"/>
              <w:rPr>
                <w:sz w:val="20"/>
                <w:szCs w:val="20"/>
                <w:color w:val="auto"/>
              </w:rPr>
            </w:pPr>
            <w:r>
              <w:rPr>
                <w:rFonts w:ascii="Courier New" w:cs="Courier New" w:eastAsia="Courier New" w:hAnsi="Courier New"/>
                <w:sz w:val="17"/>
                <w:szCs w:val="17"/>
                <w:color w:val="auto"/>
              </w:rPr>
              <w:t>AS OF DECEMBER 31</w:t>
            </w:r>
          </w:p>
        </w:tc>
        <w:tc>
          <w:tcPr>
            <w:tcW w:w="5400" w:type="dxa"/>
            <w:vAlign w:val="bottom"/>
            <w:gridSpan w:val="5"/>
          </w:tcPr>
          <w:p>
            <w:pPr>
              <w:ind w:left="11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33"/>
        </w:trPr>
        <w:tc>
          <w:tcPr>
            <w:tcW w:w="2880" w:type="dxa"/>
            <w:vAlign w:val="bottom"/>
            <w:vMerge w:val="continue"/>
          </w:tcPr>
          <w:p>
            <w:pPr>
              <w:spacing w:after="0"/>
              <w:rPr>
                <w:sz w:val="20"/>
                <w:szCs w:val="20"/>
                <w:color w:val="auto"/>
              </w:rPr>
            </w:pPr>
          </w:p>
        </w:tc>
        <w:tc>
          <w:tcPr>
            <w:tcW w:w="1780" w:type="dxa"/>
            <w:vAlign w:val="bottom"/>
          </w:tcPr>
          <w:p>
            <w:pPr>
              <w:ind w:left="1100"/>
              <w:spacing w:after="0"/>
              <w:rPr>
                <w:sz w:val="20"/>
                <w:szCs w:val="20"/>
                <w:color w:val="auto"/>
              </w:rPr>
            </w:pPr>
            <w:r>
              <w:rPr>
                <w:rFonts w:ascii="Courier New" w:cs="Courier New" w:eastAsia="Courier New" w:hAnsi="Courier New"/>
                <w:sz w:val="17"/>
                <w:szCs w:val="17"/>
                <w:color w:val="auto"/>
              </w:rPr>
              <w:t>1997</w:t>
            </w:r>
          </w:p>
        </w:tc>
        <w:tc>
          <w:tcPr>
            <w:tcW w:w="9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11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line="179" w:lineRule="exact"/>
              <w:rPr>
                <w:sz w:val="20"/>
                <w:szCs w:val="20"/>
                <w:color w:val="auto"/>
              </w:rPr>
            </w:pPr>
            <w:r>
              <w:rPr>
                <w:rFonts w:ascii="Courier New" w:cs="Courier New" w:eastAsia="Courier New" w:hAnsi="Courier New"/>
                <w:sz w:val="17"/>
                <w:szCs w:val="17"/>
                <w:color w:val="auto"/>
              </w:rPr>
              <w:t>Working capital ..................</w:t>
            </w:r>
          </w:p>
        </w:tc>
        <w:tc>
          <w:tcPr>
            <w:tcW w:w="980" w:type="dxa"/>
            <w:vAlign w:val="bottom"/>
          </w:tcPr>
          <w:p>
            <w:pPr>
              <w:jc w:val="right"/>
              <w:ind w:right="53"/>
              <w:spacing w:after="0" w:line="179" w:lineRule="exact"/>
              <w:rPr>
                <w:sz w:val="20"/>
                <w:szCs w:val="20"/>
                <w:color w:val="auto"/>
              </w:rPr>
            </w:pPr>
            <w:r>
              <w:rPr>
                <w:rFonts w:ascii="Courier New" w:cs="Courier New" w:eastAsia="Courier New" w:hAnsi="Courier New"/>
                <w:sz w:val="17"/>
                <w:szCs w:val="17"/>
                <w:color w:val="auto"/>
              </w:rPr>
              <w:t>$ 3,607</w:t>
            </w:r>
          </w:p>
        </w:tc>
        <w:tc>
          <w:tcPr>
            <w:tcW w:w="96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rPr>
              <w:t>$1,968</w:t>
            </w:r>
          </w:p>
        </w:tc>
        <w:tc>
          <w:tcPr>
            <w:tcW w:w="94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rPr>
              <w:t>$2,566</w:t>
            </w:r>
          </w:p>
        </w:tc>
        <w:tc>
          <w:tcPr>
            <w:tcW w:w="94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rPr>
              <w:t>$1,965</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7"/>
                <w:szCs w:val="17"/>
                <w:color w:val="auto"/>
              </w:rPr>
              <w:t>$1,499</w:t>
            </w:r>
          </w:p>
        </w:tc>
        <w:tc>
          <w:tcPr>
            <w:tcW w:w="0" w:type="dxa"/>
            <w:vAlign w:val="bottom"/>
          </w:tcPr>
          <w:p>
            <w:pPr>
              <w:spacing w:after="0"/>
              <w:rPr>
                <w:sz w:val="1"/>
                <w:szCs w:val="1"/>
                <w:color w:val="auto"/>
              </w:rPr>
            </w:pP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Property, plant and</w:t>
            </w:r>
          </w:p>
        </w:tc>
        <w:tc>
          <w:tcPr>
            <w:tcW w:w="98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4,180</w:t>
            </w:r>
          </w:p>
        </w:tc>
        <w:tc>
          <w:tcPr>
            <w:tcW w:w="9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4,162</w:t>
            </w:r>
          </w:p>
        </w:tc>
        <w:tc>
          <w:tcPr>
            <w:tcW w:w="94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2,894</w:t>
            </w:r>
          </w:p>
        </w:tc>
        <w:tc>
          <w:tcPr>
            <w:tcW w:w="94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2,277</w:t>
            </w:r>
          </w:p>
        </w:tc>
        <w:tc>
          <w:tcPr>
            <w:tcW w:w="7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1,870</w:t>
            </w:r>
          </w:p>
        </w:tc>
        <w:tc>
          <w:tcPr>
            <w:tcW w:w="0" w:type="dxa"/>
            <w:vAlign w:val="bottom"/>
          </w:tcPr>
          <w:p>
            <w:pPr>
              <w:spacing w:after="0"/>
              <w:rPr>
                <w:sz w:val="1"/>
                <w:szCs w:val="1"/>
                <w:color w:val="auto"/>
              </w:rPr>
            </w:pPr>
          </w:p>
        </w:tc>
      </w:tr>
      <w:tr>
        <w:trPr>
          <w:trHeight w:val="201"/>
        </w:trPr>
        <w:tc>
          <w:tcPr>
            <w:tcW w:w="3680" w:type="dxa"/>
            <w:vAlign w:val="bottom"/>
          </w:tcPr>
          <w:p>
            <w:pPr>
              <w:ind w:left="120"/>
              <w:spacing w:after="0"/>
              <w:rPr>
                <w:sz w:val="20"/>
                <w:szCs w:val="20"/>
                <w:color w:val="auto"/>
              </w:rPr>
            </w:pPr>
            <w:r>
              <w:rPr>
                <w:rFonts w:ascii="Courier New" w:cs="Courier New" w:eastAsia="Courier New" w:hAnsi="Courier New"/>
                <w:sz w:val="17"/>
                <w:szCs w:val="17"/>
                <w:color w:val="auto"/>
              </w:rPr>
              <w:t>equipment (net) .................</w:t>
            </w:r>
          </w:p>
        </w:tc>
        <w:tc>
          <w:tcPr>
            <w:tcW w:w="9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Total assets .....................</w:t>
            </w:r>
          </w:p>
        </w:tc>
        <w:tc>
          <w:tcPr>
            <w:tcW w:w="9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10,849</w:t>
            </w:r>
          </w:p>
        </w:tc>
        <w:tc>
          <w:tcPr>
            <w:tcW w:w="9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9,360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8,748</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6,468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5,471</w:t>
            </w:r>
          </w:p>
        </w:tc>
        <w:tc>
          <w:tcPr>
            <w:tcW w:w="0" w:type="dxa"/>
            <w:vAlign w:val="bottom"/>
          </w:tcPr>
          <w:p>
            <w:pPr>
              <w:spacing w:after="0"/>
              <w:rPr>
                <w:sz w:val="1"/>
                <w:szCs w:val="1"/>
                <w:color w:val="auto"/>
              </w:rPr>
            </w:pP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Long-term debt ...................</w:t>
            </w:r>
          </w:p>
        </w:tc>
        <w:tc>
          <w:tcPr>
            <w:tcW w:w="9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1,286</w:t>
            </w:r>
          </w:p>
        </w:tc>
        <w:tc>
          <w:tcPr>
            <w:tcW w:w="9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1,697</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804</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694</w:t>
            </w:r>
          </w:p>
        </w:tc>
        <w:tc>
          <w:tcPr>
            <w:tcW w:w="0" w:type="dxa"/>
            <w:vAlign w:val="bottom"/>
          </w:tcPr>
          <w:p>
            <w:pPr>
              <w:spacing w:after="0"/>
              <w:rPr>
                <w:sz w:val="1"/>
                <w:szCs w:val="1"/>
                <w:color w:val="auto"/>
              </w:rPr>
            </w:pPr>
          </w:p>
        </w:tc>
      </w:tr>
      <w:tr>
        <w:trPr>
          <w:trHeight w:val="233"/>
        </w:trPr>
        <w:tc>
          <w:tcPr>
            <w:tcW w:w="3680" w:type="dxa"/>
            <w:vAlign w:val="bottom"/>
          </w:tcPr>
          <w:p>
            <w:pPr>
              <w:spacing w:after="0"/>
              <w:rPr>
                <w:sz w:val="20"/>
                <w:szCs w:val="20"/>
                <w:color w:val="auto"/>
              </w:rPr>
            </w:pPr>
            <w:r>
              <w:rPr>
                <w:rFonts w:ascii="Courier New" w:cs="Courier New" w:eastAsia="Courier New" w:hAnsi="Courier New"/>
                <w:sz w:val="17"/>
                <w:szCs w:val="17"/>
                <w:color w:val="auto"/>
              </w:rPr>
              <w:t>Stockholders' equity .............</w:t>
            </w:r>
          </w:p>
        </w:tc>
        <w:tc>
          <w:tcPr>
            <w:tcW w:w="9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5,914</w:t>
            </w:r>
          </w:p>
        </w:tc>
        <w:tc>
          <w:tcPr>
            <w:tcW w:w="9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4,097</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4,095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3,039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2,315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line="179" w:lineRule="exact"/>
              <w:rPr>
                <w:sz w:val="20"/>
                <w:szCs w:val="20"/>
                <w:color w:val="auto"/>
              </w:rPr>
            </w:pPr>
            <w:r>
              <w:rPr>
                <w:rFonts w:ascii="Courier New" w:cs="Courier New" w:eastAsia="Courier New" w:hAnsi="Courier New"/>
                <w:sz w:val="17"/>
                <w:szCs w:val="17"/>
                <w:color w:val="auto"/>
              </w:rPr>
              <w:t>Employees ........................</w:t>
            </w:r>
          </w:p>
        </w:tc>
        <w:tc>
          <w:tcPr>
            <w:tcW w:w="940" w:type="dxa"/>
            <w:vAlign w:val="bottom"/>
          </w:tcPr>
          <w:p>
            <w:pPr>
              <w:jc w:val="right"/>
              <w:ind w:right="53"/>
              <w:spacing w:after="0" w:line="179" w:lineRule="exact"/>
              <w:rPr>
                <w:sz w:val="20"/>
                <w:szCs w:val="20"/>
                <w:color w:val="auto"/>
              </w:rPr>
            </w:pPr>
            <w:r>
              <w:rPr>
                <w:rFonts w:ascii="Courier New" w:cs="Courier New" w:eastAsia="Courier New" w:hAnsi="Courier New"/>
                <w:sz w:val="17"/>
                <w:szCs w:val="17"/>
                <w:color w:val="auto"/>
              </w:rPr>
              <w:t>44,140</w:t>
            </w:r>
          </w:p>
        </w:tc>
        <w:tc>
          <w:tcPr>
            <w:tcW w:w="96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rPr>
              <w:t>59,927</w:t>
            </w:r>
          </w:p>
        </w:tc>
        <w:tc>
          <w:tcPr>
            <w:tcW w:w="94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rPr>
              <w:t>59,574</w:t>
            </w:r>
          </w:p>
        </w:tc>
        <w:tc>
          <w:tcPr>
            <w:tcW w:w="94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rPr>
              <w:t>56,333</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7"/>
                <w:szCs w:val="17"/>
                <w:color w:val="auto"/>
              </w:rPr>
              <w:t>59,048</w:t>
            </w:r>
          </w:p>
        </w:tc>
      </w:tr>
      <w:tr>
        <w:trPr>
          <w:trHeight w:val="295"/>
        </w:trPr>
        <w:tc>
          <w:tcPr>
            <w:tcW w:w="3720" w:type="dxa"/>
            <w:vAlign w:val="bottom"/>
          </w:tcPr>
          <w:p>
            <w:pPr>
              <w:spacing w:after="0"/>
              <w:rPr>
                <w:sz w:val="20"/>
                <w:szCs w:val="20"/>
                <w:color w:val="auto"/>
              </w:rPr>
            </w:pPr>
            <w:r>
              <w:rPr>
                <w:rFonts w:ascii="Courier New" w:cs="Courier New" w:eastAsia="Courier New" w:hAnsi="Courier New"/>
                <w:sz w:val="17"/>
                <w:szCs w:val="17"/>
                <w:color w:val="auto"/>
              </w:rPr>
              <w:t>Stockholders of record ...........</w:t>
            </w:r>
          </w:p>
        </w:tc>
        <w:tc>
          <w:tcPr>
            <w:tcW w:w="9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29,550</w:t>
            </w:r>
          </w:p>
        </w:tc>
        <w:tc>
          <w:tcPr>
            <w:tcW w:w="9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32,804</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30,034</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28,740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29,129</w:t>
            </w:r>
          </w:p>
        </w:tc>
      </w:tr>
    </w:tbl>
    <w:p>
      <w:pPr>
        <w:spacing w:after="0" w:line="107"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Employees for 1996 and prior include persons employed in the company's defense business, a discontinued operation.</w:t>
      </w:r>
    </w:p>
    <w:p>
      <w:pPr>
        <w:spacing w:after="0" w:line="1" w:lineRule="exact"/>
        <w:rPr>
          <w:sz w:val="20"/>
          <w:szCs w:val="20"/>
          <w:color w:val="auto"/>
        </w:rPr>
      </w:pPr>
    </w:p>
    <w:p>
      <w:pPr>
        <w:ind w:right="2359"/>
        <w:spacing w:after="0" w:line="379" w:lineRule="auto"/>
        <w:rPr>
          <w:sz w:val="20"/>
          <w:szCs w:val="20"/>
          <w:color w:val="auto"/>
        </w:rPr>
      </w:pPr>
      <w:r>
        <w:rPr>
          <w:rFonts w:ascii="Courier New" w:cs="Courier New" w:eastAsia="Courier New" w:hAnsi="Courier New"/>
          <w:sz w:val="17"/>
          <w:szCs w:val="17"/>
          <w:color w:val="auto"/>
        </w:rPr>
        <w:t>See Notes to Financial Statements and Management Discussion and Analysis of Financial Condition and Results of Operations.</w:t>
      </w:r>
    </w:p>
    <w:p>
      <w:pPr>
        <w:spacing w:after="0" w:line="399"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35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DISCUSSION AND ANALYSIS OF</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60" w:type="dxa"/>
            <w:vAlign w:val="bottom"/>
          </w:tcPr>
          <w:p>
            <w:pPr>
              <w:spacing w:after="0"/>
              <w:rPr>
                <w:sz w:val="17"/>
                <w:szCs w:val="17"/>
                <w:color w:val="auto"/>
              </w:rPr>
            </w:pPr>
          </w:p>
        </w:tc>
        <w:tc>
          <w:tcPr>
            <w:tcW w:w="3300" w:type="dxa"/>
            <w:vAlign w:val="bottom"/>
          </w:tcPr>
          <w:p>
            <w:pPr>
              <w:jc w:val="center"/>
              <w:ind w:left="793"/>
              <w:spacing w:after="0"/>
              <w:rPr>
                <w:sz w:val="20"/>
                <w:szCs w:val="20"/>
                <w:color w:val="auto"/>
              </w:rPr>
            </w:pPr>
            <w:r>
              <w:rPr>
                <w:rFonts w:ascii="Courier New" w:cs="Courier New" w:eastAsia="Courier New" w:hAnsi="Courier New"/>
                <w:sz w:val="17"/>
                <w:szCs w:val="17"/>
                <w:color w:val="auto"/>
              </w:rPr>
              <w:t>CHANGE IN</w:t>
            </w:r>
          </w:p>
        </w:tc>
        <w:tc>
          <w:tcPr>
            <w:tcW w:w="1980" w:type="dxa"/>
            <w:vAlign w:val="bottom"/>
          </w:tcPr>
          <w:p>
            <w:pPr>
              <w:jc w:val="center"/>
              <w:ind w:left="553"/>
              <w:spacing w:after="0"/>
              <w:rPr>
                <w:sz w:val="20"/>
                <w:szCs w:val="20"/>
                <w:color w:val="auto"/>
              </w:rPr>
            </w:pPr>
            <w:r>
              <w:rPr>
                <w:rFonts w:ascii="Courier New" w:cs="Courier New" w:eastAsia="Courier New" w:hAnsi="Courier New"/>
                <w:sz w:val="17"/>
                <w:szCs w:val="17"/>
                <w:color w:val="auto"/>
              </w:rPr>
              <w:t>CHANGE IN</w:t>
            </w:r>
          </w:p>
        </w:tc>
        <w:tc>
          <w:tcPr>
            <w:tcW w:w="0" w:type="dxa"/>
            <w:vAlign w:val="bottom"/>
          </w:tcPr>
          <w:p>
            <w:pPr>
              <w:spacing w:after="0"/>
              <w:rPr>
                <w:sz w:val="1"/>
                <w:szCs w:val="1"/>
                <w:color w:val="auto"/>
              </w:rPr>
            </w:pPr>
          </w:p>
        </w:tc>
      </w:tr>
      <w:tr>
        <w:trPr>
          <w:trHeight w:val="201"/>
        </w:trPr>
        <w:tc>
          <w:tcPr>
            <w:tcW w:w="2160" w:type="dxa"/>
            <w:vAlign w:val="bottom"/>
            <w:vMerge w:val="restart"/>
          </w:tcPr>
          <w:p>
            <w:pPr>
              <w:spacing w:after="0"/>
              <w:rPr>
                <w:sz w:val="20"/>
                <w:szCs w:val="20"/>
                <w:color w:val="auto"/>
              </w:rPr>
            </w:pPr>
            <w:r>
              <w:rPr>
                <w:rFonts w:ascii="Courier New" w:cs="Courier New" w:eastAsia="Courier New" w:hAnsi="Courier New"/>
                <w:sz w:val="17"/>
                <w:szCs w:val="17"/>
                <w:color w:val="auto"/>
              </w:rPr>
              <w:t>BUSINESS</w:t>
            </w:r>
          </w:p>
        </w:tc>
        <w:tc>
          <w:tcPr>
            <w:tcW w:w="3300" w:type="dxa"/>
            <w:vAlign w:val="bottom"/>
          </w:tcPr>
          <w:p>
            <w:pPr>
              <w:jc w:val="center"/>
              <w:ind w:left="793"/>
              <w:spacing w:after="0"/>
              <w:rPr>
                <w:sz w:val="20"/>
                <w:szCs w:val="20"/>
                <w:color w:val="auto"/>
              </w:rPr>
            </w:pPr>
            <w:r>
              <w:rPr>
                <w:rFonts w:ascii="Courier New" w:cs="Courier New" w:eastAsia="Courier New" w:hAnsi="Courier New"/>
                <w:sz w:val="17"/>
                <w:szCs w:val="17"/>
                <w:color w:val="auto"/>
              </w:rPr>
              <w:t>ORDERS,</w:t>
            </w:r>
          </w:p>
        </w:tc>
        <w:tc>
          <w:tcPr>
            <w:tcW w:w="1980" w:type="dxa"/>
            <w:vAlign w:val="bottom"/>
          </w:tcPr>
          <w:p>
            <w:pPr>
              <w:ind w:left="940"/>
              <w:spacing w:after="0"/>
              <w:rPr>
                <w:sz w:val="20"/>
                <w:szCs w:val="20"/>
                <w:color w:val="auto"/>
              </w:rPr>
            </w:pPr>
            <w:r>
              <w:rPr>
                <w:rFonts w:ascii="Courier New" w:cs="Courier New" w:eastAsia="Courier New" w:hAnsi="Courier New"/>
                <w:sz w:val="17"/>
                <w:szCs w:val="17"/>
                <w:color w:val="auto"/>
              </w:rPr>
              <w:t>REVENUES,</w:t>
            </w:r>
          </w:p>
        </w:tc>
        <w:tc>
          <w:tcPr>
            <w:tcW w:w="0" w:type="dxa"/>
            <w:vAlign w:val="bottom"/>
          </w:tcPr>
          <w:p>
            <w:pPr>
              <w:spacing w:after="0"/>
              <w:rPr>
                <w:sz w:val="1"/>
                <w:szCs w:val="1"/>
                <w:color w:val="auto"/>
              </w:rPr>
            </w:pPr>
          </w:p>
        </w:tc>
      </w:tr>
      <w:tr>
        <w:trPr>
          <w:trHeight w:val="233"/>
        </w:trPr>
        <w:tc>
          <w:tcPr>
            <w:tcW w:w="2160" w:type="dxa"/>
            <w:vAlign w:val="bottom"/>
            <w:vMerge w:val="continue"/>
          </w:tcPr>
          <w:p>
            <w:pPr>
              <w:spacing w:after="0"/>
              <w:rPr>
                <w:sz w:val="20"/>
                <w:szCs w:val="20"/>
                <w:color w:val="auto"/>
              </w:rPr>
            </w:pPr>
          </w:p>
        </w:tc>
        <w:tc>
          <w:tcPr>
            <w:tcW w:w="3300" w:type="dxa"/>
            <w:vAlign w:val="bottom"/>
          </w:tcPr>
          <w:p>
            <w:pPr>
              <w:ind w:left="1300"/>
              <w:spacing w:after="0"/>
              <w:rPr>
                <w:sz w:val="20"/>
                <w:szCs w:val="20"/>
                <w:color w:val="auto"/>
              </w:rPr>
            </w:pPr>
            <w:r>
              <w:rPr>
                <w:rFonts w:ascii="Courier New" w:cs="Courier New" w:eastAsia="Courier New" w:hAnsi="Courier New"/>
                <w:sz w:val="17"/>
                <w:szCs w:val="17"/>
                <w:color w:val="auto"/>
              </w:rPr>
              <w:t>1997 VS. 1996</w:t>
            </w:r>
          </w:p>
        </w:tc>
        <w:tc>
          <w:tcPr>
            <w:tcW w:w="198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1997 VS. 1996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line="179" w:lineRule="exact"/>
              <w:rPr>
                <w:sz w:val="20"/>
                <w:szCs w:val="20"/>
                <w:color w:val="auto"/>
              </w:rPr>
            </w:pPr>
            <w:r>
              <w:rPr>
                <w:rFonts w:ascii="Courier New" w:cs="Courier New" w:eastAsia="Courier New" w:hAnsi="Courier New"/>
                <w:sz w:val="17"/>
                <w:szCs w:val="17"/>
                <w:color w:val="auto"/>
              </w:rPr>
              <w:t>Semiconductor</w:t>
            </w:r>
          </w:p>
        </w:tc>
        <w:tc>
          <w:tcPr>
            <w:tcW w:w="1320" w:type="dxa"/>
            <w:vAlign w:val="bottom"/>
          </w:tcPr>
          <w:p>
            <w:pPr>
              <w:ind w:left="940"/>
              <w:spacing w:after="0" w:line="179" w:lineRule="exact"/>
              <w:rPr>
                <w:sz w:val="20"/>
                <w:szCs w:val="20"/>
                <w:color w:val="auto"/>
              </w:rPr>
            </w:pPr>
            <w:r>
              <w:rPr>
                <w:rFonts w:ascii="Courier New" w:cs="Courier New" w:eastAsia="Courier New" w:hAnsi="Courier New"/>
                <w:sz w:val="17"/>
                <w:szCs w:val="17"/>
                <w:color w:val="auto"/>
              </w:rPr>
              <w:t>up</w:t>
            </w:r>
          </w:p>
        </w:tc>
        <w:tc>
          <w:tcPr>
            <w:tcW w:w="1360" w:type="dxa"/>
            <w:vAlign w:val="bottom"/>
          </w:tcPr>
          <w:p>
            <w:pPr>
              <w:jc w:val="right"/>
              <w:ind w:right="813"/>
              <w:spacing w:after="0" w:line="179" w:lineRule="exact"/>
              <w:rPr>
                <w:sz w:val="20"/>
                <w:szCs w:val="20"/>
                <w:color w:val="auto"/>
              </w:rPr>
            </w:pPr>
            <w:r>
              <w:rPr>
                <w:rFonts w:ascii="Courier New" w:cs="Courier New" w:eastAsia="Courier New" w:hAnsi="Courier New"/>
                <w:sz w:val="17"/>
                <w:szCs w:val="17"/>
                <w:color w:val="auto"/>
              </w:rPr>
              <w:t>21%</w:t>
            </w:r>
          </w:p>
        </w:tc>
        <w:tc>
          <w:tcPr>
            <w:tcW w:w="1260" w:type="dxa"/>
            <w:vAlign w:val="bottom"/>
          </w:tcPr>
          <w:p>
            <w:pPr>
              <w:ind w:left="880"/>
              <w:spacing w:after="0" w:line="179" w:lineRule="exact"/>
              <w:rPr>
                <w:sz w:val="20"/>
                <w:szCs w:val="20"/>
                <w:color w:val="auto"/>
              </w:rPr>
            </w:pPr>
            <w:r>
              <w:rPr>
                <w:rFonts w:ascii="Courier New" w:cs="Courier New" w:eastAsia="Courier New" w:hAnsi="Courier New"/>
                <w:sz w:val="17"/>
                <w:szCs w:val="17"/>
                <w:color w:val="auto"/>
              </w:rPr>
              <w:t>up</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7"/>
                <w:szCs w:val="17"/>
                <w:color w:val="auto"/>
              </w:rPr>
              <w:t>10%</w:t>
            </w:r>
          </w:p>
        </w:tc>
      </w:tr>
      <w:tr>
        <w:trPr>
          <w:trHeight w:val="295"/>
        </w:trPr>
        <w:tc>
          <w:tcPr>
            <w:tcW w:w="3040" w:type="dxa"/>
            <w:vAlign w:val="bottom"/>
          </w:tcPr>
          <w:p>
            <w:pPr>
              <w:spacing w:after="0"/>
              <w:rPr>
                <w:sz w:val="20"/>
                <w:szCs w:val="20"/>
                <w:color w:val="auto"/>
              </w:rPr>
            </w:pPr>
            <w:r>
              <w:rPr>
                <w:rFonts w:ascii="Courier New" w:cs="Courier New" w:eastAsia="Courier New" w:hAnsi="Courier New"/>
                <w:sz w:val="17"/>
                <w:szCs w:val="17"/>
                <w:color w:val="auto"/>
              </w:rPr>
              <w:t>Materials &amp; Controls</w:t>
            </w:r>
          </w:p>
        </w:tc>
        <w:tc>
          <w:tcPr>
            <w:tcW w:w="1320" w:type="dxa"/>
            <w:vAlign w:val="bottom"/>
          </w:tcPr>
          <w:p>
            <w:pPr>
              <w:ind w:left="940"/>
              <w:spacing w:after="0"/>
              <w:rPr>
                <w:sz w:val="20"/>
                <w:szCs w:val="20"/>
                <w:color w:val="auto"/>
              </w:rPr>
            </w:pPr>
            <w:r>
              <w:rPr>
                <w:rFonts w:ascii="Courier New" w:cs="Courier New" w:eastAsia="Courier New" w:hAnsi="Courier New"/>
                <w:sz w:val="17"/>
                <w:szCs w:val="17"/>
                <w:color w:val="auto"/>
              </w:rPr>
              <w:t>up</w:t>
            </w:r>
          </w:p>
        </w:tc>
        <w:tc>
          <w:tcPr>
            <w:tcW w:w="1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9%</w:t>
            </w:r>
          </w:p>
        </w:tc>
        <w:tc>
          <w:tcPr>
            <w:tcW w:w="1260" w:type="dxa"/>
            <w:vAlign w:val="bottom"/>
          </w:tcPr>
          <w:p>
            <w:pPr>
              <w:ind w:left="880"/>
              <w:spacing w:after="0"/>
              <w:rPr>
                <w:sz w:val="20"/>
                <w:szCs w:val="20"/>
                <w:color w:val="auto"/>
              </w:rPr>
            </w:pPr>
            <w:r>
              <w:rPr>
                <w:rFonts w:ascii="Courier New" w:cs="Courier New" w:eastAsia="Courier New" w:hAnsi="Courier New"/>
                <w:sz w:val="17"/>
                <w:szCs w:val="17"/>
                <w:color w:val="auto"/>
              </w:rPr>
              <w:t>up</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bl>
    <w:p>
      <w:pPr>
        <w:sectPr>
          <w:pgSz w:w="11900" w:h="16920" w:orient="portrait"/>
          <w:cols w:equalWidth="0" w:num="1">
            <w:col w:w="10219"/>
          </w:cols>
          <w:pgMar w:left="240" w:top="110" w:right="1440"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gridSpan w:val="3"/>
          </w:tcPr>
          <w:p>
            <w:pPr>
              <w:spacing w:after="0"/>
              <w:rPr>
                <w:sz w:val="20"/>
                <w:szCs w:val="20"/>
                <w:color w:val="auto"/>
              </w:rPr>
            </w:pPr>
            <w:r>
              <w:rPr>
                <w:rFonts w:ascii="Courier New" w:cs="Courier New" w:eastAsia="Courier New" w:hAnsi="Courier New"/>
                <w:sz w:val="17"/>
                <w:szCs w:val="17"/>
                <w:color w:val="auto"/>
              </w:rPr>
              <w:t>Educational &amp; Productivity Solutions</w:t>
            </w:r>
          </w:p>
        </w:tc>
        <w:tc>
          <w:tcPr>
            <w:tcW w:w="480" w:type="dxa"/>
            <w:vAlign w:val="bottom"/>
          </w:tcPr>
          <w:p>
            <w:pPr>
              <w:ind w:left="100"/>
              <w:spacing w:after="0"/>
              <w:rPr>
                <w:sz w:val="20"/>
                <w:szCs w:val="20"/>
                <w:color w:val="auto"/>
              </w:rPr>
            </w:pPr>
            <w:r>
              <w:rPr>
                <w:rFonts w:ascii="Courier New" w:cs="Courier New" w:eastAsia="Courier New" w:hAnsi="Courier New"/>
                <w:sz w:val="17"/>
                <w:szCs w:val="17"/>
                <w:color w:val="auto"/>
              </w:rPr>
              <w:t>up</w:t>
            </w:r>
          </w:p>
        </w:tc>
        <w:tc>
          <w:tcPr>
            <w:tcW w:w="1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5%</w:t>
            </w:r>
          </w:p>
        </w:tc>
        <w:tc>
          <w:tcPr>
            <w:tcW w:w="1360" w:type="dxa"/>
            <w:vAlign w:val="bottom"/>
          </w:tcPr>
          <w:p>
            <w:pPr>
              <w:ind w:left="880"/>
              <w:spacing w:after="0"/>
              <w:rPr>
                <w:sz w:val="20"/>
                <w:szCs w:val="20"/>
                <w:color w:val="auto"/>
              </w:rPr>
            </w:pPr>
            <w:r>
              <w:rPr>
                <w:rFonts w:ascii="Courier New" w:cs="Courier New" w:eastAsia="Courier New" w:hAnsi="Courier New"/>
                <w:sz w:val="17"/>
                <w:szCs w:val="17"/>
                <w:color w:val="auto"/>
              </w:rPr>
              <w:t>up</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TI</w:t>
            </w:r>
          </w:p>
        </w:tc>
        <w:tc>
          <w:tcPr>
            <w:tcW w:w="29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excluding businesses sold</w:t>
            </w:r>
          </w:p>
        </w:tc>
        <w:tc>
          <w:tcPr>
            <w:tcW w:w="480" w:type="dxa"/>
            <w:vAlign w:val="bottom"/>
          </w:tcPr>
          <w:p>
            <w:pPr>
              <w:ind w:left="100"/>
              <w:spacing w:after="0"/>
              <w:rPr>
                <w:sz w:val="20"/>
                <w:szCs w:val="20"/>
                <w:color w:val="auto"/>
              </w:rPr>
            </w:pPr>
            <w:r>
              <w:rPr>
                <w:rFonts w:ascii="Courier New" w:cs="Courier New" w:eastAsia="Courier New" w:hAnsi="Courier New"/>
                <w:sz w:val="17"/>
                <w:szCs w:val="17"/>
                <w:color w:val="auto"/>
              </w:rPr>
              <w:t>up</w:t>
            </w:r>
          </w:p>
        </w:tc>
        <w:tc>
          <w:tcPr>
            <w:tcW w:w="1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6%</w:t>
            </w:r>
          </w:p>
        </w:tc>
        <w:tc>
          <w:tcPr>
            <w:tcW w:w="1360" w:type="dxa"/>
            <w:vAlign w:val="bottom"/>
          </w:tcPr>
          <w:p>
            <w:pPr>
              <w:ind w:left="880"/>
              <w:spacing w:after="0"/>
              <w:rPr>
                <w:sz w:val="20"/>
                <w:szCs w:val="20"/>
                <w:color w:val="auto"/>
              </w:rPr>
            </w:pPr>
            <w:r>
              <w:rPr>
                <w:rFonts w:ascii="Courier New" w:cs="Courier New" w:eastAsia="Courier New" w:hAnsi="Courier New"/>
                <w:sz w:val="17"/>
                <w:szCs w:val="17"/>
                <w:color w:val="auto"/>
              </w:rPr>
              <w:t>down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295"/>
        </w:trPr>
        <w:tc>
          <w:tcPr>
            <w:tcW w:w="5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TI</w:t>
            </w:r>
          </w:p>
        </w:tc>
        <w:tc>
          <w:tcPr>
            <w:tcW w:w="2980" w:type="dxa"/>
            <w:vAlign w:val="bottom"/>
            <w:vMerge w:val="continue"/>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7"/>
                <w:szCs w:val="17"/>
                <w:color w:val="auto"/>
              </w:rPr>
              <w:t>up</w:t>
            </w:r>
          </w:p>
        </w:tc>
        <w:tc>
          <w:tcPr>
            <w:tcW w:w="1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19%</w:t>
            </w:r>
          </w:p>
        </w:tc>
        <w:tc>
          <w:tcPr>
            <w:tcW w:w="1360" w:type="dxa"/>
            <w:vAlign w:val="bottom"/>
          </w:tcPr>
          <w:p>
            <w:pPr>
              <w:ind w:left="880"/>
              <w:spacing w:after="0"/>
              <w:rPr>
                <w:sz w:val="20"/>
                <w:szCs w:val="20"/>
                <w:color w:val="auto"/>
              </w:rPr>
            </w:pPr>
            <w:r>
              <w:rPr>
                <w:rFonts w:ascii="Courier New" w:cs="Courier New" w:eastAsia="Courier New" w:hAnsi="Courier New"/>
                <w:sz w:val="17"/>
                <w:szCs w:val="17"/>
                <w:color w:val="auto"/>
              </w:rPr>
              <w:t>up</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bl>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60" w:type="dxa"/>
            <w:vAlign w:val="bottom"/>
          </w:tcPr>
          <w:p>
            <w:pPr>
              <w:spacing w:after="0"/>
              <w:rPr>
                <w:sz w:val="17"/>
                <w:szCs w:val="17"/>
                <w:color w:val="auto"/>
              </w:rPr>
            </w:pPr>
          </w:p>
        </w:tc>
        <w:tc>
          <w:tcPr>
            <w:tcW w:w="3300" w:type="dxa"/>
            <w:vAlign w:val="bottom"/>
          </w:tcPr>
          <w:p>
            <w:pPr>
              <w:jc w:val="center"/>
              <w:ind w:left="793"/>
              <w:spacing w:after="0"/>
              <w:rPr>
                <w:sz w:val="20"/>
                <w:szCs w:val="20"/>
                <w:color w:val="auto"/>
              </w:rPr>
            </w:pPr>
            <w:r>
              <w:rPr>
                <w:rFonts w:ascii="Courier New" w:cs="Courier New" w:eastAsia="Courier New" w:hAnsi="Courier New"/>
                <w:sz w:val="17"/>
                <w:szCs w:val="17"/>
                <w:color w:val="auto"/>
              </w:rPr>
              <w:t>CHANGE IN</w:t>
            </w:r>
          </w:p>
        </w:tc>
        <w:tc>
          <w:tcPr>
            <w:tcW w:w="1980" w:type="dxa"/>
            <w:vAlign w:val="bottom"/>
          </w:tcPr>
          <w:p>
            <w:pPr>
              <w:jc w:val="center"/>
              <w:ind w:left="553"/>
              <w:spacing w:after="0"/>
              <w:rPr>
                <w:sz w:val="20"/>
                <w:szCs w:val="20"/>
                <w:color w:val="auto"/>
              </w:rPr>
            </w:pPr>
            <w:r>
              <w:rPr>
                <w:rFonts w:ascii="Courier New" w:cs="Courier New" w:eastAsia="Courier New" w:hAnsi="Courier New"/>
                <w:sz w:val="17"/>
                <w:szCs w:val="17"/>
                <w:color w:val="auto"/>
              </w:rPr>
              <w:t>CHANGE IN</w:t>
            </w:r>
          </w:p>
        </w:tc>
        <w:tc>
          <w:tcPr>
            <w:tcW w:w="0" w:type="dxa"/>
            <w:vAlign w:val="bottom"/>
          </w:tcPr>
          <w:p>
            <w:pPr>
              <w:spacing w:after="0"/>
              <w:rPr>
                <w:sz w:val="1"/>
                <w:szCs w:val="1"/>
                <w:color w:val="auto"/>
              </w:rPr>
            </w:pPr>
          </w:p>
        </w:tc>
      </w:tr>
      <w:tr>
        <w:trPr>
          <w:trHeight w:val="201"/>
        </w:trPr>
        <w:tc>
          <w:tcPr>
            <w:tcW w:w="2160" w:type="dxa"/>
            <w:vAlign w:val="bottom"/>
            <w:vMerge w:val="restart"/>
          </w:tcPr>
          <w:p>
            <w:pPr>
              <w:spacing w:after="0"/>
              <w:rPr>
                <w:sz w:val="20"/>
                <w:szCs w:val="20"/>
                <w:color w:val="auto"/>
              </w:rPr>
            </w:pPr>
            <w:r>
              <w:rPr>
                <w:rFonts w:ascii="Courier New" w:cs="Courier New" w:eastAsia="Courier New" w:hAnsi="Courier New"/>
                <w:sz w:val="17"/>
                <w:szCs w:val="17"/>
                <w:color w:val="auto"/>
              </w:rPr>
              <w:t>BUSINESS</w:t>
            </w:r>
          </w:p>
        </w:tc>
        <w:tc>
          <w:tcPr>
            <w:tcW w:w="3300" w:type="dxa"/>
            <w:vAlign w:val="bottom"/>
          </w:tcPr>
          <w:p>
            <w:pPr>
              <w:jc w:val="center"/>
              <w:ind w:left="793"/>
              <w:spacing w:after="0"/>
              <w:rPr>
                <w:sz w:val="20"/>
                <w:szCs w:val="20"/>
                <w:color w:val="auto"/>
              </w:rPr>
            </w:pPr>
            <w:r>
              <w:rPr>
                <w:rFonts w:ascii="Courier New" w:cs="Courier New" w:eastAsia="Courier New" w:hAnsi="Courier New"/>
                <w:sz w:val="17"/>
                <w:szCs w:val="17"/>
                <w:color w:val="auto"/>
              </w:rPr>
              <w:t>ORDERS,</w:t>
            </w:r>
          </w:p>
        </w:tc>
        <w:tc>
          <w:tcPr>
            <w:tcW w:w="1980" w:type="dxa"/>
            <w:vAlign w:val="bottom"/>
          </w:tcPr>
          <w:p>
            <w:pPr>
              <w:ind w:left="940"/>
              <w:spacing w:after="0"/>
              <w:rPr>
                <w:sz w:val="20"/>
                <w:szCs w:val="20"/>
                <w:color w:val="auto"/>
              </w:rPr>
            </w:pPr>
            <w:r>
              <w:rPr>
                <w:rFonts w:ascii="Courier New" w:cs="Courier New" w:eastAsia="Courier New" w:hAnsi="Courier New"/>
                <w:sz w:val="17"/>
                <w:szCs w:val="17"/>
                <w:color w:val="auto"/>
              </w:rPr>
              <w:t>REVENUES,</w:t>
            </w:r>
          </w:p>
        </w:tc>
        <w:tc>
          <w:tcPr>
            <w:tcW w:w="0" w:type="dxa"/>
            <w:vAlign w:val="bottom"/>
          </w:tcPr>
          <w:p>
            <w:pPr>
              <w:spacing w:after="0"/>
              <w:rPr>
                <w:sz w:val="1"/>
                <w:szCs w:val="1"/>
                <w:color w:val="auto"/>
              </w:rPr>
            </w:pPr>
          </w:p>
        </w:tc>
      </w:tr>
      <w:tr>
        <w:trPr>
          <w:trHeight w:val="233"/>
        </w:trPr>
        <w:tc>
          <w:tcPr>
            <w:tcW w:w="2160" w:type="dxa"/>
            <w:vAlign w:val="bottom"/>
            <w:vMerge w:val="continue"/>
          </w:tcPr>
          <w:p>
            <w:pPr>
              <w:spacing w:after="0"/>
              <w:rPr>
                <w:sz w:val="20"/>
                <w:szCs w:val="20"/>
                <w:color w:val="auto"/>
              </w:rPr>
            </w:pPr>
          </w:p>
        </w:tc>
        <w:tc>
          <w:tcPr>
            <w:tcW w:w="3300" w:type="dxa"/>
            <w:vAlign w:val="bottom"/>
          </w:tcPr>
          <w:p>
            <w:pPr>
              <w:ind w:left="1300"/>
              <w:spacing w:after="0"/>
              <w:rPr>
                <w:sz w:val="20"/>
                <w:szCs w:val="20"/>
                <w:color w:val="auto"/>
              </w:rPr>
            </w:pPr>
            <w:r>
              <w:rPr>
                <w:rFonts w:ascii="Courier New" w:cs="Courier New" w:eastAsia="Courier New" w:hAnsi="Courier New"/>
                <w:sz w:val="17"/>
                <w:szCs w:val="17"/>
                <w:color w:val="auto"/>
              </w:rPr>
              <w:t>4Q97 VS. 4Q96</w:t>
            </w:r>
          </w:p>
        </w:tc>
        <w:tc>
          <w:tcPr>
            <w:tcW w:w="198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4Q97 VS. 4Q96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tbl>
      <w:tblPr>
        <w:tblLayout w:type="fixed"/>
        <w:tblInd w:w="0" w:type="dxa"/>
        <w:tblCellMar>
          <w:top w:w="0" w:type="dxa"/>
          <w:left w:w="0" w:type="dxa"/>
          <w:bottom w:w="0" w:type="dxa"/>
          <w:right w:w="0" w:type="dxa"/>
        </w:tblCellMar>
      </w:tblPr>
      <w:tr>
        <w:trPr>
          <w:trHeight w:val="178"/>
        </w:trPr>
        <w:tc>
          <w:tcPr>
            <w:tcW w:w="3780" w:type="dxa"/>
            <w:vAlign w:val="bottom"/>
            <w:gridSpan w:val="3"/>
          </w:tcPr>
          <w:p>
            <w:pPr>
              <w:spacing w:after="0" w:line="179" w:lineRule="exact"/>
              <w:rPr>
                <w:sz w:val="20"/>
                <w:szCs w:val="20"/>
                <w:color w:val="auto"/>
              </w:rPr>
            </w:pPr>
            <w:r>
              <w:rPr>
                <w:rFonts w:ascii="Courier New" w:cs="Courier New" w:eastAsia="Courier New" w:hAnsi="Courier New"/>
                <w:sz w:val="17"/>
                <w:szCs w:val="17"/>
                <w:color w:val="auto"/>
              </w:rPr>
              <w:t>Semiconductor</w:t>
            </w:r>
          </w:p>
        </w:tc>
        <w:tc>
          <w:tcPr>
            <w:tcW w:w="58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w w:val="97"/>
              </w:rPr>
              <w:t>down</w:t>
            </w:r>
          </w:p>
        </w:tc>
        <w:tc>
          <w:tcPr>
            <w:tcW w:w="1260" w:type="dxa"/>
            <w:vAlign w:val="bottom"/>
          </w:tcPr>
          <w:p>
            <w:pPr>
              <w:jc w:val="right"/>
              <w:ind w:right="713"/>
              <w:spacing w:after="0" w:line="179" w:lineRule="exact"/>
              <w:rPr>
                <w:sz w:val="20"/>
                <w:szCs w:val="20"/>
                <w:color w:val="auto"/>
              </w:rPr>
            </w:pPr>
            <w:r>
              <w:rPr>
                <w:rFonts w:ascii="Courier New" w:cs="Courier New" w:eastAsia="Courier New" w:hAnsi="Courier New"/>
                <w:sz w:val="17"/>
                <w:szCs w:val="17"/>
                <w:color w:val="auto"/>
              </w:rPr>
              <w:t>4%</w:t>
            </w:r>
          </w:p>
        </w:tc>
        <w:tc>
          <w:tcPr>
            <w:tcW w:w="1360" w:type="dxa"/>
            <w:vAlign w:val="bottom"/>
          </w:tcPr>
          <w:p>
            <w:pPr>
              <w:jc w:val="right"/>
              <w:ind w:right="73"/>
              <w:spacing w:after="0" w:line="179" w:lineRule="exact"/>
              <w:rPr>
                <w:sz w:val="20"/>
                <w:szCs w:val="20"/>
                <w:color w:val="auto"/>
              </w:rPr>
            </w:pPr>
            <w:r>
              <w:rPr>
                <w:rFonts w:ascii="Courier New" w:cs="Courier New" w:eastAsia="Courier New" w:hAnsi="Courier New"/>
                <w:sz w:val="17"/>
                <w:szCs w:val="17"/>
                <w:color w:val="auto"/>
              </w:rPr>
              <w:t>up</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7"/>
                <w:szCs w:val="17"/>
                <w:color w:val="auto"/>
              </w:rPr>
              <w:t>6%</w:t>
            </w:r>
          </w:p>
        </w:tc>
      </w:tr>
      <w:tr>
        <w:trPr>
          <w:trHeight w:val="201"/>
        </w:trPr>
        <w:tc>
          <w:tcPr>
            <w:tcW w:w="1220" w:type="dxa"/>
            <w:vAlign w:val="bottom"/>
            <w:gridSpan w:val="2"/>
          </w:tcPr>
          <w:p>
            <w:pPr>
              <w:spacing w:after="0"/>
              <w:rPr>
                <w:sz w:val="20"/>
                <w:szCs w:val="20"/>
                <w:color w:val="auto"/>
              </w:rPr>
            </w:pPr>
            <w:r>
              <w:rPr>
                <w:rFonts w:ascii="Courier New" w:cs="Courier New" w:eastAsia="Courier New" w:hAnsi="Courier New"/>
                <w:sz w:val="17"/>
                <w:szCs w:val="17"/>
                <w:color w:val="auto"/>
              </w:rPr>
              <w:t>Materials &amp;</w:t>
            </w:r>
          </w:p>
        </w:tc>
        <w:tc>
          <w:tcPr>
            <w:tcW w:w="2560" w:type="dxa"/>
            <w:vAlign w:val="bottom"/>
          </w:tcPr>
          <w:p>
            <w:pPr>
              <w:ind w:left="40"/>
              <w:spacing w:after="0"/>
              <w:rPr>
                <w:sz w:val="20"/>
                <w:szCs w:val="20"/>
                <w:color w:val="auto"/>
              </w:rPr>
            </w:pPr>
            <w:r>
              <w:rPr>
                <w:rFonts w:ascii="Courier New" w:cs="Courier New" w:eastAsia="Courier New" w:hAnsi="Courier New"/>
                <w:sz w:val="17"/>
                <w:szCs w:val="17"/>
                <w:color w:val="auto"/>
              </w:rPr>
              <w:t>Controls</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up</w:t>
            </w:r>
          </w:p>
        </w:tc>
        <w:tc>
          <w:tcPr>
            <w:tcW w:w="126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7%</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up</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201"/>
        </w:trPr>
        <w:tc>
          <w:tcPr>
            <w:tcW w:w="1220" w:type="dxa"/>
            <w:vAlign w:val="bottom"/>
            <w:gridSpan w:val="2"/>
          </w:tcPr>
          <w:p>
            <w:pPr>
              <w:spacing w:after="0"/>
              <w:rPr>
                <w:sz w:val="20"/>
                <w:szCs w:val="20"/>
                <w:color w:val="auto"/>
              </w:rPr>
            </w:pPr>
            <w:r>
              <w:rPr>
                <w:rFonts w:ascii="Courier New" w:cs="Courier New" w:eastAsia="Courier New" w:hAnsi="Courier New"/>
                <w:sz w:val="17"/>
                <w:szCs w:val="17"/>
                <w:color w:val="auto"/>
              </w:rPr>
              <w:t>Educational</w:t>
            </w:r>
          </w:p>
        </w:tc>
        <w:tc>
          <w:tcPr>
            <w:tcW w:w="2560" w:type="dxa"/>
            <w:vAlign w:val="bottom"/>
          </w:tcPr>
          <w:p>
            <w:pPr>
              <w:ind w:left="40"/>
              <w:spacing w:after="0"/>
              <w:rPr>
                <w:sz w:val="20"/>
                <w:szCs w:val="20"/>
                <w:color w:val="auto"/>
              </w:rPr>
            </w:pPr>
            <w:r>
              <w:rPr>
                <w:rFonts w:ascii="Courier New" w:cs="Courier New" w:eastAsia="Courier New" w:hAnsi="Courier New"/>
                <w:sz w:val="17"/>
                <w:szCs w:val="17"/>
                <w:color w:val="auto"/>
              </w:rPr>
              <w:t>&amp; Productivity Solutions</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up</w:t>
            </w:r>
          </w:p>
        </w:tc>
        <w:tc>
          <w:tcPr>
            <w:tcW w:w="126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13%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up</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640" w:type="dxa"/>
            <w:vAlign w:val="bottom"/>
          </w:tcPr>
          <w:p>
            <w:pPr>
              <w:ind w:left="60"/>
              <w:spacing w:after="0"/>
              <w:rPr>
                <w:sz w:val="20"/>
                <w:szCs w:val="20"/>
                <w:color w:val="auto"/>
              </w:rPr>
            </w:pPr>
            <w:r>
              <w:rPr>
                <w:rFonts w:ascii="Courier New" w:cs="Courier New" w:eastAsia="Courier New" w:hAnsi="Courier New"/>
                <w:sz w:val="17"/>
                <w:szCs w:val="17"/>
                <w:color w:val="auto"/>
              </w:rPr>
              <w:t>TI</w:t>
            </w:r>
          </w:p>
        </w:tc>
        <w:tc>
          <w:tcPr>
            <w:tcW w:w="2560" w:type="dxa"/>
            <w:vAlign w:val="bottom"/>
          </w:tcPr>
          <w:p>
            <w:pPr>
              <w:spacing w:after="0"/>
              <w:rPr>
                <w:sz w:val="17"/>
                <w:szCs w:val="17"/>
                <w:color w:val="auto"/>
              </w:rPr>
            </w:pP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down</w:t>
            </w:r>
          </w:p>
        </w:tc>
        <w:tc>
          <w:tcPr>
            <w:tcW w:w="126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10%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down</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95"/>
        </w:trPr>
        <w:tc>
          <w:tcPr>
            <w:tcW w:w="5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TI excluding businesses sold</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down</w:t>
            </w:r>
          </w:p>
        </w:tc>
        <w:tc>
          <w:tcPr>
            <w:tcW w:w="126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up</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 RESULTS OF OPERATIONS COMPARED WITH 1996</w:t>
      </w:r>
    </w:p>
    <w:p>
      <w:pPr>
        <w:spacing w:after="0" w:line="210"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UNLESS STATED OTHERWISE, THE FINANCIAL RESULTS THAT FOLLOW ARE FROM CONTINUING OPERATIONS AND EXCLUDE SPECIAL ITEMS.</w:t>
      </w:r>
    </w:p>
    <w:p>
      <w:pPr>
        <w:spacing w:after="0" w:line="1" w:lineRule="exact"/>
        <w:rPr>
          <w:sz w:val="20"/>
          <w:szCs w:val="20"/>
          <w:color w:val="auto"/>
        </w:rPr>
      </w:pPr>
    </w:p>
    <w:p>
      <w:pPr>
        <w:ind w:right="2039"/>
        <w:spacing w:after="0" w:line="276" w:lineRule="auto"/>
        <w:rPr>
          <w:sz w:val="20"/>
          <w:szCs w:val="20"/>
          <w:color w:val="auto"/>
        </w:rPr>
      </w:pPr>
      <w:r>
        <w:rPr>
          <w:rFonts w:ascii="Courier New" w:cs="Courier New" w:eastAsia="Courier New" w:hAnsi="Courier New"/>
          <w:sz w:val="17"/>
          <w:szCs w:val="17"/>
          <w:color w:val="auto"/>
        </w:rPr>
        <w:t>TI's orders were $9796 million, compared with $9268 million in 1996. Net revenues in 1997 were $9750 million, compared with $9940 million in 1996. Financial results in 1996 included revenues from TI businesses that have since been sold, primarily software, mobile computing and printers. Excluding the sold businesses, TI orders were up 19 percent for the year and revenues were up 10 percent, primarily due to growth in semiconductor.</w:t>
      </w:r>
    </w:p>
    <w:p>
      <w:pPr>
        <w:spacing w:after="0" w:line="81" w:lineRule="exact"/>
        <w:rPr>
          <w:sz w:val="20"/>
          <w:szCs w:val="20"/>
          <w:color w:val="auto"/>
        </w:rPr>
      </w:pPr>
    </w:p>
    <w:p>
      <w:pPr>
        <w:ind w:right="2039" w:firstLine="524"/>
        <w:spacing w:after="0" w:line="283" w:lineRule="auto"/>
        <w:rPr>
          <w:sz w:val="20"/>
          <w:szCs w:val="20"/>
          <w:color w:val="auto"/>
        </w:rPr>
      </w:pPr>
      <w:r>
        <w:rPr>
          <w:rFonts w:ascii="Courier New" w:cs="Courier New" w:eastAsia="Courier New" w:hAnsi="Courier New"/>
          <w:sz w:val="17"/>
          <w:szCs w:val="17"/>
          <w:color w:val="auto"/>
        </w:rPr>
        <w:t>Profit from operations in 1997 was $1213 million, up from $374 million in 1996. The increase was primarily from higher semiconductor profits in the non-memory portion of the business and the absence of losses in the sold businesses, primarily mobile computing. In 1996, these sold businesses lost $193 million more than in 1997.</w:t>
      </w:r>
    </w:p>
    <w:p>
      <w:pPr>
        <w:spacing w:after="0" w:line="73" w:lineRule="exact"/>
        <w:rPr>
          <w:sz w:val="20"/>
          <w:szCs w:val="20"/>
          <w:color w:val="auto"/>
        </w:rPr>
      </w:pPr>
    </w:p>
    <w:p>
      <w:pPr>
        <w:ind w:right="2039" w:firstLine="524"/>
        <w:spacing w:after="0" w:line="269" w:lineRule="auto"/>
        <w:rPr>
          <w:sz w:val="20"/>
          <w:szCs w:val="20"/>
          <w:color w:val="auto"/>
        </w:rPr>
      </w:pPr>
      <w:r>
        <w:rPr>
          <w:rFonts w:ascii="Courier New" w:cs="Courier New" w:eastAsia="Courier New" w:hAnsi="Courier New"/>
          <w:sz w:val="17"/>
          <w:szCs w:val="17"/>
          <w:color w:val="auto"/>
        </w:rPr>
        <w:t>Results for the fourth quarter include a charge of $461 million for in-process R&amp;D associated with the acquisition of Amati Communications Corporation, along with a pretax charge of $42 million for cost reduction actions, primarily in the materials &amp; controls business. In addition to the fourth quarter charges, the 1997 earnings include previously announced special pretax charges of $56 million, primarily related to the sale of TI's mobile computing business, and $44 million for the termination of joint-venture agreements in Thailand.</w:t>
      </w:r>
    </w:p>
    <w:p>
      <w:pPr>
        <w:spacing w:after="0" w:line="302" w:lineRule="exact"/>
        <w:rPr>
          <w:sz w:val="20"/>
          <w:szCs w:val="20"/>
          <w:color w:val="auto"/>
        </w:rPr>
      </w:pPr>
    </w:p>
    <w:p>
      <w:pPr>
        <w:ind w:right="2139" w:firstLine="419"/>
        <w:spacing w:after="0" w:line="283" w:lineRule="auto"/>
        <w:rPr>
          <w:sz w:val="20"/>
          <w:szCs w:val="20"/>
          <w:color w:val="auto"/>
        </w:rPr>
      </w:pPr>
      <w:r>
        <w:rPr>
          <w:rFonts w:ascii="Courier New" w:cs="Courier New" w:eastAsia="Courier New" w:hAnsi="Courier New"/>
          <w:sz w:val="17"/>
          <w:szCs w:val="17"/>
          <w:color w:val="auto"/>
        </w:rPr>
        <w:t>Results for 1997 also include a $66 million gain for the sale of three businesses, the largest of which was software. The total of the 1997 special items is equivalent to $1.27 per share. In 1996, special charges were $400 million before taxes, with $208 million being in the fourth quarter. These charges were equivalent to $0.86 per share for the year.</w:t>
      </w:r>
    </w:p>
    <w:p>
      <w:pPr>
        <w:spacing w:after="0" w:line="27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Income for the year was $809 million, compared with $281 million in 1996.</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TI's diluted earnings per share (EPS) in 1997 were $2.03, compared with $0.74</w:t>
      </w:r>
    </w:p>
    <w:p>
      <w:pPr>
        <w:spacing w:after="0" w:line="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in 1996.</w:t>
        <w:tab/>
        <w:t>Including the effect of the special items, income for the year was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$302 million compared to a loss of $46 million in 1996, and earnings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were $0.76 compared with a loss per share of $0.12 in 1996.</w:t>
      </w:r>
    </w:p>
    <w:p>
      <w:pPr>
        <w:spacing w:after="0" w:line="178" w:lineRule="exact"/>
        <w:rPr>
          <w:sz w:val="20"/>
          <w:szCs w:val="20"/>
          <w:color w:val="auto"/>
        </w:rPr>
      </w:pPr>
    </w:p>
    <w:p>
      <w:pPr>
        <w:jc w:val="both"/>
        <w:ind w:right="2559" w:firstLine="524"/>
        <w:spacing w:after="0" w:line="315" w:lineRule="auto"/>
        <w:rPr>
          <w:sz w:val="20"/>
          <w:szCs w:val="20"/>
          <w:color w:val="auto"/>
        </w:rPr>
      </w:pPr>
      <w:r>
        <w:rPr>
          <w:rFonts w:ascii="Courier New" w:cs="Courier New" w:eastAsia="Courier New" w:hAnsi="Courier New"/>
          <w:sz w:val="17"/>
          <w:szCs w:val="17"/>
          <w:color w:val="auto"/>
        </w:rPr>
        <w:t>Results for 1997 also included an accrual for profit sharing of $122 million, which was 7.82 percent of eligible payroll. There was no profit sharing in 1996.</w:t>
      </w:r>
    </w:p>
    <w:p>
      <w:pPr>
        <w:spacing w:after="0" w:line="47" w:lineRule="exact"/>
        <w:rPr>
          <w:sz w:val="20"/>
          <w:szCs w:val="20"/>
          <w:color w:val="auto"/>
        </w:rPr>
      </w:pPr>
    </w:p>
    <w:p>
      <w:pPr>
        <w:ind w:right="2039" w:firstLine="524"/>
        <w:spacing w:after="0" w:line="269" w:lineRule="auto"/>
        <w:rPr>
          <w:sz w:val="20"/>
          <w:szCs w:val="20"/>
          <w:color w:val="auto"/>
        </w:rPr>
      </w:pPr>
      <w:r>
        <w:rPr>
          <w:rFonts w:ascii="Courier New" w:cs="Courier New" w:eastAsia="Courier New" w:hAnsi="Courier New"/>
          <w:sz w:val="17"/>
          <w:szCs w:val="17"/>
          <w:color w:val="auto"/>
        </w:rPr>
        <w:t>Including the effect of special items, net income for 1997 was $1805 million, which consisted of income from continuing operations of $302 million, income from the discontinued defense business of $52 million, gain on sale of the discontinued defense business of $1473 million, and an extraordinary charge of $22 million associated with debt retirement. On a similar basis, net income for 1996 was $63 million, which consisted of a loss from continuing operations of $46 million and income from the discontinued defense business of $109 million.</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w:t>
      </w:r>
    </w:p>
    <w:p>
      <w:pPr>
        <w:spacing w:after="0" w:line="210" w:lineRule="exact"/>
        <w:rPr>
          <w:sz w:val="20"/>
          <w:szCs w:val="20"/>
          <w:color w:val="auto"/>
        </w:rPr>
      </w:pPr>
    </w:p>
    <w:p>
      <w:pPr>
        <w:ind w:right="2039" w:firstLine="524"/>
        <w:spacing w:after="0" w:line="315" w:lineRule="auto"/>
        <w:rPr>
          <w:sz w:val="20"/>
          <w:szCs w:val="20"/>
          <w:color w:val="auto"/>
        </w:rPr>
      </w:pPr>
      <w:r>
        <w:rPr>
          <w:rFonts w:ascii="Courier New" w:cs="Courier New" w:eastAsia="Courier New" w:hAnsi="Courier New"/>
          <w:sz w:val="17"/>
          <w:szCs w:val="17"/>
          <w:color w:val="auto"/>
        </w:rPr>
        <w:t>Royalty revenues in 1997 were essentially steady with 1996. Negotiations continue with potential licensees. TI continues to expect a significant ongoing stream of royalty revenue into the next century.</w:t>
      </w:r>
    </w:p>
    <w:p>
      <w:pPr>
        <w:spacing w:after="0" w:line="47" w:lineRule="exact"/>
        <w:rPr>
          <w:sz w:val="20"/>
          <w:szCs w:val="20"/>
          <w:color w:val="auto"/>
        </w:rPr>
      </w:pPr>
    </w:p>
    <w:p>
      <w:pPr>
        <w:ind w:right="2039" w:firstLine="524"/>
        <w:spacing w:after="0" w:line="270" w:lineRule="auto"/>
        <w:rPr>
          <w:sz w:val="20"/>
          <w:szCs w:val="20"/>
          <w:color w:val="auto"/>
        </w:rPr>
      </w:pPr>
      <w:r>
        <w:rPr>
          <w:rFonts w:ascii="Courier New" w:cs="Courier New" w:eastAsia="Courier New" w:hAnsi="Courier New"/>
          <w:sz w:val="17"/>
          <w:szCs w:val="17"/>
          <w:color w:val="auto"/>
        </w:rPr>
        <w:t>In September, the Tokyo High Court upheld a ruling that Fujitsu Limited's production of certain memory products does not infringe TI's Kilby patent.</w:t>
      </w:r>
    </w:p>
    <w:p>
      <w:pPr>
        <w:spacing w:after="0" w:line="2" w:lineRule="exact"/>
        <w:rPr>
          <w:sz w:val="20"/>
          <w:szCs w:val="20"/>
          <w:color w:val="auto"/>
        </w:rPr>
      </w:pPr>
    </w:p>
    <w:p>
      <w:pPr>
        <w:ind w:right="2039"/>
        <w:spacing w:after="0" w:line="280" w:lineRule="auto"/>
        <w:rPr>
          <w:sz w:val="20"/>
          <w:szCs w:val="20"/>
          <w:color w:val="auto"/>
        </w:rPr>
      </w:pPr>
      <w:r>
        <w:rPr>
          <w:rFonts w:ascii="Courier New" w:cs="Courier New" w:eastAsia="Courier New" w:hAnsi="Courier New"/>
          <w:sz w:val="17"/>
          <w:szCs w:val="17"/>
          <w:color w:val="auto"/>
        </w:rPr>
        <w:t>The company has appealed the ruling to the Japan Supreme Court. In November, the Japan Patent Office invalidated the Kilby patent. TI plans to appeal this decision to the Tokyo High Court. Since the Kilby patent expires in 2001, the company does not expect the outcome of either appeal to be material.</w:t>
      </w:r>
    </w:p>
    <w:p>
      <w:pPr>
        <w:sectPr>
          <w:pgSz w:w="11900" w:h="16838" w:orient="portrait"/>
          <w:cols w:equalWidth="0" w:num="1">
            <w:col w:w="10219"/>
          </w:cols>
          <w:pgMar w:left="240" w:top="110" w:right="1440" w:bottom="0" w:gutter="0" w:footer="0" w:header="0"/>
        </w:sectPr>
      </w:pPr>
    </w:p>
    <w:bookmarkStart w:id="41" w:name="page42"/>
    <w:bookmarkEnd w:id="41"/>
    <w:p>
      <w:pPr>
        <w:spacing w:after="0" w:line="141" w:lineRule="exact"/>
        <w:rPr>
          <w:sz w:val="20"/>
          <w:szCs w:val="20"/>
          <w:color w:val="auto"/>
        </w:rPr>
      </w:pPr>
    </w:p>
    <w:p>
      <w:pPr>
        <w:ind w:right="2139" w:firstLine="524"/>
        <w:spacing w:after="0" w:line="315" w:lineRule="auto"/>
        <w:rPr>
          <w:sz w:val="20"/>
          <w:szCs w:val="20"/>
          <w:color w:val="auto"/>
        </w:rPr>
      </w:pPr>
      <w:r>
        <w:rPr>
          <w:rFonts w:ascii="Courier New" w:cs="Courier New" w:eastAsia="Courier New" w:hAnsi="Courier New"/>
          <w:sz w:val="17"/>
          <w:szCs w:val="17"/>
          <w:color w:val="auto"/>
        </w:rPr>
        <w:t>Interest income for 1997 was up $84 million from 1996, primarily as a result of investment of net proceeds from the sale of the defense business to Raytheon.</w:t>
      </w:r>
    </w:p>
    <w:p>
      <w:pPr>
        <w:spacing w:after="0" w:line="4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income tax rate for 1997 was 35 percent.</w:t>
      </w:r>
    </w:p>
    <w:p>
      <w:pPr>
        <w:spacing w:after="0" w:line="210" w:lineRule="exact"/>
        <w:rPr>
          <w:sz w:val="20"/>
          <w:szCs w:val="20"/>
          <w:color w:val="auto"/>
        </w:rPr>
      </w:pPr>
    </w:p>
    <w:p>
      <w:pPr>
        <w:ind w:right="2779" w:firstLine="524"/>
        <w:spacing w:after="0" w:line="376" w:lineRule="auto"/>
        <w:rPr>
          <w:sz w:val="20"/>
          <w:szCs w:val="20"/>
          <w:color w:val="auto"/>
        </w:rPr>
      </w:pPr>
      <w:r>
        <w:rPr>
          <w:rFonts w:ascii="Courier New" w:cs="Courier New" w:eastAsia="Courier New" w:hAnsi="Courier New"/>
          <w:sz w:val="17"/>
          <w:szCs w:val="17"/>
          <w:color w:val="auto"/>
        </w:rPr>
        <w:t>TI's backlog of unfilled orders as of December 31, 1997, was $1623 million, unchanged from year-end 1996.</w:t>
      </w:r>
    </w:p>
    <w:p>
      <w:pPr>
        <w:spacing w:after="0" w:line="1"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R&amp;D for 1997 was $1075 million, excluding the $461 million charge for in-process R&amp;D associated with the Amati acquisition, compared with $989 million in 1996, excluding the $192 million charge for in-process R&amp;D associated with the SSi acquisition.</w:t>
      </w:r>
    </w:p>
    <w:p>
      <w:pPr>
        <w:spacing w:after="0" w:line="67" w:lineRule="exact"/>
        <w:rPr>
          <w:sz w:val="20"/>
          <w:szCs w:val="20"/>
          <w:color w:val="auto"/>
        </w:rPr>
      </w:pPr>
    </w:p>
    <w:p>
      <w:pPr>
        <w:ind w:right="2259" w:firstLine="524"/>
        <w:spacing w:after="0" w:line="315" w:lineRule="auto"/>
        <w:rPr>
          <w:sz w:val="20"/>
          <w:szCs w:val="20"/>
          <w:color w:val="auto"/>
        </w:rPr>
      </w:pPr>
      <w:r>
        <w:rPr>
          <w:rFonts w:ascii="Courier New" w:cs="Courier New" w:eastAsia="Courier New" w:hAnsi="Courier New"/>
          <w:sz w:val="17"/>
          <w:szCs w:val="17"/>
          <w:color w:val="auto"/>
        </w:rPr>
        <w:t>Capital expenditures were $1238 million in 1997, compared with $2063 million in 1996. Depreciation for 1997 was $1109 million compared with $904 million in 1996. Depreciation for 1998 is expected to be $1.3 billion.</w:t>
      </w:r>
    </w:p>
    <w:p>
      <w:pPr>
        <w:spacing w:after="0" w:line="47"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TI management will recommend to the Board of Directors that the timing of dividend declarations be moved to the first month of the quarter, with paydates shifting accordingly to the second month of the quarter. The change is planned to begin in March 1998.</w:t>
      </w:r>
    </w:p>
    <w:p>
      <w:pPr>
        <w:spacing w:after="0" w:line="67" w:lineRule="exact"/>
        <w:rPr>
          <w:sz w:val="20"/>
          <w:szCs w:val="20"/>
          <w:color w:val="auto"/>
        </w:rPr>
      </w:pPr>
    </w:p>
    <w:p>
      <w:pPr>
        <w:ind w:right="2139"/>
        <w:spacing w:after="0" w:line="269" w:lineRule="auto"/>
        <w:rPr>
          <w:sz w:val="20"/>
          <w:szCs w:val="20"/>
          <w:color w:val="auto"/>
        </w:rPr>
      </w:pPr>
      <w:r>
        <w:rPr>
          <w:rFonts w:ascii="Courier New" w:cs="Courier New" w:eastAsia="Courier New" w:hAnsi="Courier New"/>
          <w:sz w:val="17"/>
          <w:szCs w:val="17"/>
          <w:color w:val="auto"/>
        </w:rPr>
        <w:t>SEMICONDUCTOR: Orders in semiconductor for 1997 were $8109 million, up 21 percent from $6723 million in 1996. The increase resulted from strong demand for digital signal processing solutions, as DSPS orders increased over 40 percent. Semiconductor revenues were $8087 million, up 10 percent from $7357 million in 1996. The increase in semiconductor resulted from an increase of more than 35 percent in DSPS revenues due to increased shipments, which more than offset a $400 million decrease in memory, as DRAM prices continued to decline sharply.</w:t>
      </w:r>
    </w:p>
    <w:p>
      <w:pPr>
        <w:spacing w:after="0" w:line="86" w:lineRule="exact"/>
        <w:rPr>
          <w:sz w:val="20"/>
          <w:szCs w:val="20"/>
          <w:color w:val="auto"/>
        </w:rPr>
      </w:pPr>
    </w:p>
    <w:p>
      <w:pPr>
        <w:ind w:right="2259" w:firstLine="524"/>
        <w:spacing w:after="0" w:line="269" w:lineRule="auto"/>
        <w:rPr>
          <w:sz w:val="20"/>
          <w:szCs w:val="20"/>
          <w:color w:val="auto"/>
        </w:rPr>
      </w:pPr>
      <w:r>
        <w:rPr>
          <w:rFonts w:ascii="Courier New" w:cs="Courier New" w:eastAsia="Courier New" w:hAnsi="Courier New"/>
          <w:sz w:val="17"/>
          <w:szCs w:val="17"/>
          <w:color w:val="auto"/>
        </w:rPr>
        <w:t>For the fourth quarter, semiconductor revenues, which include royalties from semiconductor patent licenses, represented about 85 percent of TI's revenues. Digital signal processors plus mixed-signal/analog represented about 45 percent of semiconductor. Memory, made up primarily of DRAMs, accounted for less than 20 percent of semiconductor. The remainder of semiconductor consists primarily of a broad range of advanced products, including application-specific integrated circuits, reduced instruction-set microprocessors, microcontrollers and standard logic.</w:t>
      </w:r>
    </w:p>
    <w:p>
      <w:pPr>
        <w:spacing w:after="0" w:line="86"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Revenues reached record levels for digital signal processing for both the year and the fourth quarter. Mixed-signal/analog also had a strong year, with record revenues for the year and fourth quarter, growing more than twice as fast as the market in 1997.</w:t>
      </w:r>
    </w:p>
    <w:p>
      <w:pPr>
        <w:spacing w:after="0" w:line="67" w:lineRule="exact"/>
        <w:rPr>
          <w:sz w:val="20"/>
          <w:szCs w:val="20"/>
          <w:color w:val="auto"/>
        </w:rPr>
      </w:pPr>
    </w:p>
    <w:p>
      <w:pPr>
        <w:ind w:right="2139" w:firstLine="524"/>
        <w:spacing w:after="0" w:line="262" w:lineRule="auto"/>
        <w:rPr>
          <w:sz w:val="20"/>
          <w:szCs w:val="20"/>
          <w:color w:val="auto"/>
        </w:rPr>
      </w:pPr>
      <w:r>
        <w:rPr>
          <w:rFonts w:ascii="Courier New" w:cs="Courier New" w:eastAsia="Courier New" w:hAnsi="Courier New"/>
          <w:sz w:val="17"/>
          <w:szCs w:val="17"/>
          <w:color w:val="auto"/>
        </w:rPr>
        <w:t>Memory continued to be significantly affected by DRAM price pressures, with revenues down by 10 percent in the fourth quarter from the year-ago fourth quarter. TI continues to emphasize aggressive shrinks of DRAM devices and the transition to new synchronous DRAMs. TI believes these improvements will help offset some of the financial pressures faced by joint venture manufacturing operations in this environment. TI and other joint venture shareholders continue to explore further measures with respect to the joint venture structures. In this regard, TI and Hitachi, Ltd., major shareholders of one joint venture, announced on February 9, 1998, plans to discontinue their joint venture arrangement, with TI to purchase the assets of the venture. In connection with this action, TI expects to take a special charge in the first quarter of 1998.</w:t>
      </w:r>
    </w:p>
    <w:p>
      <w:pPr>
        <w:spacing w:after="0" w:line="96" w:lineRule="exact"/>
        <w:rPr>
          <w:sz w:val="20"/>
          <w:szCs w:val="20"/>
          <w:color w:val="auto"/>
        </w:rPr>
      </w:pPr>
    </w:p>
    <w:p>
      <w:pPr>
        <w:ind w:right="2459" w:firstLine="524"/>
        <w:spacing w:after="0" w:line="315" w:lineRule="auto"/>
        <w:rPr>
          <w:sz w:val="20"/>
          <w:szCs w:val="20"/>
          <w:color w:val="auto"/>
        </w:rPr>
      </w:pPr>
      <w:r>
        <w:rPr>
          <w:rFonts w:ascii="Courier New" w:cs="Courier New" w:eastAsia="Courier New" w:hAnsi="Courier New"/>
          <w:sz w:val="17"/>
          <w:szCs w:val="17"/>
          <w:color w:val="auto"/>
        </w:rPr>
        <w:t>TI's other semiconductor products, such as microcontrollers and application-specific integrated circuits, made good progress in growth and profitability in 1997.</w:t>
      </w:r>
    </w:p>
    <w:p>
      <w:pPr>
        <w:spacing w:after="0" w:line="47"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37</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139" w:firstLine="524"/>
        <w:spacing w:after="0" w:line="283" w:lineRule="auto"/>
        <w:rPr>
          <w:sz w:val="20"/>
          <w:szCs w:val="20"/>
          <w:color w:val="auto"/>
        </w:rPr>
      </w:pPr>
      <w:r>
        <w:rPr>
          <w:rFonts w:ascii="Courier New" w:cs="Courier New" w:eastAsia="Courier New" w:hAnsi="Courier New"/>
          <w:sz w:val="17"/>
          <w:szCs w:val="17"/>
          <w:color w:val="auto"/>
        </w:rPr>
        <w:t>Semiconductor profit from operations increased from $783 million in 1996 to $1354 million in 1997 and operating margins improved from 10.6 percent to 16.7 percent. The improvement was primarily from higher margins in the non-memory portion of the business, particularly benefiting from higher DSPS shipments.</w:t>
      </w:r>
    </w:p>
    <w:p>
      <w:pPr>
        <w:spacing w:after="0" w:line="73"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The outlook remains positive for longer-term growth of the semiconductor market, although TI remains cautious in the near-term as continuing volatility in DRAMs and slowing in Asian economies are expected to put pressure on first quarter 1998 revenues and margins.</w:t>
      </w:r>
    </w:p>
    <w:p>
      <w:pPr>
        <w:spacing w:after="0" w:line="67" w:lineRule="exact"/>
        <w:rPr>
          <w:sz w:val="20"/>
          <w:szCs w:val="20"/>
          <w:color w:val="auto"/>
        </w:rPr>
      </w:pPr>
    </w:p>
    <w:p>
      <w:pPr>
        <w:ind w:right="2039" w:firstLine="524"/>
        <w:spacing w:after="0" w:line="315" w:lineRule="auto"/>
        <w:rPr>
          <w:sz w:val="20"/>
          <w:szCs w:val="20"/>
          <w:color w:val="auto"/>
        </w:rPr>
      </w:pPr>
      <w:r>
        <w:rPr>
          <w:rFonts w:ascii="Courier New" w:cs="Courier New" w:eastAsia="Courier New" w:hAnsi="Courier New"/>
          <w:sz w:val="17"/>
          <w:szCs w:val="17"/>
          <w:color w:val="auto"/>
        </w:rPr>
        <w:t>TI now believes the 1998 worldwide semiconductor market will grow at about 10 percent, up from 4 percent in 1997. In the non-memory area of the market, TI expects to see faster growth than the total market, led by about 30</w:t>
      </w:r>
    </w:p>
    <w:p>
      <w:pPr>
        <w:sectPr>
          <w:pgSz w:w="11900" w:h="16980" w:orient="portrait"/>
          <w:cols w:equalWidth="0" w:num="1">
            <w:col w:w="10219"/>
          </w:cols>
          <w:pgMar w:left="240" w:top="110" w:right="1440" w:bottom="0" w:gutter="0" w:footer="0" w:header="0"/>
        </w:sectPr>
      </w:pPr>
    </w:p>
    <w:bookmarkStart w:id="42" w:name="page43"/>
    <w:bookmarkEnd w:id="42"/>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 growth for DSPs and mixed-signal devices.</w:t>
      </w:r>
    </w:p>
    <w:p>
      <w:pPr>
        <w:spacing w:after="0" w:line="210" w:lineRule="exact"/>
        <w:rPr>
          <w:sz w:val="20"/>
          <w:szCs w:val="20"/>
          <w:color w:val="auto"/>
        </w:rPr>
      </w:pPr>
    </w:p>
    <w:p>
      <w:pPr>
        <w:ind w:right="2039" w:firstLine="524"/>
        <w:spacing w:after="0" w:line="272" w:lineRule="auto"/>
        <w:rPr>
          <w:sz w:val="20"/>
          <w:szCs w:val="20"/>
          <w:color w:val="auto"/>
        </w:rPr>
      </w:pPr>
      <w:r>
        <w:rPr>
          <w:rFonts w:ascii="Courier New" w:cs="Courier New" w:eastAsia="Courier New" w:hAnsi="Courier New"/>
          <w:sz w:val="17"/>
          <w:szCs w:val="17"/>
          <w:color w:val="auto"/>
        </w:rPr>
        <w:t>The U.S. market outlook remains healthy and Europe shows ongoing strengthening, although turmoil in Asia could impact these markets as well. In addition, new markets are emerging, such as low cost personal computers, higher speed internet access and digital consumer products, important to the future growth of the industry. TI continues to see strength in wireless communications and networking markets, with semiconductor content rising about 60 percent over the past four years.</w:t>
      </w:r>
    </w:p>
    <w:p>
      <w:pPr>
        <w:spacing w:after="0" w:line="84" w:lineRule="exact"/>
        <w:rPr>
          <w:sz w:val="20"/>
          <w:szCs w:val="20"/>
          <w:color w:val="auto"/>
        </w:rPr>
      </w:pPr>
    </w:p>
    <w:p>
      <w:pPr>
        <w:ind w:right="2039"/>
        <w:spacing w:after="0" w:line="276" w:lineRule="auto"/>
        <w:rPr>
          <w:sz w:val="20"/>
          <w:szCs w:val="20"/>
          <w:color w:val="auto"/>
        </w:rPr>
      </w:pPr>
      <w:r>
        <w:rPr>
          <w:rFonts w:ascii="Courier New" w:cs="Courier New" w:eastAsia="Courier New" w:hAnsi="Courier New"/>
          <w:sz w:val="17"/>
          <w:szCs w:val="17"/>
          <w:color w:val="auto"/>
        </w:rPr>
        <w:t>MATERIALS &amp; CONTROLS: Orders in materials &amp; controls of $972 million were up from $896 million in 1996, primarily due to TIRIS. Revenues of $954 million were up $64 million from 1996 due primarily to the growing acceptance of TIRIS in automotive applications. PFO increased from $90 million in 1996 to $123 million in 1997, with margins improving from 10.1 percent to 12.9 percent. The increase was due primarily to manufacturing cost reduction.</w:t>
      </w:r>
    </w:p>
    <w:p>
      <w:pPr>
        <w:spacing w:after="0" w:line="81" w:lineRule="exact"/>
        <w:rPr>
          <w:sz w:val="20"/>
          <w:szCs w:val="20"/>
          <w:color w:val="auto"/>
        </w:rPr>
      </w:pPr>
    </w:p>
    <w:p>
      <w:pPr>
        <w:ind w:right="2039"/>
        <w:spacing w:after="0" w:line="276" w:lineRule="auto"/>
        <w:rPr>
          <w:sz w:val="20"/>
          <w:szCs w:val="20"/>
          <w:color w:val="auto"/>
        </w:rPr>
      </w:pPr>
      <w:r>
        <w:rPr>
          <w:rFonts w:ascii="Courier New" w:cs="Courier New" w:eastAsia="Courier New" w:hAnsi="Courier New"/>
          <w:sz w:val="17"/>
          <w:szCs w:val="17"/>
          <w:color w:val="auto"/>
        </w:rPr>
        <w:t>EDUCATIONAL &amp; PRODUCTIVITY SOLUTIONS: Orders in educational &amp; productivity solutions were $448 million, up $22 million from 1996 as a result of continued growth in instructional calculators. Revenues were $447 million, an increase of $24 million from 1996 also as a result of growth in instructional calculators. PFO increased from $56 million in 1996 to $59 million in 1997 and operating margins remained flat at 13.2 percent.</w:t>
      </w:r>
    </w:p>
    <w:p>
      <w:pPr>
        <w:spacing w:after="0" w:line="81" w:lineRule="exact"/>
        <w:rPr>
          <w:sz w:val="20"/>
          <w:szCs w:val="20"/>
          <w:color w:val="auto"/>
        </w:rPr>
      </w:pPr>
    </w:p>
    <w:p>
      <w:pPr>
        <w:ind w:right="2359"/>
        <w:spacing w:after="0" w:line="376" w:lineRule="auto"/>
        <w:rPr>
          <w:sz w:val="20"/>
          <w:szCs w:val="20"/>
          <w:color w:val="auto"/>
        </w:rPr>
      </w:pPr>
      <w:r>
        <w:rPr>
          <w:rFonts w:ascii="Courier New" w:cs="Courier New" w:eastAsia="Courier New" w:hAnsi="Courier New"/>
          <w:sz w:val="17"/>
          <w:szCs w:val="17"/>
          <w:color w:val="auto"/>
        </w:rPr>
        <w:t>DIGITAL IMAGING: TI's digital imaging business continued to make progress throughout 1997, further focusing its strategy on key market opportunities.</w:t>
      </w:r>
    </w:p>
    <w:p>
      <w:pPr>
        <w:spacing w:after="0" w:line="1" w:lineRule="exact"/>
        <w:rPr>
          <w:sz w:val="20"/>
          <w:szCs w:val="20"/>
          <w:color w:val="auto"/>
        </w:rPr>
      </w:pPr>
    </w:p>
    <w:p>
      <w:pPr>
        <w:ind w:right="2039"/>
        <w:spacing w:after="0" w:line="260" w:lineRule="auto"/>
        <w:rPr>
          <w:sz w:val="20"/>
          <w:szCs w:val="20"/>
          <w:color w:val="auto"/>
        </w:rPr>
      </w:pPr>
      <w:r>
        <w:rPr>
          <w:rFonts w:ascii="Courier New" w:cs="Courier New" w:eastAsia="Courier New" w:hAnsi="Courier New"/>
          <w:sz w:val="17"/>
          <w:szCs w:val="17"/>
          <w:color w:val="auto"/>
        </w:rPr>
        <w:t>FINANCIAL CONDITION: During 1997, cash and cash equivalents plus short-term investments increased by $2042 million to $3020 million. The sale of TI's defense operations to Raytheon Company on July 11 provided $2950 million of cash. In addition, the sale of three other TI businesses generated $177 million of cash in the second quarter. In the fourth quarter, TI used $306 million of cash to acquire about 78 percent of the issued and outstanding shares of Amati Communications Corporation's common stock at a price of $20 per share. TI intends to acquire the remaining shares of Amati's common stock in the first quarter of 1998. Additionally, TI used $740 million of cash in the fourth quarter to pay 1997 federal income taxes which included taxes of $676 million on the gain on the sale of TI's defense operations. This sale and the related accrued income tax liability were recognized in the third quarter of 1997. For 1997, cash flow from operating activities net of additions to property, plant, and equipment was $605 million, and 1997 capital expenditures totaled $1238 million.</w:t>
      </w:r>
    </w:p>
    <w:p>
      <w:pPr>
        <w:spacing w:after="0" w:line="93" w:lineRule="exact"/>
        <w:rPr>
          <w:sz w:val="20"/>
          <w:szCs w:val="20"/>
          <w:color w:val="auto"/>
        </w:rPr>
      </w:pPr>
    </w:p>
    <w:p>
      <w:pPr>
        <w:ind w:right="2779" w:firstLine="524"/>
        <w:spacing w:after="0" w:line="283" w:lineRule="auto"/>
        <w:rPr>
          <w:sz w:val="20"/>
          <w:szCs w:val="20"/>
          <w:color w:val="auto"/>
        </w:rPr>
      </w:pPr>
      <w:r>
        <w:rPr>
          <w:rFonts w:ascii="Courier New" w:cs="Courier New" w:eastAsia="Courier New" w:hAnsi="Courier New"/>
          <w:sz w:val="17"/>
          <w:szCs w:val="17"/>
          <w:color w:val="auto"/>
        </w:rPr>
        <w:t>During the third quarter TI began a stock repurchase program with the goal of neutralizing the potential dilutive effect of shares to be issued upon the exercise of stock options under the 1997 employee stock purchase plan and stock option/incentive plans. Through December, TI used $86 million of cash to repurchase shares of its common stock.</w:t>
      </w:r>
    </w:p>
    <w:p>
      <w:pPr>
        <w:spacing w:after="0" w:line="73" w:lineRule="exact"/>
        <w:rPr>
          <w:sz w:val="20"/>
          <w:szCs w:val="20"/>
          <w:color w:val="auto"/>
        </w:rPr>
      </w:pPr>
    </w:p>
    <w:p>
      <w:pPr>
        <w:ind w:right="2039" w:firstLine="524"/>
        <w:spacing w:after="0" w:line="256" w:lineRule="auto"/>
        <w:rPr>
          <w:sz w:val="20"/>
          <w:szCs w:val="20"/>
          <w:color w:val="auto"/>
        </w:rPr>
      </w:pPr>
      <w:r>
        <w:rPr>
          <w:rFonts w:ascii="Courier New" w:cs="Courier New" w:eastAsia="Courier New" w:hAnsi="Courier New"/>
          <w:sz w:val="17"/>
          <w:szCs w:val="17"/>
          <w:color w:val="auto"/>
        </w:rPr>
        <w:t>The outstanding balance of commercial paper was reduced from $300 million to zero during the second quarter of 1997. The company's outstanding 2.75% convertible subordinated debentures due 2002 in the principal amount of $103 million were called for redemption and converted to TI common stock in the third quarter of 1997. In the fourth quarter, TI retired a face amount of $248 million of its previously outstanding long-term debt. At year-end 1997 the debt-to-total-capital ratio was .19, down from the year-end 1996 value of</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.33.</w:t>
      </w:r>
    </w:p>
    <w:p>
      <w:pPr>
        <w:spacing w:after="0" w:line="178" w:lineRule="exact"/>
        <w:rPr>
          <w:sz w:val="20"/>
          <w:szCs w:val="20"/>
          <w:color w:val="auto"/>
        </w:rPr>
      </w:pPr>
    </w:p>
    <w:p>
      <w:pPr>
        <w:ind w:right="2259" w:firstLine="524"/>
        <w:spacing w:after="0" w:line="315" w:lineRule="auto"/>
        <w:rPr>
          <w:sz w:val="20"/>
          <w:szCs w:val="20"/>
          <w:color w:val="auto"/>
        </w:rPr>
      </w:pPr>
      <w:r>
        <w:rPr>
          <w:rFonts w:ascii="Courier New" w:cs="Courier New" w:eastAsia="Courier New" w:hAnsi="Courier New"/>
          <w:sz w:val="17"/>
          <w:szCs w:val="17"/>
          <w:color w:val="auto"/>
        </w:rPr>
        <w:t>Authorizations for future capital expenditures were $1105 million at December 31, 1997. TI's capital expenditures for 1998 are being constrained to $1.4 billion, up from $1.2 billion in 1997.</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38</w:t>
      </w:r>
    </w:p>
    <w:p>
      <w:pPr>
        <w:spacing w:after="0" w:line="210" w:lineRule="exact"/>
        <w:rPr>
          <w:sz w:val="20"/>
          <w:szCs w:val="20"/>
          <w:color w:val="auto"/>
        </w:rPr>
      </w:pPr>
    </w:p>
    <w:p>
      <w:pPr>
        <w:ind w:right="2039"/>
        <w:spacing w:after="0" w:line="315" w:lineRule="auto"/>
        <w:rPr>
          <w:sz w:val="20"/>
          <w:szCs w:val="20"/>
          <w:color w:val="auto"/>
        </w:rPr>
      </w:pPr>
      <w:r>
        <w:rPr>
          <w:rFonts w:ascii="Courier New" w:cs="Courier New" w:eastAsia="Courier New" w:hAnsi="Courier New"/>
          <w:sz w:val="17"/>
          <w:szCs w:val="17"/>
          <w:color w:val="auto"/>
        </w:rPr>
        <w:t>R&amp;D will be increased to $1.3 billion, up from $1.1 billion in 1997, primarily to support digital signal processing solutions and other advanced semiconductor technologies.</w:t>
      </w:r>
    </w:p>
    <w:p>
      <w:pPr>
        <w:spacing w:after="0" w:line="47" w:lineRule="exact"/>
        <w:rPr>
          <w:sz w:val="20"/>
          <w:szCs w:val="20"/>
          <w:color w:val="auto"/>
        </w:rPr>
      </w:pPr>
    </w:p>
    <w:p>
      <w:pPr>
        <w:ind w:right="2039" w:firstLine="524"/>
        <w:spacing w:after="0" w:line="283" w:lineRule="auto"/>
        <w:rPr>
          <w:sz w:val="20"/>
          <w:szCs w:val="20"/>
          <w:color w:val="auto"/>
        </w:rPr>
      </w:pPr>
      <w:r>
        <w:rPr>
          <w:rFonts w:ascii="Courier New" w:cs="Courier New" w:eastAsia="Courier New" w:hAnsi="Courier New"/>
          <w:sz w:val="17"/>
          <w:szCs w:val="17"/>
          <w:color w:val="auto"/>
        </w:rPr>
        <w:t>The company maintains lines of credit to support commercial paper borrowings and to provide additional liquidity. These lines of credit totaled $651 million at December 31, 1997. Of this amount, $600 million exists to support outstanding and future commercial paper borrowings or short-term bank loans.</w:t>
      </w:r>
    </w:p>
    <w:p>
      <w:pPr>
        <w:spacing w:after="0" w:line="73" w:lineRule="exact"/>
        <w:rPr>
          <w:sz w:val="20"/>
          <w:szCs w:val="20"/>
          <w:color w:val="auto"/>
        </w:rPr>
      </w:pPr>
    </w:p>
    <w:p>
      <w:pPr>
        <w:ind w:right="2559" w:firstLine="524"/>
        <w:spacing w:after="0" w:line="379" w:lineRule="auto"/>
        <w:rPr>
          <w:sz w:val="20"/>
          <w:szCs w:val="20"/>
          <w:color w:val="auto"/>
        </w:rPr>
      </w:pPr>
      <w:r>
        <w:rPr>
          <w:rFonts w:ascii="Courier New" w:cs="Courier New" w:eastAsia="Courier New" w:hAnsi="Courier New"/>
          <w:sz w:val="17"/>
          <w:szCs w:val="17"/>
          <w:color w:val="auto"/>
        </w:rPr>
        <w:t>TI's financial strength puts the company in an excellent position to continue to take strategic actions even in a cautious global economy.</w:t>
      </w:r>
    </w:p>
    <w:p>
      <w:pPr>
        <w:spacing w:after="0" w:line="197" w:lineRule="exact"/>
        <w:rPr>
          <w:sz w:val="20"/>
          <w:szCs w:val="20"/>
          <w:color w:val="auto"/>
        </w:rPr>
      </w:pPr>
    </w:p>
    <w:p>
      <w:pPr>
        <w:ind w:right="2259"/>
        <w:spacing w:after="0" w:line="293" w:lineRule="auto"/>
        <w:rPr>
          <w:sz w:val="20"/>
          <w:szCs w:val="20"/>
          <w:color w:val="auto"/>
        </w:rPr>
      </w:pPr>
      <w:r>
        <w:rPr>
          <w:rFonts w:ascii="Courier New" w:cs="Courier New" w:eastAsia="Courier New" w:hAnsi="Courier New"/>
          <w:sz w:val="17"/>
          <w:szCs w:val="17"/>
          <w:color w:val="auto"/>
        </w:rPr>
        <w:t>YEAR 2000: The company is actively engaged in resolving the issues involved with the Year 2000 challenge. These issues result from the use of two-digit year dates rather than four-digit year dates in computer code, which could cause potential failures in date-sensitive software that does not recognize</w:t>
      </w:r>
    </w:p>
    <w:p>
      <w:pPr>
        <w:sectPr>
          <w:pgSz w:w="11900" w:h="16961" w:orient="portrait"/>
          <w:cols w:equalWidth="0" w:num="1">
            <w:col w:w="10219"/>
          </w:cols>
          <w:pgMar w:left="240" w:top="110" w:right="1440" w:bottom="0" w:gutter="0" w:footer="0" w:header="0"/>
        </w:sectPr>
      </w:pPr>
    </w:p>
    <w:bookmarkStart w:id="43" w:name="page44"/>
    <w:bookmarkEnd w:id="43"/>
    <w:p>
      <w:pPr>
        <w:spacing w:after="0" w:line="81" w:lineRule="exact"/>
        <w:rPr>
          <w:sz w:val="20"/>
          <w:szCs w:val="20"/>
          <w:color w:val="auto"/>
        </w:rPr>
      </w:pPr>
    </w:p>
    <w:p>
      <w:pPr>
        <w:ind w:right="2039"/>
        <w:spacing w:after="0" w:line="260" w:lineRule="auto"/>
        <w:rPr>
          <w:sz w:val="20"/>
          <w:szCs w:val="20"/>
          <w:color w:val="auto"/>
        </w:rPr>
      </w:pPr>
      <w:r>
        <w:rPr>
          <w:rFonts w:ascii="Courier New" w:cs="Courier New" w:eastAsia="Courier New" w:hAnsi="Courier New"/>
          <w:sz w:val="17"/>
          <w:szCs w:val="17"/>
          <w:color w:val="auto"/>
        </w:rPr>
        <w:t>"00" as 2000. In 1995, TI formed teams to address the company's Year 2000 challenge. The company is on schedule to complete assessment, testing, and modifications to strategic business systems in 1998. TI is also assessing the scope of Year 2000 issues in its physical plant and infrastructure and will soon begin corrective actions. TI is communicating with its major customers and suppliers to resolve Year 2000 interface issues. While TI expects success in this cooperative effort, it cannot guarantee the performance of third parties. The company is developing contingency plans to minimize potential disruptions. Based on assessments to date, the company believes its current products are ready for Year 2000. Obsolete and discontinued products, as well as divested product lines, are not included in this assessment. The estimate of overall costs for TI's Year 2000 project is not expected to be material. The completion dates and costs are based on management's current best estimates.</w:t>
      </w:r>
    </w:p>
    <w:p>
      <w:pPr>
        <w:spacing w:after="0" w:line="309" w:lineRule="exact"/>
        <w:rPr>
          <w:sz w:val="20"/>
          <w:szCs w:val="20"/>
          <w:color w:val="auto"/>
        </w:rPr>
      </w:pPr>
    </w:p>
    <w:p>
      <w:pPr>
        <w:ind w:right="2039"/>
        <w:spacing w:after="0" w:line="261" w:lineRule="auto"/>
        <w:rPr>
          <w:sz w:val="20"/>
          <w:szCs w:val="20"/>
          <w:color w:val="auto"/>
        </w:rPr>
      </w:pPr>
      <w:r>
        <w:rPr>
          <w:rFonts w:ascii="Courier New" w:cs="Courier New" w:eastAsia="Courier New" w:hAnsi="Courier New"/>
          <w:sz w:val="17"/>
          <w:szCs w:val="17"/>
          <w:color w:val="auto"/>
        </w:rPr>
        <w:t>MARKET RISK SENSITIVE INSTRUMENTS: The U.S. dollar is the functional currency for financial reporting. In this regard, the company uses forward currency exchange contracts, including Italian lira note currency swaps, to minimize the adverse earnings impact from the effect of exchange rate fluctuations on the company's non-U.S. dollar net balance sheet exposures. For example, at year-end 1997, the company had forward currency exchange contracts outstanding of $275 million (including $101 million to buy lira, $73 million to buy deutsche marks, and $24 million to buy Singapore dollars). Because most of the aggregate non-U.S. dollar balance sheet exposure is hedged by these exchange contracts and swaps, a hypothetical 10% plus or minus fluctuation in non-U.S. currency exchange rates would not be expected to have a material earnings impact, e.g., based on year-end 1997 balances and rates, a pretax currency exchange gain or loss of $10 million.</w:t>
      </w:r>
    </w:p>
    <w:p>
      <w:pPr>
        <w:spacing w:after="0" w:line="97" w:lineRule="exact"/>
        <w:rPr>
          <w:sz w:val="20"/>
          <w:szCs w:val="20"/>
          <w:color w:val="auto"/>
        </w:rPr>
      </w:pPr>
    </w:p>
    <w:p>
      <w:pPr>
        <w:ind w:right="2039" w:firstLine="524"/>
        <w:spacing w:after="0" w:line="263" w:lineRule="auto"/>
        <w:rPr>
          <w:sz w:val="20"/>
          <w:szCs w:val="20"/>
          <w:color w:val="auto"/>
        </w:rPr>
      </w:pPr>
      <w:r>
        <w:rPr>
          <w:rFonts w:ascii="Courier New" w:cs="Courier New" w:eastAsia="Courier New" w:hAnsi="Courier New"/>
          <w:sz w:val="17"/>
          <w:szCs w:val="17"/>
          <w:color w:val="auto"/>
        </w:rPr>
        <w:t>The company has interest rate swaps which change the characteristics of the interest payments on its $300 million of 6.125% notes due 2006 from fixed-rate payments to short-term LIBOR-based variable rate payments in order to achieve a mix of interest rates on the company's long-term debt which, over time, is expected to moderate financing costs. The effect of these interest rate swaps was to reduce interest expense by $2 million in 1997. The year-end 1997 effective interest rate for the $300 million of notes due 2006, including the effect of the swaps, was approximately 5.1%. These swaps are sensitive to interest rate changes. For example, if short-term interest rates increase (decrease) by one percentage point from year-end 1997 rates, annual pretax interest expense would increase (decrease) by $3 million.</w:t>
      </w:r>
    </w:p>
    <w:p>
      <w:pPr>
        <w:spacing w:after="0" w:line="96" w:lineRule="exact"/>
        <w:rPr>
          <w:sz w:val="20"/>
          <w:szCs w:val="20"/>
          <w:color w:val="auto"/>
        </w:rPr>
      </w:pPr>
    </w:p>
    <w:p>
      <w:pPr>
        <w:ind w:right="2139" w:firstLine="524"/>
        <w:spacing w:after="0" w:line="283" w:lineRule="auto"/>
        <w:rPr>
          <w:sz w:val="20"/>
          <w:szCs w:val="20"/>
          <w:color w:val="auto"/>
        </w:rPr>
      </w:pPr>
      <w:r>
        <w:rPr>
          <w:rFonts w:ascii="Courier New" w:cs="Courier New" w:eastAsia="Courier New" w:hAnsi="Courier New"/>
          <w:sz w:val="17"/>
          <w:szCs w:val="17"/>
          <w:color w:val="auto"/>
        </w:rPr>
        <w:t>The company's long-term debt has a fair value, based on current interest rates, of approximately $1390 million at year-end 1997. Fair value will vary as interest rates change. The following table presents the aggregate maturities and carrying amounts of the debt principal and related weighted average interest rates by maturity dates (millions of dollars):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Pr>
          <w:p>
            <w:pPr>
              <w:spacing w:after="0"/>
              <w:rPr>
                <w:sz w:val="17"/>
                <w:szCs w:val="17"/>
                <w:color w:val="auto"/>
              </w:rPr>
            </w:pPr>
          </w:p>
        </w:tc>
        <w:tc>
          <w:tcPr>
            <w:tcW w:w="1620" w:type="dxa"/>
            <w:vAlign w:val="bottom"/>
            <w:vMerge w:val="restart"/>
          </w:tcPr>
          <w:p>
            <w:pPr>
              <w:ind w:left="140"/>
              <w:spacing w:after="0"/>
              <w:rPr>
                <w:sz w:val="20"/>
                <w:szCs w:val="20"/>
                <w:color w:val="auto"/>
              </w:rPr>
            </w:pPr>
            <w:r>
              <w:rPr>
                <w:rFonts w:ascii="Courier New" w:cs="Courier New" w:eastAsia="Courier New" w:hAnsi="Courier New"/>
                <w:sz w:val="17"/>
                <w:szCs w:val="17"/>
                <w:color w:val="auto"/>
              </w:rPr>
              <w:t>U.S. DOLLAR</w:t>
            </w:r>
          </w:p>
        </w:tc>
        <w:tc>
          <w:tcPr>
            <w:tcW w:w="126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AVERAGE</w:t>
            </w:r>
          </w:p>
        </w:tc>
        <w:tc>
          <w:tcPr>
            <w:tcW w:w="14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ITALIAN</w:t>
            </w:r>
          </w:p>
        </w:tc>
        <w:tc>
          <w:tcPr>
            <w:tcW w:w="116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AVERAGE</w:t>
            </w:r>
          </w:p>
        </w:tc>
        <w:tc>
          <w:tcPr>
            <w:tcW w:w="0" w:type="dxa"/>
            <w:vAlign w:val="bottom"/>
          </w:tcPr>
          <w:p>
            <w:pPr>
              <w:spacing w:after="0"/>
              <w:rPr>
                <w:sz w:val="1"/>
                <w:szCs w:val="1"/>
                <w:color w:val="auto"/>
              </w:rPr>
            </w:pPr>
          </w:p>
        </w:tc>
      </w:tr>
      <w:tr>
        <w:trPr>
          <w:trHeight w:val="201"/>
        </w:trPr>
        <w:tc>
          <w:tcPr>
            <w:tcW w:w="1220" w:type="dxa"/>
            <w:vAlign w:val="bottom"/>
            <w:vMerge w:val="restart"/>
          </w:tcPr>
          <w:p>
            <w:pPr>
              <w:spacing w:after="0"/>
              <w:rPr>
                <w:sz w:val="20"/>
                <w:szCs w:val="20"/>
                <w:color w:val="auto"/>
              </w:rPr>
            </w:pPr>
            <w:r>
              <w:rPr>
                <w:rFonts w:ascii="Courier New" w:cs="Courier New" w:eastAsia="Courier New" w:hAnsi="Courier New"/>
                <w:sz w:val="17"/>
                <w:szCs w:val="17"/>
                <w:color w:val="auto"/>
              </w:rPr>
              <w:t>MATURITY</w:t>
            </w:r>
          </w:p>
        </w:tc>
        <w:tc>
          <w:tcPr>
            <w:tcW w:w="16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LIRA</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vMerge w:val="continue"/>
          </w:tcPr>
          <w:p>
            <w:pPr>
              <w:spacing w:after="0"/>
              <w:rPr>
                <w:sz w:val="17"/>
                <w:szCs w:val="17"/>
                <w:color w:val="auto"/>
              </w:rPr>
            </w:pPr>
          </w:p>
        </w:tc>
        <w:tc>
          <w:tcPr>
            <w:tcW w:w="1620" w:type="dxa"/>
            <w:vAlign w:val="bottom"/>
          </w:tcPr>
          <w:p>
            <w:pPr>
              <w:ind w:left="140"/>
              <w:spacing w:after="0"/>
              <w:rPr>
                <w:sz w:val="20"/>
                <w:szCs w:val="20"/>
                <w:color w:val="auto"/>
              </w:rPr>
            </w:pPr>
            <w:r>
              <w:rPr>
                <w:rFonts w:ascii="Courier New" w:cs="Courier New" w:eastAsia="Courier New" w:hAnsi="Courier New"/>
                <w:sz w:val="17"/>
                <w:szCs w:val="17"/>
                <w:color w:val="auto"/>
              </w:rPr>
              <w:t>FIXED-RATE</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INTEREST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FIXED-RATE</w:t>
            </w:r>
          </w:p>
        </w:tc>
        <w:tc>
          <w:tcPr>
            <w:tcW w:w="1160" w:type="dxa"/>
            <w:vAlign w:val="bottom"/>
          </w:tcPr>
          <w:p>
            <w:pPr>
              <w:ind w:left="100"/>
              <w:spacing w:after="0"/>
              <w:rPr>
                <w:sz w:val="20"/>
                <w:szCs w:val="20"/>
                <w:color w:val="auto"/>
              </w:rPr>
            </w:pPr>
            <w:r>
              <w:rPr>
                <w:rFonts w:ascii="Courier New" w:cs="Courier New" w:eastAsia="Courier New" w:hAnsi="Courier New"/>
                <w:sz w:val="17"/>
                <w:szCs w:val="17"/>
                <w:color w:val="auto"/>
              </w:rPr>
              <w:t>INTEREST</w:t>
            </w:r>
          </w:p>
        </w:tc>
        <w:tc>
          <w:tcPr>
            <w:tcW w:w="0" w:type="dxa"/>
            <w:vAlign w:val="bottom"/>
          </w:tcPr>
          <w:p>
            <w:pPr>
              <w:spacing w:after="0"/>
              <w:rPr>
                <w:sz w:val="1"/>
                <w:szCs w:val="1"/>
                <w:color w:val="auto"/>
              </w:rPr>
            </w:pPr>
          </w:p>
        </w:tc>
      </w:tr>
      <w:tr>
        <w:trPr>
          <w:trHeight w:val="201"/>
        </w:trPr>
        <w:tc>
          <w:tcPr>
            <w:tcW w:w="1220" w:type="dxa"/>
            <w:vAlign w:val="bottom"/>
          </w:tcPr>
          <w:p>
            <w:pPr>
              <w:ind w:left="220"/>
              <w:spacing w:after="0"/>
              <w:rPr>
                <w:sz w:val="20"/>
                <w:szCs w:val="20"/>
                <w:color w:val="auto"/>
              </w:rPr>
            </w:pPr>
            <w:r>
              <w:rPr>
                <w:rFonts w:ascii="Courier New" w:cs="Courier New" w:eastAsia="Courier New" w:hAnsi="Courier New"/>
                <w:sz w:val="17"/>
                <w:szCs w:val="17"/>
                <w:color w:val="auto"/>
              </w:rPr>
              <w:t>DATE</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DEBT</w:t>
            </w:r>
          </w:p>
        </w:tc>
        <w:tc>
          <w:tcPr>
            <w:tcW w:w="1260" w:type="dxa"/>
            <w:vAlign w:val="bottom"/>
          </w:tcPr>
          <w:p>
            <w:pPr>
              <w:ind w:left="300"/>
              <w:spacing w:after="0"/>
              <w:rPr>
                <w:sz w:val="20"/>
                <w:szCs w:val="20"/>
                <w:color w:val="auto"/>
              </w:rPr>
            </w:pPr>
            <w:r>
              <w:rPr>
                <w:rFonts w:ascii="Courier New" w:cs="Courier New" w:eastAsia="Courier New" w:hAnsi="Courier New"/>
                <w:sz w:val="17"/>
                <w:szCs w:val="17"/>
                <w:color w:val="auto"/>
              </w:rPr>
              <w:t>RATE</w:t>
            </w:r>
          </w:p>
        </w:tc>
        <w:tc>
          <w:tcPr>
            <w:tcW w:w="30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DEBT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RATE</w:t>
            </w:r>
          </w:p>
        </w:tc>
        <w:tc>
          <w:tcPr>
            <w:tcW w:w="0" w:type="dxa"/>
            <w:vAlign w:val="bottom"/>
          </w:tcPr>
          <w:p>
            <w:pPr>
              <w:spacing w:after="0"/>
              <w:rPr>
                <w:sz w:val="1"/>
                <w:szCs w:val="1"/>
                <w:color w:val="auto"/>
              </w:rPr>
            </w:pP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30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20"/>
              <w:spacing w:after="0"/>
              <w:rPr>
                <w:sz w:val="20"/>
                <w:szCs w:val="20"/>
                <w:color w:val="auto"/>
              </w:rPr>
            </w:pPr>
            <w:r>
              <w:rPr>
                <w:rFonts w:ascii="Courier New" w:cs="Courier New" w:eastAsia="Courier New" w:hAnsi="Courier New"/>
                <w:sz w:val="17"/>
                <w:szCs w:val="17"/>
                <w:color w:val="auto"/>
              </w:rPr>
              <w:t>1998</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50</w:t>
            </w:r>
          </w:p>
        </w:tc>
        <w:tc>
          <w:tcPr>
            <w:tcW w:w="12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6.65%</w:t>
            </w:r>
          </w:p>
        </w:tc>
        <w:tc>
          <w:tcPr>
            <w:tcW w:w="300" w:type="dxa"/>
            <w:vAlign w:val="bottom"/>
            <w:vMerge w:val="continue"/>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17</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5.55%</w:t>
            </w:r>
          </w:p>
        </w:tc>
        <w:tc>
          <w:tcPr>
            <w:tcW w:w="0" w:type="dxa"/>
            <w:vAlign w:val="bottom"/>
          </w:tcPr>
          <w:p>
            <w:pPr>
              <w:spacing w:after="0"/>
              <w:rPr>
                <w:sz w:val="1"/>
                <w:szCs w:val="1"/>
                <w:color w:val="auto"/>
              </w:rPr>
            </w:pPr>
          </w:p>
        </w:tc>
      </w:tr>
      <w:tr>
        <w:trPr>
          <w:trHeight w:val="201"/>
        </w:trPr>
        <w:tc>
          <w:tcPr>
            <w:tcW w:w="1220" w:type="dxa"/>
            <w:vAlign w:val="bottom"/>
          </w:tcPr>
          <w:p>
            <w:pPr>
              <w:ind w:left="220"/>
              <w:spacing w:after="0"/>
              <w:rPr>
                <w:sz w:val="20"/>
                <w:szCs w:val="20"/>
                <w:color w:val="auto"/>
              </w:rPr>
            </w:pPr>
            <w:r>
              <w:rPr>
                <w:rFonts w:ascii="Courier New" w:cs="Courier New" w:eastAsia="Courier New" w:hAnsi="Courier New"/>
                <w:sz w:val="17"/>
                <w:szCs w:val="17"/>
                <w:color w:val="auto"/>
              </w:rPr>
              <w:t>1999</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228</w:t>
            </w:r>
          </w:p>
        </w:tc>
        <w:tc>
          <w:tcPr>
            <w:tcW w:w="12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6.74%</w:t>
            </w:r>
          </w:p>
        </w:tc>
        <w:tc>
          <w:tcPr>
            <w:tcW w:w="30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31</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5.23%</w:t>
            </w:r>
          </w:p>
        </w:tc>
        <w:tc>
          <w:tcPr>
            <w:tcW w:w="0" w:type="dxa"/>
            <w:vAlign w:val="bottom"/>
          </w:tcPr>
          <w:p>
            <w:pPr>
              <w:spacing w:after="0"/>
              <w:rPr>
                <w:sz w:val="1"/>
                <w:szCs w:val="1"/>
                <w:color w:val="auto"/>
              </w:rPr>
            </w:pPr>
          </w:p>
        </w:tc>
      </w:tr>
      <w:tr>
        <w:trPr>
          <w:trHeight w:val="201"/>
        </w:trPr>
        <w:tc>
          <w:tcPr>
            <w:tcW w:w="1220" w:type="dxa"/>
            <w:vAlign w:val="bottom"/>
          </w:tcPr>
          <w:p>
            <w:pPr>
              <w:ind w:left="220"/>
              <w:spacing w:after="0"/>
              <w:rPr>
                <w:sz w:val="20"/>
                <w:szCs w:val="20"/>
                <w:color w:val="auto"/>
              </w:rPr>
            </w:pPr>
            <w:r>
              <w:rPr>
                <w:rFonts w:ascii="Courier New" w:cs="Courier New" w:eastAsia="Courier New" w:hAnsi="Courier New"/>
                <w:sz w:val="17"/>
                <w:szCs w:val="17"/>
                <w:color w:val="auto"/>
              </w:rPr>
              <w:t>2000</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278</w:t>
            </w:r>
          </w:p>
        </w:tc>
        <w:tc>
          <w:tcPr>
            <w:tcW w:w="12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6.81%</w:t>
            </w:r>
          </w:p>
        </w:tc>
        <w:tc>
          <w:tcPr>
            <w:tcW w:w="30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36</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5.07%</w:t>
            </w:r>
          </w:p>
        </w:tc>
        <w:tc>
          <w:tcPr>
            <w:tcW w:w="0" w:type="dxa"/>
            <w:vAlign w:val="bottom"/>
          </w:tcPr>
          <w:p>
            <w:pPr>
              <w:spacing w:after="0"/>
              <w:rPr>
                <w:sz w:val="1"/>
                <w:szCs w:val="1"/>
                <w:color w:val="auto"/>
              </w:rPr>
            </w:pPr>
          </w:p>
        </w:tc>
      </w:tr>
      <w:tr>
        <w:trPr>
          <w:trHeight w:val="201"/>
        </w:trPr>
        <w:tc>
          <w:tcPr>
            <w:tcW w:w="1220" w:type="dxa"/>
            <w:vAlign w:val="bottom"/>
          </w:tcPr>
          <w:p>
            <w:pPr>
              <w:ind w:left="220"/>
              <w:spacing w:after="0"/>
              <w:rPr>
                <w:sz w:val="20"/>
                <w:szCs w:val="20"/>
                <w:color w:val="auto"/>
              </w:rPr>
            </w:pPr>
            <w:r>
              <w:rPr>
                <w:rFonts w:ascii="Courier New" w:cs="Courier New" w:eastAsia="Courier New" w:hAnsi="Courier New"/>
                <w:sz w:val="17"/>
                <w:szCs w:val="17"/>
                <w:color w:val="auto"/>
              </w:rPr>
              <w:t>2001</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105</w:t>
            </w:r>
          </w:p>
        </w:tc>
        <w:tc>
          <w:tcPr>
            <w:tcW w:w="12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7.90%</w:t>
            </w:r>
          </w:p>
        </w:tc>
        <w:tc>
          <w:tcPr>
            <w:tcW w:w="30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30</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4.93%</w:t>
            </w:r>
          </w:p>
        </w:tc>
        <w:tc>
          <w:tcPr>
            <w:tcW w:w="0" w:type="dxa"/>
            <w:vAlign w:val="bottom"/>
          </w:tcPr>
          <w:p>
            <w:pPr>
              <w:spacing w:after="0"/>
              <w:rPr>
                <w:sz w:val="1"/>
                <w:szCs w:val="1"/>
                <w:color w:val="auto"/>
              </w:rPr>
            </w:pPr>
          </w:p>
        </w:tc>
      </w:tr>
      <w:tr>
        <w:trPr>
          <w:trHeight w:val="201"/>
        </w:trPr>
        <w:tc>
          <w:tcPr>
            <w:tcW w:w="1220" w:type="dxa"/>
            <w:vAlign w:val="bottom"/>
          </w:tcPr>
          <w:p>
            <w:pPr>
              <w:ind w:left="220"/>
              <w:spacing w:after="0"/>
              <w:rPr>
                <w:sz w:val="20"/>
                <w:szCs w:val="20"/>
                <w:color w:val="auto"/>
              </w:rPr>
            </w:pPr>
            <w:r>
              <w:rPr>
                <w:rFonts w:ascii="Courier New" w:cs="Courier New" w:eastAsia="Courier New" w:hAnsi="Courier New"/>
                <w:sz w:val="17"/>
                <w:szCs w:val="17"/>
                <w:color w:val="auto"/>
              </w:rPr>
              <w:t>2002</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26</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4.71%</w:t>
            </w:r>
          </w:p>
        </w:tc>
        <w:tc>
          <w:tcPr>
            <w:tcW w:w="0" w:type="dxa"/>
            <w:vAlign w:val="bottom"/>
          </w:tcPr>
          <w:p>
            <w:pPr>
              <w:spacing w:after="0"/>
              <w:rPr>
                <w:sz w:val="1"/>
                <w:szCs w:val="1"/>
                <w:color w:val="auto"/>
              </w:rPr>
            </w:pP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Thereafter</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489</w:t>
            </w:r>
          </w:p>
        </w:tc>
        <w:tc>
          <w:tcPr>
            <w:tcW w:w="12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7.00%</w:t>
            </w:r>
          </w:p>
        </w:tc>
        <w:tc>
          <w:tcPr>
            <w:tcW w:w="30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63</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4.59%</w:t>
            </w:r>
          </w:p>
        </w:tc>
        <w:tc>
          <w:tcPr>
            <w:tcW w:w="0" w:type="dxa"/>
            <w:vAlign w:val="bottom"/>
          </w:tcPr>
          <w:p>
            <w:pPr>
              <w:spacing w:after="0"/>
              <w:rPr>
                <w:sz w:val="1"/>
                <w:szCs w:val="1"/>
                <w:color w:val="auto"/>
              </w:rPr>
            </w:pPr>
          </w:p>
        </w:tc>
      </w:tr>
      <w:tr>
        <w:trPr>
          <w:trHeight w:val="201"/>
        </w:trPr>
        <w:tc>
          <w:tcPr>
            <w:tcW w:w="1220" w:type="dxa"/>
            <w:vAlign w:val="bottom"/>
            <w:vMerge w:val="restart"/>
          </w:tcPr>
          <w:p>
            <w:pPr>
              <w:spacing w:after="0"/>
              <w:rPr>
                <w:sz w:val="20"/>
                <w:szCs w:val="20"/>
                <w:color w:val="auto"/>
              </w:rPr>
            </w:pPr>
            <w:r>
              <w:rPr>
                <w:rFonts w:ascii="Courier New" w:cs="Courier New" w:eastAsia="Courier New" w:hAnsi="Courier New"/>
                <w:sz w:val="17"/>
                <w:szCs w:val="17"/>
                <w:color w:val="auto"/>
              </w:rPr>
              <w:t>Total</w:t>
            </w: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453"/>
              <w:spacing w:after="0"/>
              <w:rPr>
                <w:sz w:val="20"/>
                <w:szCs w:val="20"/>
                <w:color w:val="auto"/>
              </w:rPr>
            </w:pPr>
            <w:r>
              <w:rPr>
                <w:rFonts w:ascii="Courier New" w:cs="Courier New" w:eastAsia="Courier New" w:hAnsi="Courier New"/>
                <w:sz w:val="17"/>
                <w:szCs w:val="17"/>
                <w:color w:val="auto"/>
              </w:rPr>
              <w:t>6.97%</w:t>
            </w:r>
          </w:p>
        </w:tc>
        <w:tc>
          <w:tcPr>
            <w:tcW w:w="146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4.92%</w:t>
            </w:r>
          </w:p>
        </w:tc>
        <w:tc>
          <w:tcPr>
            <w:tcW w:w="0" w:type="dxa"/>
            <w:vAlign w:val="bottom"/>
          </w:tcPr>
          <w:p>
            <w:pPr>
              <w:spacing w:after="0"/>
              <w:rPr>
                <w:sz w:val="1"/>
                <w:szCs w:val="1"/>
                <w:color w:val="auto"/>
              </w:rPr>
            </w:pPr>
          </w:p>
        </w:tc>
      </w:tr>
      <w:tr>
        <w:trPr>
          <w:trHeight w:val="295"/>
        </w:trPr>
        <w:tc>
          <w:tcPr>
            <w:tcW w:w="1220" w:type="dxa"/>
            <w:vAlign w:val="bottom"/>
            <w:vMerge w:val="continue"/>
          </w:tcPr>
          <w:p>
            <w:pPr>
              <w:spacing w:after="0"/>
              <w:rPr>
                <w:sz w:val="24"/>
                <w:szCs w:val="24"/>
                <w:color w:val="auto"/>
              </w:rPr>
            </w:pP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$1,150</w:t>
            </w:r>
          </w:p>
        </w:tc>
        <w:tc>
          <w:tcPr>
            <w:tcW w:w="1260" w:type="dxa"/>
            <w:vAlign w:val="bottom"/>
            <w:vMerge w:val="continue"/>
          </w:tcPr>
          <w:p>
            <w:pPr>
              <w:spacing w:after="0"/>
              <w:rPr>
                <w:sz w:val="24"/>
                <w:szCs w:val="24"/>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203</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long-term debt carrying amount at year-end 1997 was $1353 million.</w:t>
      </w:r>
    </w:p>
    <w:p>
      <w:pPr>
        <w:spacing w:after="0" w:line="210"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39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178" w:lineRule="exact"/>
        <w:rPr>
          <w:sz w:val="20"/>
          <w:szCs w:val="20"/>
          <w:color w:val="auto"/>
        </w:rPr>
      </w:pPr>
    </w:p>
    <w:p>
      <w:pPr>
        <w:ind w:right="2039"/>
        <w:spacing w:after="0" w:line="269" w:lineRule="auto"/>
        <w:rPr>
          <w:sz w:val="20"/>
          <w:szCs w:val="20"/>
          <w:color w:val="auto"/>
        </w:rPr>
      </w:pPr>
      <w:r>
        <w:rPr>
          <w:rFonts w:ascii="Courier New" w:cs="Courier New" w:eastAsia="Courier New" w:hAnsi="Courier New"/>
          <w:sz w:val="17"/>
          <w:szCs w:val="17"/>
          <w:color w:val="auto"/>
        </w:rPr>
        <w:t>The company's cash equivalents and short-term investments are debt securities with remaining maturities within three months (cash equivalents) and beyond three months and within 13 months (short-term investments). Their aggregate fair value and carrying amount was $2566 million at year-end 1997. Fair value will vary as interest rates change. The following table presents the aggregate maturities of cash equivalents and short-term investments and related weighted average interest rates by maturity dates (millions of dollars):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vMerge w:val="restart"/>
          </w:tcPr>
          <w:p>
            <w:pPr>
              <w:jc w:val="center"/>
              <w:ind w:right="293"/>
              <w:spacing w:after="0"/>
              <w:rPr>
                <w:sz w:val="20"/>
                <w:szCs w:val="20"/>
                <w:color w:val="auto"/>
              </w:rPr>
            </w:pPr>
            <w:r>
              <w:rPr>
                <w:rFonts w:ascii="Courier New" w:cs="Courier New" w:eastAsia="Courier New" w:hAnsi="Courier New"/>
                <w:sz w:val="17"/>
                <w:szCs w:val="17"/>
                <w:color w:val="auto"/>
              </w:rPr>
              <w:t>MATURITY</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CASH</w:t>
            </w:r>
          </w:p>
        </w:tc>
        <w:tc>
          <w:tcPr>
            <w:tcW w:w="1640" w:type="dxa"/>
            <w:vAlign w:val="bottom"/>
          </w:tcPr>
          <w:p>
            <w:pPr>
              <w:ind w:left="120"/>
              <w:spacing w:after="0"/>
              <w:rPr>
                <w:sz w:val="20"/>
                <w:szCs w:val="20"/>
                <w:color w:val="auto"/>
              </w:rPr>
            </w:pPr>
            <w:r>
              <w:rPr>
                <w:rFonts w:ascii="Courier New" w:cs="Courier New" w:eastAsia="Courier New" w:hAnsi="Courier New"/>
                <w:sz w:val="17"/>
                <w:szCs w:val="17"/>
                <w:color w:val="auto"/>
              </w:rPr>
              <w:t>EQUIVALENTS</w:t>
            </w:r>
          </w:p>
        </w:tc>
        <w:tc>
          <w:tcPr>
            <w:tcW w:w="1100" w:type="dxa"/>
            <w:vAlign w:val="bottom"/>
          </w:tcPr>
          <w:p>
            <w:pPr>
              <w:ind w:left="140"/>
              <w:spacing w:after="0"/>
              <w:rPr>
                <w:sz w:val="20"/>
                <w:szCs w:val="20"/>
                <w:color w:val="auto"/>
              </w:rPr>
            </w:pPr>
            <w:r>
              <w:rPr>
                <w:rFonts w:ascii="Courier New" w:cs="Courier New" w:eastAsia="Courier New" w:hAnsi="Courier New"/>
                <w:sz w:val="17"/>
                <w:szCs w:val="17"/>
                <w:color w:val="auto"/>
              </w:rPr>
              <w:t>AVERAGE</w:t>
            </w:r>
          </w:p>
        </w:tc>
        <w:tc>
          <w:tcPr>
            <w:tcW w:w="0" w:type="dxa"/>
            <w:vAlign w:val="bottom"/>
          </w:tcPr>
          <w:p>
            <w:pPr>
              <w:spacing w:after="0"/>
              <w:rPr>
                <w:sz w:val="1"/>
                <w:szCs w:val="1"/>
                <w:color w:val="auto"/>
              </w:rPr>
            </w:pPr>
          </w:p>
        </w:tc>
      </w:tr>
      <w:tr>
        <w:trPr>
          <w:trHeight w:val="201"/>
        </w:trPr>
        <w:tc>
          <w:tcPr>
            <w:tcW w:w="1220" w:type="dxa"/>
            <w:vAlign w:val="bottom"/>
            <w:vMerge w:val="continue"/>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AND</w:t>
            </w:r>
          </w:p>
        </w:tc>
        <w:tc>
          <w:tcPr>
            <w:tcW w:w="1640" w:type="dxa"/>
            <w:vAlign w:val="bottom"/>
          </w:tcPr>
          <w:p>
            <w:pPr>
              <w:ind w:left="120"/>
              <w:spacing w:after="0"/>
              <w:rPr>
                <w:sz w:val="20"/>
                <w:szCs w:val="20"/>
                <w:color w:val="auto"/>
              </w:rPr>
            </w:pPr>
            <w:r>
              <w:rPr>
                <w:rFonts w:ascii="Courier New" w:cs="Courier New" w:eastAsia="Courier New" w:hAnsi="Courier New"/>
                <w:sz w:val="17"/>
                <w:szCs w:val="17"/>
                <w:color w:val="auto"/>
              </w:rPr>
              <w:t>SHORT-TERM</w:t>
            </w:r>
          </w:p>
        </w:tc>
        <w:tc>
          <w:tcPr>
            <w:tcW w:w="1100" w:type="dxa"/>
            <w:vAlign w:val="bottom"/>
          </w:tcPr>
          <w:p>
            <w:pPr>
              <w:ind w:left="140"/>
              <w:spacing w:after="0"/>
              <w:rPr>
                <w:sz w:val="20"/>
                <w:szCs w:val="20"/>
                <w:color w:val="auto"/>
              </w:rPr>
            </w:pPr>
            <w:r>
              <w:rPr>
                <w:rFonts w:ascii="Courier New" w:cs="Courier New" w:eastAsia="Courier New" w:hAnsi="Courier New"/>
                <w:sz w:val="17"/>
                <w:szCs w:val="17"/>
                <w:color w:val="auto"/>
              </w:rPr>
              <w:t>INTEREST</w:t>
            </w:r>
          </w:p>
        </w:tc>
        <w:tc>
          <w:tcPr>
            <w:tcW w:w="0" w:type="dxa"/>
            <w:vAlign w:val="bottom"/>
          </w:tcPr>
          <w:p>
            <w:pPr>
              <w:spacing w:after="0"/>
              <w:rPr>
                <w:sz w:val="1"/>
                <w:szCs w:val="1"/>
                <w:color w:val="auto"/>
              </w:rPr>
            </w:pPr>
          </w:p>
        </w:tc>
      </w:tr>
      <w:tr>
        <w:trPr>
          <w:trHeight w:val="201"/>
        </w:trPr>
        <w:tc>
          <w:tcPr>
            <w:tcW w:w="122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DATE</w:t>
            </w:r>
          </w:p>
        </w:tc>
        <w:tc>
          <w:tcPr>
            <w:tcW w:w="2200" w:type="dxa"/>
            <w:vAlign w:val="bottom"/>
            <w:gridSpan w:val="2"/>
          </w:tcPr>
          <w:p>
            <w:pPr>
              <w:jc w:val="right"/>
              <w:ind w:right="713"/>
              <w:spacing w:after="0"/>
              <w:rPr>
                <w:sz w:val="20"/>
                <w:szCs w:val="20"/>
                <w:color w:val="auto"/>
              </w:rPr>
            </w:pPr>
            <w:r>
              <w:rPr>
                <w:rFonts w:ascii="Courier New" w:cs="Courier New" w:eastAsia="Courier New" w:hAnsi="Courier New"/>
                <w:sz w:val="17"/>
                <w:szCs w:val="17"/>
                <w:color w:val="auto"/>
              </w:rPr>
              <w:t>INVESTMENTS</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RATE</w:t>
            </w:r>
          </w:p>
        </w:tc>
        <w:tc>
          <w:tcPr>
            <w:tcW w:w="0" w:type="dxa"/>
            <w:vAlign w:val="bottom"/>
          </w:tcPr>
          <w:p>
            <w:pPr>
              <w:spacing w:after="0"/>
              <w:rPr>
                <w:sz w:val="1"/>
                <w:szCs w:val="1"/>
                <w:color w:val="auto"/>
              </w:rPr>
            </w:pPr>
          </w:p>
        </w:tc>
      </w:tr>
      <w:tr>
        <w:trPr>
          <w:trHeight w:val="201"/>
        </w:trPr>
        <w:tc>
          <w:tcPr>
            <w:tcW w:w="12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w:t>
            </w:r>
          </w:p>
        </w:tc>
        <w:tc>
          <w:tcPr>
            <w:tcW w:w="22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122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1998</w:t>
            </w:r>
          </w:p>
        </w:tc>
        <w:tc>
          <w:tcPr>
            <w:tcW w:w="560" w:type="dxa"/>
            <w:vAlign w:val="bottom"/>
          </w:tcPr>
          <w:p>
            <w:pPr>
              <w:spacing w:after="0"/>
              <w:rPr>
                <w:sz w:val="24"/>
                <w:szCs w:val="24"/>
                <w:color w:val="auto"/>
              </w:rPr>
            </w:pPr>
          </w:p>
        </w:tc>
        <w:tc>
          <w:tcPr>
            <w:tcW w:w="16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$2,566</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5.88%</w:t>
            </w:r>
          </w:p>
        </w:tc>
        <w:tc>
          <w:tcPr>
            <w:tcW w:w="0" w:type="dxa"/>
            <w:vAlign w:val="bottom"/>
          </w:tcPr>
          <w:p>
            <w:pPr>
              <w:spacing w:after="0"/>
              <w:rPr>
                <w:sz w:val="1"/>
                <w:szCs w:val="1"/>
                <w:color w:val="auto"/>
              </w:rPr>
            </w:pPr>
          </w:p>
        </w:tc>
      </w:tr>
    </w:tbl>
    <w:p>
      <w:pPr>
        <w:sectPr>
          <w:pgSz w:w="11900" w:h="16920" w:orient="portrait"/>
          <w:cols w:equalWidth="0" w:num="1">
            <w:col w:w="10219"/>
          </w:cols>
          <w:pgMar w:left="240" w:top="110" w:right="1440" w:bottom="0" w:gutter="0" w:footer="0" w:header="0"/>
        </w:sectPr>
      </w:pPr>
    </w:p>
    <w:bookmarkStart w:id="44" w:name="page45"/>
    <w:bookmarkEnd w:id="44"/>
    <w:p>
      <w:pPr>
        <w:spacing w:after="0" w:line="19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1999</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None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$2,566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N/A</w:t>
      </w:r>
    </w:p>
    <w:p>
      <w:pPr>
        <w:spacing w:after="0" w:line="4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5.88%</w:t>
      </w:r>
    </w:p>
    <w:p>
      <w:pPr>
        <w:spacing w:after="0" w:line="178" w:lineRule="exact"/>
        <w:rPr>
          <w:sz w:val="20"/>
          <w:szCs w:val="20"/>
          <w:color w:val="auto"/>
        </w:rPr>
      </w:pPr>
    </w:p>
    <w:p>
      <w:pPr>
        <w:sectPr>
          <w:pgSz w:w="11900" w:h="17031" w:orient="portrait"/>
          <w:cols w:equalWidth="0" w:num="3">
            <w:col w:w="1060" w:space="520"/>
            <w:col w:w="1680" w:space="420"/>
            <w:col w:w="6539"/>
          </w:cols>
          <w:pgMar w:left="240" w:top="311" w:right="1440" w:bottom="0" w:gutter="0" w:footer="0" w:header="0"/>
        </w:sectPr>
      </w:pPr>
    </w:p>
    <w:p>
      <w:pPr>
        <w:spacing w:after="0"/>
        <w:rPr>
          <w:sz w:val="20"/>
          <w:szCs w:val="20"/>
          <w:color w:val="auto"/>
        </w:rPr>
      </w:pPr>
      <w:r>
        <w:rPr>
          <w:rFonts w:ascii="Courier New" w:cs="Courier New" w:eastAsia="Courier New" w:hAnsi="Courier New"/>
          <w:sz w:val="17"/>
          <w:szCs w:val="17"/>
          <w:color w:val="auto"/>
        </w:rPr>
        <w:t>1996 RESULTS OF OPERATIONS COMPARED WITH 1995</w:t>
      </w:r>
    </w:p>
    <w:p>
      <w:pPr>
        <w:spacing w:after="0" w:line="210" w:lineRule="exact"/>
        <w:rPr>
          <w:sz w:val="20"/>
          <w:szCs w:val="20"/>
          <w:color w:val="auto"/>
        </w:rPr>
      </w:pPr>
    </w:p>
    <w:p>
      <w:pPr>
        <w:ind w:right="2559"/>
        <w:spacing w:after="0" w:line="315" w:lineRule="auto"/>
        <w:rPr>
          <w:sz w:val="20"/>
          <w:szCs w:val="20"/>
          <w:color w:val="auto"/>
        </w:rPr>
      </w:pPr>
      <w:r>
        <w:rPr>
          <w:rFonts w:ascii="Courier New" w:cs="Courier New" w:eastAsia="Courier New" w:hAnsi="Courier New"/>
          <w:sz w:val="17"/>
          <w:szCs w:val="17"/>
          <w:color w:val="auto"/>
        </w:rPr>
        <w:t>The content of this discussion and analysis was modified in 1997 from its original form to be consistent with the company's new business segment disclosures.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201"/>
        </w:trPr>
        <w:tc>
          <w:tcPr>
            <w:tcW w:w="2620" w:type="dxa"/>
            <w:vAlign w:val="bottom"/>
          </w:tcPr>
          <w:p>
            <w:pPr>
              <w:spacing w:after="0"/>
              <w:rPr>
                <w:sz w:val="17"/>
                <w:szCs w:val="17"/>
                <w:color w:val="auto"/>
              </w:rPr>
            </w:pPr>
          </w:p>
        </w:tc>
        <w:tc>
          <w:tcPr>
            <w:tcW w:w="340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CHANGE IN</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CHANGE</w:t>
            </w:r>
          </w:p>
        </w:tc>
        <w:tc>
          <w:tcPr>
            <w:tcW w:w="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IN</w:t>
            </w:r>
          </w:p>
        </w:tc>
        <w:tc>
          <w:tcPr>
            <w:tcW w:w="0" w:type="dxa"/>
            <w:vAlign w:val="bottom"/>
          </w:tcPr>
          <w:p>
            <w:pPr>
              <w:spacing w:after="0"/>
              <w:rPr>
                <w:sz w:val="1"/>
                <w:szCs w:val="1"/>
                <w:color w:val="auto"/>
              </w:rPr>
            </w:pPr>
          </w:p>
        </w:tc>
      </w:tr>
      <w:tr>
        <w:trPr>
          <w:trHeight w:val="201"/>
        </w:trPr>
        <w:tc>
          <w:tcPr>
            <w:tcW w:w="2620" w:type="dxa"/>
            <w:vAlign w:val="bottom"/>
            <w:vMerge w:val="restart"/>
          </w:tcPr>
          <w:p>
            <w:pPr>
              <w:spacing w:after="0"/>
              <w:rPr>
                <w:sz w:val="20"/>
                <w:szCs w:val="20"/>
                <w:color w:val="auto"/>
              </w:rPr>
            </w:pPr>
            <w:r>
              <w:rPr>
                <w:rFonts w:ascii="Courier New" w:cs="Courier New" w:eastAsia="Courier New" w:hAnsi="Courier New"/>
                <w:sz w:val="17"/>
                <w:szCs w:val="17"/>
                <w:color w:val="auto"/>
              </w:rPr>
              <w:t>BUSINESS</w:t>
            </w:r>
          </w:p>
        </w:tc>
        <w:tc>
          <w:tcPr>
            <w:tcW w:w="340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ORDERS,</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NET REVENUES,</w:t>
            </w:r>
          </w:p>
        </w:tc>
        <w:tc>
          <w:tcPr>
            <w:tcW w:w="0" w:type="dxa"/>
            <w:vAlign w:val="bottom"/>
          </w:tcPr>
          <w:p>
            <w:pPr>
              <w:spacing w:after="0"/>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3400" w:type="dxa"/>
            <w:vAlign w:val="bottom"/>
          </w:tcPr>
          <w:p>
            <w:pPr>
              <w:jc w:val="center"/>
              <w:ind w:left="1433"/>
              <w:spacing w:after="0"/>
              <w:rPr>
                <w:sz w:val="20"/>
                <w:szCs w:val="20"/>
                <w:color w:val="auto"/>
              </w:rPr>
            </w:pPr>
            <w:r>
              <w:rPr>
                <w:rFonts w:ascii="Courier New" w:cs="Courier New" w:eastAsia="Courier New" w:hAnsi="Courier New"/>
                <w:sz w:val="17"/>
                <w:szCs w:val="17"/>
                <w:color w:val="auto"/>
              </w:rPr>
              <w:t>1996 VS. 1995</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1996 VS.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0" w:type="dxa"/>
            <w:vAlign w:val="bottom"/>
          </w:tcPr>
          <w:p>
            <w:pPr>
              <w:spacing w:after="0"/>
              <w:rPr>
                <w:sz w:val="1"/>
                <w:szCs w:val="1"/>
                <w:color w:val="auto"/>
              </w:rPr>
            </w:pPr>
          </w:p>
        </w:tc>
      </w:tr>
    </w:tbl>
    <w:p>
      <w:pPr>
        <w:ind w:left="220"/>
        <w:spacing w:after="0"/>
        <w:rPr>
          <w:sz w:val="20"/>
          <w:szCs w:val="20"/>
          <w:color w:val="auto"/>
        </w:rPr>
      </w:pPr>
      <w:r>
        <w:rPr>
          <w:rFonts w:ascii="Courier New" w:cs="Courier New" w:eastAsia="Courier New" w:hAnsi="Courier New"/>
          <w:sz w:val="17"/>
          <w:szCs w:val="17"/>
          <w:color w:val="auto"/>
        </w:rPr>
        <w:t>-----------------------------------------------------------------------</w:t>
      </w:r>
    </w:p>
    <w:tbl>
      <w:tblPr>
        <w:tblLayout w:type="fixed"/>
        <w:tblInd w:w="220" w:type="dxa"/>
        <w:tblCellMar>
          <w:top w:w="0" w:type="dxa"/>
          <w:left w:w="0" w:type="dxa"/>
          <w:bottom w:w="0" w:type="dxa"/>
          <w:right w:w="0" w:type="dxa"/>
        </w:tblCellMar>
      </w:tblPr>
      <w:tr>
        <w:trPr>
          <w:trHeight w:val="178"/>
        </w:trPr>
        <w:tc>
          <w:tcPr>
            <w:tcW w:w="1420" w:type="dxa"/>
            <w:vAlign w:val="bottom"/>
          </w:tcPr>
          <w:p>
            <w:pPr>
              <w:spacing w:after="0" w:line="179" w:lineRule="exact"/>
              <w:rPr>
                <w:sz w:val="20"/>
                <w:szCs w:val="20"/>
                <w:color w:val="auto"/>
              </w:rPr>
            </w:pPr>
            <w:r>
              <w:rPr>
                <w:rFonts w:ascii="Courier New" w:cs="Courier New" w:eastAsia="Courier New" w:hAnsi="Courier New"/>
                <w:sz w:val="17"/>
                <w:szCs w:val="17"/>
                <w:color w:val="auto"/>
              </w:rPr>
              <w:t>Semiconductor</w:t>
            </w:r>
          </w:p>
        </w:tc>
        <w:tc>
          <w:tcPr>
            <w:tcW w:w="2980" w:type="dxa"/>
            <w:vAlign w:val="bottom"/>
          </w:tcPr>
          <w:p>
            <w:pPr>
              <w:jc w:val="right"/>
              <w:ind w:right="233"/>
              <w:spacing w:after="0" w:line="179" w:lineRule="exact"/>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ind w:left="300"/>
              <w:spacing w:after="0" w:line="179" w:lineRule="exact"/>
              <w:rPr>
                <w:sz w:val="20"/>
                <w:szCs w:val="20"/>
                <w:color w:val="auto"/>
              </w:rPr>
            </w:pPr>
            <w:r>
              <w:rPr>
                <w:rFonts w:ascii="Courier New" w:cs="Courier New" w:eastAsia="Courier New" w:hAnsi="Courier New"/>
                <w:sz w:val="17"/>
                <w:szCs w:val="17"/>
                <w:color w:val="auto"/>
              </w:rPr>
              <w:t>Down 29%</w:t>
            </w:r>
          </w:p>
        </w:tc>
        <w:tc>
          <w:tcPr>
            <w:tcW w:w="1360" w:type="dxa"/>
            <w:vAlign w:val="bottom"/>
            <w:gridSpan w:val="2"/>
          </w:tcPr>
          <w:p>
            <w:pPr>
              <w:ind w:left="520"/>
              <w:spacing w:after="0" w:line="179" w:lineRule="exact"/>
              <w:rPr>
                <w:sz w:val="20"/>
                <w:szCs w:val="20"/>
                <w:color w:val="auto"/>
              </w:rPr>
            </w:pPr>
            <w:r>
              <w:rPr>
                <w:rFonts w:ascii="Courier New" w:cs="Courier New" w:eastAsia="Courier New" w:hAnsi="Courier New"/>
                <w:sz w:val="17"/>
                <w:szCs w:val="17"/>
                <w:color w:val="auto"/>
              </w:rPr>
              <w:t>Down 17%</w:t>
            </w:r>
          </w:p>
        </w:tc>
      </w:tr>
      <w:tr>
        <w:trPr>
          <w:trHeight w:val="201"/>
        </w:trPr>
        <w:tc>
          <w:tcPr>
            <w:tcW w:w="44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Materials &amp; Controls ..................</w:t>
            </w:r>
          </w:p>
        </w:tc>
        <w:tc>
          <w:tcPr>
            <w:tcW w:w="680" w:type="dxa"/>
            <w:vAlign w:val="bottom"/>
          </w:tcPr>
          <w:p>
            <w:pPr>
              <w:ind w:left="300"/>
              <w:spacing w:after="0"/>
              <w:rPr>
                <w:sz w:val="20"/>
                <w:szCs w:val="20"/>
                <w:color w:val="auto"/>
              </w:rPr>
            </w:pPr>
            <w:r>
              <w:rPr>
                <w:rFonts w:ascii="Courier New" w:cs="Courier New" w:eastAsia="Courier New" w:hAnsi="Courier New"/>
                <w:sz w:val="17"/>
                <w:szCs w:val="17"/>
                <w:color w:val="auto"/>
              </w:rPr>
              <w:t>Up</w:t>
            </w:r>
          </w:p>
        </w:tc>
        <w:tc>
          <w:tcPr>
            <w:tcW w:w="10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6%</w:t>
            </w:r>
          </w:p>
        </w:tc>
        <w:tc>
          <w:tcPr>
            <w:tcW w:w="880" w:type="dxa"/>
            <w:vAlign w:val="bottom"/>
          </w:tcPr>
          <w:p>
            <w:pPr>
              <w:ind w:left="520"/>
              <w:spacing w:after="0"/>
              <w:rPr>
                <w:sz w:val="20"/>
                <w:szCs w:val="20"/>
                <w:color w:val="auto"/>
              </w:rPr>
            </w:pPr>
            <w:r>
              <w:rPr>
                <w:rFonts w:ascii="Courier New" w:cs="Courier New" w:eastAsia="Courier New" w:hAnsi="Courier New"/>
                <w:sz w:val="17"/>
                <w:szCs w:val="17"/>
                <w:color w:val="auto"/>
              </w:rPr>
              <w:t>Up</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233"/>
        </w:trPr>
        <w:tc>
          <w:tcPr>
            <w:tcW w:w="1420" w:type="dxa"/>
            <w:vAlign w:val="bottom"/>
          </w:tcPr>
          <w:p>
            <w:pPr>
              <w:spacing w:after="0"/>
              <w:rPr>
                <w:sz w:val="20"/>
                <w:szCs w:val="20"/>
                <w:color w:val="auto"/>
              </w:rPr>
            </w:pPr>
            <w:r>
              <w:rPr>
                <w:rFonts w:ascii="Courier New" w:cs="Courier New" w:eastAsia="Courier New" w:hAnsi="Courier New"/>
                <w:sz w:val="17"/>
                <w:szCs w:val="17"/>
                <w:color w:val="auto"/>
              </w:rPr>
              <w:t>Educational &amp;</w:t>
            </w:r>
          </w:p>
        </w:tc>
        <w:tc>
          <w:tcPr>
            <w:tcW w:w="29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Productivity Solutions ..</w:t>
            </w:r>
          </w:p>
        </w:tc>
        <w:tc>
          <w:tcPr>
            <w:tcW w:w="680" w:type="dxa"/>
            <w:vAlign w:val="bottom"/>
          </w:tcPr>
          <w:p>
            <w:pPr>
              <w:ind w:left="300"/>
              <w:spacing w:after="0"/>
              <w:rPr>
                <w:sz w:val="20"/>
                <w:szCs w:val="20"/>
                <w:color w:val="auto"/>
              </w:rPr>
            </w:pPr>
            <w:r>
              <w:rPr>
                <w:rFonts w:ascii="Courier New" w:cs="Courier New" w:eastAsia="Courier New" w:hAnsi="Courier New"/>
                <w:sz w:val="17"/>
                <w:szCs w:val="17"/>
                <w:color w:val="auto"/>
              </w:rPr>
              <w:t>Up</w:t>
            </w:r>
          </w:p>
        </w:tc>
        <w:tc>
          <w:tcPr>
            <w:tcW w:w="10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12%</w:t>
            </w:r>
          </w:p>
        </w:tc>
        <w:tc>
          <w:tcPr>
            <w:tcW w:w="880" w:type="dxa"/>
            <w:vAlign w:val="bottom"/>
          </w:tcPr>
          <w:p>
            <w:pPr>
              <w:ind w:left="520"/>
              <w:spacing w:after="0"/>
              <w:rPr>
                <w:sz w:val="20"/>
                <w:szCs w:val="20"/>
                <w:color w:val="auto"/>
              </w:rPr>
            </w:pPr>
            <w:r>
              <w:rPr>
                <w:rFonts w:ascii="Courier New" w:cs="Courier New" w:eastAsia="Courier New" w:hAnsi="Courier New"/>
                <w:sz w:val="17"/>
                <w:szCs w:val="17"/>
                <w:color w:val="auto"/>
              </w:rPr>
              <w:t>Up</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bl>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spacing w:after="0"/>
        <w:tabs>
          <w:tab w:leader="none" w:pos="4900" w:val="left"/>
          <w:tab w:leader="none" w:pos="6800" w:val="left"/>
        </w:tabs>
        <w:rPr>
          <w:sz w:val="20"/>
          <w:szCs w:val="20"/>
          <w:color w:val="auto"/>
        </w:rPr>
      </w:pPr>
      <w:r>
        <w:rPr>
          <w:rFonts w:ascii="Courier New" w:cs="Courier New" w:eastAsia="Courier New" w:hAnsi="Courier New"/>
          <w:sz w:val="17"/>
          <w:szCs w:val="17"/>
          <w:color w:val="auto"/>
        </w:rPr>
        <w:t>Total TI</w:t>
      </w:r>
      <w:r>
        <w:rPr>
          <w:sz w:val="20"/>
          <w:szCs w:val="20"/>
          <w:color w:val="auto"/>
        </w:rPr>
        <w:tab/>
      </w:r>
      <w:r>
        <w:rPr>
          <w:rFonts w:ascii="Courier New" w:cs="Courier New" w:eastAsia="Courier New" w:hAnsi="Courier New"/>
          <w:sz w:val="17"/>
          <w:szCs w:val="17"/>
          <w:color w:val="auto"/>
        </w:rPr>
        <w:t>Down 23%</w:t>
      </w:r>
      <w:r>
        <w:rPr>
          <w:sz w:val="20"/>
          <w:szCs w:val="20"/>
          <w:color w:val="auto"/>
        </w:rPr>
        <w:tab/>
      </w:r>
      <w:r>
        <w:rPr>
          <w:rFonts w:ascii="Courier New" w:cs="Courier New" w:eastAsia="Courier New" w:hAnsi="Courier New"/>
          <w:sz w:val="17"/>
          <w:szCs w:val="17"/>
          <w:color w:val="auto"/>
        </w:rPr>
        <w:t>Down 13%</w:t>
      </w:r>
    </w:p>
    <w:p>
      <w:pPr>
        <w:spacing w:after="0" w:line="178" w:lineRule="exact"/>
        <w:rPr>
          <w:sz w:val="20"/>
          <w:szCs w:val="20"/>
          <w:color w:val="auto"/>
        </w:rPr>
      </w:pPr>
    </w:p>
    <w:p>
      <w:pPr>
        <w:ind w:right="2139"/>
        <w:spacing w:after="0" w:line="315" w:lineRule="auto"/>
        <w:rPr>
          <w:sz w:val="20"/>
          <w:szCs w:val="20"/>
          <w:color w:val="auto"/>
        </w:rPr>
      </w:pPr>
      <w:r>
        <w:rPr>
          <w:rFonts w:ascii="Courier New" w:cs="Courier New" w:eastAsia="Courier New" w:hAnsi="Courier New"/>
          <w:sz w:val="17"/>
          <w:szCs w:val="17"/>
          <w:color w:val="auto"/>
        </w:rPr>
        <w:t>TI's orders for continuing operations for 1996 were $9.3 billion, down 23 percent from $12.1 billion in 1995. Significantly reduced DRAM prices in the semiconductor segment were the primary contributor to the change.</w:t>
      </w:r>
    </w:p>
    <w:p>
      <w:pPr>
        <w:spacing w:after="0" w:line="47" w:lineRule="exact"/>
        <w:rPr>
          <w:sz w:val="20"/>
          <w:szCs w:val="20"/>
          <w:color w:val="auto"/>
        </w:rPr>
      </w:pPr>
    </w:p>
    <w:p>
      <w:pPr>
        <w:ind w:right="2039" w:firstLine="524"/>
        <w:spacing w:after="0" w:line="264" w:lineRule="auto"/>
        <w:rPr>
          <w:sz w:val="20"/>
          <w:szCs w:val="20"/>
          <w:color w:val="auto"/>
        </w:rPr>
      </w:pPr>
      <w:r>
        <w:rPr>
          <w:rFonts w:ascii="Courier New" w:cs="Courier New" w:eastAsia="Courier New" w:hAnsi="Courier New"/>
          <w:sz w:val="17"/>
          <w:szCs w:val="17"/>
          <w:color w:val="auto"/>
        </w:rPr>
        <w:t>TI's net revenues for continuing operations for 1996 were $9.9 billion, down 13 percent from $11.4 billion in 1995. The decrease in the semiconductor segment was due to significantly lower DRAM prices and reduced royalties.</w:t>
      </w:r>
    </w:p>
    <w:p>
      <w:pPr>
        <w:spacing w:after="0" w:line="1" w:lineRule="exact"/>
        <w:rPr>
          <w:sz w:val="20"/>
          <w:szCs w:val="20"/>
          <w:color w:val="auto"/>
        </w:rPr>
      </w:pPr>
    </w:p>
    <w:p>
      <w:pPr>
        <w:ind w:right="2039"/>
        <w:spacing w:after="0" w:line="273" w:lineRule="auto"/>
        <w:rPr>
          <w:sz w:val="20"/>
          <w:szCs w:val="20"/>
          <w:color w:val="auto"/>
        </w:rPr>
      </w:pPr>
      <w:r>
        <w:rPr>
          <w:rFonts w:ascii="Courier New" w:cs="Courier New" w:eastAsia="Courier New" w:hAnsi="Courier New"/>
          <w:sz w:val="17"/>
          <w:szCs w:val="17"/>
          <w:color w:val="auto"/>
        </w:rPr>
        <w:t>From the fourth quarter of 1995 to the fourth quarter of 1996, DRAM prices dropped about 80 percent. Digital signal processors and mixed-signal/analog products grew strongly in 1996. Revenues for all differentiated semiconductor products were nearly two-thirds of the company's total semiconductor revenues in fourth quarter 1996.</w:t>
      </w:r>
    </w:p>
    <w:p>
      <w:pPr>
        <w:spacing w:after="0" w:line="81" w:lineRule="exact"/>
        <w:rPr>
          <w:sz w:val="20"/>
          <w:szCs w:val="20"/>
          <w:color w:val="auto"/>
        </w:rPr>
      </w:pPr>
    </w:p>
    <w:p>
      <w:pPr>
        <w:ind w:right="2259" w:firstLine="524"/>
        <w:spacing w:after="0" w:line="283" w:lineRule="auto"/>
        <w:rPr>
          <w:sz w:val="20"/>
          <w:szCs w:val="20"/>
          <w:color w:val="auto"/>
        </w:rPr>
      </w:pPr>
      <w:r>
        <w:rPr>
          <w:rFonts w:ascii="Courier New" w:cs="Courier New" w:eastAsia="Courier New" w:hAnsi="Courier New"/>
          <w:sz w:val="17"/>
          <w:szCs w:val="17"/>
          <w:color w:val="auto"/>
        </w:rPr>
        <w:t>PFO from continuing operations for 1996, excluding special charges for cost reduction actions and in-process R&amp;D, was $374 million, down from $1439 million in 1995 primarily because of significantly lower DRAM prices and reduced royalties. Including the special charges, loss from operations was $26 million.</w:t>
      </w:r>
    </w:p>
    <w:p>
      <w:pPr>
        <w:spacing w:after="0" w:line="274" w:lineRule="exact"/>
        <w:rPr>
          <w:sz w:val="20"/>
          <w:szCs w:val="20"/>
          <w:color w:val="auto"/>
        </w:rPr>
      </w:pPr>
    </w:p>
    <w:p>
      <w:pPr>
        <w:ind w:right="2039" w:firstLine="524"/>
        <w:spacing w:after="0" w:line="276" w:lineRule="auto"/>
        <w:rPr>
          <w:sz w:val="20"/>
          <w:szCs w:val="20"/>
          <w:color w:val="auto"/>
        </w:rPr>
      </w:pPr>
      <w:r>
        <w:rPr>
          <w:rFonts w:ascii="Courier New" w:cs="Courier New" w:eastAsia="Courier New" w:hAnsi="Courier New"/>
          <w:sz w:val="17"/>
          <w:szCs w:val="17"/>
          <w:color w:val="auto"/>
        </w:rPr>
        <w:t>Net loss from continuing operations including special charges in 1996 was $46 million, and loss per share was $0.12. Net income for the year from continuing operations, excluding the special charges, was $281 million, compared with $996 million in 1995. Diluted earnings per share from continuing operations, excluding the special charges, were $0.74, compared with $2.58 in 1995.</w:t>
      </w:r>
    </w:p>
    <w:p>
      <w:pPr>
        <w:spacing w:after="0" w:line="81" w:lineRule="exact"/>
        <w:rPr>
          <w:sz w:val="20"/>
          <w:szCs w:val="20"/>
          <w:color w:val="auto"/>
        </w:rPr>
      </w:pPr>
    </w:p>
    <w:p>
      <w:pPr>
        <w:ind w:right="2559" w:firstLine="524"/>
        <w:spacing w:after="0" w:line="376" w:lineRule="auto"/>
        <w:rPr>
          <w:sz w:val="20"/>
          <w:szCs w:val="20"/>
          <w:color w:val="auto"/>
        </w:rPr>
      </w:pPr>
      <w:r>
        <w:rPr>
          <w:rFonts w:ascii="Courier New" w:cs="Courier New" w:eastAsia="Courier New" w:hAnsi="Courier New"/>
          <w:sz w:val="17"/>
          <w:szCs w:val="17"/>
          <w:color w:val="auto"/>
        </w:rPr>
        <w:t>Results from continuing operations for 1995 included $257 million of profit sharing. There was no profit sharing in 1996.</w:t>
      </w:r>
    </w:p>
    <w:p>
      <w:pPr>
        <w:spacing w:after="0" w:line="1" w:lineRule="exact"/>
        <w:rPr>
          <w:sz w:val="20"/>
          <w:szCs w:val="20"/>
          <w:color w:val="auto"/>
        </w:rPr>
      </w:pPr>
    </w:p>
    <w:p>
      <w:pPr>
        <w:ind w:right="2879" w:firstLine="524"/>
        <w:spacing w:after="0" w:line="376" w:lineRule="auto"/>
        <w:rPr>
          <w:sz w:val="20"/>
          <w:szCs w:val="20"/>
          <w:color w:val="auto"/>
        </w:rPr>
      </w:pPr>
      <w:r>
        <w:rPr>
          <w:rFonts w:ascii="Courier New" w:cs="Courier New" w:eastAsia="Courier New" w:hAnsi="Courier New"/>
          <w:sz w:val="17"/>
          <w:szCs w:val="17"/>
          <w:color w:val="auto"/>
        </w:rPr>
        <w:t>Net income including discontinued operations for the year was $63 million, and diluted earnings per share were $0.17.</w:t>
      </w:r>
    </w:p>
    <w:p>
      <w:pPr>
        <w:spacing w:after="0" w:line="1" w:lineRule="exact"/>
        <w:rPr>
          <w:sz w:val="20"/>
          <w:szCs w:val="20"/>
          <w:color w:val="auto"/>
        </w:rPr>
      </w:pPr>
    </w:p>
    <w:p>
      <w:pPr>
        <w:ind w:right="2039" w:firstLine="524"/>
        <w:spacing w:after="0" w:line="276" w:lineRule="auto"/>
        <w:rPr>
          <w:sz w:val="20"/>
          <w:szCs w:val="20"/>
          <w:color w:val="auto"/>
        </w:rPr>
      </w:pPr>
      <w:r>
        <w:rPr>
          <w:rFonts w:ascii="Courier New" w:cs="Courier New" w:eastAsia="Courier New" w:hAnsi="Courier New"/>
          <w:sz w:val="17"/>
          <w:szCs w:val="17"/>
          <w:color w:val="auto"/>
        </w:rPr>
        <w:t>Royalty revenues were $300 million lower in 1996 than the record royalties received in 1995. The decrease was primarily due to a reduction in royalty rates in exchange for longer-term agreements, expired licenses not yet renewed, and licensees' lower DRAM revenues. Also, first-quarter 1995 royalty revenues included a favorable adjustment of $36 million related to higher-than-estimated licensee shipments in the second half of 1994.</w:t>
      </w:r>
    </w:p>
    <w:p>
      <w:pPr>
        <w:spacing w:after="0" w:line="81"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Payments that licensees will make over the next five years under the ten-year agreements with Samsung Electronics Co., Ltd., Fujitsu Limited, Oki Ltd. and Matsushita Electric Industrial Co., Ltd. are expected to exceed payments made under the expired five-year licenses.</w:t>
      </w:r>
    </w:p>
    <w:p>
      <w:pPr>
        <w:spacing w:after="0" w:line="6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TI's backlog of unfilled orders for continuing operations as of</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1996, was $1623 million, down $671 million from the end of 1995,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due primarily to decreases in semiconductors and the sale of CMS, a divested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activity.</w:t>
      </w:r>
    </w:p>
    <w:p>
      <w:pPr>
        <w:spacing w:after="0" w:line="178" w:lineRule="exact"/>
        <w:rPr>
          <w:sz w:val="20"/>
          <w:szCs w:val="20"/>
          <w:color w:val="auto"/>
        </w:rPr>
      </w:pPr>
    </w:p>
    <w:p>
      <w:pPr>
        <w:ind w:right="2259" w:firstLine="524"/>
        <w:spacing w:after="0" w:line="315" w:lineRule="auto"/>
        <w:rPr>
          <w:sz w:val="20"/>
          <w:szCs w:val="20"/>
          <w:color w:val="auto"/>
        </w:rPr>
      </w:pPr>
      <w:r>
        <w:rPr>
          <w:rFonts w:ascii="Courier New" w:cs="Courier New" w:eastAsia="Courier New" w:hAnsi="Courier New"/>
          <w:sz w:val="17"/>
          <w:szCs w:val="17"/>
          <w:color w:val="auto"/>
        </w:rPr>
        <w:t>R&amp;D for continuing operations was $1181 million for 1996, compared with $842 million for 1995. The 1996 R&amp;D includes the $192 million charge associated with the SSi acquisition.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w:t>
      </w:r>
    </w:p>
    <w:p>
      <w:pPr>
        <w:spacing w:after="0" w:line="210" w:lineRule="exact"/>
        <w:rPr>
          <w:sz w:val="20"/>
          <w:szCs w:val="20"/>
          <w:color w:val="auto"/>
        </w:rPr>
      </w:pPr>
    </w:p>
    <w:p>
      <w:pPr>
        <w:ind w:right="2559" w:firstLine="524"/>
        <w:spacing w:after="0" w:line="376" w:lineRule="auto"/>
        <w:rPr>
          <w:sz w:val="20"/>
          <w:szCs w:val="20"/>
          <w:color w:val="auto"/>
        </w:rPr>
      </w:pPr>
      <w:r>
        <w:rPr>
          <w:rFonts w:ascii="Courier New" w:cs="Courier New" w:eastAsia="Courier New" w:hAnsi="Courier New"/>
          <w:sz w:val="17"/>
          <w:szCs w:val="17"/>
          <w:color w:val="auto"/>
        </w:rPr>
        <w:t>Capital expenditures for continuing operations were $2063 million in 1996, compared with $1351 million in 1995.</w:t>
      </w:r>
    </w:p>
    <w:p>
      <w:pPr>
        <w:spacing w:after="0" w:line="1" w:lineRule="exact"/>
        <w:rPr>
          <w:sz w:val="20"/>
          <w:szCs w:val="20"/>
          <w:color w:val="auto"/>
        </w:rPr>
      </w:pPr>
    </w:p>
    <w:p>
      <w:pPr>
        <w:ind w:right="2879" w:firstLine="524"/>
        <w:spacing w:after="0" w:line="379" w:lineRule="auto"/>
        <w:rPr>
          <w:sz w:val="20"/>
          <w:szCs w:val="20"/>
          <w:color w:val="auto"/>
        </w:rPr>
      </w:pPr>
      <w:r>
        <w:rPr>
          <w:rFonts w:ascii="Courier New" w:cs="Courier New" w:eastAsia="Courier New" w:hAnsi="Courier New"/>
          <w:sz w:val="17"/>
          <w:szCs w:val="17"/>
          <w:color w:val="auto"/>
        </w:rPr>
        <w:t>Depreciation for continuing operations for 1996 was $904 million, compared with $681 million in 1995.</w:t>
      </w:r>
    </w:p>
    <w:p>
      <w:pPr>
        <w:sectPr>
          <w:pgSz w:w="11900" w:h="17031" w:orient="portrait"/>
          <w:cols w:equalWidth="0" w:num="1">
            <w:col w:w="10219"/>
          </w:cols>
          <w:pgMar w:left="240" w:top="311" w:right="1440" w:bottom="0" w:gutter="0" w:footer="0" w:header="0"/>
          <w:type w:val="continuous"/>
        </w:sectPr>
      </w:pPr>
    </w:p>
    <w:bookmarkStart w:id="45" w:name="page46"/>
    <w:bookmarkEnd w:id="45"/>
    <w:p>
      <w:pPr>
        <w:ind w:right="2039"/>
        <w:spacing w:after="0" w:line="267" w:lineRule="auto"/>
        <w:rPr>
          <w:sz w:val="20"/>
          <w:szCs w:val="20"/>
          <w:color w:val="auto"/>
        </w:rPr>
      </w:pPr>
      <w:r>
        <w:rPr>
          <w:rFonts w:ascii="Courier New" w:cs="Courier New" w:eastAsia="Courier New" w:hAnsi="Courier New"/>
          <w:sz w:val="17"/>
          <w:szCs w:val="17"/>
          <w:color w:val="auto"/>
        </w:rPr>
        <w:t>SEMICONDUCTOR: For 1996, orders in the semiconductor segment were down 29 percent, and revenues were down 17 percent from 1995, primarily because of the precipitous drop in DRAM prices and lower royalties. Fourth quarter orders for DSPS, comprised of digital signal processors plus mixed-signal/analog products, grew more than 30 percent over the fourth quarter of 1995, with particular strength in wireless communications and mass storage applications. DSPS revenues in 1996 increased strongly from 1995 and were slightly less than 40 percent of the company's total semiconductor revenues during the fourth quarter.</w:t>
      </w:r>
    </w:p>
    <w:p>
      <w:pPr>
        <w:spacing w:after="0" w:line="300" w:lineRule="exact"/>
        <w:rPr>
          <w:sz w:val="20"/>
          <w:szCs w:val="20"/>
          <w:color w:val="auto"/>
        </w:rPr>
      </w:pPr>
    </w:p>
    <w:p>
      <w:pPr>
        <w:ind w:right="2039" w:firstLine="524"/>
        <w:spacing w:after="0" w:line="276" w:lineRule="auto"/>
        <w:rPr>
          <w:sz w:val="20"/>
          <w:szCs w:val="20"/>
          <w:color w:val="auto"/>
        </w:rPr>
      </w:pPr>
      <w:r>
        <w:rPr>
          <w:rFonts w:ascii="Courier New" w:cs="Courier New" w:eastAsia="Courier New" w:hAnsi="Courier New"/>
          <w:sz w:val="17"/>
          <w:szCs w:val="17"/>
          <w:color w:val="auto"/>
        </w:rPr>
        <w:t>Semiconductor segment profits for 1996 were down from 1995 because of sharply lower DRAM prices and lower royalties. Semiconductor segment profit in the fourth quarter of 1996 was up significantly from the third quarter as all product groups showed improvement. Memory, while improved, operated at a loss in the fourth quarter due to continued lower prices and the high level of fixed investment.</w:t>
      </w:r>
    </w:p>
    <w:p>
      <w:pPr>
        <w:spacing w:after="0" w:line="81" w:lineRule="exact"/>
        <w:rPr>
          <w:sz w:val="20"/>
          <w:szCs w:val="20"/>
          <w:color w:val="auto"/>
        </w:rPr>
      </w:pPr>
    </w:p>
    <w:p>
      <w:pPr>
        <w:ind w:right="2139"/>
        <w:spacing w:after="0" w:line="293" w:lineRule="auto"/>
        <w:rPr>
          <w:sz w:val="20"/>
          <w:szCs w:val="20"/>
          <w:color w:val="auto"/>
        </w:rPr>
      </w:pPr>
      <w:r>
        <w:rPr>
          <w:rFonts w:ascii="Courier New" w:cs="Courier New" w:eastAsia="Courier New" w:hAnsi="Courier New"/>
          <w:sz w:val="17"/>
          <w:szCs w:val="17"/>
          <w:color w:val="auto"/>
        </w:rPr>
        <w:t>MATERIALS &amp; CONTROLS: Compared with 1995, orders in the materials &amp; controls segment were up 6 percent in 1996, and revenues were up 7 percent, primarily due to strength in sensors and automotive. PFO increased from $82 million in 1995 to $90 million in 1996.</w:t>
      </w:r>
    </w:p>
    <w:p>
      <w:pPr>
        <w:spacing w:after="0" w:line="67" w:lineRule="exact"/>
        <w:rPr>
          <w:sz w:val="20"/>
          <w:szCs w:val="20"/>
          <w:color w:val="auto"/>
        </w:rPr>
      </w:pPr>
    </w:p>
    <w:p>
      <w:pPr>
        <w:ind w:right="2139"/>
        <w:spacing w:after="0" w:line="278" w:lineRule="auto"/>
        <w:rPr>
          <w:sz w:val="20"/>
          <w:szCs w:val="20"/>
          <w:color w:val="auto"/>
        </w:rPr>
      </w:pPr>
      <w:r>
        <w:rPr>
          <w:rFonts w:ascii="Courier New" w:cs="Courier New" w:eastAsia="Courier New" w:hAnsi="Courier New"/>
          <w:sz w:val="17"/>
          <w:szCs w:val="17"/>
          <w:color w:val="auto"/>
        </w:rPr>
        <w:t>EDUCATIONAL &amp; PRODUCTIVITY SOLUTIONS: Orders in TI's educational &amp; productivity solutions segment were up 12 percent in 1996, and revenues were up 11 percent, compared with 1995. As expected, calculators operated at break-even in the fourth quarter after achieving substantial seasonal profits in the second and third quarters. PFO improved from $51 million in 1995 to $56 million in 1996.</w:t>
      </w:r>
    </w:p>
    <w:p>
      <w:pPr>
        <w:spacing w:after="0" w:line="295" w:lineRule="exact"/>
        <w:rPr>
          <w:sz w:val="20"/>
          <w:szCs w:val="20"/>
          <w:color w:val="auto"/>
        </w:rPr>
      </w:pPr>
    </w:p>
    <w:p>
      <w:pPr>
        <w:ind w:right="2039"/>
        <w:spacing w:after="0" w:line="283" w:lineRule="auto"/>
        <w:rPr>
          <w:sz w:val="20"/>
          <w:szCs w:val="20"/>
          <w:color w:val="auto"/>
        </w:rPr>
      </w:pPr>
      <w:r>
        <w:rPr>
          <w:rFonts w:ascii="Courier New" w:cs="Courier New" w:eastAsia="Courier New" w:hAnsi="Courier New"/>
          <w:sz w:val="17"/>
          <w:szCs w:val="17"/>
          <w:color w:val="auto"/>
        </w:rPr>
        <w:t>EMERGING OPPORTUNITIES: TI's digital imaging products continue to make steady progress in the transition from R&amp;D to initial production, targeted at the very competitive commercial projection display market. The major long-term challenge continues to be cost reduction to levels that will permit participation in several markets.</w:t>
      </w:r>
    </w:p>
    <w:p>
      <w:pPr>
        <w:spacing w:after="0" w:line="73" w:lineRule="exact"/>
        <w:rPr>
          <w:sz w:val="20"/>
          <w:szCs w:val="20"/>
          <w:color w:val="auto"/>
        </w:rPr>
      </w:pPr>
    </w:p>
    <w:p>
      <w:pPr>
        <w:ind w:right="2039"/>
        <w:spacing w:after="0" w:line="273" w:lineRule="auto"/>
        <w:rPr>
          <w:sz w:val="20"/>
          <w:szCs w:val="20"/>
          <w:color w:val="auto"/>
        </w:rPr>
      </w:pPr>
      <w:r>
        <w:rPr>
          <w:rFonts w:ascii="Courier New" w:cs="Courier New" w:eastAsia="Courier New" w:hAnsi="Courier New"/>
          <w:sz w:val="17"/>
          <w:szCs w:val="17"/>
          <w:color w:val="auto"/>
        </w:rPr>
        <w:t>SPECIAL CHARGES/GAINS: The special charges for continuing operations during 1996 included $192 million for in-process R&amp;D associated with the purchase of SSi in the third quarter, and $91 million in the fourth quarter for severance costs related to voluntary retirement and involuntary actions (including $61 million for semiconductor employees), as well as $117 million for asset write-downs on certain product lines, principally mobile computing, a divested activity.</w:t>
      </w:r>
    </w:p>
    <w:p>
      <w:pPr>
        <w:spacing w:after="0" w:line="297" w:lineRule="exact"/>
        <w:rPr>
          <w:sz w:val="20"/>
          <w:szCs w:val="20"/>
          <w:color w:val="auto"/>
        </w:rPr>
      </w:pPr>
    </w:p>
    <w:p>
      <w:pPr>
        <w:ind w:right="2459"/>
        <w:spacing w:after="0" w:line="283" w:lineRule="auto"/>
        <w:rPr>
          <w:sz w:val="20"/>
          <w:szCs w:val="20"/>
          <w:color w:val="auto"/>
        </w:rPr>
      </w:pPr>
      <w:r>
        <w:rPr>
          <w:rFonts w:ascii="Courier New" w:cs="Courier New" w:eastAsia="Courier New" w:hAnsi="Courier New"/>
          <w:sz w:val="17"/>
          <w:szCs w:val="17"/>
          <w:color w:val="auto"/>
        </w:rPr>
        <w:t>DIVESTED ACTIVITIES: These activities operated at a loss during the year, mainly due to the high level of marketing expense and intense price competition in mobile computing, as well as continued investments and new product development in the software business and in communications and electronics systems.</w:t>
      </w:r>
    </w:p>
    <w:p>
      <w:pPr>
        <w:spacing w:after="0" w:line="73" w:lineRule="exact"/>
        <w:rPr>
          <w:sz w:val="20"/>
          <w:szCs w:val="20"/>
          <w:color w:val="auto"/>
        </w:rPr>
      </w:pPr>
    </w:p>
    <w:p>
      <w:pPr>
        <w:ind w:right="2039"/>
        <w:spacing w:after="0" w:line="315" w:lineRule="auto"/>
        <w:rPr>
          <w:sz w:val="20"/>
          <w:szCs w:val="20"/>
          <w:color w:val="auto"/>
        </w:rPr>
      </w:pPr>
      <w:r>
        <w:rPr>
          <w:rFonts w:ascii="Courier New" w:cs="Courier New" w:eastAsia="Courier New" w:hAnsi="Courier New"/>
          <w:sz w:val="17"/>
          <w:szCs w:val="17"/>
          <w:color w:val="auto"/>
        </w:rPr>
        <w:t>DISCONTINUED OPERATIONS: For discontinued operations, a special pretax charge of $32 million was taken for voluntary and involuntary severance actions during the fourth quarter of 1996.</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PRICES AND DIVIDENDS</w:t>
      </w:r>
    </w:p>
    <w:p>
      <w:pPr>
        <w:spacing w:after="0" w:line="41" w:lineRule="exact"/>
        <w:rPr>
          <w:sz w:val="20"/>
          <w:szCs w:val="20"/>
          <w:color w:val="auto"/>
        </w:rPr>
      </w:pPr>
    </w:p>
    <w:p>
      <w:pPr>
        <w:ind w:left="220" w:hanging="213"/>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2259"/>
        <w:spacing w:after="0" w:line="27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 common stock is listed on the New York Stock Exchange and traded principally in that market. The table below shows the high and low prices of TI common stock on the composite tape as reported by The Wall Street Journal and the dividends paid per common share for each quarter during the past two years, adjusted for the two-for-one stock split in 1997.</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QUARTER</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7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1st</w:t>
            </w:r>
          </w:p>
        </w:tc>
        <w:tc>
          <w:tcPr>
            <w:tcW w:w="15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2nd</w:t>
            </w: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3rd</w:t>
            </w:r>
          </w:p>
        </w:tc>
        <w:tc>
          <w:tcPr>
            <w:tcW w:w="42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4th</w:t>
            </w:r>
          </w:p>
        </w:tc>
        <w:tc>
          <w:tcPr>
            <w:tcW w:w="0" w:type="dxa"/>
            <w:vAlign w:val="bottom"/>
          </w:tcPr>
          <w:p>
            <w:pPr>
              <w:spacing w:after="0"/>
              <w:rPr>
                <w:sz w:val="1"/>
                <w:szCs w:val="1"/>
                <w:color w:val="auto"/>
              </w:rPr>
            </w:pPr>
          </w:p>
        </w:tc>
      </w:tr>
      <w:tr>
        <w:trPr>
          <w:trHeight w:val="295"/>
        </w:trPr>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Stock</w:t>
            </w:r>
          </w:p>
        </w:tc>
        <w:tc>
          <w:tcPr>
            <w:tcW w:w="27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prices:</w:t>
            </w:r>
          </w:p>
        </w:tc>
        <w:tc>
          <w:tcPr>
            <w:tcW w:w="47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8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10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$43.63</w:t>
            </w:r>
          </w:p>
        </w:tc>
        <w:tc>
          <w:tcPr>
            <w:tcW w:w="158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$48.19</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$71.00</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w w:val="97"/>
              </w:rPr>
              <w:t>71.25</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High ....................</w:t>
            </w:r>
          </w:p>
        </w:tc>
        <w:tc>
          <w:tcPr>
            <w:tcW w:w="10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1996</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Low .....................</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31.06</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36.81</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42.13</w:t>
            </w:r>
          </w:p>
        </w:tc>
        <w:tc>
          <w:tcPr>
            <w:tcW w:w="42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39.63</w:t>
            </w:r>
          </w:p>
        </w:tc>
        <w:tc>
          <w:tcPr>
            <w:tcW w:w="0" w:type="dxa"/>
            <w:vAlign w:val="bottom"/>
          </w:tcPr>
          <w:p>
            <w:pPr>
              <w:spacing w:after="0"/>
              <w:rPr>
                <w:sz w:val="1"/>
                <w:szCs w:val="1"/>
                <w:color w:val="auto"/>
              </w:rPr>
            </w:pPr>
          </w:p>
        </w:tc>
      </w:tr>
      <w:tr>
        <w:trPr>
          <w:trHeight w:val="201"/>
        </w:trPr>
        <w:tc>
          <w:tcPr>
            <w:tcW w:w="580" w:type="dxa"/>
            <w:vAlign w:val="bottom"/>
            <w:vMerge w:val="continue"/>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High ....................</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27.88</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29.82</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29.63</w:t>
            </w:r>
          </w:p>
        </w:tc>
        <w:tc>
          <w:tcPr>
            <w:tcW w:w="42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34.19</w:t>
            </w:r>
          </w:p>
        </w:tc>
        <w:tc>
          <w:tcPr>
            <w:tcW w:w="0" w:type="dxa"/>
            <w:vAlign w:val="bottom"/>
          </w:tcPr>
          <w:p>
            <w:pPr>
              <w:spacing w:after="0"/>
              <w:rPr>
                <w:sz w:val="1"/>
                <w:szCs w:val="1"/>
                <w:color w:val="auto"/>
              </w:rPr>
            </w:pPr>
          </w:p>
        </w:tc>
      </w:tr>
      <w:tr>
        <w:trPr>
          <w:trHeight w:val="295"/>
        </w:trPr>
        <w:tc>
          <w:tcPr>
            <w:tcW w:w="580" w:type="dxa"/>
            <w:vAlign w:val="bottom"/>
          </w:tcPr>
          <w:p>
            <w:pPr>
              <w:spacing w:after="0"/>
              <w:rPr>
                <w:sz w:val="24"/>
                <w:szCs w:val="24"/>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Low .....................</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21.38</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24.32</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20.25</w:t>
            </w:r>
          </w:p>
        </w:tc>
        <w:tc>
          <w:tcPr>
            <w:tcW w:w="42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23.75</w:t>
            </w:r>
          </w:p>
        </w:tc>
        <w:tc>
          <w:tcPr>
            <w:tcW w:w="0" w:type="dxa"/>
            <w:vAlign w:val="bottom"/>
          </w:tcPr>
          <w:p>
            <w:pPr>
              <w:spacing w:after="0"/>
              <w:rPr>
                <w:sz w:val="1"/>
                <w:szCs w:val="1"/>
                <w:color w:val="auto"/>
              </w:rPr>
            </w:pPr>
          </w:p>
        </w:tc>
      </w:tr>
      <w:tr>
        <w:trPr>
          <w:trHeight w:val="309"/>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Dividends paid:</w:t>
            </w:r>
          </w:p>
        </w:tc>
        <w:tc>
          <w:tcPr>
            <w:tcW w:w="10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 .085</w:t>
            </w:r>
          </w:p>
        </w:tc>
        <w:tc>
          <w:tcPr>
            <w:tcW w:w="1580" w:type="dxa"/>
            <w:vAlign w:val="bottom"/>
            <w:vMerge w:val="restart"/>
          </w:tcPr>
          <w:p>
            <w:pPr>
              <w:jc w:val="right"/>
              <w:ind w:right="553"/>
              <w:spacing w:after="0"/>
              <w:rPr>
                <w:sz w:val="20"/>
                <w:szCs w:val="20"/>
                <w:color w:val="auto"/>
              </w:rPr>
            </w:pPr>
            <w:r>
              <w:rPr>
                <w:rFonts w:ascii="Courier New" w:cs="Courier New" w:eastAsia="Courier New" w:hAnsi="Courier New"/>
                <w:sz w:val="17"/>
                <w:szCs w:val="17"/>
                <w:color w:val="auto"/>
              </w:rPr>
              <w:t>$ .085</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 .085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.085</w:t>
            </w:r>
          </w:p>
        </w:tc>
        <w:tc>
          <w:tcPr>
            <w:tcW w:w="0" w:type="dxa"/>
            <w:vAlign w:val="bottom"/>
          </w:tcPr>
          <w:p>
            <w:pPr>
              <w:spacing w:after="0"/>
              <w:rPr>
                <w:sz w:val="1"/>
                <w:szCs w:val="1"/>
                <w:color w:val="auto"/>
              </w:rPr>
            </w:pP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.085</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 .085</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 .085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.085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311" w:right="1440" w:bottom="463" w:gutter="0" w:footer="0" w:header="0"/>
        </w:sectPr>
      </w:pPr>
    </w:p>
    <w:bookmarkStart w:id="46" w:name="page47"/>
    <w:bookmarkEnd w:id="46"/>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Financial Data</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MILLIONS OF DOLLARS, EXCEPT PER-SHARE AMOUNTS</w:t>
      </w:r>
    </w:p>
    <w:p>
      <w:pPr>
        <w:spacing w:after="0" w:line="41"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Courier New" w:cs="Courier New" w:eastAsia="Courier New" w:hAnsi="Courier New"/>
                <w:sz w:val="17"/>
                <w:szCs w:val="17"/>
                <w:color w:val="auto"/>
              </w:rPr>
              <w:t>1st</w:t>
            </w:r>
          </w:p>
        </w:tc>
        <w:tc>
          <w:tcPr>
            <w:tcW w:w="480" w:type="dxa"/>
            <w:vAlign w:val="bottom"/>
          </w:tcPr>
          <w:p>
            <w:pPr>
              <w:spacing w:after="0"/>
              <w:rPr>
                <w:sz w:val="17"/>
                <w:szCs w:val="17"/>
                <w:color w:val="auto"/>
              </w:rPr>
            </w:pPr>
          </w:p>
        </w:tc>
        <w:tc>
          <w:tcPr>
            <w:tcW w:w="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2nd</w:t>
            </w:r>
          </w:p>
        </w:tc>
        <w:tc>
          <w:tcPr>
            <w:tcW w:w="42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3rd</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4th</w:t>
            </w:r>
          </w:p>
        </w:tc>
        <w:tc>
          <w:tcPr>
            <w:tcW w:w="0" w:type="dxa"/>
            <w:vAlign w:val="bottom"/>
          </w:tcPr>
          <w:p>
            <w:pPr>
              <w:spacing w:after="0"/>
              <w:rPr>
                <w:sz w:val="1"/>
                <w:szCs w:val="1"/>
                <w:color w:val="auto"/>
              </w:rPr>
            </w:pPr>
          </w:p>
        </w:tc>
      </w:tr>
      <w:tr>
        <w:trPr>
          <w:trHeight w:val="295"/>
        </w:trPr>
        <w:tc>
          <w:tcPr>
            <w:tcW w:w="37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24"/>
                <w:szCs w:val="24"/>
                <w:color w:val="auto"/>
              </w:rPr>
            </w:pPr>
          </w:p>
        </w:tc>
        <w:tc>
          <w:tcPr>
            <w:tcW w:w="4400" w:type="dxa"/>
            <w:vAlign w:val="bottom"/>
            <w:gridSpan w:val="6"/>
          </w:tcPr>
          <w:p>
            <w:pPr>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revenues ......................</w:t>
            </w:r>
          </w:p>
        </w:tc>
        <w:tc>
          <w:tcPr>
            <w:tcW w:w="10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$2,263</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$2,559</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$2,500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$2,428</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2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791</w:t>
            </w:r>
          </w:p>
        </w:tc>
        <w:tc>
          <w:tcPr>
            <w:tcW w:w="48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962</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982</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948</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Profit (loss) from operations .....</w:t>
            </w:r>
          </w:p>
        </w:tc>
        <w:tc>
          <w:tcPr>
            <w:tcW w:w="2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171</w:t>
            </w:r>
          </w:p>
        </w:tc>
        <w:tc>
          <w:tcPr>
            <w:tcW w:w="48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287</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358</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(201)</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Income (loss) from continuing</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operations before extraordinary</w:t>
            </w:r>
          </w:p>
        </w:tc>
        <w:tc>
          <w:tcPr>
            <w:tcW w:w="260" w:type="dxa"/>
            <w:vAlign w:val="bottom"/>
          </w:tcPr>
          <w:p>
            <w:pPr>
              <w:spacing w:after="0"/>
              <w:rPr>
                <w:sz w:val="17"/>
                <w:szCs w:val="17"/>
                <w:color w:val="auto"/>
              </w:rPr>
            </w:pP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102</w:t>
            </w:r>
          </w:p>
        </w:tc>
        <w:tc>
          <w:tcPr>
            <w:tcW w:w="480" w:type="dxa"/>
            <w:vAlign w:val="bottom"/>
          </w:tcPr>
          <w:p>
            <w:pPr>
              <w:spacing w:after="0"/>
              <w:rPr>
                <w:sz w:val="17"/>
                <w:szCs w:val="17"/>
                <w:color w:val="auto"/>
              </w:rPr>
            </w:pP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224</w:t>
            </w:r>
          </w:p>
        </w:tc>
        <w:tc>
          <w:tcPr>
            <w:tcW w:w="42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239</w:t>
            </w:r>
          </w:p>
        </w:tc>
        <w:tc>
          <w:tcPr>
            <w:tcW w:w="11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(263)</w:t>
            </w:r>
          </w:p>
        </w:tc>
        <w:tc>
          <w:tcPr>
            <w:tcW w:w="0" w:type="dxa"/>
            <w:vAlign w:val="bottom"/>
          </w:tcPr>
          <w:p>
            <w:pPr>
              <w:spacing w:after="0"/>
              <w:rPr>
                <w:sz w:val="1"/>
                <w:szCs w:val="1"/>
                <w:color w:val="auto"/>
              </w:rPr>
            </w:pPr>
          </w:p>
        </w:tc>
      </w:tr>
      <w:tr>
        <w:trPr>
          <w:trHeight w:val="201"/>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item .............................</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260" w:type="dxa"/>
            <w:vAlign w:val="bottom"/>
          </w:tcPr>
          <w:p>
            <w:pPr>
              <w:spacing w:after="0"/>
              <w:rPr>
                <w:sz w:val="17"/>
                <w:szCs w:val="17"/>
                <w:color w:val="auto"/>
              </w:rPr>
            </w:pP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27</w:t>
            </w:r>
          </w:p>
        </w:tc>
        <w:tc>
          <w:tcPr>
            <w:tcW w:w="480" w:type="dxa"/>
            <w:vAlign w:val="bottom"/>
          </w:tcPr>
          <w:p>
            <w:pPr>
              <w:spacing w:after="0"/>
              <w:rPr>
                <w:sz w:val="17"/>
                <w:szCs w:val="17"/>
                <w:color w:val="auto"/>
              </w:rPr>
            </w:pP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25</w:t>
            </w:r>
          </w:p>
        </w:tc>
        <w:tc>
          <w:tcPr>
            <w:tcW w:w="42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Income from operations ...........</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Gain on sale .....................</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1,473</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spacing w:after="0"/>
              <w:rPr>
                <w:sz w:val="20"/>
                <w:szCs w:val="20"/>
                <w:color w:val="auto"/>
              </w:rPr>
            </w:pPr>
            <w:r>
              <w:rPr>
                <w:rFonts w:ascii="Courier New" w:cs="Courier New" w:eastAsia="Courier New" w:hAnsi="Courier New"/>
                <w:sz w:val="17"/>
                <w:szCs w:val="17"/>
                <w:color w:val="auto"/>
              </w:rPr>
              <w:t>Extraordinary item ................</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w:t>
            </w:r>
          </w:p>
        </w:tc>
        <w:tc>
          <w:tcPr>
            <w:tcW w:w="0" w:type="dxa"/>
            <w:vAlign w:val="bottom"/>
          </w:tcPr>
          <w:p>
            <w:pPr>
              <w:spacing w:after="0"/>
              <w:rPr>
                <w:sz w:val="1"/>
                <w:szCs w:val="1"/>
                <w:color w:val="auto"/>
              </w:rPr>
            </w:pPr>
          </w:p>
        </w:tc>
      </w:tr>
      <w:tr>
        <w:trPr>
          <w:trHeight w:val="201"/>
        </w:trPr>
        <w:tc>
          <w:tcPr>
            <w:tcW w:w="37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(loss) .................</w:t>
            </w:r>
          </w:p>
        </w:tc>
        <w:tc>
          <w:tcPr>
            <w:tcW w:w="260" w:type="dxa"/>
            <w:vAlign w:val="bottom"/>
            <w:vMerge w:val="restart"/>
          </w:tcPr>
          <w:p>
            <w:pPr>
              <w:ind w:left="6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129</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249</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$1,712</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(285)</w:t>
            </w:r>
          </w:p>
        </w:tc>
        <w:tc>
          <w:tcPr>
            <w:tcW w:w="0" w:type="dxa"/>
            <w:vAlign w:val="bottom"/>
          </w:tcPr>
          <w:p>
            <w:pPr>
              <w:spacing w:after="0"/>
              <w:rPr>
                <w:sz w:val="1"/>
                <w:szCs w:val="1"/>
                <w:color w:val="auto"/>
              </w:rPr>
            </w:pPr>
          </w:p>
        </w:tc>
      </w:tr>
      <w:tr>
        <w:trPr>
          <w:trHeight w:val="295"/>
        </w:trPr>
        <w:tc>
          <w:tcPr>
            <w:tcW w:w="3720" w:type="dxa"/>
            <w:vAlign w:val="bottom"/>
          </w:tcPr>
          <w:p>
            <w:pPr>
              <w:spacing w:after="0"/>
              <w:rPr>
                <w:sz w:val="24"/>
                <w:szCs w:val="24"/>
                <w:color w:val="auto"/>
              </w:rPr>
            </w:pPr>
          </w:p>
        </w:tc>
        <w:tc>
          <w:tcPr>
            <w:tcW w:w="10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spacing w:after="0"/>
              <w:rPr>
                <w:sz w:val="20"/>
                <w:szCs w:val="20"/>
                <w:color w:val="auto"/>
              </w:rPr>
            </w:pPr>
            <w:r>
              <w:rPr>
                <w:rFonts w:ascii="Courier New" w:cs="Courier New" w:eastAsia="Courier New" w:hAnsi="Courier New"/>
                <w:sz w:val="17"/>
                <w:szCs w:val="17"/>
                <w:color w:val="auto"/>
              </w:rPr>
              <w:t>Diluted earnings (loss) per</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common share: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Continuing operations</w:t>
            </w:r>
          </w:p>
        </w:tc>
        <w:tc>
          <w:tcPr>
            <w:tcW w:w="2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.26</w:t>
            </w:r>
          </w:p>
        </w:tc>
        <w:tc>
          <w:tcPr>
            <w:tcW w:w="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.56</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.60</w:t>
            </w:r>
          </w:p>
        </w:tc>
        <w:tc>
          <w:tcPr>
            <w:tcW w:w="11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(.67)</w:t>
            </w:r>
          </w:p>
        </w:tc>
        <w:tc>
          <w:tcPr>
            <w:tcW w:w="0" w:type="dxa"/>
            <w:vAlign w:val="bottom"/>
          </w:tcPr>
          <w:p>
            <w:pPr>
              <w:spacing w:after="0"/>
              <w:rPr>
                <w:sz w:val="1"/>
                <w:szCs w:val="1"/>
                <w:color w:val="auto"/>
              </w:rPr>
            </w:pPr>
          </w:p>
        </w:tc>
      </w:tr>
      <w:tr>
        <w:trPr>
          <w:trHeight w:val="201"/>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before extraordinary item .....</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260" w:type="dxa"/>
            <w:vAlign w:val="bottom"/>
          </w:tcPr>
          <w:p>
            <w:pPr>
              <w:spacing w:after="0"/>
              <w:rPr>
                <w:sz w:val="17"/>
                <w:szCs w:val="17"/>
                <w:color w:val="auto"/>
              </w:rPr>
            </w:pP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.07</w:t>
            </w:r>
          </w:p>
        </w:tc>
        <w:tc>
          <w:tcPr>
            <w:tcW w:w="480" w:type="dxa"/>
            <w:vAlign w:val="bottom"/>
          </w:tcPr>
          <w:p>
            <w:pPr>
              <w:spacing w:after="0"/>
              <w:rPr>
                <w:sz w:val="17"/>
                <w:szCs w:val="17"/>
                <w:color w:val="auto"/>
              </w:rPr>
            </w:pP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.07</w:t>
            </w:r>
          </w:p>
        </w:tc>
        <w:tc>
          <w:tcPr>
            <w:tcW w:w="42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operations ........</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Gain on sale ..................</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3.68</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Extraordinary item .............</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(.06)</w:t>
            </w:r>
          </w:p>
        </w:tc>
        <w:tc>
          <w:tcPr>
            <w:tcW w:w="0" w:type="dxa"/>
            <w:vAlign w:val="bottom"/>
          </w:tcPr>
          <w:p>
            <w:pPr>
              <w:spacing w:after="0"/>
              <w:rPr>
                <w:sz w:val="1"/>
                <w:szCs w:val="1"/>
                <w:color w:val="auto"/>
              </w:rPr>
            </w:pPr>
          </w:p>
        </w:tc>
      </w:tr>
      <w:tr>
        <w:trPr>
          <w:trHeight w:val="201"/>
        </w:trPr>
        <w:tc>
          <w:tcPr>
            <w:tcW w:w="372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Net income (loss) ..............</w:t>
            </w:r>
          </w:p>
        </w:tc>
        <w:tc>
          <w:tcPr>
            <w:tcW w:w="260" w:type="dxa"/>
            <w:vAlign w:val="bottom"/>
            <w:vMerge w:val="restart"/>
          </w:tcPr>
          <w:p>
            <w:pPr>
              <w:ind w:left="6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.33</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.63</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$ 4.28</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(.73)</w:t>
            </w:r>
          </w:p>
        </w:tc>
        <w:tc>
          <w:tcPr>
            <w:tcW w:w="0" w:type="dxa"/>
            <w:vAlign w:val="bottom"/>
          </w:tcPr>
          <w:p>
            <w:pPr>
              <w:spacing w:after="0"/>
              <w:rPr>
                <w:sz w:val="1"/>
                <w:szCs w:val="1"/>
                <w:color w:val="auto"/>
              </w:rPr>
            </w:pPr>
          </w:p>
        </w:tc>
      </w:tr>
      <w:tr>
        <w:trPr>
          <w:trHeight w:val="295"/>
        </w:trPr>
        <w:tc>
          <w:tcPr>
            <w:tcW w:w="3720" w:type="dxa"/>
            <w:vAlign w:val="bottom"/>
          </w:tcPr>
          <w:p>
            <w:pPr>
              <w:spacing w:after="0"/>
              <w:rPr>
                <w:sz w:val="24"/>
                <w:szCs w:val="24"/>
                <w:color w:val="auto"/>
              </w:rPr>
            </w:pPr>
          </w:p>
        </w:tc>
        <w:tc>
          <w:tcPr>
            <w:tcW w:w="10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spacing w:after="0"/>
              <w:rPr>
                <w:sz w:val="20"/>
                <w:szCs w:val="20"/>
                <w:color w:val="auto"/>
              </w:rPr>
            </w:pPr>
            <w:r>
              <w:rPr>
                <w:rFonts w:ascii="Courier New" w:cs="Courier New" w:eastAsia="Courier New" w:hAnsi="Courier New"/>
                <w:sz w:val="17"/>
                <w:szCs w:val="17"/>
                <w:color w:val="auto"/>
              </w:rPr>
              <w:t>Basic earnings (loss) per</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common share: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Continuing operations</w:t>
            </w:r>
          </w:p>
        </w:tc>
        <w:tc>
          <w:tcPr>
            <w:tcW w:w="2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.27</w:t>
            </w:r>
          </w:p>
        </w:tc>
        <w:tc>
          <w:tcPr>
            <w:tcW w:w="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.58</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.62</w:t>
            </w:r>
          </w:p>
        </w:tc>
        <w:tc>
          <w:tcPr>
            <w:tcW w:w="11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(.67)</w:t>
            </w:r>
          </w:p>
        </w:tc>
        <w:tc>
          <w:tcPr>
            <w:tcW w:w="0" w:type="dxa"/>
            <w:vAlign w:val="bottom"/>
          </w:tcPr>
          <w:p>
            <w:pPr>
              <w:spacing w:after="0"/>
              <w:rPr>
                <w:sz w:val="1"/>
                <w:szCs w:val="1"/>
                <w:color w:val="auto"/>
              </w:rPr>
            </w:pPr>
          </w:p>
        </w:tc>
      </w:tr>
      <w:tr>
        <w:trPr>
          <w:trHeight w:val="201"/>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before extraordinary item .....</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260" w:type="dxa"/>
            <w:vAlign w:val="bottom"/>
          </w:tcPr>
          <w:p>
            <w:pPr>
              <w:spacing w:after="0"/>
              <w:rPr>
                <w:sz w:val="17"/>
                <w:szCs w:val="17"/>
                <w:color w:val="auto"/>
              </w:rPr>
            </w:pP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.07</w:t>
            </w:r>
          </w:p>
        </w:tc>
        <w:tc>
          <w:tcPr>
            <w:tcW w:w="480" w:type="dxa"/>
            <w:vAlign w:val="bottom"/>
          </w:tcPr>
          <w:p>
            <w:pPr>
              <w:spacing w:after="0"/>
              <w:rPr>
                <w:sz w:val="17"/>
                <w:szCs w:val="17"/>
                <w:color w:val="auto"/>
              </w:rPr>
            </w:pP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.07</w:t>
            </w:r>
          </w:p>
        </w:tc>
        <w:tc>
          <w:tcPr>
            <w:tcW w:w="42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operations ........</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Gain on sale ..................</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3.81</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Extraordinary item .............</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(.06)</w:t>
            </w:r>
          </w:p>
        </w:tc>
        <w:tc>
          <w:tcPr>
            <w:tcW w:w="0" w:type="dxa"/>
            <w:vAlign w:val="bottom"/>
          </w:tcPr>
          <w:p>
            <w:pPr>
              <w:spacing w:after="0"/>
              <w:rPr>
                <w:sz w:val="1"/>
                <w:szCs w:val="1"/>
                <w:color w:val="auto"/>
              </w:rPr>
            </w:pPr>
          </w:p>
        </w:tc>
      </w:tr>
      <w:tr>
        <w:trPr>
          <w:trHeight w:val="201"/>
        </w:trPr>
        <w:tc>
          <w:tcPr>
            <w:tcW w:w="372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Net income (loss) ..............</w:t>
            </w:r>
          </w:p>
        </w:tc>
        <w:tc>
          <w:tcPr>
            <w:tcW w:w="260" w:type="dxa"/>
            <w:vAlign w:val="bottom"/>
            <w:vMerge w:val="restart"/>
          </w:tcPr>
          <w:p>
            <w:pPr>
              <w:ind w:left="6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.34</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.65</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$ 4.43</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(.73)</w:t>
            </w:r>
          </w:p>
        </w:tc>
        <w:tc>
          <w:tcPr>
            <w:tcW w:w="0" w:type="dxa"/>
            <w:vAlign w:val="bottom"/>
          </w:tcPr>
          <w:p>
            <w:pPr>
              <w:spacing w:after="0"/>
              <w:rPr>
                <w:sz w:val="1"/>
                <w:szCs w:val="1"/>
                <w:color w:val="auto"/>
              </w:rPr>
            </w:pPr>
          </w:p>
        </w:tc>
      </w:tr>
      <w:tr>
        <w:trPr>
          <w:trHeight w:val="295"/>
        </w:trPr>
        <w:tc>
          <w:tcPr>
            <w:tcW w:w="3720" w:type="dxa"/>
            <w:vAlign w:val="bottom"/>
          </w:tcPr>
          <w:p>
            <w:pPr>
              <w:spacing w:after="0"/>
              <w:rPr>
                <w:sz w:val="24"/>
                <w:szCs w:val="24"/>
                <w:color w:val="auto"/>
              </w:rPr>
            </w:pPr>
          </w:p>
        </w:tc>
        <w:tc>
          <w:tcPr>
            <w:tcW w:w="10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MILLIONS OF DOLLARS, EXCEPT PER-SHARE AMOUNTS</w:t>
      </w:r>
    </w:p>
    <w:p>
      <w:pPr>
        <w:spacing w:after="0" w:line="41"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line="179" w:lineRule="exact"/>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7"/>
                <w:szCs w:val="17"/>
                <w:color w:val="auto"/>
              </w:rPr>
              <w:t>1st</w:t>
            </w:r>
          </w:p>
        </w:tc>
        <w:tc>
          <w:tcPr>
            <w:tcW w:w="480" w:type="dxa"/>
            <w:vAlign w:val="bottom"/>
          </w:tcPr>
          <w:p>
            <w:pPr>
              <w:spacing w:after="0"/>
              <w:rPr>
                <w:sz w:val="15"/>
                <w:szCs w:val="15"/>
                <w:color w:val="auto"/>
              </w:rPr>
            </w:pPr>
          </w:p>
        </w:tc>
        <w:tc>
          <w:tcPr>
            <w:tcW w:w="780" w:type="dxa"/>
            <w:vAlign w:val="bottom"/>
          </w:tcPr>
          <w:p>
            <w:pPr>
              <w:jc w:val="right"/>
              <w:ind w:right="333"/>
              <w:spacing w:after="0" w:line="179" w:lineRule="exact"/>
              <w:rPr>
                <w:sz w:val="20"/>
                <w:szCs w:val="20"/>
                <w:color w:val="auto"/>
              </w:rPr>
            </w:pPr>
            <w:r>
              <w:rPr>
                <w:rFonts w:ascii="Courier New" w:cs="Courier New" w:eastAsia="Courier New" w:hAnsi="Courier New"/>
                <w:sz w:val="17"/>
                <w:szCs w:val="17"/>
                <w:color w:val="auto"/>
              </w:rPr>
              <w:t>2nd</w:t>
            </w:r>
          </w:p>
        </w:tc>
        <w:tc>
          <w:tcPr>
            <w:tcW w:w="1300" w:type="dxa"/>
            <w:vAlign w:val="bottom"/>
          </w:tcPr>
          <w:p>
            <w:pPr>
              <w:jc w:val="right"/>
              <w:ind w:right="373"/>
              <w:spacing w:after="0" w:line="179" w:lineRule="exact"/>
              <w:rPr>
                <w:sz w:val="20"/>
                <w:szCs w:val="20"/>
                <w:color w:val="auto"/>
              </w:rPr>
            </w:pPr>
            <w:r>
              <w:rPr>
                <w:rFonts w:ascii="Courier New" w:cs="Courier New" w:eastAsia="Courier New" w:hAnsi="Courier New"/>
                <w:sz w:val="17"/>
                <w:szCs w:val="17"/>
                <w:color w:val="auto"/>
              </w:rPr>
              <w:t>3rd</w:t>
            </w:r>
          </w:p>
        </w:tc>
        <w:tc>
          <w:tcPr>
            <w:tcW w:w="1100" w:type="dxa"/>
            <w:vAlign w:val="bottom"/>
          </w:tcPr>
          <w:p>
            <w:pPr>
              <w:jc w:val="right"/>
              <w:ind w:right="213"/>
              <w:spacing w:after="0" w:line="179" w:lineRule="exact"/>
              <w:rPr>
                <w:sz w:val="20"/>
                <w:szCs w:val="20"/>
                <w:color w:val="auto"/>
              </w:rPr>
            </w:pPr>
            <w:r>
              <w:rPr>
                <w:rFonts w:ascii="Courier New" w:cs="Courier New" w:eastAsia="Courier New" w:hAnsi="Courier New"/>
                <w:sz w:val="17"/>
                <w:szCs w:val="17"/>
                <w:color w:val="auto"/>
              </w:rPr>
              <w:t>4th</w:t>
            </w:r>
          </w:p>
        </w:tc>
        <w:tc>
          <w:tcPr>
            <w:tcW w:w="0" w:type="dxa"/>
            <w:vAlign w:val="bottom"/>
          </w:tcPr>
          <w:p>
            <w:pPr>
              <w:spacing w:after="0"/>
              <w:rPr>
                <w:sz w:val="1"/>
                <w:szCs w:val="1"/>
                <w:color w:val="auto"/>
              </w:rPr>
            </w:pPr>
          </w:p>
        </w:tc>
      </w:tr>
      <w:tr>
        <w:trPr>
          <w:trHeight w:val="295"/>
        </w:trPr>
        <w:tc>
          <w:tcPr>
            <w:tcW w:w="37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24"/>
                <w:szCs w:val="24"/>
                <w:color w:val="auto"/>
              </w:rPr>
            </w:pPr>
          </w:p>
        </w:tc>
        <w:tc>
          <w:tcPr>
            <w:tcW w:w="4400" w:type="dxa"/>
            <w:vAlign w:val="bottom"/>
            <w:gridSpan w:val="5"/>
          </w:tcPr>
          <w:p>
            <w:pPr>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revenues ......................</w:t>
            </w:r>
          </w:p>
        </w:tc>
        <w:tc>
          <w:tcPr>
            <w:tcW w:w="10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$2,675</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$2,399</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$2,407</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$2,459</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2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786</w:t>
            </w:r>
          </w:p>
        </w:tc>
        <w:tc>
          <w:tcPr>
            <w:tcW w:w="48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677</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664</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667</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Profit (loss) from operations .....</w:t>
            </w:r>
          </w:p>
        </w:tc>
        <w:tc>
          <w:tcPr>
            <w:tcW w:w="2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w:t>
            </w:r>
          </w:p>
        </w:tc>
        <w:tc>
          <w:tcPr>
            <w:tcW w:w="48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(177)</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Income (loss) from continuing</w:t>
            </w:r>
          </w:p>
        </w:tc>
        <w:tc>
          <w:tcPr>
            <w:tcW w:w="260" w:type="dxa"/>
            <w:vAlign w:val="bottom"/>
          </w:tcPr>
          <w:p>
            <w:pPr>
              <w:spacing w:after="0"/>
              <w:rPr>
                <w:sz w:val="17"/>
                <w:szCs w:val="17"/>
                <w:color w:val="auto"/>
              </w:rPr>
            </w:pP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132</w:t>
            </w:r>
          </w:p>
        </w:tc>
        <w:tc>
          <w:tcPr>
            <w:tcW w:w="480" w:type="dxa"/>
            <w:vAlign w:val="bottom"/>
          </w:tcPr>
          <w:p>
            <w:pPr>
              <w:spacing w:after="0"/>
              <w:rPr>
                <w:sz w:val="17"/>
                <w:szCs w:val="17"/>
                <w:color w:val="auto"/>
              </w:rPr>
            </w:pP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41</w:t>
            </w:r>
          </w:p>
        </w:tc>
        <w:tc>
          <w:tcPr>
            <w:tcW w:w="13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(179)</w:t>
            </w:r>
          </w:p>
        </w:tc>
        <w:tc>
          <w:tcPr>
            <w:tcW w:w="110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(40)</w:t>
            </w:r>
          </w:p>
        </w:tc>
        <w:tc>
          <w:tcPr>
            <w:tcW w:w="0" w:type="dxa"/>
            <w:vAlign w:val="bottom"/>
          </w:tcPr>
          <w:p>
            <w:pPr>
              <w:spacing w:after="0"/>
              <w:rPr>
                <w:sz w:val="1"/>
                <w:szCs w:val="1"/>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operations .......................</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w:t>
            </w:r>
          </w:p>
        </w:tc>
        <w:tc>
          <w:tcPr>
            <w:tcW w:w="2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w:t>
            </w:r>
          </w:p>
        </w:tc>
        <w:tc>
          <w:tcPr>
            <w:tcW w:w="48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201"/>
        </w:trPr>
        <w:tc>
          <w:tcPr>
            <w:tcW w:w="37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(loss) .................</w:t>
            </w:r>
          </w:p>
        </w:tc>
        <w:tc>
          <w:tcPr>
            <w:tcW w:w="260" w:type="dxa"/>
            <w:vAlign w:val="bottom"/>
            <w:vMerge w:val="restart"/>
          </w:tcPr>
          <w:p>
            <w:pPr>
              <w:ind w:left="6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163</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(147)</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(29)</w:t>
            </w:r>
          </w:p>
        </w:tc>
        <w:tc>
          <w:tcPr>
            <w:tcW w:w="0" w:type="dxa"/>
            <w:vAlign w:val="bottom"/>
          </w:tcPr>
          <w:p>
            <w:pPr>
              <w:spacing w:after="0"/>
              <w:rPr>
                <w:sz w:val="1"/>
                <w:szCs w:val="1"/>
                <w:color w:val="auto"/>
              </w:rPr>
            </w:pPr>
          </w:p>
        </w:tc>
      </w:tr>
      <w:tr>
        <w:trPr>
          <w:trHeight w:val="295"/>
        </w:trPr>
        <w:tc>
          <w:tcPr>
            <w:tcW w:w="3720" w:type="dxa"/>
            <w:vAlign w:val="bottom"/>
          </w:tcPr>
          <w:p>
            <w:pPr>
              <w:spacing w:after="0"/>
              <w:rPr>
                <w:sz w:val="24"/>
                <w:szCs w:val="24"/>
                <w:color w:val="auto"/>
              </w:rPr>
            </w:pPr>
          </w:p>
        </w:tc>
        <w:tc>
          <w:tcPr>
            <w:tcW w:w="10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spacing w:after="0"/>
              <w:rPr>
                <w:sz w:val="20"/>
                <w:szCs w:val="20"/>
                <w:color w:val="auto"/>
              </w:rPr>
            </w:pPr>
            <w:r>
              <w:rPr>
                <w:rFonts w:ascii="Courier New" w:cs="Courier New" w:eastAsia="Courier New" w:hAnsi="Courier New"/>
                <w:sz w:val="17"/>
                <w:szCs w:val="17"/>
                <w:color w:val="auto"/>
              </w:rPr>
              <w:t>Diluted earnings (loss) per</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common share:</w:t>
            </w:r>
          </w:p>
        </w:tc>
        <w:tc>
          <w:tcPr>
            <w:tcW w:w="2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.34</w:t>
            </w:r>
          </w:p>
        </w:tc>
        <w:tc>
          <w:tcPr>
            <w:tcW w:w="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.11</w:t>
            </w:r>
          </w:p>
        </w:tc>
        <w:tc>
          <w:tcPr>
            <w:tcW w:w="13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 (.47)</w:t>
            </w:r>
          </w:p>
        </w:tc>
        <w:tc>
          <w:tcPr>
            <w:tcW w:w="110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(.11)</w:t>
            </w:r>
          </w:p>
        </w:tc>
        <w:tc>
          <w:tcPr>
            <w:tcW w:w="0" w:type="dxa"/>
            <w:vAlign w:val="bottom"/>
          </w:tcPr>
          <w:p>
            <w:pPr>
              <w:spacing w:after="0"/>
              <w:rPr>
                <w:sz w:val="1"/>
                <w:szCs w:val="1"/>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Continuing operations ...........</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Discontinued operations .........</w:t>
            </w:r>
          </w:p>
        </w:tc>
        <w:tc>
          <w:tcPr>
            <w:tcW w:w="2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.08</w:t>
            </w:r>
          </w:p>
        </w:tc>
        <w:tc>
          <w:tcPr>
            <w:tcW w:w="48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.09</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.08</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.03</w:t>
            </w:r>
          </w:p>
        </w:tc>
        <w:tc>
          <w:tcPr>
            <w:tcW w:w="0" w:type="dxa"/>
            <w:vAlign w:val="bottom"/>
          </w:tcPr>
          <w:p>
            <w:pPr>
              <w:spacing w:after="0"/>
              <w:rPr>
                <w:sz w:val="1"/>
                <w:szCs w:val="1"/>
                <w:color w:val="auto"/>
              </w:rPr>
            </w:pPr>
          </w:p>
        </w:tc>
      </w:tr>
      <w:tr>
        <w:trPr>
          <w:trHeight w:val="201"/>
        </w:trPr>
        <w:tc>
          <w:tcPr>
            <w:tcW w:w="3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Net income (loss) ...............</w:t>
            </w:r>
          </w:p>
        </w:tc>
        <w:tc>
          <w:tcPr>
            <w:tcW w:w="260" w:type="dxa"/>
            <w:vAlign w:val="bottom"/>
            <w:vMerge w:val="restart"/>
          </w:tcPr>
          <w:p>
            <w:pPr>
              <w:ind w:left="6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.42</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(.39)</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(.08)</w:t>
            </w:r>
          </w:p>
        </w:tc>
        <w:tc>
          <w:tcPr>
            <w:tcW w:w="0" w:type="dxa"/>
            <w:vAlign w:val="bottom"/>
          </w:tcPr>
          <w:p>
            <w:pPr>
              <w:spacing w:after="0"/>
              <w:rPr>
                <w:sz w:val="1"/>
                <w:szCs w:val="1"/>
                <w:color w:val="auto"/>
              </w:rPr>
            </w:pPr>
          </w:p>
        </w:tc>
      </w:tr>
      <w:tr>
        <w:trPr>
          <w:trHeight w:val="295"/>
        </w:trPr>
        <w:tc>
          <w:tcPr>
            <w:tcW w:w="3720" w:type="dxa"/>
            <w:vAlign w:val="bottom"/>
          </w:tcPr>
          <w:p>
            <w:pPr>
              <w:spacing w:after="0"/>
              <w:rPr>
                <w:sz w:val="24"/>
                <w:szCs w:val="24"/>
                <w:color w:val="auto"/>
              </w:rPr>
            </w:pPr>
          </w:p>
        </w:tc>
        <w:tc>
          <w:tcPr>
            <w:tcW w:w="10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20" w:type="dxa"/>
            <w:vAlign w:val="bottom"/>
          </w:tcPr>
          <w:p>
            <w:pPr>
              <w:spacing w:after="0"/>
              <w:rPr>
                <w:sz w:val="20"/>
                <w:szCs w:val="20"/>
                <w:color w:val="auto"/>
              </w:rPr>
            </w:pPr>
            <w:r>
              <w:rPr>
                <w:rFonts w:ascii="Courier New" w:cs="Courier New" w:eastAsia="Courier New" w:hAnsi="Courier New"/>
                <w:sz w:val="17"/>
                <w:szCs w:val="17"/>
                <w:color w:val="auto"/>
              </w:rPr>
              <w:t>Basic earnings (loss) per</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120"/>
              <w:spacing w:after="0"/>
              <w:rPr>
                <w:sz w:val="20"/>
                <w:szCs w:val="20"/>
                <w:color w:val="auto"/>
              </w:rPr>
            </w:pPr>
            <w:r>
              <w:rPr>
                <w:rFonts w:ascii="Courier New" w:cs="Courier New" w:eastAsia="Courier New" w:hAnsi="Courier New"/>
                <w:sz w:val="17"/>
                <w:szCs w:val="17"/>
                <w:color w:val="auto"/>
              </w:rPr>
              <w:t>common share:</w:t>
            </w:r>
          </w:p>
        </w:tc>
        <w:tc>
          <w:tcPr>
            <w:tcW w:w="2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.35</w:t>
            </w:r>
          </w:p>
        </w:tc>
        <w:tc>
          <w:tcPr>
            <w:tcW w:w="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.11</w:t>
            </w:r>
          </w:p>
        </w:tc>
        <w:tc>
          <w:tcPr>
            <w:tcW w:w="13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 (.47)</w:t>
            </w:r>
          </w:p>
        </w:tc>
        <w:tc>
          <w:tcPr>
            <w:tcW w:w="110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(.11)</w:t>
            </w:r>
          </w:p>
        </w:tc>
        <w:tc>
          <w:tcPr>
            <w:tcW w:w="0" w:type="dxa"/>
            <w:vAlign w:val="bottom"/>
          </w:tcPr>
          <w:p>
            <w:pPr>
              <w:spacing w:after="0"/>
              <w:rPr>
                <w:sz w:val="1"/>
                <w:szCs w:val="1"/>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Continuing operations ...........</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Discontinued operations .........</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.08</w:t>
            </w:r>
          </w:p>
        </w:tc>
        <w:tc>
          <w:tcPr>
            <w:tcW w:w="48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.09</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.08</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.03</w:t>
            </w:r>
          </w:p>
        </w:tc>
        <w:tc>
          <w:tcPr>
            <w:tcW w:w="0" w:type="dxa"/>
            <w:vAlign w:val="bottom"/>
          </w:tcPr>
          <w:p>
            <w:pPr>
              <w:spacing w:after="0"/>
              <w:rPr>
                <w:sz w:val="1"/>
                <w:szCs w:val="1"/>
                <w:color w:val="auto"/>
              </w:rPr>
            </w:pPr>
          </w:p>
        </w:tc>
      </w:tr>
    </w:tbl>
    <w:p>
      <w:pPr>
        <w:sectPr>
          <w:pgSz w:w="11900" w:h="16920" w:orient="portrait"/>
          <w:cols w:equalWidth="0" w:num="1">
            <w:col w:w="10219"/>
          </w:cols>
          <w:pgMar w:left="240" w:top="1117" w:right="1440" w:bottom="0" w:gutter="0" w:footer="0" w:header="0"/>
        </w:sectPr>
      </w:pPr>
    </w:p>
    <w:bookmarkStart w:id="47" w:name="page48"/>
    <w:bookmarkEnd w:id="47"/>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3500" w:type="dxa"/>
            <w:vAlign w:val="bottom"/>
            <w:vMerge w:val="restart"/>
          </w:tcPr>
          <w:p>
            <w:pPr>
              <w:jc w:val="right"/>
              <w:ind w:right="1633"/>
              <w:spacing w:after="0"/>
              <w:rPr>
                <w:sz w:val="20"/>
                <w:szCs w:val="20"/>
                <w:color w:val="auto"/>
              </w:rPr>
            </w:pPr>
            <w:r>
              <w:rPr>
                <w:rFonts w:ascii="Courier New" w:cs="Courier New" w:eastAsia="Courier New" w:hAnsi="Courier New"/>
                <w:sz w:val="17"/>
                <w:szCs w:val="17"/>
                <w:color w:val="auto"/>
              </w:rPr>
              <w:t>Net income (loss)</w:t>
            </w: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25"/>
                <w:szCs w:val="25"/>
                <w:color w:val="auto"/>
                <w:w w:val="72"/>
                <w:vertAlign w:val="subscript"/>
              </w:rPr>
              <w:t>$</w:t>
            </w:r>
            <w:r>
              <w:rPr>
                <w:rFonts w:ascii="Courier New" w:cs="Courier New" w:eastAsia="Courier New" w:hAnsi="Courier New"/>
                <w:sz w:val="14"/>
                <w:szCs w:val="14"/>
                <w:color w:val="auto"/>
                <w:w w:val="72"/>
              </w:rPr>
              <w:t>------</w:t>
            </w:r>
            <w:r>
              <w:rPr>
                <w:rFonts w:ascii="Courier New" w:cs="Courier New" w:eastAsia="Courier New" w:hAnsi="Courier New"/>
                <w:sz w:val="25"/>
                <w:szCs w:val="25"/>
                <w:color w:val="auto"/>
                <w:w w:val="72"/>
                <w:vertAlign w:val="subscript"/>
              </w:rPr>
              <w:t>.43</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500" w:type="dxa"/>
            <w:vAlign w:val="bottom"/>
            <w:vMerge w:val="continue"/>
          </w:tcPr>
          <w:p>
            <w:pPr>
              <w:jc w:val="right"/>
              <w:spacing w:after="0" w:line="178" w:lineRule="exact"/>
              <w:rPr>
                <w:sz w:val="20"/>
                <w:szCs w:val="20"/>
                <w:color w:val="auto"/>
              </w:rPr>
            </w:pPr>
            <w:r>
              <w:rPr>
                <w:rFonts w:ascii="Courier New" w:cs="Courier New" w:eastAsia="Courier New" w:hAnsi="Courier New"/>
                <w:sz w:val="17"/>
                <w:szCs w:val="17"/>
                <w:color w:val="auto"/>
              </w:rPr>
              <w:t>...............</w:t>
            </w:r>
          </w:p>
        </w:tc>
        <w:tc>
          <w:tcPr>
            <w:tcW w:w="1000" w:type="dxa"/>
            <w:vAlign w:val="bottom"/>
            <w:vMerge w:val="continue"/>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.20</w:t>
            </w:r>
          </w:p>
        </w:tc>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 (.39)</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 (.08)</w:t>
            </w:r>
          </w:p>
        </w:tc>
        <w:tc>
          <w:tcPr>
            <w:tcW w:w="0" w:type="dxa"/>
            <w:vAlign w:val="bottom"/>
          </w:tcPr>
          <w:p>
            <w:pPr>
              <w:spacing w:after="0"/>
              <w:rPr>
                <w:sz w:val="1"/>
                <w:szCs w:val="1"/>
                <w:color w:val="auto"/>
              </w:rPr>
            </w:pPr>
          </w:p>
        </w:tc>
      </w:tr>
      <w:tr>
        <w:trPr>
          <w:trHeight w:val="295"/>
        </w:trPr>
        <w:tc>
          <w:tcPr>
            <w:tcW w:w="350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w:t>
      </w:r>
    </w:p>
    <w:p>
      <w:pPr>
        <w:spacing w:after="0" w:line="210" w:lineRule="exact"/>
        <w:rPr>
          <w:sz w:val="20"/>
          <w:szCs w:val="20"/>
          <w:color w:val="auto"/>
        </w:rPr>
      </w:pPr>
    </w:p>
    <w:p>
      <w:pPr>
        <w:ind w:right="2039"/>
        <w:spacing w:after="0" w:line="263" w:lineRule="auto"/>
        <w:rPr>
          <w:sz w:val="20"/>
          <w:szCs w:val="20"/>
          <w:color w:val="auto"/>
        </w:rPr>
      </w:pPr>
      <w:r>
        <w:rPr>
          <w:rFonts w:ascii="Courier New" w:cs="Courier New" w:eastAsia="Courier New" w:hAnsi="Courier New"/>
          <w:sz w:val="17"/>
          <w:szCs w:val="17"/>
          <w:color w:val="auto"/>
        </w:rPr>
        <w:t>In the first quarter of 1997, the company took a pretax charge of $56 million related to the sale of its mobile computing business and termination of its digital imaging printing development program. Results for the second quarter of 1997 include a pretax operating charge of $44 million for the termination of agreements related to proposed Thailand joint ventures and a $66 million pretax gain from the sale of three divested activities, principally software. As a result of the 1997 acquisition of Amati Communications Corporation, the Company took a charge of $461 million in the fourth quarter for the value of acquired in-process research and development. Also in the fourth quarter, the company took a pretax charge of $42 million, primarily for severance costs related to cost reduction actions by the materials &amp; controls business.</w:t>
      </w:r>
    </w:p>
    <w:p>
      <w:pPr>
        <w:spacing w:after="0" w:line="96"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As a result of the 1996 acquisition of SSi, the company took a charge of</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$192 million in the third quarter of 1996 for the value of acquired in-process</w:t>
      </w:r>
    </w:p>
    <w:p>
      <w:pPr>
        <w:spacing w:after="0" w:line="9"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7"/>
          <w:szCs w:val="17"/>
          <w:color w:val="auto"/>
        </w:rPr>
        <w:t>research and development.</w:t>
        <w:tab/>
        <w:t>In the fourth quarter of 1996, the company accrued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$105 million for catch-up royalty revenues due under the new cross-license</w:t>
      </w:r>
    </w:p>
    <w:p>
      <w:pPr>
        <w:spacing w:after="0" w:line="9"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7"/>
          <w:szCs w:val="17"/>
          <w:color w:val="auto"/>
        </w:rPr>
        <w:t>agreement with Samsung Electronics Co., Ltd.</w:t>
        <w:tab/>
        <w:t>Also in the fourth quarter,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took a pretax charge of $208 million for cost reduction actions.</w:t>
      </w:r>
    </w:p>
    <w:p>
      <w:pPr>
        <w:spacing w:after="0" w:line="178" w:lineRule="exact"/>
        <w:rPr>
          <w:sz w:val="20"/>
          <w:szCs w:val="20"/>
          <w:color w:val="auto"/>
        </w:rPr>
      </w:pPr>
    </w:p>
    <w:p>
      <w:pPr>
        <w:ind w:right="2039" w:firstLine="419"/>
        <w:spacing w:after="0" w:line="315" w:lineRule="auto"/>
        <w:rPr>
          <w:sz w:val="20"/>
          <w:szCs w:val="20"/>
          <w:color w:val="auto"/>
        </w:rPr>
      </w:pPr>
      <w:r>
        <w:rPr>
          <w:rFonts w:ascii="Courier New" w:cs="Courier New" w:eastAsia="Courier New" w:hAnsi="Courier New"/>
          <w:sz w:val="17"/>
          <w:szCs w:val="17"/>
          <w:color w:val="auto"/>
        </w:rPr>
        <w:t>Diluted earnings (loss) per common share are calculated in accordance with SFAS No. 128 and are based on average common shares outstanding (389,695,136 shares and 380,152,855 shares for the fourth quarters of 1997 and 1996).</w:t>
      </w:r>
    </w:p>
    <w:p>
      <w:pPr>
        <w:spacing w:after="0" w:line="47"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93" w:right="1440" w:bottom="1440" w:gutter="0" w:footer="0" w:header="0"/>
        </w:sectPr>
      </w:pPr>
    </w:p>
    <w:bookmarkStart w:id="48" w:name="page49"/>
    <w:bookmarkEnd w:id="48"/>
    <w:p>
      <w:pPr>
        <w:jc w:val="right"/>
        <w:ind w:right="1839"/>
        <w:spacing w:after="0"/>
        <w:rPr>
          <w:sz w:val="20"/>
          <w:szCs w:val="20"/>
          <w:color w:val="auto"/>
        </w:rPr>
      </w:pPr>
      <w:r>
        <w:rPr>
          <w:rFonts w:ascii="Courier New" w:cs="Courier New" w:eastAsia="Courier New" w:hAnsi="Courier New"/>
          <w:sz w:val="17"/>
          <w:szCs w:val="17"/>
          <w:color w:val="auto"/>
        </w:rPr>
        <w:t>EXHIBIT 21</w:t>
      </w:r>
    </w:p>
    <w:p>
      <w:pPr>
        <w:spacing w:after="0" w:line="41" w:lineRule="exact"/>
        <w:rPr>
          <w:sz w:val="20"/>
          <w:szCs w:val="20"/>
          <w:color w:val="auto"/>
        </w:rPr>
      </w:pPr>
    </w:p>
    <w:p>
      <w:pPr>
        <w:ind w:left="734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LIST OF SUBSIDIARIES OF THE REGISTRANT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are current subsidiaries of the Registrant.</w:t>
      </w:r>
    </w:p>
    <w:p>
      <w:pPr>
        <w:sectPr>
          <w:pgSz w:w="11900" w:h="16838" w:orient="portrait"/>
          <w:cols w:equalWidth="0" w:num="1">
            <w:col w:w="10219"/>
          </w:cols>
          <w:pgMar w:left="240" w:top="71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line="376" w:lineRule="auto"/>
        <w:rPr>
          <w:sz w:val="20"/>
          <w:szCs w:val="20"/>
          <w:color w:val="auto"/>
        </w:rPr>
      </w:pPr>
      <w:r>
        <w:rPr>
          <w:rFonts w:ascii="Courier New" w:cs="Courier New" w:eastAsia="Courier New" w:hAnsi="Courier New"/>
          <w:sz w:val="17"/>
          <w:szCs w:val="17"/>
          <w:color w:val="auto"/>
        </w:rPr>
        <w:t>Subsidiary and Name Under Which Business is Done - ------------------------------------------------</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 Organized</w:t>
      </w:r>
    </w:p>
    <w:p>
      <w:pPr>
        <w:spacing w:after="0" w:line="4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178" w:lineRule="exact"/>
        <w:rPr>
          <w:sz w:val="20"/>
          <w:szCs w:val="20"/>
          <w:color w:val="auto"/>
        </w:rPr>
      </w:pPr>
    </w:p>
    <w:p>
      <w:pPr>
        <w:sectPr>
          <w:pgSz w:w="11900" w:h="16838" w:orient="portrait"/>
          <w:cols w:equalWidth="0" w:num="2">
            <w:col w:w="5240" w:space="220"/>
            <w:col w:w="4759"/>
          </w:cols>
          <w:pgMar w:left="240" w:top="714"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Silicon Systems, Inc.</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Deutschland G.m.b.H.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France S.A.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Holland B.V.</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Hong Kong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Italia S.p.A.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Japan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Malaysia Sdn. Bhd.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(Philippines) Incorporated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Singapore (Pte)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Taiwan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Delaware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Germany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Netherlands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Hong Kong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Italy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Japan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Kingdom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Malaysia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Singapore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Taiwan</w:t>
      </w:r>
    </w:p>
    <w:p>
      <w:pPr>
        <w:spacing w:after="0" w:line="200" w:lineRule="exact"/>
        <w:rPr>
          <w:sz w:val="20"/>
          <w:szCs w:val="20"/>
          <w:color w:val="auto"/>
        </w:rPr>
      </w:pPr>
    </w:p>
    <w:p>
      <w:pPr>
        <w:sectPr>
          <w:pgSz w:w="11900" w:h="16838" w:orient="portrait"/>
          <w:cols w:equalWidth="0" w:num="2">
            <w:col w:w="4740" w:space="720"/>
            <w:col w:w="4759"/>
          </w:cols>
          <w:pgMar w:left="240" w:top="714" w:right="1440" w:bottom="1440" w:gutter="0" w:footer="0" w:header="0"/>
          <w:type w:val="continuous"/>
        </w:sectPr>
      </w:pPr>
    </w:p>
    <w:p>
      <w:pPr>
        <w:spacing w:after="0" w:line="381" w:lineRule="exact"/>
        <w:rPr>
          <w:sz w:val="20"/>
          <w:szCs w:val="20"/>
          <w:color w:val="auto"/>
        </w:rPr>
      </w:pPr>
    </w:p>
    <w:p>
      <w:pPr>
        <w:ind w:right="1939"/>
        <w:spacing w:after="0" w:line="293" w:lineRule="auto"/>
        <w:rPr>
          <w:sz w:val="20"/>
          <w:szCs w:val="20"/>
          <w:color w:val="auto"/>
        </w:rPr>
      </w:pPr>
      <w:r>
        <w:rPr>
          <w:rFonts w:ascii="Courier New" w:cs="Courier New" w:eastAsia="Courier New" w:hAnsi="Courier New"/>
          <w:sz w:val="17"/>
          <w:szCs w:val="17"/>
          <w:color w:val="auto"/>
        </w:rPr>
        <w:t>Note: The names of other subsidiaries of the Registrant are not listed herein since the additional subsidiaries considered in the aggregate as a single subsidiary do not constitute a significant subsidiary as defined by Rule 1.02(v) of Regulation S-X.</w:t>
      </w:r>
    </w:p>
    <w:p>
      <w:pPr>
        <w:sectPr>
          <w:pgSz w:w="11900" w:h="16838" w:orient="portrait"/>
          <w:cols w:equalWidth="0" w:num="1">
            <w:col w:w="10219"/>
          </w:cols>
          <w:pgMar w:left="240" w:top="714" w:right="1440" w:bottom="1440" w:gutter="0" w:footer="0" w:header="0"/>
          <w:type w:val="continuous"/>
        </w:sectPr>
      </w:pPr>
    </w:p>
    <w:bookmarkStart w:id="49" w:name="page50"/>
    <w:bookmarkEnd w:id="49"/>
    <w:p>
      <w:pPr>
        <w:jc w:val="right"/>
        <w:ind w:right="2039"/>
        <w:spacing w:after="0"/>
        <w:rPr>
          <w:sz w:val="20"/>
          <w:szCs w:val="20"/>
          <w:color w:val="auto"/>
        </w:rPr>
      </w:pPr>
      <w:r>
        <w:rPr>
          <w:rFonts w:ascii="Courier New" w:cs="Courier New" w:eastAsia="Courier New" w:hAnsi="Courier New"/>
          <w:sz w:val="17"/>
          <w:szCs w:val="17"/>
          <w:color w:val="auto"/>
        </w:rPr>
        <w:t>EXHIBIT 23</w:t>
      </w:r>
    </w:p>
    <w:p>
      <w:pPr>
        <w:spacing w:after="0" w:line="41"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10" w:lineRule="exact"/>
        <w:rPr>
          <w:sz w:val="20"/>
          <w:szCs w:val="20"/>
          <w:color w:val="auto"/>
        </w:rPr>
      </w:pPr>
    </w:p>
    <w:p>
      <w:pPr>
        <w:ind w:right="2259"/>
        <w:spacing w:after="0" w:line="293" w:lineRule="auto"/>
        <w:rPr>
          <w:sz w:val="20"/>
          <w:szCs w:val="20"/>
          <w:color w:val="auto"/>
        </w:rPr>
      </w:pPr>
      <w:r>
        <w:rPr>
          <w:rFonts w:ascii="Courier New" w:cs="Courier New" w:eastAsia="Courier New" w:hAnsi="Courier New"/>
          <w:sz w:val="17"/>
          <w:szCs w:val="17"/>
          <w:color w:val="auto"/>
        </w:rPr>
        <w:t>We consent to the incorporation by reference in this Annual Report on Form 10-K of Texas Instruments Incorporated of our report dated January 20, 1998, included in the 1997 Annual Report to Stockholders of Texas Instruments Incorporated.</w:t>
      </w:r>
    </w:p>
    <w:p>
      <w:pPr>
        <w:spacing w:after="0" w:line="67" w:lineRule="exact"/>
        <w:rPr>
          <w:sz w:val="20"/>
          <w:szCs w:val="20"/>
          <w:color w:val="auto"/>
        </w:rPr>
      </w:pPr>
    </w:p>
    <w:p>
      <w:pPr>
        <w:ind w:right="2039"/>
        <w:spacing w:after="0" w:line="273" w:lineRule="auto"/>
        <w:rPr>
          <w:sz w:val="20"/>
          <w:szCs w:val="20"/>
          <w:color w:val="auto"/>
        </w:rPr>
      </w:pPr>
      <w:r>
        <w:rPr>
          <w:rFonts w:ascii="Courier New" w:cs="Courier New" w:eastAsia="Courier New" w:hAnsi="Courier New"/>
          <w:sz w:val="17"/>
          <w:szCs w:val="17"/>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297" w:lineRule="exact"/>
        <w:rPr>
          <w:sz w:val="20"/>
          <w:szCs w:val="20"/>
          <w:color w:val="auto"/>
        </w:rPr>
      </w:pPr>
    </w:p>
    <w:p>
      <w:pPr>
        <w:ind w:right="2039"/>
        <w:spacing w:after="0" w:line="267" w:lineRule="auto"/>
        <w:rPr>
          <w:sz w:val="20"/>
          <w:szCs w:val="20"/>
          <w:color w:val="auto"/>
        </w:rPr>
      </w:pPr>
      <w:r>
        <w:rPr>
          <w:rFonts w:ascii="Courier New" w:cs="Courier New" w:eastAsia="Courier New" w:hAnsi="Courier New"/>
          <w:sz w:val="17"/>
          <w:szCs w:val="17"/>
          <w:color w:val="auto"/>
        </w:rPr>
        <w:t>We also consent to the incorporation by reference in the following registration statements, and in the related prospectuses thereto, of our report dated January 20, 1998 with respect to the consolidated financial statements and schedule of Texas Instruments Incorporated, included in or incorporated by reference in this Annual Report on Form 10-K for the year ended December 31, 1997: Registration Statements (Form S-8) No. 33-61154, No. 33-21407, No. 33-42172 No. 33-54615, No. 333-07127, No. 333-41913, No. 333-41919, No. 333-31319, No. 333-31321 and No. 333-31323, and Registration Statement (Form S-3) No. 333-03571.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40"/>
        <w:spacing w:after="0"/>
        <w:rPr>
          <w:sz w:val="20"/>
          <w:szCs w:val="20"/>
          <w:color w:val="auto"/>
        </w:rPr>
      </w:pPr>
      <w:r>
        <w:rPr>
          <w:rFonts w:ascii="Courier New" w:cs="Courier New" w:eastAsia="Courier New" w:hAnsi="Courier New"/>
          <w:sz w:val="17"/>
          <w:szCs w:val="17"/>
          <w:color w:val="auto"/>
        </w:rPr>
        <w:t>ERNST &amp; YOUNG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18, 1998</w:t>
      </w:r>
    </w:p>
    <w:p>
      <w:pPr>
        <w:sectPr>
          <w:pgSz w:w="11900" w:h="16838" w:orient="portrait"/>
          <w:cols w:equalWidth="0" w:num="1">
            <w:col w:w="10219"/>
          </w:cols>
          <w:pgMar w:left="240" w:top="513" w:right="1440" w:bottom="1440" w:gutter="0" w:footer="0" w:header="0"/>
        </w:sectPr>
      </w:pPr>
    </w:p>
    <w:bookmarkStart w:id="50" w:name="page51"/>
    <w:bookmarkEnd w:id="50"/>
    <w:p>
      <w:pPr>
        <w:spacing w:after="0" w:line="193"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13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302"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JAMES R. ADAMS</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302"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DAVID L. BOREN</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David L. Boren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jc w:val="both"/>
        <w:ind w:right="2359" w:firstLine="524"/>
        <w:spacing w:after="0" w:line="379"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w:t>
      </w:r>
    </w:p>
    <w:p>
      <w:pPr>
        <w:sectPr>
          <w:pgSz w:w="11900" w:h="17031" w:orient="portrait"/>
          <w:cols w:equalWidth="0" w:num="1">
            <w:col w:w="10219"/>
          </w:cols>
          <w:pgMar w:left="240" w:top="513" w:right="1440" w:bottom="0" w:gutter="0" w:footer="0" w:header="0"/>
        </w:sectPr>
      </w:pPr>
    </w:p>
    <w:bookmarkStart w:id="51" w:name="page52"/>
    <w:bookmarkEnd w:id="51"/>
    <w:p>
      <w:pPr>
        <w:spacing w:after="0" w:line="100" w:lineRule="exact"/>
        <w:rPr>
          <w:sz w:val="20"/>
          <w:szCs w:val="20"/>
          <w:color w:val="auto"/>
        </w:rPr>
      </w:pPr>
    </w:p>
    <w:p>
      <w:pPr>
        <w:ind w:right="2139"/>
        <w:spacing w:after="0" w:line="261" w:lineRule="auto"/>
        <w:rPr>
          <w:sz w:val="20"/>
          <w:szCs w:val="20"/>
          <w:color w:val="auto"/>
        </w:rPr>
      </w:pPr>
      <w:r>
        <w:rPr>
          <w:rFonts w:ascii="Courier New" w:cs="Courier New" w:eastAsia="Courier New" w:hAnsi="Courier New"/>
          <w:sz w:val="17"/>
          <w:szCs w:val="17"/>
          <w:color w:val="auto"/>
        </w:rPr>
        <w:t>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97"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JAMES B. BUSEY IV</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James B. Busey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13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93"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DANIEL A. CARP</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Daniel A. Carp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139" w:firstLine="524"/>
        <w:spacing w:after="0" w:line="265" w:lineRule="auto"/>
        <w:rPr>
          <w:sz w:val="20"/>
          <w:szCs w:val="20"/>
          <w:color w:val="auto"/>
        </w:rPr>
      </w:pPr>
      <w:r>
        <w:rPr>
          <w:rFonts w:ascii="Courier New" w:cs="Courier New" w:eastAsia="Courier New" w:hAnsi="Courier New"/>
          <w:sz w:val="17"/>
          <w:szCs w:val="17"/>
          <w:color w:val="auto"/>
        </w:rPr>
        <w:t>The undersigned hereby constitutes and appoints JAMES R. ADAMS, WILLIAM A.AYLESWORTH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w:t>
      </w:r>
    </w:p>
    <w:p>
      <w:pPr>
        <w:sectPr>
          <w:pgSz w:w="11900" w:h="16938" w:orient="portrait"/>
          <w:cols w:equalWidth="0" w:num="1">
            <w:col w:w="10219"/>
          </w:cols>
          <w:pgMar w:left="240" w:top="110" w:right="1440" w:bottom="0" w:gutter="0" w:footer="0" w:header="0"/>
        </w:sectPr>
      </w:pPr>
    </w:p>
    <w:bookmarkStart w:id="52" w:name="page53"/>
    <w:bookmarkEnd w:id="52"/>
    <w:p>
      <w:pPr>
        <w:ind w:right="2359"/>
        <w:spacing w:after="0" w:line="283" w:lineRule="auto"/>
        <w:rPr>
          <w:sz w:val="20"/>
          <w:szCs w:val="20"/>
          <w:color w:val="auto"/>
        </w:rPr>
      </w:pPr>
      <w:r>
        <w:rPr>
          <w:rFonts w:ascii="Courier New" w:cs="Courier New" w:eastAsia="Courier New" w:hAnsi="Courier New"/>
          <w:sz w:val="17"/>
          <w:szCs w:val="17"/>
          <w:color w:val="auto"/>
        </w:rPr>
        <w:t>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73"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THOMAS J. ENGIBOUS</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Thomas J. Engibous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13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93"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GERALD W. FRONTERHOUSE</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Gerald W. Fronterhouse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13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93"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ectPr>
          <w:pgSz w:w="11900" w:h="16838" w:orient="portrait"/>
          <w:cols w:equalWidth="0" w:num="1">
            <w:col w:w="10219"/>
          </w:cols>
          <w:pgMar w:left="240" w:top="110" w:right="1440" w:bottom="47" w:gutter="0" w:footer="0" w:header="0"/>
        </w:sectPr>
      </w:pPr>
    </w:p>
    <w:bookmarkStart w:id="53" w:name="page54"/>
    <w:bookmarkEnd w:id="53"/>
    <w:p>
      <w:pPr>
        <w:ind w:left="4300"/>
        <w:spacing w:after="0"/>
        <w:rPr>
          <w:sz w:val="20"/>
          <w:szCs w:val="20"/>
          <w:color w:val="auto"/>
        </w:rPr>
      </w:pPr>
      <w:r>
        <w:rPr>
          <w:rFonts w:ascii="Courier New" w:cs="Courier New" w:eastAsia="Courier New" w:hAnsi="Courier New"/>
          <w:sz w:val="17"/>
          <w:szCs w:val="17"/>
          <w:color w:val="auto"/>
        </w:rPr>
        <w:t>/s/ DAVID R. GOODE</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David R. Goode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25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93"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WAYNE R. SANDERS</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Wayne R. Sanders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13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 with full power to act without the others, her true and lawful attorneys-in-fact and agents, with full and several power of substitution, for her and in her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she might or could do in person, hereby ratifying and confirming all that said attorneys-in-fact and agents or any of them, or their or his substitute or substitutes, may lawfully do or cause to be done by virtue hereof.</w:t>
      </w:r>
    </w:p>
    <w:p>
      <w:pPr>
        <w:spacing w:after="0" w:line="93"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GLORIA M. SHATTO</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Gloria M. Shatto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10" w:right="1440" w:bottom="28" w:gutter="0" w:footer="0" w:header="0"/>
        </w:sectPr>
      </w:pPr>
    </w:p>
    <w:bookmarkStart w:id="54" w:name="page55"/>
    <w:bookmarkEnd w:id="54"/>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undersigned hereby constitutes JAMES R. ADAMS, THOMAS J. ENGIBOUS,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A. AYLESWORTH and RICHARD J. AGNICH, and each of them, with full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to act without the others, his true and lawful attorneys-in-fact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agents, with full and several power of substitution, for him and in 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place and stead, in any and all capacities, to sign the Annual Report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Form 10-K of Texas Instruments Incorporated for the year ended December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 1997, and to file the same, with all exhibits thereto, and 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documents in connection therewith, with the Securities and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granting unto said attorneys-in-fact and agents, and each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them, full power and authority to do and perform each and every act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thing requisite and necessary to be done in and about the premises, as fully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all intents and purposes as they or he might or could do in person,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ratifying and confirming all that said attorneys-in-fact and agents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of them, or their or his substitute or substitutes, may lawfully do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cause to be done by virtue hereof.</w:t>
      </w:r>
    </w:p>
    <w:p>
      <w:pPr>
        <w:spacing w:after="0" w:line="178"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WILLIAM P. WEBER</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William P. Weber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Exhibit 24</w:t>
      </w:r>
    </w:p>
    <w:p>
      <w:pPr>
        <w:spacing w:after="0" w:line="4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259" w:firstLine="524"/>
        <w:spacing w:after="0" w:line="260" w:lineRule="auto"/>
        <w:rPr>
          <w:sz w:val="20"/>
          <w:szCs w:val="20"/>
          <w:color w:val="auto"/>
        </w:rPr>
      </w:pPr>
      <w:r>
        <w:rPr>
          <w:rFonts w:ascii="Courier New" w:cs="Courier New" w:eastAsia="Courier New" w:hAnsi="Courier New"/>
          <w:sz w:val="17"/>
          <w:szCs w:val="17"/>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1997,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93" w:lineRule="exact"/>
        <w:rPr>
          <w:sz w:val="20"/>
          <w:szCs w:val="20"/>
          <w:color w:val="auto"/>
        </w:rPr>
      </w:pPr>
    </w:p>
    <w:p>
      <w:pPr>
        <w:ind w:right="2259" w:firstLine="524"/>
        <w:spacing w:after="0" w:line="379"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19th day of February 1998.</w:t>
      </w:r>
    </w:p>
    <w:p>
      <w:pPr>
        <w:spacing w:after="0" w:line="39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CLAYTON K. YEUTTER</w:t>
      </w:r>
    </w:p>
    <w:p>
      <w:pPr>
        <w:spacing w:after="0" w:line="41"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Clayton K. Yeutter</w:t>
      </w:r>
    </w:p>
    <w:p>
      <w:pPr>
        <w:sectPr>
          <w:pgSz w:w="11900" w:h="16838" w:orient="portrait"/>
          <w:cols w:equalWidth="0" w:num="1">
            <w:col w:w="10219"/>
          </w:cols>
          <w:pgMar w:left="240" w:top="513" w:right="1440" w:bottom="1440" w:gutter="0" w:footer="0" w:header="0"/>
        </w:sectPr>
      </w:pPr>
    </w:p>
    <w:bookmarkStart w:id="55" w:name="page56"/>
    <w:bookmarkEnd w:id="55"/>
    <w:p>
      <w:pPr>
        <w:ind w:left="8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ind w:right="2539"/>
        <w:spacing w:after="0" w:line="293"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DECEMBER 31, 1997, AND FOR THE YEAR THEN ENDED, and is qualified in its entirety by reference to such financial statements.</w:t>
      </w:r>
    </w:p>
    <w:p>
      <w:pPr>
        <w:spacing w:after="0" w:line="67"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YEAR</w:t>
      </w:r>
    </w:p>
    <w:p>
      <w:pPr>
        <w:spacing w:after="0" w:line="41"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DEC-31-1997</w:t>
      </w:r>
    </w:p>
    <w:p>
      <w:pPr>
        <w:spacing w:after="0" w:line="9"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DEC-31-1997</w:t>
      </w:r>
    </w:p>
    <w:p>
      <w:pPr>
        <w:spacing w:after="0" w:line="9"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1,015</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2,005</w:t>
      </w:r>
    </w:p>
    <w:p>
      <w:pPr>
        <w:spacing w:after="0" w:line="9"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1,705</w:t>
      </w:r>
    </w:p>
    <w:p>
      <w:pPr>
        <w:spacing w:after="0" w:line="9"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73</w:t>
      </w:r>
    </w:p>
    <w:p>
      <w:pPr>
        <w:spacing w:after="0" w:line="9"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742</w:t>
      </w:r>
    </w:p>
    <w:p>
      <w:pPr>
        <w:spacing w:after="0" w:line="9"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6,103</w:t>
      </w:r>
    </w:p>
    <w:p>
      <w:pPr>
        <w:spacing w:after="0" w:line="9"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7,414</w:t>
      </w:r>
    </w:p>
    <w:p>
      <w:pPr>
        <w:spacing w:after="0" w:line="9"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3,234</w:t>
      </w:r>
    </w:p>
    <w:p>
      <w:pPr>
        <w:spacing w:after="0" w:line="9"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10,849</w:t>
      </w:r>
    </w:p>
    <w:p>
      <w:pPr>
        <w:spacing w:after="0" w:line="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2,496</w:t>
      </w:r>
    </w:p>
    <w:p>
      <w:pPr>
        <w:spacing w:after="0" w:line="9"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1,286</w:t>
      </w:r>
    </w:p>
    <w:p>
      <w:pPr>
        <w:spacing w:after="0" w:line="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390</w:t>
      </w:r>
    </w:p>
    <w:p>
      <w:pPr>
        <w:spacing w:after="0" w:line="9"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5,524</w:t>
      </w:r>
    </w:p>
    <w:p>
      <w:pPr>
        <w:spacing w:after="0" w:line="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10,849</w:t>
      </w:r>
    </w:p>
    <w:p>
      <w:pPr>
        <w:spacing w:after="0" w:line="9"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9,750</w:t>
      </w:r>
    </w:p>
    <w:p>
      <w:pPr>
        <w:spacing w:after="0" w:line="9"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9,750</w:t>
      </w:r>
    </w:p>
    <w:p>
      <w:pPr>
        <w:spacing w:after="0" w:line="9"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6,067</w:t>
      </w:r>
    </w:p>
    <w:p>
      <w:pPr>
        <w:spacing w:after="0" w:line="9"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6,067</w:t>
      </w:r>
    </w:p>
    <w:p>
      <w:pPr>
        <w:spacing w:after="0" w:line="9"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1,536</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94</w:t>
      </w:r>
    </w:p>
    <w:p>
      <w:pPr>
        <w:spacing w:after="0" w:line="9"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713</w:t>
      </w:r>
    </w:p>
    <w:p>
      <w:pPr>
        <w:spacing w:after="0" w:line="9"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411</w:t>
      </w:r>
    </w:p>
    <w:p>
      <w:pPr>
        <w:spacing w:after="0" w:line="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7"/>
          <w:szCs w:val="17"/>
          <w:color w:val="auto"/>
        </w:rPr>
        <w:t>302</w:t>
      </w:r>
    </w:p>
    <w:p>
      <w:pPr>
        <w:spacing w:after="0" w:line="9"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7"/>
          <w:szCs w:val="17"/>
          <w:color w:val="auto"/>
        </w:rPr>
        <w:t>1,525</w:t>
      </w:r>
    </w:p>
    <w:p>
      <w:pPr>
        <w:spacing w:after="0" w:line="9"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7"/>
          <w:szCs w:val="17"/>
          <w:color w:val="auto"/>
        </w:rPr>
        <w:t>(22)</w:t>
      </w:r>
    </w:p>
    <w:p>
      <w:pPr>
        <w:spacing w:after="0" w:line="9"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1,805</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4.69</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4.54</w:t>
      </w:r>
    </w:p>
    <w:sectPr>
      <w:pgSz w:w="11900" w:h="16838" w:orient="portrait"/>
      <w:cols w:equalWidth="0" w:num="1">
        <w:col w:w="10179"/>
      </w:cols>
      <w:pgMar w:left="28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1"/>
      <w:numFmt w:val="decimal"/>
      <w:start w:val="11"/>
    </w:lvl>
  </w:abstractNum>
  <w:abstractNum w:abstractNumId="4">
    <w:nsid w:val="1BEFD79F"/>
    <w:multiLevelType w:val="hybridMultilevel"/>
    <w:lvl w:ilvl="0">
      <w:lvlJc w:val="left"/>
      <w:lvlText w:val="%1"/>
      <w:numFmt w:val="decimal"/>
      <w:start w:val="21"/>
    </w:lvl>
  </w:abstractNum>
  <w:abstractNum w:abstractNumId="5">
    <w:nsid w:val="41A7C4C9"/>
    <w:multiLevelType w:val="hybridMultilevel"/>
    <w:lvl w:ilvl="0">
      <w:lvlJc w:val="left"/>
      <w:lvlText w:val="%1"/>
      <w:numFmt w:val="decimal"/>
      <w:start w:val="23"/>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2019-12-13T07:32:01Z</dcterms:created>
  <dcterms:modified xsi:type="dcterms:W3CDTF">2019-12-13T07:32:01Z</dcterms:modified>
</cp:coreProperties>
</file>