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12700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2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0"/>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80"/>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(Commission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7"/>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426"/>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6"/>
                <w:szCs w:val="16"/>
                <w:color w:val="auto"/>
              </w:rPr>
            </w:pPr>
          </w:p>
        </w:tc>
      </w:tr>
      <w:tr>
        <w:trPr>
          <w:trHeight w:val="378"/>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24"/>
                <w:szCs w:val="24"/>
                <w:color w:val="auto"/>
              </w:rPr>
            </w:pPr>
          </w:p>
        </w:tc>
      </w:tr>
      <w:tr>
        <w:trPr>
          <w:trHeight w:val="25"/>
        </w:trPr>
        <w:tc>
          <w:tcPr>
            <w:tcW w:w="1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64"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4"/>
          <w:szCs w:val="24"/>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7" w:lineRule="exact"/>
        <w:rPr>
          <w:rFonts w:ascii="MS PGothic" w:cs="MS PGothic" w:eastAsia="MS PGothic" w:hAnsi="MS PGothic"/>
          <w:sz w:val="18"/>
          <w:szCs w:val="18"/>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373"/>
        </w:trPr>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Trading</w:t>
            </w:r>
          </w:p>
        </w:tc>
        <w:tc>
          <w:tcPr>
            <w:tcW w:w="4800" w:type="dxa"/>
            <w:vAlign w:val="bottom"/>
          </w:tcPr>
          <w:p>
            <w:pPr>
              <w:spacing w:after="0"/>
              <w:rPr>
                <w:sz w:val="24"/>
                <w:szCs w:val="24"/>
                <w:color w:val="auto"/>
              </w:rPr>
            </w:pPr>
          </w:p>
        </w:tc>
      </w:tr>
      <w:tr>
        <w:trPr>
          <w:trHeight w:val="234"/>
        </w:trPr>
        <w:tc>
          <w:tcPr>
            <w:tcW w:w="4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Symbol(s)</w:t>
            </w: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6"/>
        </w:trPr>
        <w:tc>
          <w:tcPr>
            <w:tcW w:w="4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Common Stock, par value $1.00</w:t>
            </w: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TXN</w:t>
            </w: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3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519430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287655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227965</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April 21, 2020, regarding its first-quarter results of operations and financial condition is attached hereto as Exhibit 99.</w:t>
      </w:r>
    </w:p>
    <w:p>
      <w:pPr>
        <w:spacing w:after="0" w:line="24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jc w:val="center"/>
              <w:ind w:right="262"/>
              <w:spacing w:after="0"/>
              <w:rPr>
                <w:sz w:val="20"/>
                <w:szCs w:val="20"/>
                <w:color w:val="auto"/>
              </w:rPr>
            </w:pPr>
            <w:r>
              <w:rPr>
                <w:rFonts w:ascii="Arial" w:cs="Arial" w:eastAsia="Arial" w:hAnsi="Arial"/>
                <w:sz w:val="14"/>
                <w:szCs w:val="14"/>
                <w:color w:val="auto"/>
                <w:w w:val="91"/>
              </w:rPr>
              <w:t>Designation</w:t>
            </w:r>
          </w:p>
        </w:tc>
        <w:tc>
          <w:tcPr>
            <w:tcW w:w="9660" w:type="dxa"/>
            <w:vAlign w:val="bottom"/>
          </w:tcPr>
          <w:p>
            <w:pPr>
              <w:spacing w:after="0"/>
              <w:rPr>
                <w:sz w:val="14"/>
                <w:szCs w:val="14"/>
                <w:color w:val="auto"/>
              </w:rPr>
            </w:pPr>
          </w:p>
        </w:tc>
      </w:tr>
      <w:tr>
        <w:trPr>
          <w:trHeight w:val="148"/>
        </w:trPr>
        <w:tc>
          <w:tcPr>
            <w:tcW w:w="1580" w:type="dxa"/>
            <w:vAlign w:val="bottom"/>
          </w:tcPr>
          <w:p>
            <w:pPr>
              <w:jc w:val="center"/>
              <w:ind w:right="242"/>
              <w:spacing w:after="0" w:line="149" w:lineRule="exact"/>
              <w:rPr>
                <w:sz w:val="20"/>
                <w:szCs w:val="20"/>
                <w:color w:val="auto"/>
              </w:rPr>
            </w:pPr>
            <w:r>
              <w:rPr>
                <w:rFonts w:ascii="Arial" w:cs="Arial" w:eastAsia="Arial" w:hAnsi="Arial"/>
                <w:sz w:val="14"/>
                <w:szCs w:val="14"/>
                <w:color w:val="auto"/>
              </w:rPr>
              <w:t>of Exhibit</w:t>
            </w:r>
          </w:p>
        </w:tc>
        <w:tc>
          <w:tcPr>
            <w:tcW w:w="9660" w:type="dxa"/>
            <w:vAlign w:val="bottom"/>
          </w:tcPr>
          <w:p>
            <w:pPr>
              <w:spacing w:after="0"/>
              <w:rPr>
                <w:sz w:val="12"/>
                <w:szCs w:val="12"/>
                <w:color w:val="auto"/>
              </w:rPr>
            </w:pPr>
          </w:p>
        </w:tc>
      </w:tr>
      <w:tr>
        <w:trPr>
          <w:trHeight w:val="148"/>
        </w:trPr>
        <w:tc>
          <w:tcPr>
            <w:tcW w:w="1580" w:type="dxa"/>
            <w:vAlign w:val="bottom"/>
          </w:tcPr>
          <w:p>
            <w:pPr>
              <w:jc w:val="center"/>
              <w:ind w:right="262"/>
              <w:spacing w:after="0" w:line="149" w:lineRule="exact"/>
              <w:rPr>
                <w:sz w:val="20"/>
                <w:szCs w:val="20"/>
                <w:color w:val="auto"/>
              </w:rPr>
            </w:pPr>
            <w:r>
              <w:rPr>
                <w:rFonts w:ascii="Arial" w:cs="Arial" w:eastAsia="Arial" w:hAnsi="Arial"/>
                <w:sz w:val="14"/>
                <w:szCs w:val="14"/>
                <w:color w:val="auto"/>
                <w:w w:val="98"/>
              </w:rPr>
              <w:t>in this</w:t>
            </w:r>
          </w:p>
        </w:tc>
        <w:tc>
          <w:tcPr>
            <w:tcW w:w="9660" w:type="dxa"/>
            <w:vAlign w:val="bottom"/>
          </w:tcPr>
          <w:p>
            <w:pPr>
              <w:spacing w:after="0"/>
              <w:rPr>
                <w:sz w:val="12"/>
                <w:szCs w:val="12"/>
                <w:color w:val="auto"/>
              </w:rPr>
            </w:pPr>
          </w:p>
        </w:tc>
      </w:tr>
      <w:tr>
        <w:trPr>
          <w:trHeight w:val="188"/>
        </w:trPr>
        <w:tc>
          <w:tcPr>
            <w:tcW w:w="1580" w:type="dxa"/>
            <w:vAlign w:val="bottom"/>
          </w:tcPr>
          <w:p>
            <w:pPr>
              <w:jc w:val="center"/>
              <w:ind w:right="262"/>
              <w:spacing w:after="0"/>
              <w:rPr>
                <w:sz w:val="20"/>
                <w:szCs w:val="20"/>
                <w:color w:val="auto"/>
              </w:rPr>
            </w:pPr>
            <w:r>
              <w:rPr>
                <w:rFonts w:ascii="Arial" w:cs="Arial" w:eastAsia="Arial" w:hAnsi="Arial"/>
                <w:sz w:val="14"/>
                <w:szCs w:val="14"/>
                <w:color w:val="auto"/>
                <w:w w:val="95"/>
              </w:rPr>
              <w:t>Report</w:t>
            </w:r>
          </w:p>
        </w:tc>
        <w:tc>
          <w:tcPr>
            <w:tcW w:w="9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 of Exhibit</w:t>
            </w:r>
          </w:p>
        </w:tc>
      </w:tr>
      <w:tr>
        <w:trPr>
          <w:trHeight w:val="499"/>
        </w:trPr>
        <w:tc>
          <w:tcPr>
            <w:tcW w:w="1580" w:type="dxa"/>
            <w:vAlign w:val="bottom"/>
          </w:tcPr>
          <w:p>
            <w:pPr>
              <w:jc w:val="right"/>
              <w:ind w:right="782"/>
              <w:spacing w:after="0"/>
              <w:rPr>
                <w:sz w:val="20"/>
                <w:szCs w:val="20"/>
                <w:color w:val="auto"/>
              </w:rPr>
            </w:pPr>
            <w:r>
              <w:rPr>
                <w:rFonts w:ascii="Arial" w:cs="Arial" w:eastAsia="Arial" w:hAnsi="Arial"/>
                <w:sz w:val="18"/>
                <w:szCs w:val="18"/>
                <w:color w:val="auto"/>
              </w:rPr>
              <w:t>99</w:t>
            </w:r>
          </w:p>
        </w:tc>
        <w:tc>
          <w:tcPr>
            <w:tcW w:w="966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Registrant’s News Release</w:t>
              </w:r>
            </w:hyperlink>
          </w:p>
        </w:tc>
      </w:tr>
      <w:tr>
        <w:trPr>
          <w:trHeight w:val="270"/>
        </w:trPr>
        <w:tc>
          <w:tcPr>
            <w:tcW w:w="1580" w:type="dxa"/>
            <w:vAlign w:val="bottom"/>
          </w:tcPr>
          <w:p>
            <w:pPr>
              <w:spacing w:after="0"/>
              <w:rPr>
                <w:sz w:val="23"/>
                <w:szCs w:val="23"/>
                <w:color w:val="auto"/>
              </w:rPr>
            </w:pPr>
          </w:p>
        </w:tc>
        <w:tc>
          <w:tcPr>
            <w:tcW w:w="9660" w:type="dxa"/>
            <w:vAlign w:val="bottom"/>
          </w:tcPr>
          <w:p>
            <w:pPr>
              <w:ind w:left="20"/>
              <w:spacing w:after="0"/>
              <w:rPr>
                <w:sz w:val="20"/>
                <w:szCs w:val="20"/>
                <w:color w:val="auto"/>
              </w:rPr>
            </w:pPr>
            <w:r>
              <w:rPr>
                <w:rFonts w:ascii="Arial" w:cs="Arial" w:eastAsia="Arial" w:hAnsi="Arial"/>
                <w:sz w:val="18"/>
                <w:szCs w:val="18"/>
                <w:color w:val="auto"/>
              </w:rPr>
              <w:t>Dated April 21, 2020 (furnished pursuant to Item 2.02)</w:t>
            </w:r>
          </w:p>
        </w:tc>
      </w:tr>
      <w:tr>
        <w:trPr>
          <w:trHeight w:val="270"/>
        </w:trPr>
        <w:tc>
          <w:tcPr>
            <w:tcW w:w="1580" w:type="dxa"/>
            <w:vAlign w:val="bottom"/>
          </w:tcPr>
          <w:p>
            <w:pPr>
              <w:jc w:val="right"/>
              <w:ind w:right="742"/>
              <w:spacing w:after="0"/>
              <w:rPr>
                <w:sz w:val="20"/>
                <w:szCs w:val="20"/>
                <w:color w:val="auto"/>
              </w:rPr>
            </w:pPr>
            <w:r>
              <w:rPr>
                <w:rFonts w:ascii="Arial" w:cs="Arial" w:eastAsia="Arial" w:hAnsi="Arial"/>
                <w:sz w:val="18"/>
                <w:szCs w:val="18"/>
                <w:color w:val="auto"/>
              </w:rPr>
              <w:t>104</w:t>
            </w:r>
          </w:p>
        </w:tc>
        <w:tc>
          <w:tcPr>
            <w:tcW w:w="966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154"/>
        </w:trPr>
        <w:tc>
          <w:tcPr>
            <w:tcW w:w="15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ind w:left="508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20"/>
        <w:spacing w:after="0"/>
        <w:tabs>
          <w:tab w:leader="none" w:pos="6100" w:val="left"/>
          <w:tab w:leader="none" w:pos="6940" w:val="left"/>
        </w:tabs>
        <w:rPr>
          <w:sz w:val="20"/>
          <w:szCs w:val="20"/>
          <w:color w:val="auto"/>
        </w:rPr>
      </w:pPr>
      <w:r>
        <w:rPr>
          <w:rFonts w:ascii="Arial" w:cs="Arial" w:eastAsia="Arial" w:hAnsi="Arial"/>
          <w:sz w:val="18"/>
          <w:szCs w:val="18"/>
          <w:color w:val="auto"/>
        </w:rPr>
        <w:t>Date: April 21,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08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Rafael R. Lizardi</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340"/>
          </w:cols>
          <w:pgMar w:left="320" w:top="895" w:right="1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first quarter 2020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DALLAS (April 21, 2020) – Texas Instruments Incorporated (TI) (Nasdaq: TXN) today reported first quarter revenue of $3.33 billion, net income of $1.17 billion and earnings per share of $1.24. Earnings per share include a 10-cent benefit for items that were not in the company's original guidance.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Regarding the company’s performance and returns to shareholders, Rich Templeton, TI’s chairman, president and CEO, made the following comments:</w:t>
      </w:r>
    </w:p>
    <w:p>
      <w:pPr>
        <w:spacing w:after="0" w:line="248" w:lineRule="exact"/>
        <w:rPr>
          <w:sz w:val="20"/>
          <w:szCs w:val="20"/>
          <w:color w:val="auto"/>
        </w:rPr>
      </w:pPr>
    </w:p>
    <w:p>
      <w:pPr>
        <w:ind w:left="620" w:hanging="329"/>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 decreased 7% from the same quarter a year ago.</w:t>
      </w:r>
    </w:p>
    <w:p>
      <w:pPr>
        <w:spacing w:after="0" w:line="225" w:lineRule="exact"/>
        <w:rPr>
          <w:rFonts w:ascii="Arial" w:cs="Arial" w:eastAsia="Arial" w:hAnsi="Arial"/>
          <w:sz w:val="18"/>
          <w:szCs w:val="18"/>
          <w:b w:val="1"/>
          <w:bCs w:val="1"/>
          <w:color w:val="auto"/>
        </w:rPr>
      </w:pPr>
    </w:p>
    <w:p>
      <w:pPr>
        <w:ind w:left="620" w:hanging="329"/>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 our core businesses, Analog revenue declined 2% and Embedded Processing declined 18% from the same quarter a year ago.</w:t>
      </w:r>
    </w:p>
    <w:p>
      <w:pPr>
        <w:spacing w:after="0" w:line="225" w:lineRule="exact"/>
        <w:rPr>
          <w:rFonts w:ascii="Arial" w:cs="Arial" w:eastAsia="Arial" w:hAnsi="Arial"/>
          <w:sz w:val="18"/>
          <w:szCs w:val="18"/>
          <w:b w:val="1"/>
          <w:bCs w:val="1"/>
          <w:color w:val="auto"/>
        </w:rPr>
      </w:pPr>
    </w:p>
    <w:p>
      <w:pPr>
        <w:ind w:left="620" w:right="100" w:hanging="329"/>
        <w:spacing w:after="0" w:line="263" w:lineRule="auto"/>
        <w:tabs>
          <w:tab w:leader="none" w:pos="61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cash flow from operations of $6.4 billion for the trailing 12 months again underscored the strength of our business model. Free cash flow for the same period was $5.6 billion and 40% of revenue. This reflects the quality of our product portfolio, as well as the efficiency of our manufacturing strategy, including the benefit of 300-millimeter Analog production.</w:t>
      </w:r>
    </w:p>
    <w:p>
      <w:pPr>
        <w:spacing w:after="0" w:line="183" w:lineRule="exact"/>
        <w:rPr>
          <w:rFonts w:ascii="Arial" w:cs="Arial" w:eastAsia="Arial" w:hAnsi="Arial"/>
          <w:sz w:val="18"/>
          <w:szCs w:val="18"/>
          <w:b w:val="1"/>
          <w:bCs w:val="1"/>
          <w:color w:val="auto"/>
        </w:rPr>
      </w:pPr>
    </w:p>
    <w:p>
      <w:pPr>
        <w:ind w:left="620" w:right="400" w:hanging="329"/>
        <w:spacing w:after="0" w:line="263" w:lineRule="auto"/>
        <w:tabs>
          <w:tab w:leader="none" w:pos="61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“We have returned $6.6 billion to owners in the past 12 months through stock repurchases and dividends. Over the same period, our dividends represented 55% of free cash flow, underscoring their sustainability. Together, our stock repurchases and dividends reflect our continued commitment to return all free cash flow to our owners.</w:t>
      </w:r>
    </w:p>
    <w:p>
      <w:pPr>
        <w:spacing w:after="0" w:line="183" w:lineRule="exact"/>
        <w:rPr>
          <w:rFonts w:ascii="Arial" w:cs="Arial" w:eastAsia="Arial" w:hAnsi="Arial"/>
          <w:sz w:val="18"/>
          <w:szCs w:val="18"/>
          <w:b w:val="1"/>
          <w:bCs w:val="1"/>
          <w:color w:val="auto"/>
        </w:rPr>
      </w:pPr>
    </w:p>
    <w:p>
      <w:pPr>
        <w:ind w:left="620" w:right="20" w:hanging="329"/>
        <w:spacing w:after="0" w:line="259" w:lineRule="auto"/>
        <w:tabs>
          <w:tab w:leader="none" w:pos="61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“With a COVID-19 recession likely upon us, and with reduced visibility of customer demand, we are using the 2008 financial crisis to model our second quarter outlook. To reflect the increased uncertainty, we have expanded the range of our guidance. Therefore, TI’s second quarter outlook is for revenue in the range of $2.61 billion to $3.19 billion, and earnings per share between $0.64 and $1.04, which includes an estimated $10 million discrete tax benefit. We expect our annual operating tax rate to be about 14%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1140"/>
        <w:spacing w:after="0"/>
        <w:rPr>
          <w:sz w:val="20"/>
          <w:szCs w:val="20"/>
          <w:color w:val="auto"/>
        </w:rPr>
      </w:pPr>
      <w:r>
        <w:rPr>
          <w:rFonts w:ascii="Arial" w:cs="Arial" w:eastAsia="Arial" w:hAnsi="Arial"/>
          <w:sz w:val="16"/>
          <w:szCs w:val="16"/>
          <w:color w:val="707070"/>
        </w:rPr>
        <w:t>1</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i w:val="1"/>
          <w:iCs w:val="1"/>
          <w:color w:val="auto"/>
        </w:rPr>
        <w:t>Free cash flow, a non-GAAP financial measure, is cash flow from operations less capital expenditures.</w:t>
      </w:r>
    </w:p>
    <w:p>
      <w:pPr>
        <w:sectPr>
          <w:pgSz w:w="11900" w:h="16838" w:orient="portrait"/>
          <w:cols w:equalWidth="0" w:num="1">
            <w:col w:w="11240"/>
          </w:cols>
          <w:pgMar w:left="320" w:top="1111" w:right="339" w:bottom="1440" w:gutter="0" w:footer="0" w:header="0"/>
        </w:sect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Amounts are in millions of dollars, except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6377940" cy="231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77940" cy="23177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377940" cy="231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77940" cy="23114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Earnings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Q1 2020</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Q1 2019</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Change</w:t>
            </w:r>
          </w:p>
        </w:tc>
      </w:tr>
      <w:tr>
        <w:trPr>
          <w:trHeight w:val="27"/>
        </w:trPr>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18"/>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364"/>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364"/>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365"/>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 %</w:t>
            </w:r>
          </w:p>
        </w:tc>
      </w:tr>
    </w:tbl>
    <w:p>
      <w:pPr>
        <w:spacing w:after="0" w:line="200" w:lineRule="exact"/>
        <w:rPr>
          <w:sz w:val="20"/>
          <w:szCs w:val="20"/>
          <w:color w:val="auto"/>
        </w:rPr>
      </w:pPr>
    </w:p>
    <w:p>
      <w:pPr>
        <w:sectPr>
          <w:pgSz w:w="11900" w:h="16838" w:orient="portrait"/>
          <w:cols w:equalWidth="0" w:num="2">
            <w:col w:w="5020" w:space="720"/>
            <w:col w:w="5500"/>
          </w:cols>
          <w:pgMar w:left="320" w:top="1111"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generation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Amounts are in millions of dollars.</w:t>
      </w:r>
    </w:p>
    <w:p>
      <w:pPr>
        <w:sectPr>
          <w:pgSz w:w="11900" w:h="16838" w:orient="portrait"/>
          <w:cols w:equalWidth="0" w:num="1">
            <w:col w:w="11240"/>
          </w:cols>
          <w:pgMar w:left="320" w:top="11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 from operations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 expenditures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Free cash flow</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Free cash flow % of revenue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return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Amounts are in millions of dollars.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Dividends paid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repurchases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cash returned</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6"/>
          </w:tcPr>
          <w:p>
            <w:pPr>
              <w:jc w:val="right"/>
              <w:ind w:right="1430"/>
              <w:spacing w:after="0"/>
              <w:rPr>
                <w:sz w:val="20"/>
                <w:szCs w:val="20"/>
                <w:color w:val="auto"/>
              </w:rPr>
            </w:pPr>
            <w:r>
              <w:rPr>
                <w:rFonts w:ascii="Arial" w:cs="Arial" w:eastAsia="Arial" w:hAnsi="Arial"/>
                <w:sz w:val="18"/>
                <w:szCs w:val="18"/>
                <w:color w:val="auto"/>
                <w:w w:val="97"/>
              </w:rPr>
              <w:t>Trailing 12 Months</w:t>
            </w:r>
          </w:p>
        </w:tc>
      </w:tr>
      <w:tr>
        <w:trPr>
          <w:trHeight w:val="27"/>
        </w:trPr>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Q1 2020</w:t>
            </w:r>
          </w:p>
        </w:tc>
        <w:tc>
          <w:tcPr>
            <w:tcW w:w="24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Q1 2020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Q1 2019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Change</w:t>
            </w:r>
          </w:p>
        </w:tc>
      </w:tr>
      <w:tr>
        <w:trPr>
          <w:trHeight w:val="27"/>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18"/>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6,393</w:t>
            </w:r>
          </w:p>
        </w:tc>
        <w:tc>
          <w:tcPr>
            <w:tcW w:w="26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7,184</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(11) %</w:t>
            </w:r>
          </w:p>
        </w:tc>
      </w:tr>
      <w:tr>
        <w:trPr>
          <w:trHeight w:val="365"/>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1,193</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(37) %</w:t>
            </w:r>
          </w:p>
        </w:tc>
      </w:tr>
      <w:tr>
        <w:trPr>
          <w:trHeight w:val="364"/>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5,636</w:t>
            </w:r>
          </w:p>
        </w:tc>
        <w:tc>
          <w:tcPr>
            <w:tcW w:w="26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5,991</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(6) %</w:t>
            </w:r>
          </w:p>
        </w:tc>
      </w:tr>
      <w:tr>
        <w:trPr>
          <w:trHeight w:val="270"/>
        </w:trPr>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-848360</wp:posOffset>
            </wp:positionV>
            <wp:extent cx="6377940" cy="23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77940" cy="23177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-385445</wp:posOffset>
            </wp:positionV>
            <wp:extent cx="6377940"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7794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w w:val="98"/>
              </w:rPr>
              <w:t>Trailing</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95"/>
              </w:rPr>
              <w:t>12 Months</w:t>
            </w:r>
          </w:p>
        </w:tc>
        <w:tc>
          <w:tcPr>
            <w:tcW w:w="1380" w:type="dxa"/>
            <w:vAlign w:val="bottom"/>
          </w:tcPr>
          <w:p>
            <w:pPr>
              <w:spacing w:after="0"/>
              <w:rPr>
                <w:sz w:val="20"/>
                <w:szCs w:val="20"/>
                <w:color w:val="auto"/>
              </w:rPr>
            </w:pPr>
          </w:p>
        </w:tc>
      </w:tr>
      <w:tr>
        <w:trPr>
          <w:trHeight w:val="27"/>
        </w:trPr>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Q1 2020</w:t>
            </w: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Q1 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91"/>
              </w:rPr>
              <w:t>Q1</w:t>
            </w:r>
          </w:p>
        </w:tc>
        <w:tc>
          <w:tcPr>
            <w:tcW w:w="74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Change</w:t>
            </w:r>
          </w:p>
        </w:tc>
      </w:tr>
      <w:tr>
        <w:trPr>
          <w:trHeight w:val="27"/>
        </w:trPr>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318"/>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3,125</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364"/>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3,449</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5,379</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365"/>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6,574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8,047</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-676910</wp:posOffset>
            </wp:positionV>
            <wp:extent cx="6369050" cy="231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69050" cy="23177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-213995</wp:posOffset>
            </wp:positionV>
            <wp:extent cx="6369050" cy="231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69050" cy="231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720"/>
            <w:col w:w="6980"/>
          </w:cols>
          <w:pgMar w:left="320" w:top="11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140"/>
        <w:spacing w:after="0"/>
        <w:rPr>
          <w:sz w:val="20"/>
          <w:szCs w:val="20"/>
          <w:color w:val="auto"/>
        </w:rPr>
      </w:pPr>
      <w:r>
        <w:rPr>
          <w:rFonts w:ascii="Arial" w:cs="Arial" w:eastAsia="Arial" w:hAnsi="Arial"/>
          <w:sz w:val="16"/>
          <w:szCs w:val="16"/>
          <w:color w:val="707070"/>
        </w:rPr>
        <w:t>2</w:t>
      </w:r>
    </w:p>
    <w:p>
      <w:pPr>
        <w:sectPr>
          <w:pgSz w:w="11900" w:h="16838" w:orient="portrait"/>
          <w:cols w:equalWidth="0" w:num="1">
            <w:col w:w="11240"/>
          </w:cols>
          <w:pgMar w:left="320" w:top="1111" w:right="339" w:bottom="1440" w:gutter="0" w:footer="0" w:header="0"/>
          <w:type w:val="continuous"/>
        </w:sectPr>
      </w:pPr>
    </w:p>
    <w:bookmarkStart w:id="5" w:name="page6"/>
    <w:bookmarkEnd w:id="5"/>
    <w:p>
      <w:pPr>
        <w:jc w:val="center"/>
        <w:ind w:left="3020" w:right="1899"/>
        <w:spacing w:after="0" w:line="266" w:lineRule="auto"/>
        <w:rPr>
          <w:sz w:val="20"/>
          <w:szCs w:val="20"/>
          <w:color w:val="auto"/>
        </w:rPr>
      </w:pPr>
      <w:r>
        <w:rPr>
          <w:rFonts w:ascii="Arial" w:cs="Arial" w:eastAsia="Arial" w:hAnsi="Arial"/>
          <w:sz w:val="18"/>
          <w:szCs w:val="18"/>
          <w:b w:val="1"/>
          <w:bCs w:val="1"/>
          <w:color w:val="auto"/>
        </w:rPr>
        <w:t>TEXAS INSTRUMENTS INCORPORATED AND SUBSIDIARIES Consolidated Statements of Income (Millions of dollars, except share and per-share amounts)</w:t>
      </w:r>
    </w:p>
    <w:p>
      <w:pPr>
        <w:spacing w:after="0" w:line="270" w:lineRule="exact"/>
        <w:rPr>
          <w:sz w:val="20"/>
          <w:szCs w:val="20"/>
          <w:color w:val="auto"/>
        </w:rPr>
      </w:pPr>
    </w:p>
    <w:p>
      <w:pPr>
        <w:jc w:val="center"/>
        <w:ind w:left="5500"/>
        <w:spacing w:after="0"/>
        <w:rPr>
          <w:sz w:val="20"/>
          <w:szCs w:val="20"/>
          <w:color w:val="auto"/>
        </w:rPr>
      </w:pPr>
      <w:r>
        <w:rPr>
          <w:rFonts w:ascii="Arial" w:cs="Arial" w:eastAsia="Arial" w:hAnsi="Arial"/>
          <w:sz w:val="16"/>
          <w:szCs w:val="16"/>
          <w:b w:val="1"/>
          <w:bCs w:val="1"/>
          <w:color w:val="auto"/>
        </w:rPr>
        <w:t>For Three Months Ended</w:t>
      </w:r>
    </w:p>
    <w:p>
      <w:pPr>
        <w:spacing w:after="0" w:line="50"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31750</wp:posOffset>
            </wp:positionV>
            <wp:extent cx="2134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4870" cy="8255"/>
                    </a:xfrm>
                    <a:prstGeom prst="rect">
                      <a:avLst/>
                    </a:prstGeom>
                    <a:noFill/>
                  </pic:spPr>
                </pic:pic>
              </a:graphicData>
            </a:graphic>
          </wp:anchor>
        </w:drawing>
      </w:r>
    </w:p>
    <w:p>
      <w:pPr>
        <w:sectPr>
          <w:pgSz w:w="11900" w:h="16838" w:orient="portrait"/>
          <w:cols w:equalWidth="0" w:num="1">
            <w:col w:w="10139"/>
          </w:cols>
          <w:pgMar w:left="320" w:top="891" w:right="1440" w:bottom="730" w:gutter="0" w:footer="0" w:header="0"/>
        </w:sect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386195" cy="231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6195" cy="23114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 (COR)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386195" cy="231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6195" cy="23114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profit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386195" cy="231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6195" cy="23177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Selling, general and administrative (SG&amp;A)</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386195" cy="231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6195" cy="23177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profit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(expense), net (OI&amp;E)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386195" cy="231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6195" cy="23114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and debt expense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386195" cy="231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6195" cy="23114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income taxes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638619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6195" cy="18859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638619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6195" cy="18859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Average shares outstanding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386195" cy="248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6195" cy="248285"/>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638619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6195" cy="18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dividends declared per common share</w:t>
      </w:r>
    </w:p>
    <w:p>
      <w:pPr>
        <w:spacing w:after="0" w:line="200" w:lineRule="exact"/>
        <w:rPr>
          <w:sz w:val="20"/>
          <w:szCs w:val="20"/>
          <w:color w:val="auto"/>
        </w:rPr>
      </w:pPr>
    </w:p>
    <w:p>
      <w:pPr>
        <w:spacing w:after="0" w:line="278"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Supplemental Information</w:t>
      </w:r>
    </w:p>
    <w:p>
      <w:pPr>
        <w:spacing w:after="0" w:line="86"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(Quarterly, except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638619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6195" cy="1714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income taxes is based 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6386195" cy="231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6195" cy="231140"/>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Discrete tax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386195" cy="248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6195" cy="24828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income taxes (effective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638619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6195" cy="1714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Annual operating tax rate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38619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61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8"/>
        </w:trPr>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3,329</w:t>
            </w:r>
          </w:p>
        </w:tc>
        <w:tc>
          <w:tcPr>
            <w:tcW w:w="8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3,594</w:t>
            </w:r>
          </w:p>
        </w:tc>
      </w:tr>
      <w:tr>
        <w:trPr>
          <w:trHeight w:val="365"/>
        </w:trPr>
        <w:tc>
          <w:tcPr>
            <w:tcW w:w="3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1,241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1,333</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8"/>
        </w:trPr>
        <w:tc>
          <w:tcPr>
            <w:tcW w:w="3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2,088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2,261</w:t>
            </w:r>
          </w:p>
        </w:tc>
      </w:tr>
      <w:tr>
        <w:trPr>
          <w:trHeight w:val="364"/>
        </w:trPr>
        <w:tc>
          <w:tcPr>
            <w:tcW w:w="3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377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389</w:t>
            </w:r>
          </w:p>
        </w:tc>
      </w:tr>
      <w:tr>
        <w:trPr>
          <w:trHeight w:val="365"/>
        </w:trPr>
        <w:tc>
          <w:tcPr>
            <w:tcW w:w="3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417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414</w:t>
            </w:r>
          </w:p>
        </w:tc>
      </w:tr>
      <w:tr>
        <w:trPr>
          <w:trHeight w:val="364"/>
        </w:trPr>
        <w:tc>
          <w:tcPr>
            <w:tcW w:w="3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79</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8"/>
        </w:trPr>
        <w:tc>
          <w:tcPr>
            <w:tcW w:w="3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1,244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1,379</w:t>
            </w:r>
          </w:p>
        </w:tc>
      </w:tr>
      <w:tr>
        <w:trPr>
          <w:trHeight w:val="365"/>
        </w:trPr>
        <w:tc>
          <w:tcPr>
            <w:tcW w:w="3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25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36</w:t>
            </w:r>
          </w:p>
        </w:tc>
      </w:tr>
      <w:tr>
        <w:trPr>
          <w:trHeight w:val="364"/>
        </w:trPr>
        <w:tc>
          <w:tcPr>
            <w:tcW w:w="3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45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38</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8"/>
        </w:trPr>
        <w:tc>
          <w:tcPr>
            <w:tcW w:w="3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1,224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1,377</w:t>
            </w:r>
          </w:p>
        </w:tc>
      </w:tr>
      <w:tr>
        <w:trPr>
          <w:trHeight w:val="365"/>
        </w:trPr>
        <w:tc>
          <w:tcPr>
            <w:tcW w:w="3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160</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8"/>
        </w:trPr>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1,174</w:t>
            </w:r>
          </w:p>
        </w:tc>
        <w:tc>
          <w:tcPr>
            <w:tcW w:w="8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1,217</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01"/>
        </w:trPr>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1.24</w:t>
            </w:r>
          </w:p>
        </w:tc>
        <w:tc>
          <w:tcPr>
            <w:tcW w:w="8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1.26</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71"/>
        </w:trPr>
        <w:tc>
          <w:tcPr>
            <w:tcW w:w="3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931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939</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8"/>
        </w:trPr>
        <w:tc>
          <w:tcPr>
            <w:tcW w:w="3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943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956</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01"/>
        </w:trPr>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.90</w:t>
            </w:r>
          </w:p>
        </w:tc>
        <w:tc>
          <w:tcPr>
            <w:tcW w:w="8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.77</w:t>
            </w:r>
          </w:p>
        </w:tc>
      </w:tr>
      <w:tr>
        <w:trPr>
          <w:trHeight w:val="27"/>
        </w:trPr>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166</w:t>
            </w:r>
          </w:p>
        </w:tc>
        <w:tc>
          <w:tcPr>
            <w:tcW w:w="8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220</w:t>
            </w:r>
          </w:p>
        </w:tc>
      </w:tr>
      <w:tr>
        <w:trPr>
          <w:trHeight w:val="365"/>
        </w:trPr>
        <w:tc>
          <w:tcPr>
            <w:tcW w:w="56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(60)</w:t>
            </w:r>
          </w:p>
        </w:tc>
      </w:tr>
      <w:tr>
        <w:trPr>
          <w:trHeight w:val="27"/>
        </w:trPr>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7"/>
        </w:trPr>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24"/>
                <w:szCs w:val="24"/>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160</w:t>
            </w:r>
          </w:p>
        </w:tc>
      </w:tr>
      <w:tr>
        <w:trPr>
          <w:trHeight w:val="27"/>
        </w:trPr>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06"/>
        </w:trPr>
        <w:tc>
          <w:tcPr>
            <w:tcW w:w="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0"/>
        </w:trPr>
        <w:tc>
          <w:tcPr>
            <w:tcW w:w="5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12 %</w:t>
            </w:r>
          </w:p>
        </w:tc>
      </w:tr>
    </w:tbl>
    <w:p>
      <w:pPr>
        <w:spacing w:after="0" w:line="200" w:lineRule="exact"/>
        <w:rPr>
          <w:sz w:val="20"/>
          <w:szCs w:val="20"/>
          <w:color w:val="auto"/>
        </w:rPr>
      </w:pPr>
    </w:p>
    <w:p>
      <w:pPr>
        <w:sectPr>
          <w:pgSz w:w="11900" w:h="16838" w:orient="portrait"/>
          <w:cols w:equalWidth="0" w:num="2">
            <w:col w:w="6100" w:space="600"/>
            <w:col w:w="3439"/>
          </w:cols>
          <w:pgMar w:left="320" w:top="891" w:right="1440" w:bottom="730" w:gutter="0" w:footer="0" w:header="0"/>
          <w:type w:val="continuous"/>
        </w:sectPr>
      </w:pPr>
    </w:p>
    <w:p>
      <w:pPr>
        <w:spacing w:after="0" w:line="110" w:lineRule="exact"/>
        <w:rPr>
          <w:sz w:val="20"/>
          <w:szCs w:val="20"/>
          <w:color w:val="auto"/>
        </w:rPr>
      </w:pPr>
    </w:p>
    <w:p>
      <w:pPr>
        <w:ind w:left="20" w:right="579"/>
        <w:spacing w:after="0" w:line="277"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38619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6195" cy="171450"/>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1,174</w:t>
            </w:r>
          </w:p>
        </w:tc>
        <w:tc>
          <w:tcPr>
            <w:tcW w:w="80" w:type="dxa"/>
            <w:vAlign w:val="bottom"/>
          </w:tcPr>
          <w:p>
            <w:pPr>
              <w:spacing w:after="0"/>
              <w:rPr>
                <w:sz w:val="20"/>
                <w:szCs w:val="20"/>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9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94"/>
        </w:trPr>
        <w:tc>
          <w:tcPr>
            <w:tcW w:w="6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allocated to RSUs</w:t>
            </w:r>
          </w:p>
        </w:tc>
        <w:tc>
          <w:tcPr>
            <w:tcW w:w="52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22"/>
        </w:trPr>
        <w:tc>
          <w:tcPr>
            <w:tcW w:w="67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52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1,168</w:t>
            </w:r>
          </w:p>
        </w:tc>
        <w:tc>
          <w:tcPr>
            <w:tcW w:w="80" w:type="dxa"/>
            <w:vAlign w:val="bottom"/>
          </w:tcPr>
          <w:p>
            <w:pPr>
              <w:spacing w:after="0"/>
              <w:rPr>
                <w:sz w:val="19"/>
                <w:szCs w:val="19"/>
                <w:color w:val="auto"/>
              </w:rPr>
            </w:pPr>
          </w:p>
        </w:tc>
        <w:tc>
          <w:tcPr>
            <w:tcW w:w="52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94"/>
        </w:trPr>
        <w:tc>
          <w:tcPr>
            <w:tcW w:w="6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891" w:right="1440" w:bottom="730" w:gutter="0" w:footer="0" w:header="0"/>
          <w:type w:val="continuous"/>
        </w:sectPr>
      </w:pPr>
    </w:p>
    <w:bookmarkStart w:id="6" w:name="page7"/>
    <w:bookmarkEnd w:id="6"/>
    <w:p>
      <w:pPr>
        <w:ind w:left="10020"/>
        <w:spacing w:after="0"/>
        <w:rPr>
          <w:sz w:val="20"/>
          <w:szCs w:val="20"/>
          <w:color w:val="auto"/>
        </w:rPr>
      </w:pPr>
      <w:r>
        <w:rPr>
          <w:rFonts w:ascii="Arial" w:cs="Arial" w:eastAsia="Arial" w:hAnsi="Arial"/>
          <w:sz w:val="16"/>
          <w:szCs w:val="16"/>
          <w:color w:val="707070"/>
        </w:rPr>
        <w:t>3</w:t>
      </w:r>
    </w:p>
    <w:p>
      <w:pPr>
        <w:sectPr>
          <w:pgSz w:w="11900" w:h="16838" w:orient="portrait"/>
          <w:cols w:equalWidth="0" w:num="1">
            <w:col w:w="10120"/>
          </w:cols>
          <w:pgMar w:left="1440" w:top="190" w:right="339" w:bottom="1440" w:gutter="0" w:footer="0" w:header="0"/>
        </w:sectPr>
      </w:pPr>
    </w:p>
    <w:bookmarkStart w:id="7" w:name="page8"/>
    <w:bookmarkEnd w:id="7"/>
    <w:p>
      <w:pPr>
        <w:spacing w:after="0" w:line="200"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2,518</w:t>
            </w:r>
          </w:p>
        </w:tc>
        <w:tc>
          <w:tcPr>
            <w:tcW w:w="80" w:type="dxa"/>
            <w:vAlign w:val="bottom"/>
            <w:shd w:val="clear" w:color="auto" w:fill="CCEEFF"/>
          </w:tcPr>
          <w:p>
            <w:pPr>
              <w:spacing w:after="0"/>
              <w:rPr>
                <w:sz w:val="21"/>
                <w:szCs w:val="21"/>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102"/>
        </w:trPr>
        <w:tc>
          <w:tcPr>
            <w:tcW w:w="674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vMerge w:val="continue"/>
            <w:shd w:val="clear" w:color="auto" w:fill="CCEEFF"/>
          </w:tcPr>
          <w:p>
            <w:pPr>
              <w:spacing w:after="0"/>
              <w:rPr>
                <w:sz w:val="8"/>
                <w:szCs w:val="8"/>
                <w:color w:val="auto"/>
              </w:rPr>
            </w:pPr>
          </w:p>
        </w:tc>
        <w:tc>
          <w:tcPr>
            <w:tcW w:w="120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vMerge w:val="continue"/>
            <w:shd w:val="clear" w:color="auto" w:fill="CCEEFF"/>
          </w:tcPr>
          <w:p>
            <w:pPr>
              <w:spacing w:after="0"/>
              <w:rPr>
                <w:sz w:val="8"/>
                <w:szCs w:val="8"/>
                <w:color w:val="auto"/>
              </w:rPr>
            </w:pPr>
          </w:p>
        </w:tc>
        <w:tc>
          <w:tcPr>
            <w:tcW w:w="10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2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2,224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vMerge w:val="restart"/>
          </w:tcPr>
          <w:p>
            <w:pPr>
              <w:jc w:val="right"/>
              <w:ind w:right="9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95"/>
        </w:trPr>
        <w:tc>
          <w:tcPr>
            <w:tcW w:w="6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($8) and ($17)</w:t>
            </w:r>
          </w:p>
        </w:tc>
        <w:tc>
          <w:tcPr>
            <w:tcW w:w="340" w:type="dxa"/>
            <w:vAlign w:val="bottom"/>
            <w:shd w:val="clear" w:color="auto" w:fill="CCEEFF"/>
          </w:tcPr>
          <w:p>
            <w:pPr>
              <w:spacing w:after="0"/>
              <w:rPr>
                <w:sz w:val="21"/>
                <w:szCs w:val="21"/>
                <w:color w:val="auto"/>
              </w:rPr>
            </w:pPr>
          </w:p>
        </w:tc>
        <w:tc>
          <w:tcPr>
            <w:tcW w:w="12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1,316</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101"/>
        </w:trPr>
        <w:tc>
          <w:tcPr>
            <w:tcW w:w="674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20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shd w:val="clear" w:color="auto" w:fill="CCEEFF"/>
          </w:tcPr>
          <w:p>
            <w:pPr>
              <w:spacing w:after="0"/>
              <w:rPr>
                <w:sz w:val="8"/>
                <w:szCs w:val="8"/>
                <w:color w:val="auto"/>
              </w:rPr>
            </w:pPr>
          </w:p>
        </w:tc>
        <w:tc>
          <w:tcPr>
            <w:tcW w:w="10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Raw materials</w:t>
            </w:r>
          </w:p>
        </w:tc>
        <w:tc>
          <w:tcPr>
            <w:tcW w:w="340" w:type="dxa"/>
            <w:vAlign w:val="bottom"/>
          </w:tcPr>
          <w:p>
            <w:pPr>
              <w:spacing w:after="0"/>
              <w:rPr>
                <w:sz w:val="21"/>
                <w:szCs w:val="21"/>
                <w:color w:val="auto"/>
              </w:rPr>
            </w:pPr>
          </w:p>
        </w:tc>
        <w:tc>
          <w:tcPr>
            <w:tcW w:w="12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175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vMerge w:val="restart"/>
          </w:tcPr>
          <w:p>
            <w:pPr>
              <w:jc w:val="right"/>
              <w:ind w:right="9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95"/>
        </w:trPr>
        <w:tc>
          <w:tcPr>
            <w:tcW w:w="6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 in process</w:t>
            </w:r>
          </w:p>
        </w:tc>
        <w:tc>
          <w:tcPr>
            <w:tcW w:w="340" w:type="dxa"/>
            <w:vAlign w:val="bottom"/>
            <w:shd w:val="clear" w:color="auto" w:fill="CCEEFF"/>
          </w:tcPr>
          <w:p>
            <w:pPr>
              <w:spacing w:after="0"/>
              <w:rPr>
                <w:sz w:val="21"/>
                <w:szCs w:val="21"/>
                <w:color w:val="auto"/>
              </w:rPr>
            </w:pPr>
          </w:p>
        </w:tc>
        <w:tc>
          <w:tcPr>
            <w:tcW w:w="12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915</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101"/>
        </w:trPr>
        <w:tc>
          <w:tcPr>
            <w:tcW w:w="674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20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shd w:val="clear" w:color="auto" w:fill="CCEEFF"/>
          </w:tcPr>
          <w:p>
            <w:pPr>
              <w:spacing w:after="0"/>
              <w:rPr>
                <w:sz w:val="8"/>
                <w:szCs w:val="8"/>
                <w:color w:val="auto"/>
              </w:rPr>
            </w:pPr>
          </w:p>
        </w:tc>
        <w:tc>
          <w:tcPr>
            <w:tcW w:w="10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Finished goods</w:t>
            </w:r>
          </w:p>
        </w:tc>
        <w:tc>
          <w:tcPr>
            <w:tcW w:w="340" w:type="dxa"/>
            <w:vAlign w:val="bottom"/>
          </w:tcPr>
          <w:p>
            <w:pPr>
              <w:spacing w:after="0"/>
              <w:rPr>
                <w:sz w:val="21"/>
                <w:szCs w:val="21"/>
                <w:color w:val="auto"/>
              </w:rPr>
            </w:pPr>
          </w:p>
        </w:tc>
        <w:tc>
          <w:tcPr>
            <w:tcW w:w="12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913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vMerge w:val="restart"/>
          </w:tcPr>
          <w:p>
            <w:pPr>
              <w:jc w:val="right"/>
              <w:ind w:right="9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94"/>
        </w:trPr>
        <w:tc>
          <w:tcPr>
            <w:tcW w:w="6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2,003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122"/>
        </w:trPr>
        <w:tc>
          <w:tcPr>
            <w:tcW w:w="674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249</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94"/>
        </w:trPr>
        <w:tc>
          <w:tcPr>
            <w:tcW w:w="6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8,310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102"/>
        </w:trPr>
        <w:tc>
          <w:tcPr>
            <w:tcW w:w="674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20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shd w:val="clear" w:color="auto" w:fill="CCEEFF"/>
          </w:tcPr>
          <w:p>
            <w:pPr>
              <w:spacing w:after="0"/>
              <w:rPr>
                <w:sz w:val="8"/>
                <w:szCs w:val="8"/>
                <w:color w:val="auto"/>
              </w:rPr>
            </w:pPr>
          </w:p>
        </w:tc>
        <w:tc>
          <w:tcPr>
            <w:tcW w:w="10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7038" w:orient="portrait"/>
          <w:cols w:equalWidth="0" w:num="1">
            <w:col w:w="9979"/>
          </w:cols>
          <w:pgMar w:left="480" w:top="891" w:right="1440" w:bottom="0" w:gutter="0" w:footer="0" w:header="0"/>
        </w:sectPr>
      </w:pPr>
    </w:p>
    <w:p>
      <w:pPr>
        <w:ind w:left="20"/>
        <w:spacing w:after="0"/>
        <w:rPr>
          <w:sz w:val="20"/>
          <w:szCs w:val="20"/>
          <w:color w:val="auto"/>
        </w:rPr>
      </w:pPr>
      <w:r>
        <w:rPr>
          <w:rFonts w:ascii="Arial" w:cs="Arial" w:eastAsia="Arial" w:hAnsi="Arial"/>
          <w:sz w:val="18"/>
          <w:szCs w:val="18"/>
          <w:color w:val="auto"/>
        </w:rPr>
        <w:t>Property, plant and equipment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91440</wp:posOffset>
            </wp:positionV>
            <wp:extent cx="6283325"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83325" cy="231775"/>
                    </a:xfrm>
                    <a:prstGeom prst="rect">
                      <a:avLst/>
                    </a:prstGeom>
                    <a:noFill/>
                  </pic:spPr>
                </pic:pic>
              </a:graphicData>
            </a:graphic>
          </wp:anchor>
        </w:drawing>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depreciation</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92075</wp:posOffset>
            </wp:positionV>
            <wp:extent cx="6283325" cy="231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83325" cy="23177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investments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92075</wp:posOffset>
            </wp:positionV>
            <wp:extent cx="6283325" cy="231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3325" cy="23177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Acquisition-related intangibles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92075</wp:posOffset>
            </wp:positionV>
            <wp:extent cx="6283325" cy="231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3325" cy="23177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Capitalized software licenses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Overfunded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92075</wp:posOffset>
            </wp:positionV>
            <wp:extent cx="6283325" cy="231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83325" cy="23114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long-term assets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109220</wp:posOffset>
            </wp:positionV>
            <wp:extent cx="628332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83325" cy="18859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628332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83325"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92075</wp:posOffset>
            </wp:positionV>
            <wp:extent cx="6283325" cy="231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83325" cy="231775"/>
                    </a:xfrm>
                    <a:prstGeom prst="rect">
                      <a:avLst/>
                    </a:prstGeom>
                    <a:noFill/>
                  </pic:spPr>
                </pic:pic>
              </a:graphicData>
            </a:graphic>
          </wp:anchor>
        </w:drawing>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92075</wp:posOffset>
            </wp:positionV>
            <wp:extent cx="6283325" cy="2311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83325" cy="231140"/>
                    </a:xfrm>
                    <a:prstGeom prst="rect">
                      <a:avLst/>
                    </a:prstGeom>
                    <a:noFill/>
                  </pic:spPr>
                </pic:pic>
              </a:graphicData>
            </a:graphic>
          </wp:anchor>
        </w:drawing>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taxes payable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92075</wp:posOffset>
            </wp:positionV>
            <wp:extent cx="6283325" cy="231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83325" cy="231140"/>
                    </a:xfrm>
                    <a:prstGeom prst="rect">
                      <a:avLst/>
                    </a:prstGeom>
                    <a:noFill/>
                  </pic:spPr>
                </pic:pic>
              </a:graphicData>
            </a:graphic>
          </wp:anchor>
        </w:drawing>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current liabilities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92075</wp:posOffset>
            </wp:positionV>
            <wp:extent cx="6283325" cy="2311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83325" cy="23114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Underfunded retirement plans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92075</wp:posOffset>
            </wp:positionV>
            <wp:extent cx="6283325" cy="2311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83325" cy="23114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long-term liabilities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92075</wp:posOffset>
            </wp:positionV>
            <wp:extent cx="628332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83325" cy="17970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equity:</w:t>
      </w:r>
    </w:p>
    <w:p>
      <w:pPr>
        <w:spacing w:after="0" w:line="77" w:lineRule="exact"/>
        <w:rPr>
          <w:sz w:val="20"/>
          <w:szCs w:val="20"/>
          <w:color w:val="auto"/>
        </w:rPr>
      </w:pPr>
    </w:p>
    <w:p>
      <w:pPr>
        <w:ind w:left="340" w:right="1300" w:hanging="161"/>
        <w:spacing w:after="0" w:line="374" w:lineRule="auto"/>
        <w:rPr>
          <w:sz w:val="20"/>
          <w:szCs w:val="20"/>
          <w:color w:val="auto"/>
        </w:rPr>
      </w:pPr>
      <w:r>
        <w:rPr>
          <w:rFonts w:ascii="Arial" w:cs="Arial" w:eastAsia="Arial" w:hAnsi="Arial"/>
          <w:sz w:val="17"/>
          <w:szCs w:val="17"/>
          <w:color w:val="auto"/>
        </w:rPr>
        <w:t>Preferred stock, $25 par value. Authorized – 10,000,000 shares Participating cumulative preferred –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-222885</wp:posOffset>
            </wp:positionV>
            <wp:extent cx="6283325" cy="2311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83325" cy="231140"/>
                    </a:xfrm>
                    <a:prstGeom prst="rect">
                      <a:avLst/>
                    </a:prstGeom>
                    <a:noFill/>
                  </pic:spPr>
                </pic:pic>
              </a:graphicData>
            </a:graphic>
          </wp:anchor>
        </w:drawing>
      </w:r>
    </w:p>
    <w:p>
      <w:pPr>
        <w:spacing w:after="0" w:line="5" w:lineRule="exact"/>
        <w:rPr>
          <w:sz w:val="20"/>
          <w:szCs w:val="20"/>
          <w:color w:val="auto"/>
        </w:rPr>
      </w:pPr>
    </w:p>
    <w:p>
      <w:pPr>
        <w:ind w:left="340" w:right="1160" w:hanging="161"/>
        <w:spacing w:after="0" w:line="340" w:lineRule="auto"/>
        <w:rPr>
          <w:sz w:val="20"/>
          <w:szCs w:val="20"/>
          <w:color w:val="auto"/>
        </w:rPr>
      </w:pPr>
      <w:r>
        <w:rPr>
          <w:rFonts w:ascii="Arial" w:cs="Arial" w:eastAsia="Arial" w:hAnsi="Arial"/>
          <w:sz w:val="18"/>
          <w:szCs w:val="18"/>
          <w:color w:val="auto"/>
        </w:rPr>
        <w:t>Common stock, $1 par value. Authorized – 2,400,000,000 shares Shares issued – 1,740,815,939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-208280</wp:posOffset>
            </wp:positionV>
            <wp:extent cx="6283325" cy="2311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83325"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5,736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5,642</w:t>
            </w:r>
          </w:p>
        </w:tc>
      </w:tr>
      <w:tr>
        <w:trPr>
          <w:trHeight w:val="364"/>
        </w:trPr>
        <w:tc>
          <w:tcPr>
            <w:tcW w:w="48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(2,503)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(2,324)</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3,233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3,318</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34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281</w:t>
            </w:r>
          </w:p>
        </w:tc>
      </w:tr>
      <w:tr>
        <w:trPr>
          <w:trHeight w:val="364"/>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4,362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4,362</w:t>
            </w:r>
          </w:p>
        </w:tc>
      </w:tr>
      <w:tr>
        <w:trPr>
          <w:trHeight w:val="365"/>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290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549</w:t>
            </w:r>
          </w:p>
        </w:tc>
      </w:tr>
      <w:tr>
        <w:trPr>
          <w:trHeight w:val="365"/>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208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290</w:t>
            </w:r>
          </w:p>
        </w:tc>
      </w:tr>
      <w:tr>
        <w:trPr>
          <w:trHeight w:val="365"/>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138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98</w:t>
            </w:r>
          </w:p>
        </w:tc>
      </w:tr>
      <w:tr>
        <w:trPr>
          <w:trHeight w:val="364"/>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215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96</w:t>
            </w:r>
          </w:p>
        </w:tc>
      </w:tr>
      <w:tr>
        <w:trPr>
          <w:trHeight w:val="365"/>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493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498</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17,283</w:t>
            </w:r>
          </w:p>
        </w:tc>
        <w:tc>
          <w:tcPr>
            <w:tcW w:w="8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17,443</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41"/>
        </w:trPr>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1,051</w:t>
            </w:r>
          </w:p>
        </w:tc>
        <w:tc>
          <w:tcPr>
            <w:tcW w:w="8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750</w:t>
            </w:r>
          </w:p>
        </w:tc>
      </w:tr>
      <w:tr>
        <w:trPr>
          <w:trHeight w:val="364"/>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363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477</w:t>
            </w:r>
          </w:p>
        </w:tc>
      </w:tr>
      <w:tr>
        <w:trPr>
          <w:trHeight w:val="364"/>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353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342</w:t>
            </w:r>
          </w:p>
        </w:tc>
      </w:tr>
      <w:tr>
        <w:trPr>
          <w:trHeight w:val="364"/>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62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113</w:t>
            </w:r>
          </w:p>
        </w:tc>
      </w:tr>
      <w:tr>
        <w:trPr>
          <w:trHeight w:val="365"/>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552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477</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7"/>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2,381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2,159</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5,499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5,057</w:t>
            </w:r>
          </w:p>
        </w:tc>
      </w:tr>
      <w:tr>
        <w:trPr>
          <w:trHeight w:val="364"/>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95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120</w:t>
            </w:r>
          </w:p>
        </w:tc>
      </w:tr>
      <w:tr>
        <w:trPr>
          <w:trHeight w:val="365"/>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64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43</w:t>
            </w:r>
          </w:p>
        </w:tc>
      </w:tr>
      <w:tr>
        <w:trPr>
          <w:trHeight w:val="364"/>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1,510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1,545</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7"/>
        </w:trPr>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9,549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8,924</w:t>
            </w:r>
          </w:p>
        </w:tc>
      </w:tr>
      <w:tr>
        <w:trPr>
          <w:trHeight w:val="27"/>
        </w:trPr>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871"/>
        </w:trPr>
        <w:tc>
          <w:tcPr>
            <w:tcW w:w="4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634"/>
        </w:trPr>
        <w:tc>
          <w:tcPr>
            <w:tcW w:w="48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1,741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1,741</w:t>
            </w:r>
          </w:p>
        </w:tc>
      </w:tr>
    </w:tbl>
    <w:p>
      <w:pPr>
        <w:spacing w:after="0" w:line="35" w:lineRule="exact"/>
        <w:rPr>
          <w:sz w:val="20"/>
          <w:szCs w:val="20"/>
          <w:color w:val="auto"/>
        </w:rPr>
      </w:pPr>
    </w:p>
    <w:p>
      <w:pPr>
        <w:sectPr>
          <w:pgSz w:w="11900" w:h="17038" w:orient="portrait"/>
          <w:cols w:equalWidth="0" w:num="2">
            <w:col w:w="6020" w:space="720"/>
            <w:col w:w="3239"/>
          </w:cols>
          <w:pgMar w:left="480" w:top="891" w:right="1440" w:bottom="0" w:gutter="0" w:footer="0" w:header="0"/>
          <w:type w:val="continuous"/>
        </w:sectPr>
      </w:pPr>
    </w:p>
    <w:p>
      <w:pPr>
        <w:ind w:left="180"/>
        <w:spacing w:after="0"/>
        <w:tabs>
          <w:tab w:leader="none" w:pos="960" w:val="left"/>
        </w:tabs>
        <w:rPr>
          <w:sz w:val="20"/>
          <w:szCs w:val="20"/>
          <w:color w:val="auto"/>
        </w:rPr>
      </w:pPr>
      <w:r>
        <w:rPr>
          <w:rFonts w:ascii="Arial" w:cs="Arial" w:eastAsia="Arial" w:hAnsi="Arial"/>
          <w:sz w:val="18"/>
          <w:szCs w:val="18"/>
          <w:color w:val="auto"/>
        </w:rPr>
        <w:t>P id i</w:t>
      </w:r>
      <w:r>
        <w:rPr>
          <w:sz w:val="20"/>
          <w:szCs w:val="20"/>
          <w:color w:val="auto"/>
        </w:rPr>
        <w:tab/>
      </w:r>
      <w:r>
        <w:rPr>
          <w:rFonts w:ascii="Arial" w:cs="Arial" w:eastAsia="Arial" w:hAnsi="Arial"/>
          <w:sz w:val="18"/>
          <w:szCs w:val="18"/>
          <w:color w:val="auto"/>
        </w:rPr>
        <w:t>i  l</w:t>
      </w:r>
    </w:p>
    <w:p>
      <w:pPr>
        <w:sectPr>
          <w:pgSz w:w="11900" w:h="17038" w:orient="portrait"/>
          <w:cols w:equalWidth="0" w:num="1">
            <w:col w:w="9979"/>
          </w:cols>
          <w:pgMar w:left="480" w:top="891"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440" w:type="dxa"/>
            <w:vAlign w:val="bottom"/>
          </w:tcPr>
          <w:p>
            <w:pPr>
              <w:spacing w:after="0"/>
              <w:rPr>
                <w:sz w:val="20"/>
                <w:szCs w:val="20"/>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2,096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94"/>
        </w:trPr>
        <w:tc>
          <w:tcPr>
            <w:tcW w:w="6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21"/>
                <w:szCs w:val="21"/>
                <w:color w:val="auto"/>
              </w:rPr>
            </w:pPr>
          </w:p>
        </w:tc>
        <w:tc>
          <w:tcPr>
            <w:tcW w:w="11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40,227</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38,396</w:t>
            </w:r>
          </w:p>
        </w:tc>
        <w:tc>
          <w:tcPr>
            <w:tcW w:w="0" w:type="dxa"/>
            <w:vAlign w:val="bottom"/>
          </w:tcPr>
          <w:p>
            <w:pPr>
              <w:spacing w:after="0"/>
              <w:rPr>
                <w:sz w:val="1"/>
                <w:szCs w:val="1"/>
                <w:color w:val="auto"/>
              </w:rPr>
            </w:pPr>
          </w:p>
        </w:tc>
      </w:tr>
      <w:tr>
        <w:trPr>
          <w:trHeight w:val="102"/>
        </w:trPr>
        <w:tc>
          <w:tcPr>
            <w:tcW w:w="674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10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Treasury common stock at cost</w:t>
            </w: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March 31, 2020 – 819,335,097; March 31, 2019 – 802,016,668</w:t>
            </w:r>
          </w:p>
        </w:tc>
        <w:tc>
          <w:tcPr>
            <w:tcW w:w="440" w:type="dxa"/>
            <w:vAlign w:val="bottom"/>
            <w:shd w:val="clear" w:color="auto" w:fill="CCEEFF"/>
          </w:tcPr>
          <w:p>
            <w:pPr>
              <w:spacing w:after="0"/>
              <w:rPr>
                <w:sz w:val="21"/>
                <w:szCs w:val="21"/>
                <w:color w:val="auto"/>
              </w:rPr>
            </w:pPr>
          </w:p>
        </w:tc>
        <w:tc>
          <w:tcPr>
            <w:tcW w:w="11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(36,002)</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(33,080)</w:t>
            </w:r>
          </w:p>
        </w:tc>
        <w:tc>
          <w:tcPr>
            <w:tcW w:w="0" w:type="dxa"/>
            <w:vAlign w:val="bottom"/>
          </w:tcPr>
          <w:p>
            <w:pPr>
              <w:spacing w:after="0"/>
              <w:rPr>
                <w:sz w:val="1"/>
                <w:szCs w:val="1"/>
                <w:color w:val="auto"/>
              </w:rPr>
            </w:pPr>
          </w:p>
        </w:tc>
      </w:tr>
      <w:tr>
        <w:trPr>
          <w:trHeight w:val="101"/>
        </w:trPr>
        <w:tc>
          <w:tcPr>
            <w:tcW w:w="674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10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 net of taxes (AOCI)</w:t>
            </w:r>
          </w:p>
        </w:tc>
        <w:tc>
          <w:tcPr>
            <w:tcW w:w="440" w:type="dxa"/>
            <w:vAlign w:val="bottom"/>
          </w:tcPr>
          <w:p>
            <w:pPr>
              <w:spacing w:after="0"/>
              <w:rPr>
                <w:sz w:val="21"/>
                <w:szCs w:val="21"/>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(328)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94"/>
        </w:trPr>
        <w:tc>
          <w:tcPr>
            <w:tcW w:w="6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4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7,734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8,519</w:t>
            </w:r>
          </w:p>
        </w:tc>
        <w:tc>
          <w:tcPr>
            <w:tcW w:w="0" w:type="dxa"/>
            <w:vAlign w:val="bottom"/>
          </w:tcPr>
          <w:p>
            <w:pPr>
              <w:spacing w:after="0"/>
              <w:rPr>
                <w:sz w:val="1"/>
                <w:szCs w:val="1"/>
                <w:color w:val="auto"/>
              </w:rPr>
            </w:pPr>
          </w:p>
        </w:tc>
      </w:tr>
      <w:tr>
        <w:trPr>
          <w:trHeight w:val="122"/>
        </w:trPr>
        <w:tc>
          <w:tcPr>
            <w:tcW w:w="674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17,283</w:t>
            </w:r>
          </w:p>
        </w:tc>
        <w:tc>
          <w:tcPr>
            <w:tcW w:w="80" w:type="dxa"/>
            <w:vAlign w:val="bottom"/>
          </w:tcPr>
          <w:p>
            <w:pPr>
              <w:spacing w:after="0"/>
              <w:rPr>
                <w:sz w:val="19"/>
                <w:szCs w:val="19"/>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94"/>
        </w:trPr>
        <w:tc>
          <w:tcPr>
            <w:tcW w:w="6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4</w:t>
      </w:r>
    </w:p>
    <w:p>
      <w:pPr>
        <w:sectPr>
          <w:pgSz w:w="11900" w:h="16838" w:orient="portrait"/>
          <w:cols w:equalWidth="0" w:num="1">
            <w:col w:w="11080"/>
          </w:cols>
          <w:pgMar w:left="480" w:top="58" w:right="339" w:bottom="1440" w:gutter="0" w:footer="0" w:header="0"/>
        </w:sectPr>
      </w:pPr>
    </w:p>
    <w:bookmarkStart w:id="9" w:name="page10"/>
    <w:bookmarkEnd w:id="9"/>
    <w:p>
      <w:pPr>
        <w:jc w:val="center"/>
        <w:ind w:right="-1100"/>
        <w:spacing w:after="0"/>
        <w:rPr>
          <w:sz w:val="20"/>
          <w:szCs w:val="20"/>
          <w:color w:val="auto"/>
        </w:rPr>
      </w:pPr>
      <w:r>
        <w:rPr>
          <w:rFonts w:ascii="Arial" w:cs="Arial" w:eastAsia="Arial" w:hAnsi="Arial"/>
          <w:sz w:val="17"/>
          <w:szCs w:val="17"/>
          <w:b w:val="1"/>
          <w:bCs w:val="1"/>
          <w:color w:val="auto"/>
        </w:rPr>
        <w:t>TEXAS INSTRUMENTS INCORPORATED AND SUBSIDIARIES</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(Millions of dollars)</w:t>
      </w:r>
    </w:p>
    <w:p>
      <w:pPr>
        <w:spacing w:after="0" w:line="279" w:lineRule="exact"/>
        <w:rPr>
          <w:sz w:val="20"/>
          <w:szCs w:val="20"/>
          <w:color w:val="auto"/>
        </w:rPr>
      </w:pPr>
    </w:p>
    <w:p>
      <w:pPr>
        <w:jc w:val="center"/>
        <w:ind w:left="5660"/>
        <w:spacing w:after="0"/>
        <w:rPr>
          <w:sz w:val="20"/>
          <w:szCs w:val="20"/>
          <w:color w:val="auto"/>
        </w:rPr>
      </w:pPr>
      <w:r>
        <w:rPr>
          <w:rFonts w:ascii="Arial" w:cs="Arial" w:eastAsia="Arial" w:hAnsi="Arial"/>
          <w:sz w:val="16"/>
          <w:szCs w:val="16"/>
          <w:b w:val="1"/>
          <w:bCs w:val="1"/>
          <w:color w:val="auto"/>
        </w:rPr>
        <w:t>For Three Months Ended</w:t>
      </w:r>
    </w:p>
    <w:p>
      <w:pPr>
        <w:spacing w:after="0" w:line="86" w:lineRule="exact"/>
        <w:rPr>
          <w:sz w:val="20"/>
          <w:szCs w:val="20"/>
          <w:color w:val="auto"/>
        </w:rPr>
      </w:pPr>
    </w:p>
    <w:p>
      <w:pPr>
        <w:jc w:val="center"/>
        <w:ind w:left="56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34290</wp:posOffset>
            </wp:positionV>
            <wp:extent cx="20313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ectPr>
          <w:pgSz w:w="11900" w:h="16838" w:orient="portrait"/>
          <w:cols w:equalWidth="0" w:num="1">
            <w:col w:w="10119"/>
          </w:cols>
          <w:pgMar w:left="340" w:top="891" w:right="1440" w:bottom="42" w:gutter="0" w:footer="0" w:header="0"/>
        </w:sect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637794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77940" cy="179705"/>
                    </a:xfrm>
                    <a:prstGeom prst="rect">
                      <a:avLst/>
                    </a:prstGeom>
                    <a:noFill/>
                  </pic:spPr>
                </pic:pic>
              </a:graphicData>
            </a:graphic>
          </wp:anchor>
        </w:drawing>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37794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77940" cy="171450"/>
                    </a:xfrm>
                    <a:prstGeom prst="rect">
                      <a:avLst/>
                    </a:prstGeom>
                    <a:noFill/>
                  </pic:spPr>
                </pic:pic>
              </a:graphicData>
            </a:graphic>
          </wp:anchor>
        </w:drawing>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Adjustments to net income:</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377940" cy="231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77940" cy="231140"/>
                    </a:xfrm>
                    <a:prstGeom prst="rect">
                      <a:avLst/>
                    </a:prstGeom>
                    <a:noFill/>
                  </pic:spPr>
                </pic:pic>
              </a:graphicData>
            </a:graphic>
          </wp:anchor>
        </w:drawing>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Amortization of acquisition-related intangibles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Amortization of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377940" cy="231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77940" cy="231775"/>
                    </a:xfrm>
                    <a:prstGeom prst="rect">
                      <a:avLst/>
                    </a:prstGeom>
                    <a:noFill/>
                  </pic:spPr>
                </pic:pic>
              </a:graphicData>
            </a:graphic>
          </wp:anchor>
        </w:drawing>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 compensation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Gains on sales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377940" cy="2311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77940" cy="231140"/>
                    </a:xfrm>
                    <a:prstGeom prst="rect">
                      <a:avLst/>
                    </a:prstGeom>
                    <a:noFill/>
                  </pic:spPr>
                </pic:pic>
              </a:graphicData>
            </a:graphic>
          </wp:anchor>
        </w:drawing>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Deferred taxes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Increase (decrease) from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6377940" cy="231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77940" cy="231775"/>
                    </a:xfrm>
                    <a:prstGeom prst="rect">
                      <a:avLst/>
                    </a:prstGeom>
                    <a:noFill/>
                  </pic:spPr>
                </pic:pic>
              </a:graphicData>
            </a:graphic>
          </wp:anchor>
        </w:drawing>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receivable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377940" cy="231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77940" cy="231775"/>
                    </a:xfrm>
                    <a:prstGeom prst="rect">
                      <a:avLst/>
                    </a:prstGeom>
                    <a:noFill/>
                  </pic:spPr>
                </pic:pic>
              </a:graphicData>
            </a:graphic>
          </wp:anchor>
        </w:drawing>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Prepaid expenses and other current assets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377940" cy="231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77940" cy="231775"/>
                    </a:xfrm>
                    <a:prstGeom prst="rect">
                      <a:avLst/>
                    </a:prstGeom>
                    <a:noFill/>
                  </pic:spPr>
                </pic:pic>
              </a:graphicData>
            </a:graphic>
          </wp:anchor>
        </w:drawing>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compensation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377940" cy="231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77940" cy="231775"/>
                    </a:xfrm>
                    <a:prstGeom prst="rect">
                      <a:avLst/>
                    </a:prstGeom>
                    <a:noFill/>
                  </pic:spPr>
                </pic:pic>
              </a:graphicData>
            </a:graphic>
          </wp:anchor>
        </w:drawing>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Changes in funded status of retirement plans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377940" cy="2311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77940" cy="23114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637794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77940"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377940" cy="2311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77940" cy="231140"/>
                    </a:xfrm>
                    <a:prstGeom prst="rect">
                      <a:avLst/>
                    </a:prstGeom>
                    <a:noFill/>
                  </pic:spPr>
                </pic:pic>
              </a:graphicData>
            </a:graphic>
          </wp:anchor>
        </w:drawing>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Proceeds from asset sales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Purchases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377940" cy="231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77940" cy="231775"/>
                    </a:xfrm>
                    <a:prstGeom prst="rect">
                      <a:avLst/>
                    </a:prstGeom>
                    <a:noFill/>
                  </pic:spPr>
                </pic:pic>
              </a:graphicData>
            </a:graphic>
          </wp:anchor>
        </w:drawing>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Proceeds from short-term investments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377940" cy="231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77940" cy="23177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637794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77940"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377940" cy="231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77940" cy="231775"/>
                    </a:xfrm>
                    <a:prstGeom prst="rect">
                      <a:avLst/>
                    </a:prstGeom>
                    <a:noFill/>
                  </pic:spPr>
                </pic:pic>
              </a:graphicData>
            </a:graphic>
          </wp:anchor>
        </w:drawing>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Dividends paid</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Stock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377940" cy="2317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77940" cy="231775"/>
                    </a:xfrm>
                    <a:prstGeom prst="rect">
                      <a:avLst/>
                    </a:prstGeom>
                    <a:noFill/>
                  </pic:spPr>
                </pic:pic>
              </a:graphicData>
            </a:graphic>
          </wp:anchor>
        </w:drawing>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Proceeds from common stock transactions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6377940" cy="2311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77940" cy="23114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6377940" cy="2311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77940" cy="2311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 and cash equivalents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6377940" cy="2482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77940" cy="24828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601"/>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1,174</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1,217</w:t>
            </w:r>
          </w:p>
        </w:tc>
      </w:tr>
      <w:tr>
        <w:trPr>
          <w:trHeight w:val="634"/>
        </w:trPr>
        <w:tc>
          <w:tcPr>
            <w:tcW w:w="34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186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166</w:t>
            </w:r>
          </w:p>
        </w:tc>
      </w:tr>
      <w:tr>
        <w:trPr>
          <w:trHeight w:val="365"/>
        </w:trPr>
        <w:tc>
          <w:tcPr>
            <w:tcW w:w="34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79</w:t>
            </w:r>
          </w:p>
        </w:tc>
      </w:tr>
      <w:tr>
        <w:trPr>
          <w:trHeight w:val="364"/>
        </w:trPr>
        <w:tc>
          <w:tcPr>
            <w:tcW w:w="34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13</w:t>
            </w:r>
          </w:p>
        </w:tc>
      </w:tr>
      <w:tr>
        <w:trPr>
          <w:trHeight w:val="365"/>
        </w:trPr>
        <w:tc>
          <w:tcPr>
            <w:tcW w:w="34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61</w:t>
            </w:r>
          </w:p>
        </w:tc>
      </w:tr>
      <w:tr>
        <w:trPr>
          <w:trHeight w:val="364"/>
        </w:trPr>
        <w:tc>
          <w:tcPr>
            <w:tcW w:w="34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364"/>
        </w:trPr>
        <w:tc>
          <w:tcPr>
            <w:tcW w:w="34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04" w:lineRule="exact"/>
        <w:rPr>
          <w:sz w:val="20"/>
          <w:szCs w:val="20"/>
          <w:color w:val="auto"/>
        </w:rPr>
      </w:pPr>
    </w:p>
    <w:p>
      <w:pPr>
        <w:ind w:left="2660" w:hanging="1644"/>
        <w:spacing w:after="0"/>
        <w:tabs>
          <w:tab w:leader="none" w:pos="2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(233)</w:t>
      </w:r>
    </w:p>
    <w:p>
      <w:pPr>
        <w:spacing w:after="0" w:line="154"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980" w:type="dxa"/>
            <w:vAlign w:val="bottom"/>
          </w:tcPr>
          <w:p>
            <w:pPr>
              <w:jc w:val="right"/>
              <w:ind w:right="590"/>
              <w:spacing w:after="0"/>
              <w:rPr>
                <w:sz w:val="20"/>
                <w:szCs w:val="20"/>
                <w:color w:val="auto"/>
              </w:rPr>
            </w:pPr>
            <w:r>
              <w:rPr>
                <w:rFonts w:ascii="Arial" w:cs="Arial" w:eastAsia="Arial" w:hAnsi="Arial"/>
                <w:sz w:val="18"/>
                <w:szCs w:val="18"/>
                <w:b w:val="1"/>
                <w:bCs w:val="1"/>
                <w:color w:val="auto"/>
              </w:rPr>
              <w:t>(2)</w:t>
            </w: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65"/>
        </w:trPr>
        <w:tc>
          <w:tcPr>
            <w:tcW w:w="980" w:type="dxa"/>
            <w:vAlign w:val="bottom"/>
          </w:tcPr>
          <w:p>
            <w:pPr>
              <w:jc w:val="right"/>
              <w:ind w:right="590"/>
              <w:spacing w:after="0"/>
              <w:rPr>
                <w:sz w:val="20"/>
                <w:szCs w:val="20"/>
                <w:color w:val="auto"/>
              </w:rPr>
            </w:pPr>
            <w:r>
              <w:rPr>
                <w:rFonts w:ascii="Arial" w:cs="Arial" w:eastAsia="Arial" w:hAnsi="Arial"/>
                <w:sz w:val="18"/>
                <w:szCs w:val="18"/>
                <w:b w:val="1"/>
                <w:bCs w:val="1"/>
                <w:color w:val="auto"/>
                <w:w w:val="87"/>
              </w:rPr>
              <w:t>(88)</w:t>
            </w:r>
          </w:p>
        </w:tc>
        <w:tc>
          <w:tcPr>
            <w:tcW w:w="98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364"/>
        </w:trPr>
        <w:tc>
          <w:tcPr>
            <w:tcW w:w="9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34" w:lineRule="exact"/>
        <w:rPr>
          <w:sz w:val="20"/>
          <w:szCs w:val="20"/>
          <w:color w:val="auto"/>
        </w:rPr>
      </w:pPr>
    </w:p>
    <w:p>
      <w:pPr>
        <w:ind w:left="2660" w:hanging="1644"/>
        <w:spacing w:after="0"/>
        <w:tabs>
          <w:tab w:leader="none" w:pos="2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(373)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147</w:t>
            </w:r>
          </w:p>
        </w:tc>
        <w:tc>
          <w:tcPr>
            <w:tcW w:w="10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(94)</w:t>
            </w:r>
          </w:p>
        </w:tc>
      </w:tr>
      <w:tr>
        <w:trPr>
          <w:trHeight w:val="365"/>
        </w:trPr>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4"/>
                <w:szCs w:val="24"/>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7</w:t>
            </w:r>
          </w:p>
        </w:tc>
      </w:tr>
      <w:tr>
        <w:trPr>
          <w:trHeight w:val="364"/>
        </w:trPr>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4"/>
                <w:szCs w:val="24"/>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20</w:t>
            </w:r>
          </w:p>
        </w:tc>
      </w:tr>
      <w:tr>
        <w:trPr>
          <w:trHeight w:val="27"/>
        </w:trPr>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2600" w:hanging="1509"/>
        <w:spacing w:after="0"/>
        <w:tabs>
          <w:tab w:leader="none" w:pos="26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1,107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20313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60" w:hanging="1644"/>
        <w:spacing w:after="0"/>
        <w:tabs>
          <w:tab w:leader="none" w:pos="2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(251)</w:t>
      </w:r>
    </w:p>
    <w:p>
      <w:pPr>
        <w:spacing w:after="0" w:line="154" w:lineRule="exact"/>
        <w:rPr>
          <w:sz w:val="20"/>
          <w:szCs w:val="20"/>
          <w:color w:val="auto"/>
        </w:rPr>
      </w:pPr>
    </w:p>
    <w:p>
      <w:pPr>
        <w:ind w:left="1180"/>
        <w:spacing w:after="0"/>
        <w:tabs>
          <w:tab w:leader="none" w:pos="29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w:t>
      </w:r>
    </w:p>
    <w:p>
      <w:pPr>
        <w:spacing w:after="0" w:line="162" w:lineRule="exact"/>
        <w:rPr>
          <w:sz w:val="20"/>
          <w:szCs w:val="20"/>
          <w:color w:val="auto"/>
        </w:rPr>
      </w:pPr>
    </w:p>
    <w:p>
      <w:pPr>
        <w:ind w:left="2660" w:hanging="1644"/>
        <w:spacing w:after="0"/>
        <w:tabs>
          <w:tab w:leader="none" w:pos="2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(149)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1,638</w:t>
            </w:r>
          </w:p>
        </w:tc>
        <w:tc>
          <w:tcPr>
            <w:tcW w:w="100" w:type="dxa"/>
            <w:vAlign w:val="bottom"/>
          </w:tcPr>
          <w:p>
            <w:pPr>
              <w:spacing w:after="0"/>
              <w:rPr>
                <w:sz w:val="20"/>
                <w:szCs w:val="20"/>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1,584</w:t>
            </w:r>
          </w:p>
        </w:tc>
      </w:tr>
      <w:tr>
        <w:trPr>
          <w:trHeight w:val="365"/>
        </w:trPr>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4"/>
                <w:szCs w:val="24"/>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(13)</w:t>
            </w:r>
          </w:p>
        </w:tc>
      </w:tr>
      <w:tr>
        <w:trPr>
          <w:trHeight w:val="27"/>
        </w:trPr>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2600" w:hanging="1509"/>
        <w:spacing w:after="0"/>
        <w:tabs>
          <w:tab w:leader="none" w:pos="26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1,173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20313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749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743</w:t>
            </w:r>
          </w:p>
        </w:tc>
      </w:tr>
      <w:tr>
        <w:trPr>
          <w:trHeight w:val="364"/>
        </w:trPr>
        <w:tc>
          <w:tcPr>
            <w:tcW w:w="5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(841)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(724)</w:t>
            </w:r>
          </w:p>
        </w:tc>
      </w:tr>
      <w:tr>
        <w:trPr>
          <w:trHeight w:val="365"/>
        </w:trPr>
        <w:tc>
          <w:tcPr>
            <w:tcW w:w="5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(1,641)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(1,152)</w:t>
            </w:r>
          </w:p>
        </w:tc>
      </w:tr>
      <w:tr>
        <w:trPr>
          <w:trHeight w:val="364"/>
        </w:trPr>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146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151</w:t>
            </w:r>
          </w:p>
        </w:tc>
      </w:tr>
      <w:tr>
        <w:trPr>
          <w:trHeight w:val="364"/>
        </w:trPr>
        <w:tc>
          <w:tcPr>
            <w:tcW w:w="5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w:t>
            </w:r>
          </w:p>
        </w:tc>
      </w:tr>
      <w:tr>
        <w:trPr>
          <w:trHeight w:val="27"/>
        </w:trPr>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7"/>
        </w:trPr>
        <w:tc>
          <w:tcPr>
            <w:tcW w:w="5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(1,596)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(998)</w:t>
            </w:r>
          </w:p>
        </w:tc>
      </w:tr>
      <w:tr>
        <w:trPr>
          <w:trHeight w:val="27"/>
        </w:trPr>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601"/>
        </w:trPr>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1,282</w:t>
            </w:r>
          </w:p>
        </w:tc>
      </w:tr>
      <w:tr>
        <w:trPr>
          <w:trHeight w:val="365"/>
        </w:trPr>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2,437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2,438</w:t>
            </w:r>
          </w:p>
        </w:tc>
      </w:tr>
      <w:tr>
        <w:trPr>
          <w:trHeight w:val="27"/>
        </w:trPr>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7"/>
        </w:trPr>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2,518</w:t>
            </w:r>
          </w:p>
        </w:tc>
        <w:tc>
          <w:tcPr>
            <w:tcW w:w="1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3,720</w:t>
            </w:r>
          </w:p>
        </w:tc>
      </w:tr>
      <w:tr>
        <w:trPr>
          <w:trHeight w:val="27"/>
        </w:trPr>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120" w:space="720"/>
            <w:col w:w="3279"/>
          </w:cols>
          <w:pgMar w:left="340" w:top="891" w:right="1440" w:bottom="42" w:gutter="0" w:footer="0" w:header="0"/>
          <w:type w:val="continuous"/>
        </w:sectPr>
      </w:pPr>
    </w:p>
    <w:bookmarkStart w:id="10" w:name="page11"/>
    <w:bookmarkEnd w:id="10"/>
    <w:p>
      <w:pPr>
        <w:ind w:left="10020"/>
        <w:spacing w:after="0"/>
        <w:rPr>
          <w:sz w:val="20"/>
          <w:szCs w:val="20"/>
          <w:color w:val="auto"/>
        </w:rPr>
      </w:pPr>
      <w:r>
        <w:rPr>
          <w:rFonts w:ascii="Arial" w:cs="Arial" w:eastAsia="Arial" w:hAnsi="Arial"/>
          <w:sz w:val="16"/>
          <w:szCs w:val="16"/>
          <w:color w:val="707070"/>
        </w:rPr>
        <w:t>5</w:t>
      </w:r>
    </w:p>
    <w:p>
      <w:pPr>
        <w:sectPr>
          <w:pgSz w:w="11900" w:h="16838" w:orient="portrait"/>
          <w:cols w:equalWidth="0" w:num="1">
            <w:col w:w="10120"/>
          </w:cols>
          <w:pgMar w:left="1440" w:top="9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Q1 2020</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Q1 2019</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21"/>
                <w:szCs w:val="21"/>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21"/>
                <w:szCs w:val="21"/>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95"/>
        </w:trPr>
        <w:tc>
          <w:tcPr>
            <w:tcW w:w="57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profit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21"/>
                <w:szCs w:val="21"/>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21"/>
                <w:szCs w:val="21"/>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01"/>
        </w:trPr>
        <w:tc>
          <w:tcPr>
            <w:tcW w:w="574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21"/>
                <w:szCs w:val="21"/>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21"/>
                <w:szCs w:val="21"/>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01"/>
        </w:trPr>
        <w:tc>
          <w:tcPr>
            <w:tcW w:w="574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Operating profit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95"/>
        </w:trPr>
        <w:tc>
          <w:tcPr>
            <w:tcW w:w="57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94"/>
        </w:trPr>
        <w:tc>
          <w:tcPr>
            <w:tcW w:w="57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profit*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94"/>
        </w:trPr>
        <w:tc>
          <w:tcPr>
            <w:tcW w:w="574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Power, Signal Chain and High Volume)</w:t>
      </w:r>
    </w:p>
    <w:p>
      <w:pPr>
        <w:spacing w:after="0" w:line="27" w:lineRule="exact"/>
        <w:rPr>
          <w:sz w:val="20"/>
          <w:szCs w:val="20"/>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decreased in Signal Chain and High Volume, offset by growth in Power.</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profit decreased primarily due to lower revenue and associated gross profit.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Connected Microcontrollers and Processors)</w:t>
      </w:r>
    </w:p>
    <w:p>
      <w:pPr>
        <w:spacing w:after="0" w:line="27" w:lineRule="exact"/>
        <w:rPr>
          <w:sz w:val="20"/>
          <w:szCs w:val="20"/>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decreased in both product lines.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profit decreased due to lower revenue and associated gross profit.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3"/>
          <w:szCs w:val="23"/>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calculators and custom ASIC products)</w:t>
      </w: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decreased $64 million, and operating profit decreased $5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6</w:t>
      </w:r>
    </w:p>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ectPr>
          <w:pgSz w:w="11900" w:h="16838" w:orient="portrait"/>
          <w:cols w:equalWidth="0" w:num="1">
            <w:col w:w="11240"/>
          </w:cols>
          <w:pgMar w:left="320" w:top="1215"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For 12 Months Ended</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60" w:type="dxa"/>
            <w:vAlign w:val="bottom"/>
            <w:vMerge w:val="restart"/>
          </w:tcPr>
          <w:p>
            <w:pPr>
              <w:ind w:left="20"/>
              <w:spacing w:after="0"/>
              <w:rPr>
                <w:sz w:val="20"/>
                <w:szCs w:val="20"/>
                <w:color w:val="auto"/>
              </w:rPr>
            </w:pPr>
            <w:r>
              <w:rPr>
                <w:rFonts w:ascii="Arial" w:cs="Arial" w:eastAsia="Arial" w:hAnsi="Arial"/>
                <w:sz w:val="18"/>
                <w:szCs w:val="18"/>
                <w:color w:val="auto"/>
              </w:rPr>
              <w:t>Cash flow from operations (GAAP)</w:t>
            </w: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6,393</w:t>
            </w:r>
          </w:p>
        </w:tc>
        <w:tc>
          <w:tcPr>
            <w:tcW w:w="76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7,184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56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56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3"/>
                <w:szCs w:val="2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(757)</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(1,193)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5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660" w:type="dxa"/>
            <w:vAlign w:val="bottom"/>
            <w:vMerge w:val="restart"/>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5,636</w:t>
            </w:r>
          </w:p>
        </w:tc>
        <w:tc>
          <w:tcPr>
            <w:tcW w:w="76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5,991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56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6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6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660" w:type="dxa"/>
            <w:vAlign w:val="bottom"/>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14,118</w:t>
            </w:r>
          </w:p>
        </w:tc>
        <w:tc>
          <w:tcPr>
            <w:tcW w:w="76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15,589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56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5660" w:type="dxa"/>
            <w:vAlign w:val="bottom"/>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6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6395085" cy="248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95085"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6395085" cy="248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95085"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639508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950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6395085" cy="2311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95085"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w:t>
      </w:r>
    </w:p>
    <w:p>
      <w:pPr>
        <w:spacing w:after="0" w:line="162"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(11) %</w:t>
      </w:r>
    </w:p>
    <w:p>
      <w:pPr>
        <w:spacing w:after="0" w:line="200" w:lineRule="exact"/>
        <w:rPr>
          <w:sz w:val="20"/>
          <w:szCs w:val="20"/>
          <w:color w:val="auto"/>
        </w:rPr>
      </w:pPr>
    </w:p>
    <w:p>
      <w:pPr>
        <w:spacing w:after="0" w:line="349"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(6) %</w:t>
      </w:r>
    </w:p>
    <w:p>
      <w:pPr>
        <w:spacing w:after="0" w:line="1748" w:lineRule="exact"/>
        <w:rPr>
          <w:sz w:val="20"/>
          <w:szCs w:val="20"/>
          <w:color w:val="auto"/>
        </w:rPr>
      </w:pPr>
    </w:p>
    <w:p>
      <w:pPr>
        <w:sectPr>
          <w:pgSz w:w="11900" w:h="16838" w:orient="portrait"/>
          <w:cols w:equalWidth="0" w:num="2">
            <w:col w:w="8640" w:space="480"/>
            <w:col w:w="2120"/>
          </w:cols>
          <w:pgMar w:left="320" w:top="1215" w:right="339" w:bottom="1440" w:gutter="0" w:footer="0" w:header="0"/>
          <w:type w:val="continuous"/>
        </w:sectPr>
      </w:pPr>
    </w:p>
    <w:p>
      <w:pPr>
        <w:spacing w:after="0" w:line="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7</w:t>
      </w:r>
    </w:p>
    <w:p>
      <w:pPr>
        <w:sectPr>
          <w:pgSz w:w="11900" w:h="16838" w:orient="portrait"/>
          <w:cols w:equalWidth="0" w:num="1">
            <w:col w:w="11240"/>
          </w:cols>
          <w:pgMar w:left="320" w:top="121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7" w:lineRule="exact"/>
        <w:rPr>
          <w:sz w:val="20"/>
          <w:szCs w:val="20"/>
          <w:color w:val="auto"/>
        </w:rPr>
      </w:pPr>
    </w:p>
    <w:p>
      <w:pPr>
        <w:ind w:left="620" w:right="720" w:hanging="329"/>
        <w:spacing w:after="0" w:line="250"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duration and scope of the COVID-19 pandemic, government and other third-party responses to it and the consequences for the global economy, including to our business and the businesses of our suppliers, customers and distributors;</w:t>
      </w:r>
    </w:p>
    <w:p>
      <w:pPr>
        <w:ind w:left="620" w:right="60" w:hanging="329"/>
        <w:spacing w:after="0" w:line="249"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hanging="32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20" w:lineRule="exact"/>
        <w:rPr>
          <w:rFonts w:ascii="Arial" w:cs="Arial" w:eastAsia="Arial" w:hAnsi="Arial"/>
          <w:sz w:val="17"/>
          <w:szCs w:val="17"/>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9" w:lineRule="exact"/>
        <w:rPr>
          <w:rFonts w:ascii="Arial" w:cs="Arial" w:eastAsia="Arial" w:hAnsi="Arial"/>
          <w:sz w:val="18"/>
          <w:szCs w:val="18"/>
          <w:color w:val="auto"/>
        </w:rPr>
      </w:pPr>
    </w:p>
    <w:p>
      <w:pPr>
        <w:ind w:left="620" w:right="320" w:hanging="329"/>
        <w:spacing w:after="0" w:line="250"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restructuring charges and associated cost savings;</w:t>
      </w:r>
    </w:p>
    <w:p>
      <w:pPr>
        <w:ind w:left="620" w:right="1060" w:hanging="329"/>
        <w:spacing w:after="0" w:line="250"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ind w:left="620" w:hanging="32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20" w:right="160" w:hanging="329"/>
        <w:spacing w:after="0" w:line="250"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ind w:left="620" w:right="660" w:hanging="329"/>
        <w:spacing w:after="0" w:line="250"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60" w:hanging="329"/>
        <w:spacing w:after="0" w:line="265"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Financial difficulties of our distributors or their promotion of competing product lines to our detriment; or disputes with significant distributors;</w:t>
      </w:r>
    </w:p>
    <w:p>
      <w:pPr>
        <w:spacing w:after="0" w:line="20" w:lineRule="exact"/>
        <w:rPr>
          <w:rFonts w:ascii="Arial" w:cs="Arial" w:eastAsia="Arial" w:hAnsi="Arial"/>
          <w:sz w:val="17"/>
          <w:szCs w:val="17"/>
          <w:color w:val="auto"/>
        </w:rPr>
      </w:pPr>
    </w:p>
    <w:p>
      <w:pPr>
        <w:ind w:left="620" w:hanging="32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20" w:lineRule="exact"/>
        <w:rPr>
          <w:rFonts w:ascii="Arial" w:cs="Arial" w:eastAsia="Arial" w:hAnsi="Arial"/>
          <w:sz w:val="17"/>
          <w:szCs w:val="17"/>
          <w:color w:val="auto"/>
        </w:rPr>
      </w:pPr>
    </w:p>
    <w:p>
      <w:pPr>
        <w:ind w:left="620" w:right="100" w:hanging="329"/>
        <w:spacing w:after="0" w:line="250"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60" w:hanging="329"/>
        <w:spacing w:after="0" w:line="250"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20"/>
          <w:szCs w:val="20"/>
          <w:color w:val="707070"/>
        </w:rPr>
        <w:t>8</w:t>
      </w:r>
    </w:p>
    <w:p>
      <w:pPr>
        <w:sectPr>
          <w:pgSz w:w="11900" w:h="16838" w:orient="portrait"/>
          <w:cols w:equalWidth="0" w:num="1">
            <w:col w:w="11240"/>
          </w:cols>
          <w:pgMar w:left="320" w:top="110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About Texas Instruments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From connected cars and intelligent homes to self-monitoring health devices and automated factories, Texas Instruments Incorporated (TI) (Nasdaq: TXN) products are at work in virtually every type of electronic system. With operations in more than 30 countries, we engineer, manufacture, test and sell analog and embedded semiconductor chips. Our employees, about 30,000 worldwide, are driven by core values of integrity, innovation and commitment, and work every day to shape the future of technology. Learn more at </w:t>
      </w:r>
      <w:r>
        <w:rPr>
          <w:rFonts w:ascii="Arial" w:cs="Arial" w:eastAsia="Arial" w:hAnsi="Arial"/>
          <w:sz w:val="18"/>
          <w:szCs w:val="18"/>
          <w:u w:val="single" w:color="auto"/>
          <w:color w:val="3A3AFF"/>
        </w:rPr>
        <w:t>www.ti.com</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220"/>
      </w:cols>
      <w:pgMar w:left="320" w:top="110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242"/>
    </w:lvl>
  </w:abstractNum>
  <w:abstractNum w:abstractNumId="3">
    <w:nsid w:val="7545E146"/>
    <w:multiLevelType w:val="hybridMultilevel"/>
    <w:lvl w:ilvl="0">
      <w:lvlJc w:val="left"/>
      <w:lvlText w:val="(%1)"/>
      <w:numFmt w:val="decimal"/>
      <w:start w:val="353"/>
    </w:lvl>
  </w:abstractNum>
  <w:abstractNum w:abstractNumId="4">
    <w:nsid w:val="515F007C"/>
    <w:multiLevelType w:val="hybridMultilevel"/>
    <w:lvl w:ilvl="0">
      <w:lvlJc w:val="left"/>
      <w:lvlText w:val="%1"/>
      <w:numFmt w:val="decimal"/>
      <w:start w:val="851"/>
    </w:lvl>
  </w:abstractNum>
  <w:abstractNum w:abstractNumId="5">
    <w:nsid w:val="5BD062C2"/>
    <w:multiLevelType w:val="hybridMultilevel"/>
    <w:lvl w:ilvl="0">
      <w:lvlJc w:val="left"/>
      <w:lvlText w:val="(%1)"/>
      <w:numFmt w:val="decimal"/>
      <w:start w:val="161"/>
    </w:lvl>
  </w:abstractNum>
  <w:abstractNum w:abstractNumId="6">
    <w:nsid w:val="12200854"/>
    <w:multiLevelType w:val="hybridMultilevel"/>
    <w:lvl w:ilvl="0">
      <w:lvlJc w:val="left"/>
      <w:lvlText w:val="(%1)"/>
      <w:numFmt w:val="decimal"/>
      <w:start w:val="646"/>
    </w:lvl>
  </w:abstractNum>
  <w:abstractNum w:abstractNumId="7">
    <w:nsid w:val="4DB127F8"/>
    <w:multiLevelType w:val="hybridMultilevel"/>
    <w:lvl w:ilvl="0">
      <w:lvlJc w:val="left"/>
      <w:lvlText w:val="%1"/>
      <w:numFmt w:val="decimal"/>
      <w:start w:val="826"/>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2020-04-21T15:09:31Z</dcterms:created>
  <dcterms:modified xsi:type="dcterms:W3CDTF">2020-04-21T15:09:31Z</dcterms:modified>
</cp:coreProperties>
</file>