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936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605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43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10/26/2007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43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43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jc w:val="center"/>
              <w:ind w:left="69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100,000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16.11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394,395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100,000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16.25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494,395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3,000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31.72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491,395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2,000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31.73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489,395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3,000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31.76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486,395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1,000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31.77</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485,395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2,000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483,395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3,100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480,295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6,600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31.87</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473,695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6,200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31.88</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467,495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2,100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465,395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4,100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31.9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461,295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6,200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31.93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455,095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2,500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31.94</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452,595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30,800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31.95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421,795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18,300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31.96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403,495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29,600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31.97</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373,895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14,600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31.98</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359,295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26,800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31.99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332,495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26,200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306,295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1,000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32.01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305,295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5,000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32.03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300,295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5,000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32.04</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295,295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10/26/2007</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900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32.05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294,395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5"/>
              </w:rPr>
              <w:t>393.79</w:t>
            </w:r>
            <w:r>
              <w:rPr>
                <w:rFonts w:ascii="Arial" w:cs="Arial" w:eastAsia="Arial" w:hAnsi="Arial"/>
                <w:sz w:val="22"/>
                <w:szCs w:val="22"/>
                <w:color w:val="008000"/>
                <w:w w:val="85"/>
                <w:vertAlign w:val="superscript"/>
              </w:rPr>
              <w:t>(1)</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7"/>
              </w:rPr>
              <w:t>3,072.58</w:t>
            </w:r>
            <w:r>
              <w:rPr>
                <w:rFonts w:ascii="Arial" w:cs="Arial" w:eastAsia="Arial" w:hAnsi="Arial"/>
                <w:sz w:val="22"/>
                <w:szCs w:val="22"/>
                <w:color w:val="008000"/>
                <w:w w:val="87"/>
                <w:vertAlign w:val="superscript"/>
              </w:rPr>
              <w:t>(2)</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520"/>
          </w:cols>
          <w:pgMar w:left="240" w:top="224" w:right="139" w:bottom="43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3A. D emed</w:t>
            </w:r>
          </w:p>
        </w:tc>
        <w:tc>
          <w:tcPr>
            <w:tcW w:w="34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7. Title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 Amount</w:t>
            </w:r>
          </w:p>
        </w:tc>
        <w:tc>
          <w:tcPr>
            <w:tcW w:w="6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7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5660" w:type="dxa"/>
            <w:vAlign w:val="bottom"/>
            <w:gridSpan w:val="8"/>
          </w:tcPr>
          <w:p>
            <w:pPr>
              <w:ind w:left="60"/>
              <w:spacing w:after="0" w:line="53" w:lineRule="exact"/>
              <w:rPr>
                <w:sz w:val="20"/>
                <w:szCs w:val="20"/>
                <w:color w:val="auto"/>
              </w:rPr>
            </w:pPr>
            <w:r>
              <w:rPr>
                <w:rFonts w:ascii="Arial" w:cs="Arial" w:eastAsia="Arial" w:hAnsi="Arial"/>
                <w:sz w:val="6"/>
                <w:szCs w:val="6"/>
                <w:b w:val="1"/>
                <w:bCs w:val="1"/>
                <w:color w:val="auto"/>
              </w:rPr>
              <w:t xml:space="preserve">Table II - Derivative Securities Acquired, Disposed of, or </w:t>
            </w:r>
            <w:r>
              <w:rPr>
                <w:rFonts w:ascii="Arial" w:cs="Arial" w:eastAsia="Arial" w:hAnsi="Arial"/>
                <w:sz w:val="5"/>
                <w:szCs w:val="5"/>
                <w:b w:val="1"/>
                <w:bCs w:val="1"/>
                <w:color w:val="auto"/>
              </w:rPr>
              <w:t>Beneficially</w:t>
            </w:r>
          </w:p>
        </w:tc>
        <w:tc>
          <w:tcPr>
            <w:tcW w:w="760" w:type="dxa"/>
            <w:vAlign w:val="bottom"/>
            <w:gridSpan w:val="2"/>
          </w:tcPr>
          <w:p>
            <w:pPr>
              <w:jc w:val="right"/>
              <w:ind w:right="123"/>
              <w:spacing w:after="0" w:line="53" w:lineRule="exact"/>
              <w:rPr>
                <w:sz w:val="20"/>
                <w:szCs w:val="20"/>
                <w:color w:val="auto"/>
              </w:rPr>
            </w:pPr>
            <w:r>
              <w:rPr>
                <w:rFonts w:ascii="Arial" w:cs="Arial" w:eastAsia="Arial" w:hAnsi="Arial"/>
                <w:sz w:val="6"/>
                <w:szCs w:val="6"/>
                <w:b w:val="1"/>
                <w:bCs w:val="1"/>
                <w:color w:val="auto"/>
              </w:rPr>
              <w:t>Owned</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Transaction</w:t>
            </w:r>
          </w:p>
        </w:tc>
        <w:tc>
          <w:tcPr>
            <w:tcW w:w="90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2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of Securities</w:t>
            </w:r>
          </w:p>
        </w:tc>
        <w:tc>
          <w:tcPr>
            <w:tcW w:w="60" w:type="dxa"/>
            <w:vAlign w:val="bottom"/>
          </w:tcPr>
          <w:p>
            <w:pPr>
              <w:spacing w:after="0"/>
              <w:rPr>
                <w:sz w:val="6"/>
                <w:szCs w:val="6"/>
                <w:color w:val="auto"/>
              </w:rPr>
            </w:pPr>
          </w:p>
        </w:tc>
        <w:tc>
          <w:tcPr>
            <w:tcW w:w="7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70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00" w:type="dxa"/>
            <w:vAlign w:val="bottom"/>
          </w:tcPr>
          <w:p>
            <w:pPr>
              <w:ind w:left="80"/>
              <w:spacing w:after="0"/>
              <w:rPr>
                <w:sz w:val="20"/>
                <w:szCs w:val="20"/>
                <w:color w:val="auto"/>
              </w:rPr>
            </w:pPr>
            <w:r>
              <w:rPr>
                <w:rFonts w:ascii="Arial" w:cs="Arial" w:eastAsia="Arial" w:hAnsi="Arial"/>
                <w:sz w:val="2"/>
                <w:szCs w:val="2"/>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2"/>
                <w:szCs w:val="2"/>
                <w:b w:val="1"/>
                <w:bCs w:val="1"/>
                <w:color w:val="auto"/>
              </w:rPr>
              <w:t>if any</w:t>
            </w:r>
          </w:p>
        </w:tc>
        <w:tc>
          <w:tcPr>
            <w:tcW w:w="4880" w:type="dxa"/>
            <w:vAlign w:val="bottom"/>
            <w:gridSpan w:val="7"/>
          </w:tcPr>
          <w:p>
            <w:pPr>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0" w:type="dxa"/>
            <w:vAlign w:val="bottom"/>
          </w:tcPr>
          <w:p>
            <w:pPr>
              <w:spacing w:after="0"/>
              <w:rPr>
                <w:sz w:val="2"/>
                <w:szCs w:val="2"/>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18"/>
        </w:trPr>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18" w:lineRule="exact"/>
              <w:rPr>
                <w:sz w:val="20"/>
                <w:szCs w:val="20"/>
                <w:color w:val="auto"/>
              </w:rPr>
            </w:pPr>
            <w:r>
              <w:rPr>
                <w:rFonts w:ascii="Arial" w:cs="Arial" w:eastAsia="Arial" w:hAnsi="Arial"/>
                <w:sz w:val="12"/>
                <w:szCs w:val="12"/>
                <w:b w:val="1"/>
                <w:bCs w:val="1"/>
                <w:color w:val="auto"/>
              </w:rPr>
              <w:t>(Mon h/Day/Year)</w:t>
            </w:r>
          </w:p>
        </w:tc>
        <w:tc>
          <w:tcPr>
            <w:tcW w:w="1280" w:type="dxa"/>
            <w:vAlign w:val="bottom"/>
            <w:gridSpan w:val="2"/>
          </w:tcPr>
          <w:p>
            <w:pPr>
              <w:ind w:left="80"/>
              <w:spacing w:after="0" w:line="118"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3A. Deemed</w:t>
            </w:r>
          </w:p>
        </w:tc>
        <w:tc>
          <w:tcPr>
            <w:tcW w:w="3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71"/>
              </w:rPr>
              <w:t>6.DateDate ExercisableExpirandtion</w:t>
            </w: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75"/>
              </w:rPr>
              <w:t>7. Title and NumberAmount</w:t>
            </w:r>
          </w:p>
        </w:tc>
        <w:tc>
          <w:tcPr>
            <w:tcW w:w="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w w:val="74"/>
              </w:rPr>
              <w:t>TransactionCodeV</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88"/>
              </w:rPr>
              <w:t>Derivative(A)(D)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w w:val="89"/>
              </w:rPr>
              <w:t>ExpirationercisableDateDate</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ofTitleSecuritiesof Shares</w:t>
            </w:r>
          </w:p>
        </w:tc>
        <w:tc>
          <w:tcPr>
            <w:tcW w:w="6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16.11</w:t>
            </w: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10/26/2007</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ind w:left="400"/>
              <w:spacing w:after="0"/>
              <w:rPr>
                <w:sz w:val="20"/>
                <w:szCs w:val="20"/>
                <w:color w:val="auto"/>
              </w:rPr>
            </w:pPr>
            <w:r>
              <w:rPr>
                <w:rFonts w:ascii="Arial" w:cs="Arial" w:eastAsia="Arial" w:hAnsi="Arial"/>
                <w:sz w:val="13"/>
                <w:szCs w:val="13"/>
                <w:color w:val="0000FF"/>
              </w:rPr>
              <w:t>100,000</w:t>
            </w:r>
          </w:p>
        </w:tc>
        <w:tc>
          <w:tcPr>
            <w:tcW w:w="800" w:type="dxa"/>
            <w:vAlign w:val="bottom"/>
          </w:tcPr>
          <w:p>
            <w:pPr>
              <w:spacing w:after="0"/>
              <w:rPr>
                <w:sz w:val="8"/>
                <w:szCs w:val="8"/>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01/15/2013</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680" w:type="dxa"/>
            <w:vAlign w:val="bottom"/>
            <w:vMerge w:val="continue"/>
          </w:tcPr>
          <w:p>
            <w:pPr>
              <w:spacing w:after="0"/>
              <w:rPr>
                <w:sz w:val="8"/>
                <w:szCs w:val="8"/>
                <w:color w:val="auto"/>
              </w:rPr>
            </w:pPr>
          </w:p>
        </w:tc>
        <w:tc>
          <w:tcPr>
            <w:tcW w:w="760" w:type="dxa"/>
            <w:vAlign w:val="bottom"/>
            <w:gridSpan w:val="2"/>
            <w:vMerge w:val="restart"/>
          </w:tcPr>
          <w:p>
            <w:pPr>
              <w:jc w:val="right"/>
              <w:ind w:right="223"/>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(Instr. 4)</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7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1"/>
                <w:szCs w:val="11"/>
                <w:b w:val="1"/>
                <w:bCs w:val="1"/>
                <w:color w:val="auto"/>
                <w:w w:val="85"/>
              </w:rPr>
              <w:t>or</w:t>
            </w:r>
            <w:r>
              <w:rPr>
                <w:rFonts w:ascii="Arial" w:cs="Arial" w:eastAsia="Arial" w:hAnsi="Arial"/>
                <w:sz w:val="15"/>
                <w:szCs w:val="15"/>
                <w:color w:val="0000FF"/>
                <w:w w:val="85"/>
              </w:rPr>
              <w:t>100,000</w:t>
            </w:r>
          </w:p>
        </w:tc>
        <w:tc>
          <w:tcPr>
            <w:tcW w:w="760" w:type="dxa"/>
            <w:vAlign w:val="bottom"/>
            <w:gridSpan w:val="2"/>
            <w:vMerge w:val="continue"/>
          </w:tcPr>
          <w:p>
            <w:pPr>
              <w:spacing w:after="0"/>
              <w:rPr>
                <w:sz w:val="11"/>
                <w:szCs w:val="11"/>
                <w:color w:val="auto"/>
              </w:rPr>
            </w:pPr>
          </w:p>
        </w:tc>
        <w:tc>
          <w:tcPr>
            <w:tcW w:w="960" w:type="dxa"/>
            <w:vAlign w:val="bottom"/>
          </w:tcPr>
          <w:p>
            <w:pPr>
              <w:ind w:left="460"/>
              <w:spacing w:after="0" w:line="133" w:lineRule="exact"/>
              <w:rPr>
                <w:sz w:val="20"/>
                <w:szCs w:val="20"/>
                <w:color w:val="auto"/>
              </w:rPr>
            </w:pPr>
            <w:r>
              <w:rPr>
                <w:rFonts w:ascii="Arial" w:cs="Arial" w:eastAsia="Arial" w:hAnsi="Arial"/>
                <w:sz w:val="13"/>
                <w:szCs w:val="13"/>
                <w:color w:val="0000FF"/>
              </w:rPr>
              <w:t>0</w:t>
            </w:r>
          </w:p>
        </w:tc>
        <w:tc>
          <w:tcPr>
            <w:tcW w:w="7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vMerge w:val="continue"/>
          </w:tcPr>
          <w:p>
            <w:pPr>
              <w:spacing w:after="0"/>
              <w:rPr>
                <w:sz w:val="4"/>
                <w:szCs w:val="4"/>
                <w:color w:val="auto"/>
              </w:rPr>
            </w:pPr>
          </w:p>
        </w:tc>
        <w:tc>
          <w:tcPr>
            <w:tcW w:w="900" w:type="dxa"/>
            <w:vAlign w:val="bottom"/>
            <w:tcBorders>
              <w:bottom w:val="single" w:sz="8" w:color="2C2C2C"/>
            </w:tcBorders>
            <w:vMerge w:val="continue"/>
          </w:tcPr>
          <w:p>
            <w:pPr>
              <w:spacing w:after="0"/>
              <w:rPr>
                <w:sz w:val="4"/>
                <w:szCs w:val="4"/>
                <w:color w:val="auto"/>
              </w:rPr>
            </w:pPr>
          </w:p>
        </w:tc>
        <w:tc>
          <w:tcPr>
            <w:tcW w:w="800" w:type="dxa"/>
            <w:vAlign w:val="bottom"/>
            <w:tcBorders>
              <w:bottom w:val="single" w:sz="8" w:color="2C2C2C"/>
            </w:tcBorders>
            <w:vMerge w:val="continue"/>
          </w:tcPr>
          <w:p>
            <w:pPr>
              <w:spacing w:after="0"/>
              <w:rPr>
                <w:sz w:val="4"/>
                <w:szCs w:val="4"/>
                <w:color w:val="auto"/>
              </w:rPr>
            </w:pPr>
          </w:p>
        </w:tc>
        <w:tc>
          <w:tcPr>
            <w:tcW w:w="740" w:type="dxa"/>
            <w:vAlign w:val="bottom"/>
            <w:tcBorders>
              <w:bottom w:val="single" w:sz="8" w:color="2C2C2C"/>
            </w:tcBorders>
            <w:vMerge w:val="continue"/>
          </w:tcPr>
          <w:p>
            <w:pPr>
              <w:spacing w:after="0"/>
              <w:rPr>
                <w:sz w:val="4"/>
                <w:szCs w:val="4"/>
                <w:color w:val="auto"/>
              </w:rPr>
            </w:pPr>
          </w:p>
        </w:tc>
        <w:tc>
          <w:tcPr>
            <w:tcW w:w="600" w:type="dxa"/>
            <w:vAlign w:val="bottom"/>
            <w:tcBorders>
              <w:bottom w:val="single" w:sz="8" w:color="2C2C2C"/>
            </w:tcBorders>
            <w:vMerge w:val="continue"/>
          </w:tcPr>
          <w:p>
            <w:pPr>
              <w:spacing w:after="0"/>
              <w:rPr>
                <w:sz w:val="4"/>
                <w:szCs w:val="4"/>
                <w:color w:val="auto"/>
              </w:rPr>
            </w:pPr>
          </w:p>
        </w:tc>
        <w:tc>
          <w:tcPr>
            <w:tcW w:w="680" w:type="dxa"/>
            <w:vAlign w:val="bottom"/>
            <w:tcBorders>
              <w:bottom w:val="single" w:sz="8" w:color="2C2C2C"/>
            </w:tcBorders>
            <w:vMerge w:val="continue"/>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7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16.25</w:t>
            </w:r>
          </w:p>
        </w:tc>
        <w:tc>
          <w:tcPr>
            <w:tcW w:w="1100" w:type="dxa"/>
            <w:vAlign w:val="bottom"/>
          </w:tcPr>
          <w:p>
            <w:pPr>
              <w:ind w:left="260"/>
              <w:spacing w:after="0"/>
              <w:rPr>
                <w:sz w:val="20"/>
                <w:szCs w:val="20"/>
                <w:color w:val="auto"/>
              </w:rPr>
            </w:pPr>
            <w:r>
              <w:rPr>
                <w:rFonts w:ascii="Arial" w:cs="Arial" w:eastAsia="Arial" w:hAnsi="Arial"/>
                <w:sz w:val="13"/>
                <w:szCs w:val="13"/>
                <w:color w:val="0000FF"/>
              </w:rPr>
              <w:t>10/26/2007</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900" w:type="dxa"/>
            <w:vAlign w:val="bottom"/>
          </w:tcPr>
          <w:p>
            <w:pPr>
              <w:ind w:left="400"/>
              <w:spacing w:after="0"/>
              <w:rPr>
                <w:sz w:val="20"/>
                <w:szCs w:val="20"/>
                <w:color w:val="auto"/>
              </w:rPr>
            </w:pPr>
            <w:r>
              <w:rPr>
                <w:rFonts w:ascii="Arial" w:cs="Arial" w:eastAsia="Arial" w:hAnsi="Arial"/>
                <w:sz w:val="13"/>
                <w:szCs w:val="13"/>
                <w:color w:val="0000FF"/>
              </w:rPr>
              <w:t>100,000</w:t>
            </w: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02/20/2013</w:t>
            </w:r>
          </w:p>
        </w:tc>
        <w:tc>
          <w:tcPr>
            <w:tcW w:w="600" w:type="dxa"/>
            <w:vAlign w:val="bottom"/>
          </w:tcPr>
          <w:p>
            <w:pPr>
              <w:ind w:left="80"/>
              <w:spacing w:after="0"/>
              <w:rPr>
                <w:sz w:val="20"/>
                <w:szCs w:val="20"/>
                <w:color w:val="auto"/>
              </w:rPr>
            </w:pPr>
            <w:r>
              <w:rPr>
                <w:rFonts w:ascii="Arial" w:cs="Arial" w:eastAsia="Arial" w:hAnsi="Arial"/>
                <w:sz w:val="13"/>
                <w:szCs w:val="13"/>
                <w:color w:val="0000FF"/>
                <w:w w:val="94"/>
              </w:rPr>
              <w:t>Common</w:t>
            </w:r>
          </w:p>
        </w:tc>
        <w:tc>
          <w:tcPr>
            <w:tcW w:w="680" w:type="dxa"/>
            <w:vAlign w:val="bottom"/>
          </w:tcPr>
          <w:p>
            <w:pPr>
              <w:ind w:left="100"/>
              <w:spacing w:after="0"/>
              <w:rPr>
                <w:sz w:val="20"/>
                <w:szCs w:val="20"/>
                <w:color w:val="auto"/>
              </w:rPr>
            </w:pPr>
            <w:r>
              <w:rPr>
                <w:rFonts w:ascii="Arial" w:cs="Arial" w:eastAsia="Arial" w:hAnsi="Arial"/>
                <w:sz w:val="17"/>
                <w:szCs w:val="17"/>
                <w:color w:val="0000FF"/>
                <w:w w:val="91"/>
              </w:rPr>
              <w:t>100,000</w:t>
            </w:r>
          </w:p>
        </w:tc>
        <w:tc>
          <w:tcPr>
            <w:tcW w:w="760" w:type="dxa"/>
            <w:vAlign w:val="bottom"/>
            <w:gridSpan w:val="2"/>
          </w:tcPr>
          <w:p>
            <w:pPr>
              <w:jc w:val="right"/>
              <w:ind w:right="223"/>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6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2381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090" cy="2381250"/>
                    </a:xfrm>
                    <a:prstGeom prst="rect">
                      <a:avLst/>
                    </a:prstGeom>
                    <a:noFill/>
                  </pic:spPr>
                </pic:pic>
              </a:graphicData>
            </a:graphic>
          </wp:anchor>
        </w:drawing>
        <w:t>buy)</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20" w:right="140" w:firstLine="6"/>
        <w:spacing w:after="0" w:line="259"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9-30-07. (Interests in this account are denominated in units. Consequently, share amount shown is an estimate.) This statement does not include changes in beneficial ownership of shares held in this account occurring after 9-30-07 that are eligible for deferred reporting on Form 5.</w:t>
      </w:r>
    </w:p>
    <w:p>
      <w:pPr>
        <w:spacing w:after="0" w:line="21" w:lineRule="exact"/>
        <w:rPr>
          <w:rFonts w:ascii="Arial" w:cs="Arial" w:eastAsia="Arial" w:hAnsi="Arial"/>
          <w:sz w:val="13"/>
          <w:szCs w:val="13"/>
          <w:color w:val="008000"/>
        </w:rPr>
      </w:pPr>
    </w:p>
    <w:p>
      <w:pPr>
        <w:ind w:left="20" w:right="220" w:firstLine="6"/>
        <w:spacing w:after="0" w:line="259"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9-30-07. (Interests in this account are denominated in units. Consequently, share amount shown is an estimate.) This statement does not include changes in beneficial ownership of shares held in such account occurring after 9-30-07 that are eligible for deferred reporting on Form 5.</w:t>
      </w:r>
    </w:p>
    <w:p>
      <w:pPr>
        <w:spacing w:after="0" w:line="21"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2004.</w:t>
      </w:r>
    </w:p>
    <w:p>
      <w:pPr>
        <w:spacing w:after="0" w:line="48"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three annual installments beginning on February 20, 2005.</w:t>
      </w:r>
    </w:p>
    <w:p>
      <w:pPr>
        <w:spacing w:after="0" w:line="61"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10/29/2007</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20" w:right="3840" w:firstLine="6"/>
        <w:spacing w:after="0" w:line="316" w:lineRule="auto"/>
        <w:tabs>
          <w:tab w:leader="none" w:pos="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7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2019-12-16T02:32:25Z</dcterms:created>
  <dcterms:modified xsi:type="dcterms:W3CDTF">2019-12-16T02:32:25Z</dcterms:modified>
</cp:coreProperties>
</file>