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333-262523</w:t>
      </w:r>
    </w:p>
    <w:p>
      <w:pPr>
        <w:spacing w:after="0" w:line="135" w:lineRule="exact"/>
        <w:rPr>
          <w:sz w:val="24"/>
          <w:szCs w:val="24"/>
          <w:color w:val="auto"/>
        </w:rPr>
      </w:pPr>
    </w:p>
    <w:p>
      <w:pPr>
        <w:ind w:left="120" w:right="220"/>
        <w:spacing w:after="0" w:line="262"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supplement is not complete and may be changed. A registration statement relating to these notes has been filed with the Securities and Exchange Commission and is effective. This preliminary prospectus supplement and the accompanying prospectus is not an offer to sell these securities and it is not soliciting an offer to buy these securities in any jurisdiction where the offer or sale is not permitted.</w:t>
      </w:r>
    </w:p>
    <w:p>
      <w:pPr>
        <w:spacing w:after="0" w:line="11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FF4338"/>
        </w:rPr>
        <w:t>SUBJECT TO COMPLETION, DATED FEBRUARY 5, 2024</w:t>
      </w:r>
    </w:p>
    <w:p>
      <w:pPr>
        <w:spacing w:after="0" w:line="1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PRELIMINARY PROSPECTUS SUPPLEMENT</w:t>
      </w:r>
    </w:p>
    <w:p>
      <w:pPr>
        <w:spacing w:after="0" w:line="2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(To Prospectus Dated February 4, 2022)</w:t>
      </w:r>
    </w:p>
    <w:p>
      <w:pPr>
        <w:spacing w:after="0" w:line="94"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9"/>
          <w:szCs w:val="29"/>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104140</wp:posOffset>
            </wp:positionV>
            <wp:extent cx="2477135"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713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tbl>
      <w:tblPr>
        <w:tblLayout w:type="fixed"/>
        <w:tblInd w:w="4280" w:type="dxa"/>
        <w:tblCellMar>
          <w:top w:w="0" w:type="dxa"/>
          <w:left w:w="0" w:type="dxa"/>
          <w:bottom w:w="0" w:type="dxa"/>
          <w:right w:w="0" w:type="dxa"/>
        </w:tblCellMar>
      </w:tblPr>
      <w:tr>
        <w:trPr>
          <w:trHeight w:val="253"/>
        </w:trPr>
        <w:tc>
          <w:tcPr>
            <w:tcW w:w="2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 xml:space="preserve">$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70"/>
              </w:rPr>
              <w:t xml:space="preserve">  </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42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Notes due 20</w:t>
            </w:r>
          </w:p>
        </w:tc>
      </w:tr>
      <w:tr>
        <w:trPr>
          <w:trHeight w:val="243"/>
        </w:trPr>
        <w:tc>
          <w:tcPr>
            <w:tcW w:w="24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70"/>
              </w:rPr>
              <w:t xml:space="preserve">  </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Notes due 20</w:t>
            </w:r>
          </w:p>
        </w:tc>
      </w:tr>
      <w:tr>
        <w:trPr>
          <w:trHeight w:val="243"/>
        </w:trPr>
        <w:tc>
          <w:tcPr>
            <w:tcW w:w="24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70"/>
              </w:rPr>
              <w:t xml:space="preserve">  </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Notes due 20</w:t>
            </w:r>
          </w:p>
        </w:tc>
      </w:tr>
      <w:tr>
        <w:trPr>
          <w:trHeight w:val="243"/>
        </w:trPr>
        <w:tc>
          <w:tcPr>
            <w:tcW w:w="24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70"/>
              </w:rPr>
              <w:t xml:space="preserve">  </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Notes due 20</w:t>
            </w:r>
          </w:p>
        </w:tc>
      </w:tr>
      <w:tr>
        <w:trPr>
          <w:trHeight w:val="286"/>
        </w:trPr>
        <w:tc>
          <w:tcPr>
            <w:tcW w:w="2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 xml:space="preserve">$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5.050%</w:t>
            </w:r>
          </w:p>
        </w:tc>
        <w:tc>
          <w:tcPr>
            <w:tcW w:w="142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w w:val="95"/>
              </w:rPr>
              <w:t>Notes due 2063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146685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9"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30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Texas Instruments Incorporated is offering $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 </w:t>
            </w:r>
          </w:p>
        </w:tc>
        <w:tc>
          <w:tcPr>
            <w:tcW w:w="236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aggregate principal amount of its  </w:t>
            </w: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 Notes due 20 </w:t>
            </w:r>
          </w:p>
        </w:tc>
        <w:tc>
          <w:tcPr>
            <w:tcW w:w="7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(the “20 </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xml:space="preserve">Notes”), $    </w:t>
            </w:r>
          </w:p>
        </w:tc>
        <w:tc>
          <w:tcPr>
            <w:tcW w:w="26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0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aggregate principal amount of</w:t>
            </w:r>
          </w:p>
        </w:tc>
      </w:tr>
      <w:tr>
        <w:trPr>
          <w:trHeight w:val="203"/>
        </w:trPr>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w w:val="79"/>
              </w:rPr>
              <w:t>its  </w:t>
            </w:r>
          </w:p>
        </w:tc>
        <w:tc>
          <w:tcPr>
            <w:tcW w:w="12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5"/>
              </w:rPr>
              <w:t>% Notes due 20 </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4"/>
              </w:rPr>
              <w:t>(the “20 </w:t>
            </w:r>
          </w:p>
        </w:tc>
        <w:tc>
          <w:tcPr>
            <w:tcW w:w="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xml:space="preserve">Notes”), $ </w:t>
            </w: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5"/>
                <w:szCs w:val="5"/>
                <w:color w:val="auto"/>
                <w:w w:val="79"/>
              </w:rPr>
              <w:t> </w:t>
            </w:r>
          </w:p>
        </w:tc>
        <w:tc>
          <w:tcPr>
            <w:tcW w:w="236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6"/>
              </w:rPr>
              <w:t>aggregate principal amount of its </w:t>
            </w:r>
          </w:p>
        </w:tc>
        <w:tc>
          <w:tcPr>
            <w:tcW w:w="120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3"/>
              </w:rPr>
              <w:t>% Notes due 20 </w:t>
            </w:r>
          </w:p>
        </w:tc>
        <w:tc>
          <w:tcPr>
            <w:tcW w:w="7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88"/>
              </w:rPr>
              <w:t>(the “20 </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xml:space="preserve">Notes”), $ </w:t>
            </w:r>
          </w:p>
        </w:tc>
        <w:tc>
          <w:tcPr>
            <w:tcW w:w="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xml:space="preserve">    </w:t>
            </w:r>
          </w:p>
        </w:tc>
        <w:tc>
          <w:tcPr>
            <w:tcW w:w="2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aggregate principal amount of</w:t>
            </w:r>
          </w:p>
        </w:tc>
      </w:tr>
      <w:tr>
        <w:trPr>
          <w:trHeight w:val="203"/>
        </w:trPr>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w w:val="79"/>
              </w:rPr>
              <w:t>its  </w:t>
            </w:r>
          </w:p>
        </w:tc>
        <w:tc>
          <w:tcPr>
            <w:tcW w:w="12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5"/>
              </w:rPr>
              <w:t>% Notes due 20 </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4"/>
              </w:rPr>
              <w:t>(the “20 </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 xml:space="preserve">Notes”) and $ </w:t>
            </w:r>
          </w:p>
        </w:tc>
        <w:tc>
          <w:tcPr>
            <w:tcW w:w="756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         aggregate principal amount of its 5.050% Notes due 2063 (the “2063 Notes,” and together with the 20</w:t>
            </w:r>
          </w:p>
        </w:tc>
      </w:tr>
      <w:tr>
        <w:trPr>
          <w:trHeight w:val="210"/>
        </w:trPr>
        <w:tc>
          <w:tcPr>
            <w:tcW w:w="3360" w:type="dxa"/>
            <w:vAlign w:val="bottom"/>
            <w:gridSpan w:val="6"/>
          </w:tcPr>
          <w:p>
            <w:pPr>
              <w:spacing w:after="0"/>
              <w:rPr>
                <w:sz w:val="20"/>
                <w:szCs w:val="20"/>
                <w:color w:val="auto"/>
              </w:rPr>
            </w:pPr>
            <w:r>
              <w:rPr>
                <w:rFonts w:ascii="Times New Roman" w:cs="Times New Roman" w:eastAsia="Times New Roman" w:hAnsi="Times New Roman"/>
                <w:sz w:val="16"/>
                <w:szCs w:val="16"/>
                <w:color w:val="auto"/>
                <w:w w:val="97"/>
              </w:rPr>
              <w:t>Notes, the 20   Notes, the 20   Notes and the 20 </w:t>
            </w:r>
          </w:p>
        </w:tc>
        <w:tc>
          <w:tcPr>
            <w:tcW w:w="756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auto"/>
              </w:rPr>
              <w:t>Notes, the “Notes”), which will bear interest at the applicable rate per year for each series as set forth above. The</w:t>
            </w:r>
          </w:p>
        </w:tc>
      </w:tr>
    </w:tbl>
    <w:p>
      <w:pPr>
        <w:ind w:left="120" w:right="40"/>
        <w:spacing w:after="0" w:line="264" w:lineRule="auto"/>
        <w:rPr>
          <w:sz w:val="20"/>
          <w:szCs w:val="20"/>
          <w:color w:val="auto"/>
        </w:rPr>
      </w:pPr>
      <w:r>
        <w:rPr>
          <w:rFonts w:ascii="Times New Roman" w:cs="Times New Roman" w:eastAsia="Times New Roman" w:hAnsi="Times New Roman"/>
          <w:sz w:val="16"/>
          <w:szCs w:val="16"/>
          <w:color w:val="auto"/>
        </w:rPr>
        <w:t>2063 Notes will be a further issuance of, and will form a single series with, the $1,200,000,000 aggregate principal amount of 5.050% Notes due 2063 issued on May 18, 2023 (the “Existing 2063 Notes”). The 2063 Notes offered hereby will have the same terms (other than the issue date, price to public and initial interest payment date) and will vote together as a single class, with the same CUSIP number as, and be fungible with, the Existing 2063 Notes. Upon completion of this offering, we will have</w:t>
      </w:r>
    </w:p>
    <w:tbl>
      <w:tblPr>
        <w:tblLayout w:type="fixed"/>
        <w:tblInd w:w="120" w:type="dxa"/>
        <w:tblCellMar>
          <w:top w:w="0" w:type="dxa"/>
          <w:left w:w="0" w:type="dxa"/>
          <w:bottom w:w="0" w:type="dxa"/>
          <w:right w:w="0" w:type="dxa"/>
        </w:tblCellMar>
      </w:tblPr>
      <w:tr>
        <w:trPr>
          <w:trHeight w:val="195"/>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490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aggregate principal amount of outstanding 2063 Notes. Interest on the 20 </w:t>
            </w:r>
          </w:p>
        </w:tc>
        <w:tc>
          <w:tcPr>
            <w:tcW w:w="3400" w:type="dxa"/>
            <w:vAlign w:val="bottom"/>
            <w:gridSpan w:val="10"/>
          </w:tcPr>
          <w:p>
            <w:pPr>
              <w:jc w:val="center"/>
              <w:spacing w:after="0"/>
              <w:rPr>
                <w:sz w:val="20"/>
                <w:szCs w:val="20"/>
                <w:color w:val="auto"/>
              </w:rPr>
            </w:pPr>
            <w:r>
              <w:rPr>
                <w:rFonts w:ascii="Times New Roman" w:cs="Times New Roman" w:eastAsia="Times New Roman" w:hAnsi="Times New Roman"/>
                <w:sz w:val="16"/>
                <w:szCs w:val="16"/>
                <w:color w:val="auto"/>
                <w:w w:val="97"/>
              </w:rPr>
              <w:t>Notes will be payable semi-annually in arrears on </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and     </w:t>
            </w:r>
          </w:p>
        </w:tc>
        <w:tc>
          <w:tcPr>
            <w:tcW w:w="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of each</w:t>
            </w:r>
          </w:p>
        </w:tc>
      </w:tr>
      <w:tr>
        <w:trPr>
          <w:trHeight w:val="203"/>
        </w:trPr>
        <w:tc>
          <w:tcPr>
            <w:tcW w:w="130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1"/>
              </w:rPr>
              <w:t>year, beginning on  </w:t>
            </w: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       </w:t>
            </w:r>
          </w:p>
        </w:tc>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2024. Interest on the 20 </w:t>
            </w:r>
          </w:p>
        </w:tc>
        <w:tc>
          <w:tcPr>
            <w:tcW w:w="334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w w:val="97"/>
              </w:rPr>
              <w:t>Notes will be payable semi-annually in arrears on  </w:t>
            </w: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and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38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of each year, beginning on</w:t>
            </w:r>
          </w:p>
        </w:tc>
      </w:tr>
      <w:tr>
        <w:trPr>
          <w:trHeight w:val="203"/>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w w:val="74"/>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xml:space="preserve">    </w:t>
            </w:r>
          </w:p>
        </w:tc>
        <w:tc>
          <w:tcPr>
            <w:tcW w:w="5240" w:type="dxa"/>
            <w:vAlign w:val="bottom"/>
            <w:gridSpan w:val="6"/>
          </w:tcPr>
          <w:p>
            <w:pPr>
              <w:ind w:left="80"/>
              <w:spacing w:after="0"/>
              <w:rPr>
                <w:sz w:val="20"/>
                <w:szCs w:val="20"/>
                <w:color w:val="auto"/>
              </w:rPr>
            </w:pPr>
            <w:r>
              <w:rPr>
                <w:rFonts w:ascii="Times New Roman" w:cs="Times New Roman" w:eastAsia="Times New Roman" w:hAnsi="Times New Roman"/>
                <w:sz w:val="16"/>
                <w:szCs w:val="16"/>
                <w:color w:val="auto"/>
                <w:w w:val="98"/>
              </w:rPr>
              <w:t>, 2024. Interest on the 20   Notes will be payable semi-annually in arrears on  </w:t>
            </w: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xml:space="preserve">    </w:t>
            </w:r>
          </w:p>
        </w:tc>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83"/>
              </w:rPr>
              <w:t>   and  </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w w:val="87"/>
              </w:rPr>
              <w:t> </w:t>
            </w:r>
          </w:p>
        </w:tc>
        <w:tc>
          <w:tcPr>
            <w:tcW w:w="180" w:type="dxa"/>
            <w:vAlign w:val="bottom"/>
          </w:tcPr>
          <w:p>
            <w:pPr>
              <w:jc w:val="center"/>
              <w:ind w:right="115"/>
              <w:spacing w:after="0"/>
              <w:rPr>
                <w:sz w:val="20"/>
                <w:szCs w:val="20"/>
                <w:color w:val="auto"/>
              </w:rPr>
            </w:pPr>
            <w:r>
              <w:rPr>
                <w:rFonts w:ascii="Times New Roman" w:cs="Times New Roman" w:eastAsia="Times New Roman" w:hAnsi="Times New Roman"/>
                <w:sz w:val="5"/>
                <w:szCs w:val="5"/>
                <w:color w:val="auto"/>
                <w:w w:val="79"/>
              </w:rPr>
              <w:t> </w:t>
            </w:r>
          </w:p>
        </w:tc>
        <w:tc>
          <w:tcPr>
            <w:tcW w:w="18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w w:val="94"/>
              </w:rPr>
              <w:t>of each year, beginning on 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6"/>
              </w:rPr>
              <w:t>      , 2024. Interest on</w:t>
            </w:r>
          </w:p>
        </w:tc>
      </w:tr>
      <w:tr>
        <w:trPr>
          <w:trHeight w:val="203"/>
        </w:trPr>
        <w:tc>
          <w:tcPr>
            <w:tcW w:w="56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7"/>
              </w:rPr>
              <w:t>the 20 </w:t>
            </w:r>
          </w:p>
        </w:tc>
        <w:tc>
          <w:tcPr>
            <w:tcW w:w="47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 xml:space="preserve">Notes will be payable semi-annually in arrears on             and        </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 </w:t>
            </w:r>
          </w:p>
        </w:tc>
        <w:tc>
          <w:tcPr>
            <w:tcW w:w="188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w w:val="95"/>
              </w:rPr>
              <w:t>of each year, beginning on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336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      , 2024. Interest on the 2063 Notes offered</w:t>
            </w:r>
          </w:p>
        </w:tc>
      </w:tr>
      <w:tr>
        <w:trPr>
          <w:trHeight w:val="210"/>
        </w:trPr>
        <w:tc>
          <w:tcPr>
            <w:tcW w:w="836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hereby will be payable semi-annually in arrears on May 18 and November 18 of each year, beginning on May 18, 2024.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03"/>
        </w:trPr>
        <w:tc>
          <w:tcPr>
            <w:tcW w:w="56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88"/>
              </w:rPr>
              <w:t>The 20 </w:t>
            </w:r>
          </w:p>
        </w:tc>
        <w:tc>
          <w:tcPr>
            <w:tcW w:w="31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w w:val="96"/>
              </w:rPr>
              <w:t>Notes will mature on             , 20   , the 20 </w:t>
            </w:r>
          </w:p>
        </w:tc>
        <w:tc>
          <w:tcPr>
            <w:tcW w:w="162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4"/>
              </w:rPr>
              <w:t>Notes will mature on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    </w:t>
            </w:r>
          </w:p>
        </w:tc>
        <w:tc>
          <w:tcPr>
            <w:tcW w:w="3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1"/>
              </w:rPr>
              <w:t>20 </w:t>
            </w:r>
          </w:p>
        </w:tc>
        <w:tc>
          <w:tcPr>
            <w:tcW w:w="66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4"/>
              </w:rPr>
              <w:t>, the 20 </w:t>
            </w:r>
          </w:p>
        </w:tc>
        <w:tc>
          <w:tcPr>
            <w:tcW w:w="15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w w:val="95"/>
              </w:rPr>
              <w:t>Notes will mature on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    </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1"/>
              </w:rPr>
              <w:t>20 </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the 20 </w:t>
            </w: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will</w:t>
            </w:r>
          </w:p>
        </w:tc>
      </w:tr>
      <w:tr>
        <w:trPr>
          <w:trHeight w:val="210"/>
        </w:trPr>
        <w:tc>
          <w:tcPr>
            <w:tcW w:w="13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mature on           </w:t>
            </w:r>
          </w:p>
        </w:tc>
        <w:tc>
          <w:tcPr>
            <w:tcW w:w="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20 </w:t>
            </w:r>
          </w:p>
        </w:tc>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 the 2063 Notes will mature on May 18, 2063.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100" w:lineRule="exact"/>
        <w:rPr>
          <w:sz w:val="24"/>
          <w:szCs w:val="24"/>
          <w:color w:val="auto"/>
        </w:rPr>
      </w:pPr>
    </w:p>
    <w:p>
      <w:pPr>
        <w:ind w:left="120" w:right="200"/>
        <w:spacing w:after="0" w:line="298" w:lineRule="auto"/>
        <w:rPr>
          <w:sz w:val="20"/>
          <w:szCs w:val="20"/>
          <w:color w:val="auto"/>
        </w:rPr>
      </w:pPr>
      <w:r>
        <w:rPr>
          <w:rFonts w:ascii="Times New Roman" w:cs="Times New Roman" w:eastAsia="Times New Roman" w:hAnsi="Times New Roman"/>
          <w:sz w:val="16"/>
          <w:szCs w:val="16"/>
          <w:color w:val="auto"/>
        </w:rPr>
        <w:t>We may redeem some or all of the Notes at any time and from time to time at the applicable redemption prices indicated under the caption “Description of the Notes— Optional Redemption.”</w:t>
      </w:r>
    </w:p>
    <w:p>
      <w:pPr>
        <w:spacing w:after="0" w:line="56" w:lineRule="exact"/>
        <w:rPr>
          <w:sz w:val="24"/>
          <w:szCs w:val="24"/>
          <w:color w:val="auto"/>
        </w:rPr>
      </w:pPr>
    </w:p>
    <w:p>
      <w:pPr>
        <w:ind w:left="120" w:right="140"/>
        <w:spacing w:after="0" w:line="298" w:lineRule="auto"/>
        <w:rPr>
          <w:sz w:val="20"/>
          <w:szCs w:val="20"/>
          <w:color w:val="auto"/>
        </w:rPr>
      </w:pPr>
      <w:r>
        <w:rPr>
          <w:rFonts w:ascii="Times New Roman" w:cs="Times New Roman" w:eastAsia="Times New Roman" w:hAnsi="Times New Roman"/>
          <w:sz w:val="16"/>
          <w:szCs w:val="16"/>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Investing in the Notes involves risks.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S-5.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7" w:lineRule="exact"/>
        <w:rPr>
          <w:sz w:val="24"/>
          <w:szCs w:val="24"/>
          <w:color w:val="auto"/>
        </w:rPr>
      </w:pPr>
    </w:p>
    <w:p>
      <w:pPr>
        <w:ind w:left="120" w:right="48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44"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 20</w:t>
            </w:r>
          </w:p>
        </w:tc>
        <w:tc>
          <w:tcPr>
            <w:tcW w:w="220" w:type="dxa"/>
            <w:vAlign w:val="bottom"/>
          </w:tcPr>
          <w:p>
            <w:pPr>
              <w:spacing w:after="0"/>
              <w:rPr>
                <w:sz w:val="13"/>
                <w:szCs w:val="13"/>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20</w:t>
            </w:r>
          </w:p>
        </w:tc>
        <w:tc>
          <w:tcPr>
            <w:tcW w:w="200" w:type="dxa"/>
            <w:vAlign w:val="bottom"/>
          </w:tcPr>
          <w:p>
            <w:pPr>
              <w:spacing w:after="0"/>
              <w:rPr>
                <w:sz w:val="13"/>
                <w:szCs w:val="13"/>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 20</w:t>
            </w:r>
          </w:p>
        </w:tc>
        <w:tc>
          <w:tcPr>
            <w:tcW w:w="220" w:type="dxa"/>
            <w:vAlign w:val="bottom"/>
          </w:tcPr>
          <w:p>
            <w:pPr>
              <w:spacing w:after="0"/>
              <w:rPr>
                <w:sz w:val="13"/>
                <w:szCs w:val="13"/>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20</w:t>
            </w:r>
          </w:p>
        </w:tc>
        <w:tc>
          <w:tcPr>
            <w:tcW w:w="200" w:type="dxa"/>
            <w:vAlign w:val="bottom"/>
          </w:tcPr>
          <w:p>
            <w:pPr>
              <w:spacing w:after="0"/>
              <w:rPr>
                <w:sz w:val="13"/>
                <w:szCs w:val="13"/>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 20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20</w:t>
            </w:r>
          </w:p>
        </w:tc>
        <w:tc>
          <w:tcPr>
            <w:tcW w:w="220" w:type="dxa"/>
            <w:vAlign w:val="bottom"/>
          </w:tcPr>
          <w:p>
            <w:pPr>
              <w:spacing w:after="0"/>
              <w:rPr>
                <w:sz w:val="13"/>
                <w:szCs w:val="13"/>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 20</w:t>
            </w:r>
          </w:p>
        </w:tc>
        <w:tc>
          <w:tcPr>
            <w:tcW w:w="220" w:type="dxa"/>
            <w:vAlign w:val="bottom"/>
          </w:tcPr>
          <w:p>
            <w:pPr>
              <w:spacing w:after="0"/>
              <w:rPr>
                <w:sz w:val="13"/>
                <w:szCs w:val="13"/>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20</w:t>
            </w:r>
          </w:p>
        </w:tc>
        <w:tc>
          <w:tcPr>
            <w:tcW w:w="200" w:type="dxa"/>
            <w:vAlign w:val="bottom"/>
          </w:tcPr>
          <w:p>
            <w:pPr>
              <w:spacing w:after="0"/>
              <w:rPr>
                <w:sz w:val="13"/>
                <w:szCs w:val="13"/>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 2063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2063 Notes</w:t>
            </w:r>
          </w:p>
        </w:tc>
        <w:tc>
          <w:tcPr>
            <w:tcW w:w="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Notes</w:t>
            </w:r>
          </w:p>
        </w:tc>
        <w:tc>
          <w:tcPr>
            <w:tcW w:w="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Notes</w:t>
            </w:r>
          </w:p>
        </w:tc>
        <w:tc>
          <w:tcPr>
            <w:tcW w:w="4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Notes</w:t>
            </w:r>
          </w:p>
        </w:tc>
        <w:tc>
          <w:tcPr>
            <w:tcW w:w="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Notes</w:t>
            </w: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4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7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Public offering price</w:t>
            </w:r>
            <w:r>
              <w:rPr>
                <w:rFonts w:ascii="Times New Roman" w:cs="Times New Roman" w:eastAsia="Times New Roman" w:hAnsi="Times New Roman"/>
                <w:sz w:val="10"/>
                <w:szCs w:val="10"/>
                <w:color w:val="auto"/>
              </w:rPr>
              <w:t>(1)</w:t>
            </w:r>
          </w:p>
        </w:tc>
        <w:tc>
          <w:tcPr>
            <w:tcW w:w="400" w:type="dxa"/>
            <w:vAlign w:val="bottom"/>
            <w:tcBorders>
              <w:top w:val="single" w:sz="8" w:color="auto"/>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 xml:space="preserve">$       </w:t>
            </w:r>
          </w:p>
        </w:tc>
        <w:tc>
          <w:tcPr>
            <w:tcW w:w="2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 xml:space="preserve">       </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 xml:space="preserve">$       </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discounts</w:t>
            </w:r>
          </w:p>
        </w:tc>
        <w:tc>
          <w:tcPr>
            <w:tcW w:w="4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to us, before expenses</w:t>
            </w:r>
          </w:p>
        </w:tc>
        <w:tc>
          <w:tcPr>
            <w:tcW w:w="40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40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40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54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the 2063 Notes, plus accrued interest from November 18, 2023.</w:t>
      </w:r>
    </w:p>
    <w:p>
      <w:pPr>
        <w:spacing w:after="0" w:line="127" w:lineRule="exact"/>
        <w:rPr>
          <w:sz w:val="24"/>
          <w:szCs w:val="24"/>
          <w:color w:val="auto"/>
        </w:rPr>
      </w:pPr>
    </w:p>
    <w:p>
      <w:pPr>
        <w:ind w:left="120" w:right="20"/>
        <w:spacing w:after="0" w:line="275" w:lineRule="auto"/>
        <w:rPr>
          <w:sz w:val="20"/>
          <w:szCs w:val="20"/>
          <w:color w:val="auto"/>
        </w:rPr>
      </w:pPr>
      <w:r>
        <w:rPr>
          <w:rFonts w:ascii="Times New Roman" w:cs="Times New Roman" w:eastAsia="Times New Roman" w:hAnsi="Times New Roman"/>
          <w:sz w:val="16"/>
          <w:szCs w:val="16"/>
          <w:color w:val="auto"/>
        </w:rPr>
        <w:t>Interest on the 20  Notes offered hereby will accrue from       , 2024 to the date of delivery. Interest on the 20  Notes offered hereby will accrue from       , 2024 to the date of delivery. Interest on the 20  Notes offered hereby will accrue from       , 2024 to the date of delivery. Interest on the 20  Notes offered hereby will accrue from       , 2024 to the date of delivery. Interest on the 2063 Notes offered hereby will accrue from, and including, November 18, 2023 to, but excluding, the date of delivery.</w:t>
      </w:r>
    </w:p>
    <w:p>
      <w:pPr>
        <w:spacing w:after="0" w:line="75" w:lineRule="exact"/>
        <w:rPr>
          <w:sz w:val="24"/>
          <w:szCs w:val="24"/>
          <w:color w:val="auto"/>
        </w:rPr>
      </w:pPr>
    </w:p>
    <w:p>
      <w:pPr>
        <w:ind w:left="120" w:right="80"/>
        <w:spacing w:after="0" w:line="281" w:lineRule="auto"/>
        <w:rPr>
          <w:sz w:val="20"/>
          <w:szCs w:val="20"/>
          <w:color w:val="auto"/>
        </w:rPr>
      </w:pPr>
      <w:r>
        <w:rPr>
          <w:rFonts w:ascii="Times New Roman" w:cs="Times New Roman" w:eastAsia="Times New Roman" w:hAnsi="Times New Roman"/>
          <w:sz w:val="16"/>
          <w:szCs w:val="16"/>
          <w:color w:val="auto"/>
        </w:rPr>
        <w:t>The underwriters expect to deliver the Notes to purchasers only in book-entry form through the facilities of the Depository Trust Company and its participants, including Euroclear Bank S.A./N.V. and Clearstream Banking, S.A., on or about       , 2024, which is the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i w:val="1"/>
          <w:iCs w:val="1"/>
          <w:color w:val="auto"/>
        </w:rPr>
        <w:t>Joint Book-Running Managers</w:t>
      </w:r>
    </w:p>
    <w:p>
      <w:pPr>
        <w:spacing w:after="0" w:line="120" w:lineRule="exact"/>
        <w:rPr>
          <w:sz w:val="24"/>
          <w:szCs w:val="24"/>
          <w:color w:val="auto"/>
        </w:rPr>
      </w:pPr>
    </w:p>
    <w:p>
      <w:pPr>
        <w:ind w:left="120"/>
        <w:spacing w:after="0"/>
        <w:tabs>
          <w:tab w:leader="none" w:pos="5780" w:val="left"/>
          <w:tab w:leader="none" w:pos="10160" w:val="left"/>
        </w:tabs>
        <w:rPr>
          <w:sz w:val="20"/>
          <w:szCs w:val="20"/>
          <w:color w:val="auto"/>
        </w:rPr>
      </w:pPr>
      <w:r>
        <w:rPr>
          <w:rFonts w:ascii="Times New Roman" w:cs="Times New Roman" w:eastAsia="Times New Roman" w:hAnsi="Times New Roman"/>
          <w:sz w:val="29"/>
          <w:szCs w:val="29"/>
          <w:b w:val="1"/>
          <w:bCs w:val="1"/>
          <w:color w:val="auto"/>
        </w:rPr>
        <w:t>BofA Securities</w:t>
      </w:r>
      <w:r>
        <w:rPr>
          <w:sz w:val="20"/>
          <w:szCs w:val="20"/>
          <w:color w:val="auto"/>
        </w:rPr>
        <w:tab/>
      </w:r>
      <w:r>
        <w:rPr>
          <w:rFonts w:ascii="Times New Roman" w:cs="Times New Roman" w:eastAsia="Times New Roman" w:hAnsi="Times New Roman"/>
          <w:sz w:val="29"/>
          <w:szCs w:val="29"/>
          <w:b w:val="1"/>
          <w:bCs w:val="1"/>
          <w:color w:val="auto"/>
        </w:rPr>
        <w:t>Citigroup</w:t>
      </w:r>
      <w:r>
        <w:rPr>
          <w:sz w:val="20"/>
          <w:szCs w:val="20"/>
          <w:color w:val="auto"/>
        </w:rPr>
        <w:tab/>
      </w:r>
      <w:r>
        <w:rPr>
          <w:rFonts w:ascii="Times New Roman" w:cs="Times New Roman" w:eastAsia="Times New Roman" w:hAnsi="Times New Roman"/>
          <w:sz w:val="29"/>
          <w:szCs w:val="29"/>
          <w:b w:val="1"/>
          <w:bCs w:val="1"/>
          <w:color w:val="auto"/>
        </w:rPr>
        <w:t>Mizuho</w:t>
      </w:r>
    </w:p>
    <w:p>
      <w:pPr>
        <w:sectPr>
          <w:pgSz w:w="11900" w:h="16838" w:orient="portrait"/>
          <w:cols w:equalWidth="0" w:num="1">
            <w:col w:w="11140"/>
          </w:cols>
          <w:pgMar w:left="320" w:top="226" w:right="439" w:bottom="479" w:gutter="0" w:footer="0" w:header="0"/>
        </w:sectPr>
      </w:pPr>
    </w:p>
    <w:p>
      <w:pPr>
        <w:spacing w:after="0" w:line="1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         , 2024</w:t>
      </w:r>
    </w:p>
    <w:p>
      <w:pPr>
        <w:sectPr>
          <w:pgSz w:w="11900" w:h="16838" w:orient="portrait"/>
          <w:cols w:equalWidth="0" w:num="1">
            <w:col w:w="11140"/>
          </w:cols>
          <w:pgMar w:left="320" w:top="226" w:right="439" w:bottom="479"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gridSpan w:val="3"/>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60" w:type="dxa"/>
            <w:vAlign w:val="bottom"/>
            <w:gridSpan w:val="3"/>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0" w:type="dxa"/>
            <w:vAlign w:val="bottom"/>
          </w:tcPr>
          <w:p>
            <w:pPr>
              <w:spacing w:after="0"/>
              <w:rPr>
                <w:sz w:val="1"/>
                <w:szCs w:val="1"/>
                <w:color w:val="auto"/>
              </w:rPr>
            </w:pPr>
          </w:p>
        </w:tc>
      </w:tr>
      <w:tr>
        <w:trPr>
          <w:trHeight w:val="634"/>
        </w:trPr>
        <w:tc>
          <w:tcPr>
            <w:tcW w:w="352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704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3520" w:type="dxa"/>
            <w:vAlign w:val="bottom"/>
            <w:gridSpan w:val="19"/>
            <w:vMerge w:val="continue"/>
          </w:tcPr>
          <w:p>
            <w:pPr>
              <w:spacing w:after="0"/>
              <w:rPr>
                <w:sz w:val="14"/>
                <w:szCs w:val="14"/>
                <w:color w:val="auto"/>
              </w:rPr>
            </w:pPr>
          </w:p>
        </w:tc>
        <w:tc>
          <w:tcPr>
            <w:tcW w:w="7040" w:type="dxa"/>
            <w:vAlign w:val="bottom"/>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54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88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2820" w:type="dxa"/>
            <w:vAlign w:val="bottom"/>
            <w:gridSpan w:val="17"/>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2360" w:type="dxa"/>
            <w:vAlign w:val="bottom"/>
            <w:gridSpan w:val="13"/>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1760" w:type="dxa"/>
            <w:vAlign w:val="bottom"/>
            <w:gridSpan w:val="6"/>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U.S. Federal Income Tax Consequences</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000" w:type="dxa"/>
            <w:vAlign w:val="bottom"/>
            <w:gridSpan w:val="9"/>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669"/>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60" w:type="dxa"/>
            <w:vAlign w:val="bottom"/>
            <w:gridSpan w:val="3"/>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0" w:type="dxa"/>
            <w:vAlign w:val="bottom"/>
          </w:tcPr>
          <w:p>
            <w:pPr>
              <w:spacing w:after="0"/>
              <w:rPr>
                <w:sz w:val="1"/>
                <w:szCs w:val="1"/>
                <w:color w:val="auto"/>
              </w:rPr>
            </w:pPr>
          </w:p>
        </w:tc>
      </w:tr>
      <w:tr>
        <w:trPr>
          <w:trHeight w:val="418"/>
        </w:trPr>
        <w:tc>
          <w:tcPr>
            <w:tcW w:w="3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7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1880" w:type="dxa"/>
            <w:vAlign w:val="bottom"/>
            <w:gridSpan w:val="8"/>
          </w:tcPr>
          <w:p>
            <w:pPr>
              <w:spacing w:after="0"/>
              <w:rPr>
                <w:sz w:val="17"/>
                <w:szCs w:val="17"/>
                <w:color w:val="auto"/>
              </w:rPr>
            </w:pP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00" w:type="dxa"/>
            <w:vAlign w:val="bottom"/>
          </w:tcPr>
          <w:p>
            <w:pPr>
              <w:spacing w:after="0"/>
              <w:rPr>
                <w:sz w:val="17"/>
                <w:szCs w:val="17"/>
                <w:color w:val="auto"/>
              </w:rPr>
            </w:pP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340" w:type="dxa"/>
            <w:vAlign w:val="bottom"/>
            <w:gridSpan w:val="4"/>
          </w:tcPr>
          <w:p>
            <w:pPr>
              <w:spacing w:after="0"/>
              <w:rPr>
                <w:sz w:val="17"/>
                <w:szCs w:val="17"/>
                <w:color w:val="auto"/>
              </w:rPr>
            </w:pP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1800" w:type="dxa"/>
            <w:vAlign w:val="bottom"/>
            <w:gridSpan w:val="7"/>
          </w:tcPr>
          <w:p>
            <w:pPr>
              <w:spacing w:after="0"/>
              <w:rPr>
                <w:sz w:val="17"/>
                <w:szCs w:val="17"/>
                <w:color w:val="auto"/>
              </w:rPr>
            </w:pP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2060" w:type="dxa"/>
            <w:vAlign w:val="bottom"/>
            <w:gridSpan w:val="10"/>
          </w:tcPr>
          <w:p>
            <w:pPr>
              <w:spacing w:after="0"/>
              <w:rPr>
                <w:sz w:val="17"/>
                <w:szCs w:val="17"/>
                <w:color w:val="auto"/>
              </w:rPr>
            </w:pP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000" w:type="dxa"/>
            <w:vAlign w:val="bottom"/>
            <w:gridSpan w:val="9"/>
          </w:tcPr>
          <w:p>
            <w:pPr>
              <w:spacing w:after="0"/>
              <w:rPr>
                <w:sz w:val="17"/>
                <w:szCs w:val="17"/>
                <w:color w:val="auto"/>
              </w:rPr>
            </w:pP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4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our company or our management:</w:t>
      </w:r>
    </w:p>
    <w:p>
      <w:pPr>
        <w:spacing w:after="0" w:line="67" w:lineRule="exact"/>
        <w:rPr>
          <w:sz w:val="20"/>
          <w:szCs w:val="20"/>
          <w:color w:val="auto"/>
        </w:rPr>
      </w:pPr>
    </w:p>
    <w:p>
      <w:pPr>
        <w:ind w:left="1080" w:right="6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and natural events in the countries in which we, our customers or our suppliers operate, including global trade policies;</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the industrial and automotive markets, and customer demand that differs from forecasts;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and other threats relating to our information technology systems or those of our customers, suppliers and other third parties;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1"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key materials, utilities, manufacturing equipment, third-party manufacturing services and manufacturing technology;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personnel, and effectively manage key employee succession;</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semiconductor distributors’ promotion of competing product lines to our detriment; or disputes with current or former distributors;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customer inventory adjustments;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40"/>
          </w:cols>
          <w:pgMar w:left="320" w:top="455"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4, 2022. The accompanying prospectus contains a description of our debt securities and gives more general information, some of which may not apply to this offering.</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 description of this offering varies between this prospectus supplement and the accompanying prospectus, you should rely on the information in this prospectus supplement.</w:t>
      </w:r>
    </w:p>
    <w:p>
      <w:pPr>
        <w:spacing w:after="0" w:line="158"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1159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31159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4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3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We design and manufacture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76" w:lineRule="exact"/>
        <w:rPr>
          <w:sz w:val="20"/>
          <w:szCs w:val="20"/>
          <w:color w:val="auto"/>
        </w:rPr>
      </w:pPr>
    </w:p>
    <w:p>
      <w:pPr>
        <w:jc w:val="both"/>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76"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28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860"/>
          </w:cols>
          <w:pgMar w:left="320" w:top="455" w:right="7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7616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76161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jc w:val="both"/>
        <w:ind w:left="300" w:right="28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4600" w:type="dxa"/>
            <w:vAlign w:val="bottom"/>
            <w:gridSpan w:val="4"/>
          </w:tcPr>
          <w:p>
            <w:pPr>
              <w:ind w:left="1360"/>
              <w:spacing w:after="0"/>
              <w:rPr>
                <w:sz w:val="20"/>
                <w:szCs w:val="20"/>
                <w:color w:val="auto"/>
              </w:rPr>
            </w:pPr>
            <w:r>
              <w:rPr>
                <w:rFonts w:ascii="Times New Roman" w:cs="Times New Roman" w:eastAsia="Times New Roman" w:hAnsi="Times New Roman"/>
                <w:sz w:val="18"/>
                <w:szCs w:val="18"/>
                <w:color w:val="auto"/>
              </w:rPr>
              <w:t>Texas Instruments Incorporated.</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73"/>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aggregate principal amount of the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 Notes due 20   .</w:t>
            </w:r>
          </w:p>
        </w:tc>
      </w:tr>
      <w:tr>
        <w:trPr>
          <w:trHeight w:val="473"/>
        </w:trPr>
        <w:tc>
          <w:tcPr>
            <w:tcW w:w="2680" w:type="dxa"/>
            <w:vAlign w:val="bottom"/>
          </w:tcPr>
          <w:p>
            <w:pPr>
              <w:spacing w:after="0"/>
              <w:rPr>
                <w:sz w:val="24"/>
                <w:szCs w:val="24"/>
                <w:color w:val="auto"/>
              </w:rPr>
            </w:pP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aggregate principal amount of the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 Notes due 20   .</w:t>
            </w:r>
          </w:p>
        </w:tc>
      </w:tr>
      <w:tr>
        <w:trPr>
          <w:trHeight w:val="459"/>
        </w:trPr>
        <w:tc>
          <w:tcPr>
            <w:tcW w:w="2680" w:type="dxa"/>
            <w:vAlign w:val="bottom"/>
          </w:tcPr>
          <w:p>
            <w:pPr>
              <w:spacing w:after="0"/>
              <w:rPr>
                <w:sz w:val="24"/>
                <w:szCs w:val="24"/>
                <w:color w:val="auto"/>
              </w:rPr>
            </w:pP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aggregate principal amount of the 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 Notes due 20   .</w:t>
            </w:r>
          </w:p>
        </w:tc>
      </w:tr>
      <w:tr>
        <w:trPr>
          <w:trHeight w:val="459"/>
        </w:trPr>
        <w:tc>
          <w:tcPr>
            <w:tcW w:w="2680" w:type="dxa"/>
            <w:vAlign w:val="bottom"/>
          </w:tcPr>
          <w:p>
            <w:pPr>
              <w:spacing w:after="0"/>
              <w:rPr>
                <w:sz w:val="24"/>
                <w:szCs w:val="24"/>
                <w:color w:val="auto"/>
              </w:rPr>
            </w:pP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aggregate principal amount of the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 Notes due 20   .</w:t>
            </w:r>
          </w:p>
        </w:tc>
      </w:tr>
      <w:tr>
        <w:trPr>
          <w:trHeight w:val="459"/>
        </w:trPr>
        <w:tc>
          <w:tcPr>
            <w:tcW w:w="2680" w:type="dxa"/>
            <w:vAlign w:val="bottom"/>
          </w:tcPr>
          <w:p>
            <w:pPr>
              <w:spacing w:after="0"/>
              <w:rPr>
                <w:sz w:val="24"/>
                <w:szCs w:val="24"/>
                <w:color w:val="auto"/>
              </w:rPr>
            </w:pP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44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aggregate principal amount of the 5.050% Notes due 2063.</w:t>
            </w:r>
          </w:p>
        </w:tc>
      </w:tr>
    </w:tbl>
    <w:p>
      <w:pPr>
        <w:spacing w:after="0" w:line="225" w:lineRule="exact"/>
        <w:rPr>
          <w:sz w:val="20"/>
          <w:szCs w:val="20"/>
          <w:color w:val="auto"/>
        </w:rPr>
      </w:pPr>
    </w:p>
    <w:p>
      <w:pPr>
        <w:ind w:left="4340" w:right="340"/>
        <w:spacing w:after="0" w:line="258" w:lineRule="auto"/>
        <w:rPr>
          <w:sz w:val="20"/>
          <w:szCs w:val="20"/>
          <w:color w:val="auto"/>
        </w:rPr>
      </w:pPr>
      <w:r>
        <w:rPr>
          <w:rFonts w:ascii="Times New Roman" w:cs="Times New Roman" w:eastAsia="Times New Roman" w:hAnsi="Times New Roman"/>
          <w:sz w:val="18"/>
          <w:szCs w:val="18"/>
          <w:color w:val="auto"/>
        </w:rPr>
        <w:t>The 2063 Notes will be a further issuance of, and will form a single series with, the Existing 2063 Notes. The 2063 Notes offered hereby will have the same terms (other than the issue date, price to public and initial interest payment date) and will vote together as a single class, with the same CUSIP number as, and be fungible with, the Existing 2063 Notes.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Date</w:t>
            </w:r>
          </w:p>
        </w:tc>
        <w:tc>
          <w:tcPr>
            <w:tcW w:w="1280" w:type="dxa"/>
            <w:vAlign w:val="bottom"/>
          </w:tcPr>
          <w:p>
            <w:pPr>
              <w:ind w:left="11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72"/>
              </w:rPr>
              <w:t>, 20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88"/>
              </w:rPr>
              <w:t>for the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20"/>
                <w:szCs w:val="20"/>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Notes due 20   .</w:t>
            </w:r>
          </w:p>
        </w:tc>
      </w:tr>
      <w:tr>
        <w:trPr>
          <w:trHeight w:val="473"/>
        </w:trPr>
        <w:tc>
          <w:tcPr>
            <w:tcW w:w="3040" w:type="dxa"/>
            <w:vAlign w:val="bottom"/>
          </w:tcPr>
          <w:p>
            <w:pPr>
              <w:spacing w:after="0"/>
              <w:rPr>
                <w:sz w:val="24"/>
                <w:szCs w:val="24"/>
                <w:color w:val="auto"/>
              </w:rPr>
            </w:pPr>
          </w:p>
        </w:tc>
        <w:tc>
          <w:tcPr>
            <w:tcW w:w="1280" w:type="dxa"/>
            <w:vAlign w:val="bottom"/>
          </w:tcPr>
          <w:p>
            <w:pPr>
              <w:ind w:left="11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72"/>
              </w:rPr>
              <w:t>, 20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88"/>
              </w:rPr>
              <w:t>for the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24"/>
                <w:szCs w:val="24"/>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Notes due 20   .</w:t>
            </w:r>
          </w:p>
        </w:tc>
      </w:tr>
      <w:tr>
        <w:trPr>
          <w:trHeight w:val="459"/>
        </w:trPr>
        <w:tc>
          <w:tcPr>
            <w:tcW w:w="3040" w:type="dxa"/>
            <w:vAlign w:val="bottom"/>
          </w:tcPr>
          <w:p>
            <w:pPr>
              <w:spacing w:after="0"/>
              <w:rPr>
                <w:sz w:val="24"/>
                <w:szCs w:val="24"/>
                <w:color w:val="auto"/>
              </w:rPr>
            </w:pPr>
          </w:p>
        </w:tc>
        <w:tc>
          <w:tcPr>
            <w:tcW w:w="1280" w:type="dxa"/>
            <w:vAlign w:val="bottom"/>
          </w:tcPr>
          <w:p>
            <w:pPr>
              <w:ind w:left="11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72"/>
              </w:rPr>
              <w:t>, 20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88"/>
              </w:rPr>
              <w:t>for the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24"/>
                <w:szCs w:val="24"/>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Notes due 20   .</w:t>
            </w:r>
          </w:p>
        </w:tc>
      </w:tr>
      <w:tr>
        <w:trPr>
          <w:trHeight w:val="459"/>
        </w:trPr>
        <w:tc>
          <w:tcPr>
            <w:tcW w:w="3040" w:type="dxa"/>
            <w:vAlign w:val="bottom"/>
          </w:tcPr>
          <w:p>
            <w:pPr>
              <w:spacing w:after="0"/>
              <w:rPr>
                <w:sz w:val="24"/>
                <w:szCs w:val="24"/>
                <w:color w:val="auto"/>
              </w:rPr>
            </w:pPr>
          </w:p>
        </w:tc>
        <w:tc>
          <w:tcPr>
            <w:tcW w:w="2280" w:type="dxa"/>
            <w:vAlign w:val="bottom"/>
            <w:gridSpan w:val="6"/>
          </w:tcPr>
          <w:p>
            <w:pPr>
              <w:ind w:left="1180"/>
              <w:spacing w:after="0"/>
              <w:rPr>
                <w:sz w:val="20"/>
                <w:szCs w:val="20"/>
                <w:color w:val="auto"/>
              </w:rPr>
            </w:pPr>
            <w:r>
              <w:rPr>
                <w:rFonts w:ascii="Times New Roman" w:cs="Times New Roman" w:eastAsia="Times New Roman" w:hAnsi="Times New Roman"/>
                <w:sz w:val="18"/>
                <w:szCs w:val="18"/>
                <w:color w:val="auto"/>
              </w:rPr>
              <w:t xml:space="preserve">         , 20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88"/>
              </w:rPr>
              <w:t>for the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24"/>
                <w:szCs w:val="24"/>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Notes due 20   .</w:t>
            </w:r>
          </w:p>
        </w:tc>
      </w:tr>
      <w:tr>
        <w:trPr>
          <w:trHeight w:val="459"/>
        </w:trPr>
        <w:tc>
          <w:tcPr>
            <w:tcW w:w="3040" w:type="dxa"/>
            <w:vAlign w:val="bottom"/>
          </w:tcPr>
          <w:p>
            <w:pPr>
              <w:spacing w:after="0"/>
              <w:rPr>
                <w:sz w:val="24"/>
                <w:szCs w:val="24"/>
                <w:color w:val="auto"/>
              </w:rPr>
            </w:pPr>
          </w:p>
        </w:tc>
        <w:tc>
          <w:tcPr>
            <w:tcW w:w="4560" w:type="dxa"/>
            <w:vAlign w:val="bottom"/>
            <w:gridSpan w:val="17"/>
          </w:tcPr>
          <w:p>
            <w:pPr>
              <w:ind w:left="1180"/>
              <w:spacing w:after="0"/>
              <w:rPr>
                <w:sz w:val="20"/>
                <w:szCs w:val="20"/>
                <w:color w:val="auto"/>
              </w:rPr>
            </w:pPr>
            <w:r>
              <w:rPr>
                <w:rFonts w:ascii="Times New Roman" w:cs="Times New Roman" w:eastAsia="Times New Roman" w:hAnsi="Times New Roman"/>
                <w:sz w:val="18"/>
                <w:szCs w:val="18"/>
                <w:color w:val="auto"/>
              </w:rPr>
              <w:t>May 18, 2063 for the 5.050% Notes due 2063.</w:t>
            </w:r>
          </w:p>
        </w:tc>
        <w:tc>
          <w:tcPr>
            <w:tcW w:w="3420" w:type="dxa"/>
            <w:vAlign w:val="bottom"/>
          </w:tcPr>
          <w:p>
            <w:pPr>
              <w:spacing w:after="0"/>
              <w:rPr>
                <w:sz w:val="24"/>
                <w:szCs w:val="24"/>
                <w:color w:val="auto"/>
              </w:rPr>
            </w:pPr>
          </w:p>
        </w:tc>
      </w:tr>
      <w:tr>
        <w:trPr>
          <w:trHeight w:val="459"/>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Original Issue Date</w:t>
            </w:r>
          </w:p>
        </w:tc>
        <w:tc>
          <w:tcPr>
            <w:tcW w:w="1280" w:type="dxa"/>
            <w:vAlign w:val="bottom"/>
          </w:tcPr>
          <w:p>
            <w:pPr>
              <w:ind w:left="11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2024.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73"/>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w:t>
            </w:r>
          </w:p>
        </w:tc>
        <w:tc>
          <w:tcPr>
            <w:tcW w:w="2280" w:type="dxa"/>
            <w:vAlign w:val="bottom"/>
            <w:gridSpan w:val="6"/>
          </w:tcPr>
          <w:p>
            <w:pPr>
              <w:ind w:left="1180"/>
              <w:spacing w:after="0"/>
              <w:rPr>
                <w:sz w:val="20"/>
                <w:szCs w:val="20"/>
                <w:color w:val="auto"/>
              </w:rPr>
            </w:pPr>
            <w:r>
              <w:rPr>
                <w:rFonts w:ascii="Times New Roman" w:cs="Times New Roman" w:eastAsia="Times New Roman" w:hAnsi="Times New Roman"/>
                <w:sz w:val="18"/>
                <w:szCs w:val="18"/>
                <w:color w:val="auto"/>
                <w:w w:val="94"/>
              </w:rPr>
              <w:t>Fixed rate of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82"/>
              </w:rPr>
              <w:t>% for the  </w:t>
            </w:r>
          </w:p>
        </w:tc>
        <w:tc>
          <w:tcPr>
            <w:tcW w:w="100" w:type="dxa"/>
            <w:vAlign w:val="bottom"/>
          </w:tcPr>
          <w:p>
            <w:pPr>
              <w:spacing w:after="0"/>
              <w:rPr>
                <w:sz w:val="24"/>
                <w:szCs w:val="24"/>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41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Notes due 20   .</w:t>
            </w:r>
          </w:p>
        </w:tc>
      </w:tr>
      <w:tr>
        <w:trPr>
          <w:trHeight w:val="473"/>
        </w:trPr>
        <w:tc>
          <w:tcPr>
            <w:tcW w:w="3040" w:type="dxa"/>
            <w:vAlign w:val="bottom"/>
          </w:tcPr>
          <w:p>
            <w:pPr>
              <w:spacing w:after="0"/>
              <w:rPr>
                <w:sz w:val="24"/>
                <w:szCs w:val="24"/>
                <w:color w:val="auto"/>
              </w:rPr>
            </w:pPr>
          </w:p>
        </w:tc>
        <w:tc>
          <w:tcPr>
            <w:tcW w:w="2280" w:type="dxa"/>
            <w:vAlign w:val="bottom"/>
            <w:gridSpan w:val="6"/>
          </w:tcPr>
          <w:p>
            <w:pPr>
              <w:ind w:left="1180"/>
              <w:spacing w:after="0"/>
              <w:rPr>
                <w:sz w:val="20"/>
                <w:szCs w:val="20"/>
                <w:color w:val="auto"/>
              </w:rPr>
            </w:pPr>
            <w:r>
              <w:rPr>
                <w:rFonts w:ascii="Times New Roman" w:cs="Times New Roman" w:eastAsia="Times New Roman" w:hAnsi="Times New Roman"/>
                <w:sz w:val="18"/>
                <w:szCs w:val="18"/>
                <w:color w:val="auto"/>
                <w:w w:val="94"/>
              </w:rPr>
              <w:t>Fixed rate of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82"/>
              </w:rPr>
              <w:t>% for the  </w:t>
            </w:r>
          </w:p>
        </w:tc>
        <w:tc>
          <w:tcPr>
            <w:tcW w:w="100" w:type="dxa"/>
            <w:vAlign w:val="bottom"/>
          </w:tcPr>
          <w:p>
            <w:pPr>
              <w:spacing w:after="0"/>
              <w:rPr>
                <w:sz w:val="24"/>
                <w:szCs w:val="24"/>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41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Notes due 20   .</w:t>
            </w:r>
          </w:p>
        </w:tc>
      </w:tr>
      <w:tr>
        <w:trPr>
          <w:trHeight w:val="459"/>
        </w:trPr>
        <w:tc>
          <w:tcPr>
            <w:tcW w:w="3040" w:type="dxa"/>
            <w:vAlign w:val="bottom"/>
          </w:tcPr>
          <w:p>
            <w:pPr>
              <w:spacing w:after="0"/>
              <w:rPr>
                <w:sz w:val="24"/>
                <w:szCs w:val="24"/>
                <w:color w:val="auto"/>
              </w:rPr>
            </w:pPr>
          </w:p>
        </w:tc>
        <w:tc>
          <w:tcPr>
            <w:tcW w:w="2280" w:type="dxa"/>
            <w:vAlign w:val="bottom"/>
            <w:gridSpan w:val="6"/>
          </w:tcPr>
          <w:p>
            <w:pPr>
              <w:ind w:left="1180"/>
              <w:spacing w:after="0"/>
              <w:rPr>
                <w:sz w:val="20"/>
                <w:szCs w:val="20"/>
                <w:color w:val="auto"/>
              </w:rPr>
            </w:pPr>
            <w:r>
              <w:rPr>
                <w:rFonts w:ascii="Times New Roman" w:cs="Times New Roman" w:eastAsia="Times New Roman" w:hAnsi="Times New Roman"/>
                <w:sz w:val="18"/>
                <w:szCs w:val="18"/>
                <w:color w:val="auto"/>
                <w:w w:val="94"/>
              </w:rPr>
              <w:t>Fixed rate of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82"/>
              </w:rPr>
              <w:t>% for the  </w:t>
            </w:r>
          </w:p>
        </w:tc>
        <w:tc>
          <w:tcPr>
            <w:tcW w:w="100" w:type="dxa"/>
            <w:vAlign w:val="bottom"/>
          </w:tcPr>
          <w:p>
            <w:pPr>
              <w:spacing w:after="0"/>
              <w:rPr>
                <w:sz w:val="24"/>
                <w:szCs w:val="24"/>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41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Notes due 20   .</w:t>
            </w:r>
          </w:p>
        </w:tc>
      </w:tr>
      <w:tr>
        <w:trPr>
          <w:trHeight w:val="459"/>
        </w:trPr>
        <w:tc>
          <w:tcPr>
            <w:tcW w:w="3040" w:type="dxa"/>
            <w:vAlign w:val="bottom"/>
          </w:tcPr>
          <w:p>
            <w:pPr>
              <w:spacing w:after="0"/>
              <w:rPr>
                <w:sz w:val="24"/>
                <w:szCs w:val="24"/>
                <w:color w:val="auto"/>
              </w:rPr>
            </w:pPr>
          </w:p>
        </w:tc>
        <w:tc>
          <w:tcPr>
            <w:tcW w:w="2280" w:type="dxa"/>
            <w:vAlign w:val="bottom"/>
            <w:gridSpan w:val="6"/>
          </w:tcPr>
          <w:p>
            <w:pPr>
              <w:ind w:left="1180"/>
              <w:spacing w:after="0"/>
              <w:rPr>
                <w:sz w:val="20"/>
                <w:szCs w:val="20"/>
                <w:color w:val="auto"/>
              </w:rPr>
            </w:pPr>
            <w:r>
              <w:rPr>
                <w:rFonts w:ascii="Times New Roman" w:cs="Times New Roman" w:eastAsia="Times New Roman" w:hAnsi="Times New Roman"/>
                <w:sz w:val="18"/>
                <w:szCs w:val="18"/>
                <w:color w:val="auto"/>
                <w:w w:val="94"/>
              </w:rPr>
              <w:t>Fixed rate of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82"/>
              </w:rPr>
              <w:t>% for the  </w:t>
            </w:r>
          </w:p>
        </w:tc>
        <w:tc>
          <w:tcPr>
            <w:tcW w:w="100" w:type="dxa"/>
            <w:vAlign w:val="bottom"/>
          </w:tcPr>
          <w:p>
            <w:pPr>
              <w:spacing w:after="0"/>
              <w:rPr>
                <w:sz w:val="24"/>
                <w:szCs w:val="24"/>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41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Notes due 20   .</w:t>
            </w:r>
          </w:p>
        </w:tc>
      </w:tr>
      <w:tr>
        <w:trPr>
          <w:trHeight w:val="459"/>
        </w:trPr>
        <w:tc>
          <w:tcPr>
            <w:tcW w:w="3040" w:type="dxa"/>
            <w:vAlign w:val="bottom"/>
          </w:tcPr>
          <w:p>
            <w:pPr>
              <w:spacing w:after="0"/>
              <w:rPr>
                <w:sz w:val="24"/>
                <w:szCs w:val="24"/>
                <w:color w:val="auto"/>
              </w:rPr>
            </w:pPr>
          </w:p>
        </w:tc>
        <w:tc>
          <w:tcPr>
            <w:tcW w:w="7980" w:type="dxa"/>
            <w:vAlign w:val="bottom"/>
            <w:gridSpan w:val="18"/>
          </w:tcPr>
          <w:p>
            <w:pPr>
              <w:ind w:left="1180"/>
              <w:spacing w:after="0"/>
              <w:rPr>
                <w:sz w:val="20"/>
                <w:szCs w:val="20"/>
                <w:color w:val="auto"/>
              </w:rPr>
            </w:pPr>
            <w:r>
              <w:rPr>
                <w:rFonts w:ascii="Times New Roman" w:cs="Times New Roman" w:eastAsia="Times New Roman" w:hAnsi="Times New Roman"/>
                <w:sz w:val="18"/>
                <w:szCs w:val="18"/>
                <w:color w:val="auto"/>
              </w:rPr>
              <w:t>Fixed rate of 5.050% for the 5.050% Notes due 2063.</w:t>
            </w:r>
          </w:p>
        </w:tc>
      </w:tr>
      <w:tr>
        <w:trPr>
          <w:trHeight w:val="441"/>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16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78"/>
              </w:rPr>
              <w:t>Each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70"/>
              </w:rPr>
              <w:t>and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2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w w:val="93"/>
              </w:rPr>
              <w:t>, beginning on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2024, and on the maturity date for the</w:t>
            </w:r>
          </w:p>
        </w:tc>
      </w:tr>
      <w:tr>
        <w:trPr>
          <w:trHeight w:val="234"/>
        </w:trPr>
        <w:tc>
          <w:tcPr>
            <w:tcW w:w="3040" w:type="dxa"/>
            <w:vAlign w:val="bottom"/>
          </w:tcPr>
          <w:p>
            <w:pPr>
              <w:spacing w:after="0"/>
              <w:rPr>
                <w:sz w:val="20"/>
                <w:szCs w:val="20"/>
                <w:color w:val="auto"/>
              </w:rPr>
            </w:pPr>
          </w:p>
        </w:tc>
        <w:tc>
          <w:tcPr>
            <w:tcW w:w="14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w w:val="72"/>
              </w:rPr>
              <w:t>20 </w:t>
            </w:r>
          </w:p>
        </w:tc>
        <w:tc>
          <w:tcPr>
            <w:tcW w:w="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Notes.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41"/>
        </w:trPr>
        <w:tc>
          <w:tcPr>
            <w:tcW w:w="3040" w:type="dxa"/>
            <w:vAlign w:val="bottom"/>
          </w:tcPr>
          <w:p>
            <w:pPr>
              <w:spacing w:after="0"/>
              <w:rPr>
                <w:sz w:val="24"/>
                <w:szCs w:val="24"/>
                <w:color w:val="auto"/>
              </w:rPr>
            </w:pPr>
          </w:p>
        </w:tc>
        <w:tc>
          <w:tcPr>
            <w:tcW w:w="16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78"/>
              </w:rPr>
              <w:t>Each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70"/>
              </w:rPr>
              <w:t>and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2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w w:val="93"/>
              </w:rPr>
              <w:t>, beginning on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2024, and on the maturity date for the</w:t>
            </w:r>
          </w:p>
        </w:tc>
      </w:tr>
      <w:tr>
        <w:trPr>
          <w:trHeight w:val="234"/>
        </w:trPr>
        <w:tc>
          <w:tcPr>
            <w:tcW w:w="3040" w:type="dxa"/>
            <w:vAlign w:val="bottom"/>
          </w:tcPr>
          <w:p>
            <w:pPr>
              <w:spacing w:after="0"/>
              <w:rPr>
                <w:sz w:val="20"/>
                <w:szCs w:val="20"/>
                <w:color w:val="auto"/>
              </w:rPr>
            </w:pPr>
          </w:p>
        </w:tc>
        <w:tc>
          <w:tcPr>
            <w:tcW w:w="14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w w:val="72"/>
              </w:rPr>
              <w:t>20 </w:t>
            </w:r>
          </w:p>
        </w:tc>
        <w:tc>
          <w:tcPr>
            <w:tcW w:w="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Notes.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159"/>
        </w:trPr>
        <w:tc>
          <w:tcPr>
            <w:tcW w:w="30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2"/>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420" w:type="dxa"/>
            <w:vAlign w:val="bottom"/>
            <w:tcBorders>
              <w:bottom w:val="single" w:sz="8" w:color="auto"/>
            </w:tcBorders>
          </w:tcPr>
          <w:p>
            <w:pPr>
              <w:spacing w:after="0"/>
              <w:rPr>
                <w:sz w:val="13"/>
                <w:szCs w:val="13"/>
                <w:color w:val="auto"/>
              </w:rPr>
            </w:pPr>
          </w:p>
        </w:tc>
      </w:tr>
      <w:tr>
        <w:trPr>
          <w:trHeight w:val="361"/>
        </w:trPr>
        <w:tc>
          <w:tcPr>
            <w:tcW w:w="3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S-2</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78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2788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212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70"/>
              </w:rPr>
              <w:t>Each </w:t>
            </w:r>
          </w:p>
        </w:tc>
        <w:tc>
          <w:tcPr>
            <w:tcW w:w="26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2"/>
              </w:rPr>
              <w:t>and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 beginning on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 2024, and on the maturity date for the</w:t>
            </w:r>
          </w:p>
        </w:tc>
      </w:tr>
      <w:tr>
        <w:trPr>
          <w:trHeight w:val="234"/>
        </w:trPr>
        <w:tc>
          <w:tcPr>
            <w:tcW w:w="2320" w:type="dxa"/>
            <w:vAlign w:val="bottom"/>
          </w:tcPr>
          <w:p>
            <w:pPr>
              <w:spacing w:after="0"/>
              <w:rPr>
                <w:sz w:val="20"/>
                <w:szCs w:val="20"/>
                <w:color w:val="auto"/>
              </w:rPr>
            </w:pPr>
          </w:p>
        </w:tc>
        <w:tc>
          <w:tcPr>
            <w:tcW w:w="21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20 </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441"/>
        </w:trPr>
        <w:tc>
          <w:tcPr>
            <w:tcW w:w="2320" w:type="dxa"/>
            <w:vAlign w:val="bottom"/>
          </w:tcPr>
          <w:p>
            <w:pPr>
              <w:spacing w:after="0"/>
              <w:rPr>
                <w:sz w:val="24"/>
                <w:szCs w:val="24"/>
                <w:color w:val="auto"/>
              </w:rPr>
            </w:pPr>
          </w:p>
        </w:tc>
        <w:tc>
          <w:tcPr>
            <w:tcW w:w="23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 xml:space="preserve">Each     </w:t>
            </w:r>
          </w:p>
        </w:tc>
        <w:tc>
          <w:tcPr>
            <w:tcW w:w="24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 </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2"/>
              </w:rPr>
              <w:t>and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 beginning on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 2024, and on the maturity date for the</w:t>
            </w:r>
          </w:p>
        </w:tc>
      </w:tr>
      <w:tr>
        <w:trPr>
          <w:trHeight w:val="234"/>
        </w:trPr>
        <w:tc>
          <w:tcPr>
            <w:tcW w:w="2320" w:type="dxa"/>
            <w:vAlign w:val="bottom"/>
          </w:tcPr>
          <w:p>
            <w:pPr>
              <w:spacing w:after="0"/>
              <w:rPr>
                <w:sz w:val="20"/>
                <w:szCs w:val="20"/>
                <w:color w:val="auto"/>
              </w:rPr>
            </w:pPr>
          </w:p>
        </w:tc>
        <w:tc>
          <w:tcPr>
            <w:tcW w:w="21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20 </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441"/>
        </w:trPr>
        <w:tc>
          <w:tcPr>
            <w:tcW w:w="2320" w:type="dxa"/>
            <w:vAlign w:val="bottom"/>
          </w:tcPr>
          <w:p>
            <w:pPr>
              <w:spacing w:after="0"/>
              <w:rPr>
                <w:sz w:val="24"/>
                <w:szCs w:val="24"/>
                <w:color w:val="auto"/>
              </w:rPr>
            </w:pPr>
          </w:p>
        </w:tc>
        <w:tc>
          <w:tcPr>
            <w:tcW w:w="8200" w:type="dxa"/>
            <w:vAlign w:val="bottom"/>
            <w:gridSpan w:val="9"/>
          </w:tcPr>
          <w:p>
            <w:pPr>
              <w:ind w:left="1720"/>
              <w:spacing w:after="0"/>
              <w:rPr>
                <w:sz w:val="20"/>
                <w:szCs w:val="20"/>
                <w:color w:val="auto"/>
              </w:rPr>
            </w:pPr>
            <w:r>
              <w:rPr>
                <w:rFonts w:ascii="Times New Roman" w:cs="Times New Roman" w:eastAsia="Times New Roman" w:hAnsi="Times New Roman"/>
                <w:sz w:val="18"/>
                <w:szCs w:val="18"/>
                <w:color w:val="auto"/>
                <w:w w:val="99"/>
              </w:rPr>
              <w:t>Each May 18 and November 18, beginning on May 18, 2024, and on the maturity date for</w:t>
            </w:r>
          </w:p>
        </w:tc>
      </w:tr>
      <w:tr>
        <w:trPr>
          <w:trHeight w:val="216"/>
        </w:trPr>
        <w:tc>
          <w:tcPr>
            <w:tcW w:w="2320" w:type="dxa"/>
            <w:vAlign w:val="bottom"/>
          </w:tcPr>
          <w:p>
            <w:pPr>
              <w:spacing w:after="0"/>
              <w:rPr>
                <w:sz w:val="18"/>
                <w:szCs w:val="18"/>
                <w:color w:val="auto"/>
              </w:rPr>
            </w:pPr>
          </w:p>
        </w:tc>
        <w:tc>
          <w:tcPr>
            <w:tcW w:w="8200" w:type="dxa"/>
            <w:vAlign w:val="bottom"/>
            <w:gridSpan w:val="9"/>
          </w:tcPr>
          <w:p>
            <w:pPr>
              <w:ind w:left="1720"/>
              <w:spacing w:after="0"/>
              <w:rPr>
                <w:sz w:val="20"/>
                <w:szCs w:val="20"/>
                <w:color w:val="auto"/>
              </w:rPr>
            </w:pPr>
            <w:r>
              <w:rPr>
                <w:rFonts w:ascii="Times New Roman" w:cs="Times New Roman" w:eastAsia="Times New Roman" w:hAnsi="Times New Roman"/>
                <w:sz w:val="18"/>
                <w:szCs w:val="18"/>
                <w:color w:val="auto"/>
                <w:w w:val="99"/>
              </w:rPr>
              <w:t>the 2063 Notes. Interest on the 2063 Notes offered hereby will accrue from November 18,</w:t>
            </w:r>
          </w:p>
        </w:tc>
      </w:tr>
      <w:tr>
        <w:trPr>
          <w:trHeight w:val="234"/>
        </w:trPr>
        <w:tc>
          <w:tcPr>
            <w:tcW w:w="2320" w:type="dxa"/>
            <w:vAlign w:val="bottom"/>
          </w:tcPr>
          <w:p>
            <w:pPr>
              <w:spacing w:after="0"/>
              <w:rPr>
                <w:sz w:val="20"/>
                <w:szCs w:val="20"/>
                <w:color w:val="auto"/>
              </w:rPr>
            </w:pPr>
          </w:p>
        </w:tc>
        <w:tc>
          <w:tcPr>
            <w:tcW w:w="212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3"/>
              </w:rPr>
              <w:t>2023.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441"/>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8200" w:type="dxa"/>
            <w:vAlign w:val="bottom"/>
            <w:gridSpan w:val="9"/>
          </w:tcPr>
          <w:p>
            <w:pPr>
              <w:ind w:left="1720"/>
              <w:spacing w:after="0"/>
              <w:rPr>
                <w:sz w:val="20"/>
                <w:szCs w:val="20"/>
                <w:color w:val="auto"/>
              </w:rPr>
            </w:pPr>
            <w:r>
              <w:rPr>
                <w:rFonts w:ascii="Times New Roman" w:cs="Times New Roman" w:eastAsia="Times New Roman" w:hAnsi="Times New Roman"/>
                <w:sz w:val="18"/>
                <w:szCs w:val="18"/>
                <w:color w:val="auto"/>
                <w:w w:val="99"/>
              </w:rPr>
              <w:t>The Notes will be the senior unsecured obligations of Texas Instruments Incorporated and</w:t>
            </w:r>
          </w:p>
        </w:tc>
      </w:tr>
      <w:tr>
        <w:trPr>
          <w:trHeight w:val="234"/>
        </w:trPr>
        <w:tc>
          <w:tcPr>
            <w:tcW w:w="2320" w:type="dxa"/>
            <w:vAlign w:val="bottom"/>
          </w:tcPr>
          <w:p>
            <w:pPr>
              <w:spacing w:after="0"/>
              <w:rPr>
                <w:sz w:val="20"/>
                <w:szCs w:val="20"/>
                <w:color w:val="auto"/>
              </w:rPr>
            </w:pPr>
          </w:p>
        </w:tc>
        <w:tc>
          <w:tcPr>
            <w:tcW w:w="8200" w:type="dxa"/>
            <w:vAlign w:val="bottom"/>
            <w:gridSpan w:val="9"/>
          </w:tcPr>
          <w:p>
            <w:pPr>
              <w:ind w:left="1720"/>
              <w:spacing w:after="0"/>
              <w:rPr>
                <w:sz w:val="20"/>
                <w:szCs w:val="20"/>
                <w:color w:val="auto"/>
              </w:rPr>
            </w:pPr>
            <w:r>
              <w:rPr>
                <w:rFonts w:ascii="Times New Roman" w:cs="Times New Roman" w:eastAsia="Times New Roman" w:hAnsi="Times New Roman"/>
                <w:sz w:val="18"/>
                <w:szCs w:val="18"/>
                <w:color w:val="auto"/>
              </w:rPr>
              <w:t>will rank equally with all of its existing and future senior indebtedness from time to time</w:t>
            </w:r>
          </w:p>
        </w:tc>
      </w:tr>
    </w:tbl>
    <w:p>
      <w:pPr>
        <w:ind w:left="4340" w:right="900"/>
        <w:spacing w:after="0" w:line="260" w:lineRule="auto"/>
        <w:rPr>
          <w:sz w:val="20"/>
          <w:szCs w:val="20"/>
          <w:color w:val="auto"/>
        </w:rPr>
      </w:pPr>
      <w:r>
        <w:rPr>
          <w:rFonts w:ascii="Times New Roman" w:cs="Times New Roman" w:eastAsia="Times New Roman" w:hAnsi="Times New Roman"/>
          <w:sz w:val="18"/>
          <w:szCs w:val="18"/>
          <w:color w:val="auto"/>
        </w:rPr>
        <w:t>outstanding. All existing and future liabilities of subsidiaries of Texas Instruments Incorporated will be effectively senior to the Notes.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As of December 31, 2023, Texas Instruments Incorporated had approximately $11.3 billion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principal amount of outstanding indebtedness. As of December 31, 2023, Texas</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Instruments Incorporated had approximately $15.5 billion of total liabilities on a</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consolidated basis. Of the $15.5 billion of consolidated total liabilities, approximately</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$1.3 billion of liabilities (including trade payables and excluding intercompany debt) were</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held by subsidiaries of Texas Instruments Incorporated to which the Notes will be</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effectively subordinated.</w:t>
            </w:r>
          </w:p>
        </w:tc>
      </w:tr>
      <w:tr>
        <w:trPr>
          <w:trHeight w:val="441"/>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and Denomination</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Notes will be issued in the form of one or more fully registered global securities,</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without coupons, in denominations of $2,000 in principal amount and integral multiples of</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$1,000 in excess thereof. These global notes will be deposited with the trustee as custodian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for, and registered in the name of, a nominee of The Depository Trust Company, or DTC.</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Except in the limited circumstances described under “Description of the Notes—Book-</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Entry; Delivery and Form; Global Note,” Notes in certificated form will not be issued or</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exchanged for interests in global securities.</w:t>
            </w:r>
          </w:p>
        </w:tc>
      </w:tr>
      <w:tr>
        <w:trPr>
          <w:trHeight w:val="459"/>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internal laws of the State of New York.</w:t>
            </w:r>
          </w:p>
        </w:tc>
      </w:tr>
      <w:tr>
        <w:trPr>
          <w:trHeight w:val="454"/>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We expect to use the net proceeds of this offering for general corporate purposes. See “Use</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of Proceeds.” In connection with the issuance of the Notes, we may enter into interest rate</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swap agreements with financial institutions, which may include one or more of the</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underwriters or their affiliates.</w:t>
            </w:r>
          </w:p>
        </w:tc>
      </w:tr>
      <w:tr>
        <w:trPr>
          <w:trHeight w:val="441"/>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Further Issuances</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Texas Instruments Incorporated may create and issue further notes of a series ranking</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equally and ratably with the Notes of such series offered by this prospectus supplement in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all respects, so that such further notes will be consolidated and form a single series with the</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Notes of such series offered by this prospectus supplement (and, in the case of the 2063</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Notes, with the Existing 2063 Notes).</w:t>
            </w:r>
          </w:p>
        </w:tc>
      </w:tr>
      <w:tr>
        <w:trPr>
          <w:trHeight w:val="159"/>
        </w:trPr>
        <w:tc>
          <w:tcPr>
            <w:tcW w:w="3080" w:type="dxa"/>
            <w:vAlign w:val="bottom"/>
            <w:tcBorders>
              <w:bottom w:val="single" w:sz="8" w:color="auto"/>
            </w:tcBorders>
          </w:tcPr>
          <w:p>
            <w:pPr>
              <w:spacing w:after="0"/>
              <w:rPr>
                <w:sz w:val="13"/>
                <w:szCs w:val="13"/>
                <w:color w:val="auto"/>
              </w:rPr>
            </w:pPr>
          </w:p>
        </w:tc>
        <w:tc>
          <w:tcPr>
            <w:tcW w:w="7940" w:type="dxa"/>
            <w:vAlign w:val="bottom"/>
            <w:tcBorders>
              <w:bottom w:val="single" w:sz="8" w:color="auto"/>
            </w:tcBorders>
          </w:tcPr>
          <w:p>
            <w:pPr>
              <w:spacing w:after="0"/>
              <w:rPr>
                <w:sz w:val="13"/>
                <w:szCs w:val="13"/>
                <w:color w:val="auto"/>
              </w:rPr>
            </w:pPr>
          </w:p>
        </w:tc>
      </w:tr>
      <w:tr>
        <w:trPr>
          <w:trHeight w:val="361"/>
        </w:trPr>
        <w:tc>
          <w:tcPr>
            <w:tcW w:w="3080" w:type="dxa"/>
            <w:vAlign w:val="bottom"/>
          </w:tcPr>
          <w:p>
            <w:pPr>
              <w:spacing w:after="0"/>
              <w:rPr>
                <w:sz w:val="24"/>
                <w:szCs w:val="24"/>
                <w:color w:val="auto"/>
              </w:rPr>
            </w:pPr>
          </w:p>
        </w:tc>
        <w:tc>
          <w:tcPr>
            <w:tcW w:w="79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29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Sinking Fund</w:t>
            </w:r>
          </w:p>
        </w:tc>
        <w:tc>
          <w:tcPr>
            <w:tcW w:w="8040" w:type="dxa"/>
            <w:vAlign w:val="bottom"/>
            <w:tcBorders>
              <w:top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None.</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Texas Instruments Incorporated may redeem some or all of each series of the Notes at any</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time and from time to time at the applicable redemption prices indicated under the heading</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“Description of the Notes—Optional Redemption.”</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Trading</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Each of the 20   Notes, the 20   Notes, the 20   Notes and the 20   Notes are a new</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issue of securities with no established trading market. We do not intend to apply for listing</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of any of the Notes on any securities exchange. The underwriters have advised us that they</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intend to make a market in the Notes, but they are not obligated to do so and may</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discontinue market-making at any time without notice.</w:t>
            </w:r>
          </w:p>
        </w:tc>
      </w:tr>
      <w:tr>
        <w:trPr>
          <w:trHeight w:val="441"/>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See “Underwriting” in this prospectus supplement for more information about possible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market-making by the underwriters.</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You should carefully consider all of the information in this prospectus supplement and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accompanying prospectus and the documents incorporated herein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particular, you should evaluate the information set forth under “Notice Regarding Forward-</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Looking Statements” and “Risk Factors” before deciding whether to invest in the Notes.</w:t>
            </w:r>
          </w:p>
        </w:tc>
      </w:tr>
      <w:tr>
        <w:trPr>
          <w:trHeight w:val="159"/>
        </w:trPr>
        <w:tc>
          <w:tcPr>
            <w:tcW w:w="2980" w:type="dxa"/>
            <w:vAlign w:val="bottom"/>
            <w:tcBorders>
              <w:left w:val="single" w:sz="8" w:color="auto"/>
              <w:bottom w:val="single" w:sz="8" w:color="auto"/>
            </w:tcBorders>
          </w:tcPr>
          <w:p>
            <w:pPr>
              <w:spacing w:after="0"/>
              <w:rPr>
                <w:sz w:val="13"/>
                <w:szCs w:val="13"/>
                <w:color w:val="auto"/>
              </w:rPr>
            </w:pPr>
          </w:p>
        </w:tc>
        <w:tc>
          <w:tcPr>
            <w:tcW w:w="8040" w:type="dxa"/>
            <w:vAlign w:val="bottom"/>
            <w:tcBorders>
              <w:bottom w:val="single" w:sz="8" w:color="auto"/>
              <w:right w:val="single" w:sz="8" w:color="auto"/>
            </w:tcBorders>
          </w:tcPr>
          <w:p>
            <w:pPr>
              <w:spacing w:after="0"/>
              <w:rPr>
                <w:sz w:val="13"/>
                <w:szCs w:val="13"/>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hereby incorporate by reference risk factors in Item 1A of our Annual Report on Form 10-K for the year ended December 31, 2023.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Offering</w:t>
      </w:r>
    </w:p>
    <w:p>
      <w:pPr>
        <w:spacing w:after="0" w:line="117" w:lineRule="exact"/>
        <w:rPr>
          <w:sz w:val="20"/>
          <w:szCs w:val="20"/>
          <w:color w:val="auto"/>
        </w:rPr>
      </w:pPr>
    </w:p>
    <w:p>
      <w:pPr>
        <w:ind w:left="340"/>
        <w:spacing w:after="0"/>
        <w:tabs>
          <w:tab w:leader="none" w:pos="3580" w:val="left"/>
          <w:tab w:leader="none" w:pos="4760" w:val="left"/>
          <w:tab w:leader="none" w:pos="5960" w:val="left"/>
          <w:tab w:leader="none" w:pos="7420" w:val="left"/>
        </w:tabs>
        <w:rPr>
          <w:sz w:val="20"/>
          <w:szCs w:val="20"/>
          <w:color w:val="auto"/>
        </w:rPr>
      </w:pPr>
      <w:r>
        <w:rPr>
          <w:rFonts w:ascii="Times New Roman" w:cs="Times New Roman" w:eastAsia="Times New Roman" w:hAnsi="Times New Roman"/>
          <w:sz w:val="18"/>
          <w:szCs w:val="18"/>
          <w:b w:val="1"/>
          <w:bCs w:val="1"/>
          <w:i w:val="1"/>
          <w:iCs w:val="1"/>
          <w:color w:val="auto"/>
        </w:rPr>
        <w:t>Active trading markets for each of the 20 </w:t>
        <w:tab/>
        <w:t>Notes, the 20  </w:t>
        <w:tab/>
        <w:t>Notes, the 20 </w:t>
        <w:tab/>
        <w:t>Notes and the 20 </w:t>
        <w:tab/>
        <w:t>Notes may not develop.</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There is currently no public market for the 20  Notes, the 20  Notes, the 20   Notes or the 20  Notes, and we do not currently plan to list the Notes on any national securities exchange. In addition, the liquidity of any trading markets in any series of Notes, and the market prices quoted for any series of Notes, may be adversely affected by changes in the overall market for such series of Notes, prevailing interest rates, ratings assigned to such series of Notes, time remaining to the maturity of such series of Notes, outstanding amount of such series of Notes, the markets for similar securities, prospects for other companies in our industry and changes in our consolidated financial condition, results of operations or prospects. Liquid trading markets in any series of Notes may not develop, which could decrease the amounts you would otherwise receive upon a sale or disposition of such series of Notes.</w:t>
      </w:r>
    </w:p>
    <w:p>
      <w:pPr>
        <w:spacing w:after="0" w:line="293" w:lineRule="exact"/>
        <w:rPr>
          <w:sz w:val="20"/>
          <w:szCs w:val="20"/>
          <w:color w:val="auto"/>
        </w:rPr>
      </w:pPr>
    </w:p>
    <w:p>
      <w:pPr>
        <w:ind w:left="34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6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December 31, 2023, we had approximately $15.5 billion of total liabilities on a consolidated basis. Of this amount, subsidiaries of Texas Instruments Incorporated had approximately $1.3 billion of liabilities (including trade payables and excluding intercompany debt) to which the Notes will be effectively subordinated.</w:t>
      </w:r>
    </w:p>
    <w:p>
      <w:pPr>
        <w:spacing w:after="0" w:line="187"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subject to the prior claims of any future secured creditors.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92" w:lineRule="exact"/>
        <w:rPr>
          <w:sz w:val="20"/>
          <w:szCs w:val="20"/>
          <w:color w:val="auto"/>
        </w:rPr>
      </w:pPr>
    </w:p>
    <w:p>
      <w:pPr>
        <w:ind w:lef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7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Increased leverage may harm our financial condition and results of operations.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an as adjusted basis after giving effect to this offering, as of December 31, 2023, Texas Instruments Incorporated would have had approximately $        billion principal amount of total long-term indebtedness (including the Notes, but excluding the current portion of long-term indebtedness), all of which would have been unsecured and unsubordinated.</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1" w:lineRule="exact"/>
        <w:rPr>
          <w:sz w:val="20"/>
          <w:szCs w:val="20"/>
          <w:color w:val="auto"/>
        </w:rPr>
      </w:pPr>
    </w:p>
    <w:p>
      <w:pPr>
        <w:ind w:left="1080" w:right="5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will have additional cash requirements in order to support the payment of interest on its outstanding indebtedness;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its outstanding indebtedness and leverage will increase its vulnerability to adverse changes in general economic and industry conditions, as well as to competitive pressure;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obtain additional financing for working capital, capital expenditures, general corporate and other purposes may be limited. 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If Texas Instruments Incorporated is unable to generate sufficient cash flow from operations in the future to service its debt, it may be required, among other things:</w:t>
      </w:r>
    </w:p>
    <w:p>
      <w:pPr>
        <w:spacing w:after="0" w:line="67"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additional financing in the debt or equity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refinance or restructure all or a portion of its indebtedness, including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 selected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capital expenditures;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operating and investment expenditures.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Notes will not protect you in the event of highly leveraged transactions or a change of control.</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ratings of the Notes may change and affect the market prices and marketability of the Notes.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prices or marketability of the Notes. In addition, any decline in the ratings of the Notes may make it more difficult for us to raise capital on acceptable terms.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60"/>
          </w:cols>
          <w:pgMar w:left="320" w:top="455" w:right="5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anticipate that we will receive net proceeds of approximately $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60"/>
          </w:cols>
          <w:pgMar w:left="320" w:top="455" w:right="5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cash, cash equivalents and short-term investments and our capitalization on an actual and as adjusted basis as of December 31, 2023. Our consolidated capitalization, as adjusted, gives effect to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96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4"/>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par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7"/>
              </w:rPr>
              <w:t>20 </w:t>
            </w:r>
          </w:p>
        </w:tc>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Notes offered hereby</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77"/>
              </w:rPr>
              <w:t>20 </w:t>
            </w:r>
          </w:p>
        </w:tc>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 offered hereby</w:t>
            </w:r>
          </w:p>
        </w:tc>
        <w:tc>
          <w:tcPr>
            <w:tcW w:w="100" w:type="dxa"/>
            <w:vAlign w:val="bottom"/>
          </w:tcPr>
          <w:p>
            <w:pPr>
              <w:spacing w:after="0"/>
              <w:rPr>
                <w:sz w:val="18"/>
                <w:szCs w:val="18"/>
                <w:color w:val="auto"/>
              </w:rPr>
            </w:pP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7"/>
              </w:rPr>
              <w:t>20 </w:t>
            </w:r>
          </w:p>
        </w:tc>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Notes offered hereby</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77"/>
              </w:rPr>
              <w:t>20 </w:t>
            </w:r>
          </w:p>
        </w:tc>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 offered hereby</w:t>
            </w:r>
          </w:p>
        </w:tc>
        <w:tc>
          <w:tcPr>
            <w:tcW w:w="100" w:type="dxa"/>
            <w:vAlign w:val="bottom"/>
          </w:tcPr>
          <w:p>
            <w:pPr>
              <w:spacing w:after="0"/>
              <w:rPr>
                <w:sz w:val="18"/>
                <w:szCs w:val="18"/>
                <w:color w:val="auto"/>
              </w:rPr>
            </w:pP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2063 Notes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 long-term debt</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$25 par value. Shares authorized—10; none issued</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6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$1 par value. Shares authorized—2,400; shares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issued—1,741</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52,283</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common stock at cost (832 shares)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(40,284)</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6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Accumulated other comprehensive income (loss), net of taxes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(AOCI)</w:t>
            </w:r>
          </w:p>
        </w:tc>
        <w:tc>
          <w:tcPr>
            <w:tcW w:w="10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16,897</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capitalization</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27,521</w:t>
            </w:r>
          </w:p>
        </w:tc>
        <w:tc>
          <w:tcPr>
            <w:tcW w:w="720" w:type="dxa"/>
            <w:vAlign w:val="bottom"/>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320" w:hanging="419"/>
        <w:spacing w:after="0" w:line="272" w:lineRule="auto"/>
        <w:tabs>
          <w:tab w:leader="none" w:pos="520" w:val="left"/>
        </w:tabs>
        <w:rPr>
          <w:sz w:val="20"/>
          <w:szCs w:val="20"/>
          <w:color w:val="auto"/>
        </w:rPr>
      </w:pPr>
      <w:r>
        <w:rPr>
          <w:rFonts w:ascii="Times New Roman" w:cs="Times New Roman" w:eastAsia="Times New Roman" w:hAnsi="Times New Roman"/>
          <w:sz w:val="17"/>
          <w:szCs w:val="17"/>
          <w:color w:val="auto"/>
        </w:rPr>
        <w:t>(1)</w:t>
        <w:tab/>
        <w:t>The 20  Notes, the 20  Notes, the 20  Notes, the 20  Notes and the 2063 Notes offered hereby are shown at the amount of the public offering price, less offering expenses (including underwriting discounts) and excluding $        of accrued interest from, and including, November 18, 2023 to, but excluding, the date of delivery, that is payable as part of the public offering price of the 2063 Notes offered hereby.</w:t>
      </w:r>
    </w:p>
    <w:p>
      <w:pPr>
        <w:spacing w:after="0" w:line="2" w:lineRule="exact"/>
        <w:rPr>
          <w:sz w:val="20"/>
          <w:szCs w:val="20"/>
          <w:color w:val="auto"/>
        </w:rPr>
      </w:pPr>
    </w:p>
    <w:p>
      <w:pPr>
        <w:ind w:left="540" w:right="160" w:hanging="424"/>
        <w:spacing w:after="0" w:line="26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$10.1 billion principal amount of our existing outstanding notes (other than the Existing 2063 Notes) less net unamortized discounts, premiums and debt issuance costs of $77 million, less $599 million representing the current portion of long-term debt.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summary herein of certain provisions of the indenture does not purport to be complete and is subject to, and is qualified in its entirety by reference to, all of the provisions of the indenture, which has been filed as an exhibit to the registration statement of which this prospectus supplement forms a part.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8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06"/>
        </w:trPr>
        <w:tc>
          <w:tcPr>
            <w:tcW w:w="2800" w:type="dxa"/>
            <w:vAlign w:val="bottom"/>
            <w:gridSpan w:val="8"/>
          </w:tcPr>
          <w:p>
            <w:pPr>
              <w:ind w:left="440"/>
              <w:spacing w:after="0"/>
              <w:rPr>
                <w:sz w:val="20"/>
                <w:szCs w:val="20"/>
                <w:color w:val="auto"/>
              </w:rPr>
            </w:pPr>
            <w:r>
              <w:rPr>
                <w:rFonts w:ascii="Times New Roman" w:cs="Times New Roman" w:eastAsia="Times New Roman" w:hAnsi="Times New Roman"/>
                <w:sz w:val="18"/>
                <w:szCs w:val="18"/>
                <w:color w:val="auto"/>
                <w:w w:val="94"/>
              </w:rPr>
              <w:t>The 20   Notes will mature on 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4"/>
              </w:rPr>
              <w:t>, 20   , the 20 </w:t>
            </w:r>
          </w:p>
        </w:tc>
        <w:tc>
          <w:tcPr>
            <w:tcW w:w="178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w w:val="94"/>
              </w:rPr>
              <w:t>Notes will mature on  </w:t>
            </w:r>
          </w:p>
        </w:tc>
        <w:tc>
          <w:tcPr>
            <w:tcW w:w="6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71"/>
              </w:rPr>
              <w:t>, 20 </w:t>
            </w: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the 20 </w:t>
            </w:r>
          </w:p>
        </w:tc>
        <w:tc>
          <w:tcPr>
            <w:tcW w:w="16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w w:val="94"/>
              </w:rPr>
              <w:t>Notes will mature on </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3"/>
                <w:szCs w:val="13"/>
                <w:color w:val="auto"/>
                <w:w w:val="76"/>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jc w:val="center"/>
              <w:ind w:right="18"/>
              <w:spacing w:after="0"/>
              <w:rPr>
                <w:sz w:val="20"/>
                <w:szCs w:val="20"/>
                <w:color w:val="auto"/>
              </w:rPr>
            </w:pPr>
            <w:r>
              <w:rPr>
                <w:rFonts w:ascii="Times New Roman" w:cs="Times New Roman" w:eastAsia="Times New Roman" w:hAnsi="Times New Roman"/>
                <w:sz w:val="4"/>
                <w:szCs w:val="4"/>
                <w:color w:val="auto"/>
                <w:w w:val="98"/>
              </w:rPr>
              <w:t> </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 20 </w:t>
            </w:r>
          </w:p>
        </w:tc>
        <w:tc>
          <w:tcPr>
            <w:tcW w:w="220" w:type="dxa"/>
            <w:vAlign w:val="bottom"/>
          </w:tcPr>
          <w:p>
            <w:pPr>
              <w:jc w:val="right"/>
              <w:ind w:right="87"/>
              <w:spacing w:after="0"/>
              <w:rPr>
                <w:sz w:val="20"/>
                <w:szCs w:val="20"/>
                <w:color w:val="auto"/>
              </w:rPr>
            </w:pPr>
            <w:r>
              <w:rPr>
                <w:rFonts w:ascii="Times New Roman" w:cs="Times New Roman" w:eastAsia="Times New Roman" w:hAnsi="Times New Roman"/>
                <w:sz w:val="18"/>
                <w:szCs w:val="18"/>
                <w:color w:val="auto"/>
                <w:w w:val="87"/>
              </w:rPr>
              <w:t>,</w:t>
            </w:r>
          </w:p>
        </w:tc>
      </w:tr>
      <w:tr>
        <w:trPr>
          <w:trHeight w:val="216"/>
        </w:trPr>
        <w:tc>
          <w:tcPr>
            <w:tcW w:w="22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3"/>
              </w:rPr>
              <w:t>the 20   Notes will mature on </w:t>
            </w:r>
          </w:p>
        </w:tc>
        <w:tc>
          <w:tcPr>
            <w:tcW w:w="10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w w:val="96"/>
              </w:rPr>
              <w:t>         , 20 </w:t>
            </w:r>
          </w:p>
        </w:tc>
        <w:tc>
          <w:tcPr>
            <w:tcW w:w="7640" w:type="dxa"/>
            <w:vAlign w:val="bottom"/>
            <w:gridSpan w:val="27"/>
          </w:tcPr>
          <w:p>
            <w:pPr>
              <w:ind w:left="60"/>
              <w:spacing w:after="0"/>
              <w:rPr>
                <w:sz w:val="20"/>
                <w:szCs w:val="20"/>
                <w:color w:val="auto"/>
              </w:rPr>
            </w:pPr>
            <w:r>
              <w:rPr>
                <w:rFonts w:ascii="Times New Roman" w:cs="Times New Roman" w:eastAsia="Times New Roman" w:hAnsi="Times New Roman"/>
                <w:sz w:val="18"/>
                <w:szCs w:val="18"/>
                <w:color w:val="auto"/>
              </w:rPr>
              <w:t>and the 2063 Notes will mature on May 18, 2063. The Notes will be issued in book-entry form only, in</w:t>
            </w:r>
          </w:p>
        </w:tc>
      </w:tr>
      <w:tr>
        <w:trPr>
          <w:trHeight w:val="216"/>
        </w:trPr>
        <w:tc>
          <w:tcPr>
            <w:tcW w:w="6260" w:type="dxa"/>
            <w:vAlign w:val="bottom"/>
            <w:gridSpan w:val="20"/>
          </w:tcPr>
          <w:p>
            <w:pPr>
              <w:spacing w:after="0"/>
              <w:rPr>
                <w:sz w:val="20"/>
                <w:szCs w:val="20"/>
                <w:color w:val="auto"/>
              </w:rPr>
            </w:pPr>
            <w:r>
              <w:rPr>
                <w:rFonts w:ascii="Times New Roman" w:cs="Times New Roman" w:eastAsia="Times New Roman" w:hAnsi="Times New Roman"/>
                <w:sz w:val="18"/>
                <w:szCs w:val="18"/>
                <w:color w:val="auto"/>
                <w:w w:val="98"/>
              </w:rPr>
              <w:t>denominations of $2,000 and multiples of $1,000 in excess thereof. Interest on the 20 </w:t>
            </w:r>
          </w:p>
        </w:tc>
        <w:tc>
          <w:tcPr>
            <w:tcW w:w="60" w:type="dxa"/>
            <w:vAlign w:val="bottom"/>
          </w:tcPr>
          <w:p>
            <w:pPr>
              <w:spacing w:after="0"/>
              <w:rPr>
                <w:sz w:val="18"/>
                <w:szCs w:val="18"/>
                <w:color w:val="auto"/>
              </w:rPr>
            </w:pPr>
          </w:p>
        </w:tc>
        <w:tc>
          <w:tcPr>
            <w:tcW w:w="1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w w:val="92"/>
              </w:rPr>
              <w:t>Notes will accrue from 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 20 </w:t>
            </w:r>
          </w:p>
        </w:tc>
        <w:tc>
          <w:tcPr>
            <w:tcW w:w="162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 interest on the 20</w:t>
            </w:r>
          </w:p>
        </w:tc>
        <w:tc>
          <w:tcPr>
            <w:tcW w:w="220" w:type="dxa"/>
            <w:vAlign w:val="bottom"/>
          </w:tcPr>
          <w:p>
            <w:pPr>
              <w:spacing w:after="0"/>
              <w:rPr>
                <w:sz w:val="18"/>
                <w:szCs w:val="18"/>
                <w:color w:val="auto"/>
              </w:rPr>
            </w:pPr>
          </w:p>
        </w:tc>
      </w:tr>
      <w:tr>
        <w:trPr>
          <w:trHeight w:val="216"/>
        </w:trPr>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Notes will accrue from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70"/>
              </w:rPr>
              <w:t>, 20 </w:t>
            </w:r>
          </w:p>
        </w:tc>
        <w:tc>
          <w:tcPr>
            <w:tcW w:w="3400" w:type="dxa"/>
            <w:vAlign w:val="bottom"/>
            <w:gridSpan w:val="12"/>
          </w:tcPr>
          <w:p>
            <w:pPr>
              <w:ind w:left="120"/>
              <w:spacing w:after="0"/>
              <w:rPr>
                <w:sz w:val="20"/>
                <w:szCs w:val="20"/>
                <w:color w:val="auto"/>
              </w:rPr>
            </w:pPr>
            <w:r>
              <w:rPr>
                <w:rFonts w:ascii="Times New Roman" w:cs="Times New Roman" w:eastAsia="Times New Roman" w:hAnsi="Times New Roman"/>
                <w:sz w:val="18"/>
                <w:szCs w:val="18"/>
                <w:color w:val="auto"/>
                <w:w w:val="94"/>
              </w:rPr>
              <w:t>, interest on the 20   Notes will accrue from 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4"/>
              </w:rPr>
              <w:t>, 20 </w:t>
            </w:r>
          </w:p>
        </w:tc>
        <w:tc>
          <w:tcPr>
            <w:tcW w:w="1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w w:val="93"/>
              </w:rPr>
              <w:t>, interest on the 20 </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Notes will accrue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 20 </w:t>
            </w:r>
          </w:p>
        </w:tc>
        <w:tc>
          <w:tcPr>
            <w:tcW w:w="9480" w:type="dxa"/>
            <w:vAlign w:val="bottom"/>
            <w:gridSpan w:val="36"/>
          </w:tcPr>
          <w:p>
            <w:pPr>
              <w:ind w:left="60"/>
              <w:spacing w:after="0"/>
              <w:rPr>
                <w:sz w:val="20"/>
                <w:szCs w:val="20"/>
                <w:color w:val="auto"/>
              </w:rPr>
            </w:pPr>
            <w:r>
              <w:rPr>
                <w:rFonts w:ascii="Times New Roman" w:cs="Times New Roman" w:eastAsia="Times New Roman" w:hAnsi="Times New Roman"/>
                <w:sz w:val="18"/>
                <w:szCs w:val="18"/>
                <w:color w:val="auto"/>
              </w:rPr>
              <w:t>and interest on the 2063 Notes will accrue from November 18, 2023 at the rate per annum shown on the cover of this prospectus</w:t>
            </w:r>
          </w:p>
        </w:tc>
      </w:tr>
      <w:tr>
        <w:trPr>
          <w:trHeight w:val="216"/>
        </w:trPr>
        <w:tc>
          <w:tcPr>
            <w:tcW w:w="22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5"/>
              </w:rPr>
              <w:t>supplement. Interest on the 20 </w:t>
            </w:r>
          </w:p>
        </w:tc>
        <w:tc>
          <w:tcPr>
            <w:tcW w:w="302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w w:val="94"/>
              </w:rPr>
              <w:t>Notes will be payable semi-annually on 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77"/>
              </w:rPr>
              <w:t>and 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3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4"/>
              </w:rPr>
              <w:t>of each year, commencing on </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76"/>
              </w:rPr>
              <w:t> </w:t>
            </w:r>
          </w:p>
        </w:tc>
        <w:tc>
          <w:tcPr>
            <w:tcW w:w="10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2024, to the</w:t>
            </w:r>
          </w:p>
        </w:tc>
        <w:tc>
          <w:tcPr>
            <w:tcW w:w="220" w:type="dxa"/>
            <w:vAlign w:val="bottom"/>
          </w:tcPr>
          <w:p>
            <w:pPr>
              <w:spacing w:after="0"/>
              <w:rPr>
                <w:sz w:val="18"/>
                <w:szCs w:val="18"/>
                <w:color w:val="auto"/>
              </w:rPr>
            </w:pPr>
          </w:p>
        </w:tc>
      </w:tr>
      <w:tr>
        <w:trPr>
          <w:trHeight w:val="216"/>
        </w:trPr>
        <w:tc>
          <w:tcPr>
            <w:tcW w:w="6500" w:type="dxa"/>
            <w:vAlign w:val="bottom"/>
            <w:gridSpan w:val="22"/>
          </w:tcPr>
          <w:p>
            <w:pPr>
              <w:spacing w:after="0"/>
              <w:rPr>
                <w:sz w:val="20"/>
                <w:szCs w:val="20"/>
                <w:color w:val="auto"/>
              </w:rPr>
            </w:pPr>
            <w:r>
              <w:rPr>
                <w:rFonts w:ascii="Times New Roman" w:cs="Times New Roman" w:eastAsia="Times New Roman" w:hAnsi="Times New Roman"/>
                <w:sz w:val="18"/>
                <w:szCs w:val="18"/>
                <w:color w:val="auto"/>
                <w:w w:val="97"/>
              </w:rPr>
              <w:t>persons in whose names the Notes are registered at the close of business on the preceding 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3960" w:type="dxa"/>
            <w:vAlign w:val="bottom"/>
            <w:gridSpan w:val="13"/>
          </w:tcPr>
          <w:p>
            <w:pPr>
              <w:jc w:val="right"/>
              <w:ind w:right="107"/>
              <w:spacing w:after="0"/>
              <w:rPr>
                <w:sz w:val="20"/>
                <w:szCs w:val="20"/>
                <w:color w:val="auto"/>
              </w:rPr>
            </w:pPr>
            <w:r>
              <w:rPr>
                <w:rFonts w:ascii="Times New Roman" w:cs="Times New Roman" w:eastAsia="Times New Roman" w:hAnsi="Times New Roman"/>
                <w:sz w:val="18"/>
                <w:szCs w:val="18"/>
                <w:color w:val="auto"/>
              </w:rPr>
              <w:t>or            , as the case may be. Interest on the 20</w:t>
            </w:r>
          </w:p>
        </w:tc>
      </w:tr>
      <w:tr>
        <w:trPr>
          <w:trHeight w:val="216"/>
        </w:trPr>
        <w:tc>
          <w:tcPr>
            <w:tcW w:w="298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7"/>
              </w:rPr>
              <w:t>Notes will be payable semi-annually on 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and          </w:t>
            </w:r>
          </w:p>
        </w:tc>
        <w:tc>
          <w:tcPr>
            <w:tcW w:w="2220" w:type="dxa"/>
            <w:vAlign w:val="bottom"/>
            <w:gridSpan w:val="11"/>
          </w:tcPr>
          <w:p>
            <w:pPr>
              <w:jc w:val="center"/>
              <w:spacing w:after="0"/>
              <w:rPr>
                <w:sz w:val="20"/>
                <w:szCs w:val="20"/>
                <w:color w:val="auto"/>
              </w:rPr>
            </w:pPr>
            <w:r>
              <w:rPr>
                <w:rFonts w:ascii="Times New Roman" w:cs="Times New Roman" w:eastAsia="Times New Roman" w:hAnsi="Times New Roman"/>
                <w:sz w:val="18"/>
                <w:szCs w:val="18"/>
                <w:color w:val="auto"/>
                <w:w w:val="93"/>
              </w:rPr>
              <w:t>of each year, commencing on </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jc w:val="center"/>
              <w:ind w:right="73"/>
              <w:spacing w:after="0"/>
              <w:rPr>
                <w:sz w:val="20"/>
                <w:szCs w:val="20"/>
                <w:color w:val="auto"/>
              </w:rPr>
            </w:pPr>
            <w:r>
              <w:rPr>
                <w:rFonts w:ascii="Times New Roman" w:cs="Times New Roman" w:eastAsia="Times New Roman" w:hAnsi="Times New Roman"/>
                <w:sz w:val="4"/>
                <w:szCs w:val="4"/>
                <w:color w:val="auto"/>
                <w:w w:val="98"/>
              </w:rPr>
              <w:t> </w:t>
            </w:r>
          </w:p>
        </w:tc>
        <w:tc>
          <w:tcPr>
            <w:tcW w:w="3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   , 2024, to the persons in whose names the 20</w:t>
            </w:r>
          </w:p>
        </w:tc>
        <w:tc>
          <w:tcPr>
            <w:tcW w:w="220" w:type="dxa"/>
            <w:vAlign w:val="bottom"/>
          </w:tcPr>
          <w:p>
            <w:pPr>
              <w:spacing w:after="0"/>
              <w:rPr>
                <w:sz w:val="18"/>
                <w:szCs w:val="18"/>
                <w:color w:val="auto"/>
              </w:rPr>
            </w:pPr>
          </w:p>
        </w:tc>
      </w:tr>
      <w:tr>
        <w:trPr>
          <w:trHeight w:val="216"/>
        </w:trPr>
        <w:tc>
          <w:tcPr>
            <w:tcW w:w="448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7"/>
              </w:rPr>
              <w:t>Notes are registered at the close of business on the preceding 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or 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502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auto"/>
                <w:w w:val="98"/>
              </w:rPr>
              <w:t>, as the case may be. Interest on the 20   Notes will be payable semi-</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annually on 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1"/>
              </w:rPr>
              <w:t>and </w:t>
            </w:r>
          </w:p>
        </w:tc>
        <w:tc>
          <w:tcPr>
            <w:tcW w:w="10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44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w w:val="90"/>
              </w:rPr>
              <w:t>   of each year, commencing on </w:t>
            </w:r>
          </w:p>
        </w:tc>
        <w:tc>
          <w:tcPr>
            <w:tcW w:w="180" w:type="dxa"/>
            <w:vAlign w:val="bottom"/>
          </w:tcPr>
          <w:p>
            <w:pPr>
              <w:jc w:val="center"/>
              <w:ind w:left="44"/>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5680" w:type="dxa"/>
            <w:vAlign w:val="bottom"/>
            <w:gridSpan w:val="22"/>
          </w:tcPr>
          <w:p>
            <w:pPr>
              <w:jc w:val="right"/>
              <w:ind w:right="7"/>
              <w:spacing w:after="0"/>
              <w:rPr>
                <w:sz w:val="20"/>
                <w:szCs w:val="20"/>
                <w:color w:val="auto"/>
              </w:rPr>
            </w:pPr>
            <w:r>
              <w:rPr>
                <w:rFonts w:ascii="Times New Roman" w:cs="Times New Roman" w:eastAsia="Times New Roman" w:hAnsi="Times New Roman"/>
                <w:sz w:val="18"/>
                <w:szCs w:val="18"/>
                <w:color w:val="auto"/>
              </w:rPr>
              <w:t>, 2024, to the persons in whose names the Notes are registered at the close of</w:t>
            </w:r>
          </w:p>
        </w:tc>
      </w:tr>
      <w:tr>
        <w:trPr>
          <w:trHeight w:val="216"/>
        </w:trPr>
        <w:tc>
          <w:tcPr>
            <w:tcW w:w="19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5"/>
              </w:rPr>
              <w:t>business on the preceding 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2"/>
              </w:rPr>
              <w:t>or 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920" w:type="dxa"/>
            <w:vAlign w:val="bottom"/>
            <w:gridSpan w:val="9"/>
          </w:tcPr>
          <w:p>
            <w:pPr>
              <w:jc w:val="center"/>
              <w:ind w:left="10"/>
              <w:spacing w:after="0"/>
              <w:rPr>
                <w:sz w:val="20"/>
                <w:szCs w:val="20"/>
                <w:color w:val="auto"/>
              </w:rPr>
            </w:pPr>
            <w:r>
              <w:rPr>
                <w:rFonts w:ascii="Times New Roman" w:cs="Times New Roman" w:eastAsia="Times New Roman" w:hAnsi="Times New Roman"/>
                <w:sz w:val="18"/>
                <w:szCs w:val="18"/>
                <w:color w:val="auto"/>
                <w:w w:val="95"/>
              </w:rPr>
              <w:t>, as the case may be. Interest on the 20 </w:t>
            </w:r>
          </w:p>
        </w:tc>
        <w:tc>
          <w:tcPr>
            <w:tcW w:w="60" w:type="dxa"/>
            <w:vAlign w:val="bottom"/>
          </w:tcPr>
          <w:p>
            <w:pPr>
              <w:spacing w:after="0"/>
              <w:rPr>
                <w:sz w:val="18"/>
                <w:szCs w:val="18"/>
                <w:color w:val="auto"/>
              </w:rPr>
            </w:pPr>
          </w:p>
        </w:tc>
        <w:tc>
          <w:tcPr>
            <w:tcW w:w="314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w w:val="98"/>
              </w:rPr>
              <w:t>Notes will be payable semi-annually on 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380" w:type="dxa"/>
            <w:vAlign w:val="bottom"/>
            <w:gridSpan w:val="2"/>
          </w:tcPr>
          <w:p>
            <w:pPr>
              <w:jc w:val="center"/>
              <w:ind w:left="8"/>
              <w:spacing w:after="0"/>
              <w:rPr>
                <w:sz w:val="20"/>
                <w:szCs w:val="20"/>
                <w:color w:val="auto"/>
              </w:rPr>
            </w:pPr>
            <w:r>
              <w:rPr>
                <w:rFonts w:ascii="Times New Roman" w:cs="Times New Roman" w:eastAsia="Times New Roman" w:hAnsi="Times New Roman"/>
                <w:sz w:val="17"/>
                <w:szCs w:val="17"/>
                <w:color w:val="auto"/>
                <w:w w:val="72"/>
              </w:rPr>
              <w:t>and 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2"/>
              </w:rPr>
              <w:t> </w:t>
            </w:r>
          </w:p>
        </w:tc>
      </w:tr>
      <w:tr>
        <w:trPr>
          <w:trHeight w:val="216"/>
        </w:trPr>
        <w:tc>
          <w:tcPr>
            <w:tcW w:w="21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3"/>
              </w:rPr>
              <w:t>of each year, commencing on </w:t>
            </w:r>
          </w:p>
        </w:tc>
        <w:tc>
          <w:tcPr>
            <w:tcW w:w="10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346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w w:val="99"/>
              </w:rPr>
              <w:t>, 2024, to the persons in whose names the 20 </w:t>
            </w:r>
          </w:p>
        </w:tc>
        <w:tc>
          <w:tcPr>
            <w:tcW w:w="368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Notes are registered at the close of business on the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preceding            or          </w:t>
            </w:r>
          </w:p>
        </w:tc>
        <w:tc>
          <w:tcPr>
            <w:tcW w:w="100" w:type="dxa"/>
            <w:vAlign w:val="bottom"/>
          </w:tcPr>
          <w:p>
            <w:pPr>
              <w:spacing w:after="0"/>
              <w:rPr>
                <w:sz w:val="18"/>
                <w:szCs w:val="18"/>
                <w:color w:val="auto"/>
              </w:rPr>
            </w:pPr>
          </w:p>
        </w:tc>
        <w:tc>
          <w:tcPr>
            <w:tcW w:w="30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 as the case may be. Interest on the 20 </w:t>
            </w:r>
          </w:p>
        </w:tc>
        <w:tc>
          <w:tcPr>
            <w:tcW w:w="3000" w:type="dxa"/>
            <w:vAlign w:val="bottom"/>
            <w:gridSpan w:val="12"/>
          </w:tcPr>
          <w:p>
            <w:pPr>
              <w:jc w:val="center"/>
              <w:spacing w:after="0"/>
              <w:rPr>
                <w:sz w:val="20"/>
                <w:szCs w:val="20"/>
                <w:color w:val="auto"/>
              </w:rPr>
            </w:pPr>
            <w:r>
              <w:rPr>
                <w:rFonts w:ascii="Times New Roman" w:cs="Times New Roman" w:eastAsia="Times New Roman" w:hAnsi="Times New Roman"/>
                <w:sz w:val="18"/>
                <w:szCs w:val="18"/>
                <w:color w:val="auto"/>
                <w:w w:val="95"/>
              </w:rPr>
              <w:t>Notes will be payable semi-annually on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and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8"/>
                <w:szCs w:val="8"/>
                <w:color w:val="auto"/>
                <w:w w:val="74"/>
              </w:rPr>
              <w:t> </w:t>
            </w:r>
          </w:p>
        </w:tc>
        <w:tc>
          <w:tcPr>
            <w:tcW w:w="10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of each year,</w:t>
            </w: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w w:val="94"/>
              </w:rPr>
              <w:t>commencing on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344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auto"/>
                <w:w w:val="98"/>
              </w:rPr>
              <w:t>, 2024, to the persons in whose names the 20 </w:t>
            </w:r>
          </w:p>
        </w:tc>
        <w:tc>
          <w:tcPr>
            <w:tcW w:w="4640" w:type="dxa"/>
            <w:vAlign w:val="bottom"/>
            <w:gridSpan w:val="17"/>
          </w:tcPr>
          <w:p>
            <w:pPr>
              <w:jc w:val="right"/>
              <w:ind w:right="28"/>
              <w:spacing w:after="0"/>
              <w:rPr>
                <w:sz w:val="20"/>
                <w:szCs w:val="20"/>
                <w:color w:val="auto"/>
              </w:rPr>
            </w:pPr>
            <w:r>
              <w:rPr>
                <w:rFonts w:ascii="Times New Roman" w:cs="Times New Roman" w:eastAsia="Times New Roman" w:hAnsi="Times New Roman"/>
                <w:sz w:val="18"/>
                <w:szCs w:val="18"/>
                <w:color w:val="auto"/>
                <w:w w:val="97"/>
              </w:rPr>
              <w:t>Notes are registered at the close of business on the preceding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jc w:val="center"/>
              <w:ind w:right="18"/>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w:t>
            </w:r>
          </w:p>
        </w:tc>
        <w:tc>
          <w:tcPr>
            <w:tcW w:w="220" w:type="dxa"/>
            <w:vAlign w:val="bottom"/>
          </w:tcPr>
          <w:p>
            <w:pPr>
              <w:spacing w:after="0"/>
              <w:rPr>
                <w:sz w:val="20"/>
                <w:szCs w:val="20"/>
                <w:color w:val="auto"/>
              </w:rPr>
            </w:pPr>
          </w:p>
        </w:tc>
      </w:tr>
    </w:tbl>
    <w:p>
      <w:pPr>
        <w:ind w:left="120" w:right="180"/>
        <w:spacing w:after="0" w:line="253" w:lineRule="auto"/>
        <w:rPr>
          <w:sz w:val="20"/>
          <w:szCs w:val="20"/>
          <w:color w:val="auto"/>
        </w:rPr>
      </w:pPr>
      <w:r>
        <w:rPr>
          <w:rFonts w:ascii="Times New Roman" w:cs="Times New Roman" w:eastAsia="Times New Roman" w:hAnsi="Times New Roman"/>
          <w:sz w:val="18"/>
          <w:szCs w:val="18"/>
          <w:color w:val="auto"/>
        </w:rPr>
        <w:t>        , as the case may be. Interest on the 2063 Notes will be payable semi-annually on May 18 and November 18 of each year, commencing on May 18, 2024, to the persons in whose names the Notes are registered at the close of business on the preceding May 4 or November 4, as the case may be. Interest on the Notes will be paid to but excluding the relevant interest payment date. Interest on the Notes will be calculated on the basis of a 360-day year comprised of twelve 30-day months.</w:t>
      </w:r>
    </w:p>
    <w:p>
      <w:pPr>
        <w:spacing w:after="0" w:line="18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previously issued, on May 18, 2023, $1,200,000 aggregate principal amount of the Existing 2063 Notes, all of which will remain outstanding following this offering. The 2063 Notes offered hereby will form a part of the series and will have the same terms (other than the issue date, price to public and initial interest payment date) and will vote together as a single class, with the same CUSIP number as, and be fungible with, the Existing 2063 Notes. Upon completion of this offering, we will have $        aggregate principal amount of outstanding 5.050% Notes due 2063. Unless the context requires otherwise, for all purposes of the indenture and this “Description of the Notes,” references to the 2063 Notes include the 2063 Notes offered hereby and the Existing 2063 Notes.</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Notes will be issued under the indenture dated May 23, 2011 by and between Texas Instruments Incorporated and U.S. Bank Trust Company, National Association, as successor in interest to U.S. Bank National Association, as may be further supplemented from time to time. U.S. Bank Trust Company, National Association is the trustee for any and all securities issued under the indenture, as amended, including the Notes, and is referred to herein as the “trustee.” Texas Instruments Incorporated will be the sole obligor on the Notes.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effectively subordinated to its secured indebtedness, if any, and that of its subsidiaries, if any. As of December 31, 2023, Texas Instruments Incorporated had approximately $11.3 billion principal amount of outstanding indebtedness. As of December 31, 2023, Texas Instruments Incorporated had approximately $15.5 billion of total liabilities on a consolidated basis. Of the $15.5 billion of consolidated total liabilities, approximately $1.3 billion of liabilities (including trade payables and excluding intercompany debt) were held by subsidiaries of Texas Instruments Incorporated to which the Notes will be effectively subordinated.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an as adjusted basis after giving effect to this offering, as of December 31, 2023:</w:t>
      </w:r>
    </w:p>
    <w:p>
      <w:pPr>
        <w:spacing w:after="0" w:line="131" w:lineRule="exact"/>
        <w:rPr>
          <w:sz w:val="20"/>
          <w:szCs w:val="20"/>
          <w:color w:val="auto"/>
        </w:rPr>
      </w:pPr>
    </w:p>
    <w:p>
      <w:pPr>
        <w:ind w:left="10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would have had approximately $        billion principal amount of total long-term indebtedness (including the Notes, but excluding the current portion of long-term indebtedness), all of which would constitute senior and unsubordinated indebtedness;</w:t>
      </w:r>
    </w:p>
    <w:p>
      <w:pPr>
        <w:spacing w:after="0" w:line="81"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Texas Instruments Incorporated would have had approximately $            billion of total liabilities on a consolidated basis;</w:t>
      </w:r>
    </w:p>
    <w:p>
      <w:pPr>
        <w:spacing w:after="0" w:line="131" w:lineRule="exact"/>
        <w:rPr>
          <w:sz w:val="20"/>
          <w:szCs w:val="20"/>
          <w:color w:val="auto"/>
        </w:rPr>
      </w:pPr>
    </w:p>
    <w:p>
      <w:pPr>
        <w:ind w:left="1080" w:right="9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would not have had any secured indebtedness to which the Notes would have been effectively subordinated; and</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subsidiaries would have had approximately $1.3 billion of liabilities (including trade payables but excluding intercompany debt) to which the Notes would have been structurally subordinated.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Additional Notes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Texas Instruments Incorporated may, without the consent of the holders, increase the principal amount of Notes of any series (which, in the case of the 2063 Notes, includes the Existing 2063 Notes) by issuing additional Notes of such series in the future on the same terms and conditions, except for any differences in the issue date, the issue price and interest accrued prior to the issue date of the additional Notes. The additional Notes will have the same CUSIP number as the Notes of the applicable series; provided that any additional Notes that are not fungible with the Notes of the applicable series for U.S. federal income tax purposes will be issued under a separate CUSIP number. Texas Instruments Incorporated also may, without the consent of the holders, issue other series of debt securities under the indenture in the future on terms and conditions different from the series of Notes offered hereby.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Prior to the Par Call Date (as defined below) for a series of Notes, such Notes will be redeemable, in whole or in part at any time, or from time to time, at Texas Instruments Incorporated’s option, at a “make-whole premium” redemption price calculated by Texas Instruments Incorporated equal to the greater of:</w:t>
      </w:r>
    </w:p>
    <w:p>
      <w:pPr>
        <w:spacing w:after="0" w:line="176" w:lineRule="exact"/>
        <w:rPr>
          <w:sz w:val="20"/>
          <w:szCs w:val="20"/>
          <w:color w:val="auto"/>
        </w:rPr>
      </w:pPr>
    </w:p>
    <w:p>
      <w:pPr>
        <w:ind w:left="120" w:right="540" w:firstLine="436"/>
        <w:spacing w:after="0" w:line="276" w:lineRule="auto"/>
        <w:tabs>
          <w:tab w:leader="none" w:pos="8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sum of the present values of the remaining scheduled payments of principal and interest thereon in each case discounted to the redemption date (assuming the Notes matured on the Par Call Date) on a semi-annual basis (assuming a 360-day year consisting of twelve 30-day</w:t>
      </w:r>
    </w:p>
    <w:p>
      <w:pPr>
        <w:spacing w:after="0" w:line="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 xml:space="preserve">months) at the Treasury Rate (as defined below)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basis points with respect to the 20  Notes,        basis points with respect to the 20  Notes,        basis points with respect to the 20  Notes,        basis points with respect to the 20  Notes and 25 basis points with respect to the 2063 Notes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interest accrued to the date of redemption, and</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 100% of the principal amount of the Notes to be redeemed,</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thereon to the redemption date.</w:t>
      </w:r>
    </w:p>
    <w:p>
      <w:pPr>
        <w:spacing w:after="0" w:line="22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or after the Par Call Date for a series of Notes, Texas Instruments Incorporated may redeem such Notes, in whole or in part, at any time and from time to time, at a redemption price equal to 100% of the principal amount of the Notes being redeemed plus accrued and unpaid interest thereon to the redemption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40"/>
          </w:cols>
          <w:pgMar w:left="320" w:top="455" w:right="4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Table of Contents</w:t>
            </w:r>
          </w:p>
        </w:tc>
        <w:tc>
          <w:tcPr>
            <w:tcW w:w="1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533"/>
        </w:trPr>
        <w:tc>
          <w:tcPr>
            <w:tcW w:w="26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w:t>
            </w: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8"/>
        </w:trPr>
        <w:tc>
          <w:tcPr>
            <w:tcW w:w="9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4"/>
              </w:rPr>
              <w:t>•</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5"/>
              </w:rPr>
              <w:t>in the case of the 20 </w:t>
            </w: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Notes,            , 20 </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4"/>
              </w:rPr>
              <w:t>(the date that is 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months prior to the maturity date of the 20 </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w:t>
            </w:r>
          </w:p>
        </w:tc>
      </w:tr>
      <w:tr>
        <w:trPr>
          <w:trHeight w:val="338"/>
        </w:trPr>
        <w:tc>
          <w:tcPr>
            <w:tcW w:w="9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4"/>
              </w:rPr>
              <w:t>•</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5"/>
              </w:rPr>
              <w:t>in the case of the 20 </w:t>
            </w: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Notes,            , 20 </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4"/>
              </w:rPr>
              <w:t>(the date that is 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months prior to the maturity date of the 20 </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w:t>
            </w:r>
          </w:p>
        </w:tc>
      </w:tr>
      <w:tr>
        <w:trPr>
          <w:trHeight w:val="338"/>
        </w:trPr>
        <w:tc>
          <w:tcPr>
            <w:tcW w:w="9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4"/>
              </w:rPr>
              <w:t>•</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5"/>
              </w:rPr>
              <w:t>in the case of the 20 </w:t>
            </w: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Notes,            , 20 </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4"/>
              </w:rPr>
              <w:t>(the date that is 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months prior to the maturity date of the 20 </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w:t>
            </w:r>
          </w:p>
        </w:tc>
      </w:tr>
      <w:tr>
        <w:trPr>
          <w:trHeight w:val="338"/>
        </w:trPr>
        <w:tc>
          <w:tcPr>
            <w:tcW w:w="9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4"/>
              </w:rPr>
              <w:t>•</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5"/>
              </w:rPr>
              <w:t>in the case of the 20 </w:t>
            </w: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Notes,            , 20 </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(the date that is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months prior to the maturity date of the 20  </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Notes), and</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2063 Notes, November 18, 2062 (the date that is six months prior to the maturity date of the 2063 Notes).</w:t>
      </w:r>
    </w:p>
    <w:p>
      <w:pPr>
        <w:spacing w:after="0" w:line="223"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Texas Instruments Incorporated in accordance with the following two paragraphs.</w:t>
      </w:r>
    </w:p>
    <w:p>
      <w:pPr>
        <w:spacing w:after="0" w:line="16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Texas Instruments Incorporated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 – Treasury constant maturities – Nominal” (or any successor caption or heading) (“H.15 TCM”). In determining the Treasury Rate, Texas Instruments Incorporated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Texas Instruments Incorporated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Texas Instruments Incorporated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Texas Instruments Incorporated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080"/>
          </w:cols>
          <w:pgMar w:left="320" w:top="446"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Texas Instruments Incorporated’s actions and determinations in determining the redemption price shall be conclusive and binding for all purposes, absent manifest error.</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 Notice of any redemption of Notes may, at Texas Instruments Incorporated’s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Unless Texas Instruments Incorporated defaults in payment of the redemption price, on and after the redemption date interest will cease to accrue on the Notes or portions thereof called for redemption.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not be entitled to any sinking fund.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for a series of Notes is defined under the indenture as being:</w:t>
      </w:r>
    </w:p>
    <w:p>
      <w:pPr>
        <w:spacing w:after="0" w:line="131" w:lineRule="exact"/>
        <w:rPr>
          <w:sz w:val="20"/>
          <w:szCs w:val="20"/>
          <w:color w:val="auto"/>
        </w:rPr>
      </w:pPr>
    </w:p>
    <w:p>
      <w:pPr>
        <w:ind w:left="1080" w:right="6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payment of principal on such series of Notes when due and payable whether at maturity, upon redemption, by declaration or otherwise, but, in the case of technical or administrative difficulties, only if that default continues for a period of two days;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payment of interest on such series of Notes when due and payable, if that default continues for a period of 30 days;</w:t>
      </w:r>
    </w:p>
    <w:p>
      <w:pPr>
        <w:spacing w:after="0" w:line="67"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performance of or breach of any of its other covenants or agreements in the indenture applicable to such series of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such series of Notes and any other series of debt securities affected thereby then outstanding;</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31" w:lineRule="exact"/>
        <w:rPr>
          <w:sz w:val="20"/>
          <w:szCs w:val="20"/>
          <w:color w:val="auto"/>
        </w:rPr>
      </w:pPr>
    </w:p>
    <w:p>
      <w:pPr>
        <w:ind w:left="1080" w:right="2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Texas Instruments Incorporated in an involuntary case under any applicable bankruptcy, insolvency, or other similar law now or hereafter in effect,</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receiver, liquidator, assignee, custodian, trustee, sequestrator, or similar official of Texas Instruments Incorporated or for all or substantially all of its property,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Texas Instruments Incorporated’s affairs, and such decree or order shall remain unstayed and in effect for a period of 60 consecutive days; or</w:t>
      </w:r>
    </w:p>
    <w:p>
      <w:pPr>
        <w:spacing w:after="0" w:line="67"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w:t>
      </w:r>
    </w:p>
    <w:p>
      <w:pPr>
        <w:spacing w:after="0" w:line="131" w:lineRule="exact"/>
        <w:rPr>
          <w:sz w:val="20"/>
          <w:szCs w:val="20"/>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under any applicable bankruptcy, insolvency, or other similar law now or hereafter in effect,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in an involuntary case under any such law,</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any general assignment for the benefit of creditors.</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default by Texas Instruments Incorporated under any other debt, including any other series of debt securities under the indenture, is not a default with respect to the Notes.</w:t>
      </w:r>
    </w:p>
    <w:p>
      <w:pPr>
        <w:spacing w:after="0" w:line="16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last two bullet points above occurs with respect to a series of Notes and is continuing under the indenture, then, and in each and every such case, either the trustee or the holders of not less than 25% in aggregate principal amount of the Notes of such series then outstanding under the indenture (each such series voting as a separate class)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Upon a declaration of acceleration, the principal amount of and accrued interest, if any, on such debt securities shall be immediately due and payable.</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8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the Notes of a series may direct the time, method, and place of conducting any proceeding for any remedy available to the trustee or exercising any trust or power conferred on the trustee with respect to such series of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that is not inconsistent with any such direction received from holders of debt securities. No holder of Notes may pursue any remedy with respect to the indenture or a series of Notes unless:</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Notes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Notes do not give the trustee a direction that is inconsistent with the request.</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 Global Note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62"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 of the Notes will designate the accounts to be credited. Ownership of beneficial interests in a registered global</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92"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w:t>
      </w:r>
    </w:p>
    <w:p>
      <w:pPr>
        <w:spacing w:after="0" w:line="194"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a participant, either directly or indirectly. The rules applicable to DTC and its participants are on file with the SEC.</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Notices to holders of each series of the Notes will be made by first class mail, postage prepaid, to the addresses that appear on the security register for such series of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Our Relationship with the Trustee</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maintain ordinary banking relationships with the trustee and its affiliates and in the future may enter into additional such relationships. An affiliate of the trustee is a lender under our credit facility.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are the material U.S. federal income tax consequences of owning and disposing of Notes purchased for cash in this offering at the applicable public offering price indicated on the cover of this prospectus supplement (which, in the case of each of the 20  Notes, the 20  Notes and the 20  Notes, we assume will be the “issue price” of such Notes), and held as capital assets for U.S. federal income tax purposes.</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67"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trader in securities that uses a mark-to-market method of tax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Notes as part of a “straddle” or integrated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for U.S. federal income tax purposes;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are a partnership for U.S. federal income tax purposes, the U.S. federal income tax treatment of each of your partners will generally depend on the status of the partner and your activities.</w:t>
      </w:r>
    </w:p>
    <w:p>
      <w:pPr>
        <w:spacing w:after="0" w:line="162" w:lineRule="exact"/>
        <w:rPr>
          <w:sz w:val="20"/>
          <w:szCs w:val="20"/>
          <w:color w:val="auto"/>
        </w:rPr>
      </w:pPr>
    </w:p>
    <w:p>
      <w:pPr>
        <w:jc w:val="both"/>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w:t>
      </w:r>
    </w:p>
    <w:p>
      <w:pPr>
        <w:spacing w:after="0" w:line="14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section applies to you if you are a U.S. Holder. You are a U.S. Holder if for U.S. federal income tax purposes you are a beneficial owner of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and are:</w:t>
      </w:r>
    </w:p>
    <w:p>
      <w:pPr>
        <w:spacing w:after="0" w:line="112"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Qualified Reopening</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intend to treat the issuance of the 2063 Notes as a “qualified reopening” of the Existing 2063 Notes for U.S. federal income tax purposes. If the issuance of the 2063 Notes is so treated, then the 2063 Notes will be considered to have the same issue date and issue price as the Existing 2063 Notes and will be fungible with the Existing 2063 Notes for U.S. federal income tax purposes. The remainder of this discussion assumes that the issuance of the 2063 Notes is treated as a qualified reopening of the Existing 2063 Notes.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of Stated Interest</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discussions below under “—Pre-Acquisition Accrued Interest” and “—Amortizable Bond Premium,” stated interest on a Note will be taxable to you as ordinary interest income at the time it accrues or is received, in accordance with your method of accounting for U.S. federal income tax purposes. It is expected, and this discussion assumes, that the Notes will be treated as issued without original issue discount for U.S. federal income tax purposes.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Pre-Acquisition Accrued Interest</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A portion of the price paid for a 2063 Note offered hereby will be allocable to interest that accrued prior to the date the 2063 Note is purchased (the “pre-acquisition accrued interest”). On the first interest payment date with respect to the 2063 Notes, you may generally treat a portion of the interest received in an amount equal to the pre-acquisition accrued interest as a return of the pre-acquisition accrued interest and not as a payment of interest on the 2063 Note. Amounts treated as a return of pre-acquisition accrued interest on a 2063 Note should not be taxable when received. You should consult your tax adviser regarding the tax treatment of pre-acquisition accrued interest.</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Market Discount</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If you purchase a 2063 Note for an amount that is less than its principal amount (disregarding any amount paid in respect of pre-acquisition accrued interest), the amount of the difference will be treated as “market discount” for U.S. federal income tax purposes, unless that difference is less than a specified de minimis amount equal to 0.25% of the principal amount multiplied by the number of complete years to maturity after your acquisition of the relevant Note.</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you acquire a 2063 Note with market discount, you will be required to treat any gain on the sale or other taxable disposition of the 2063 Note as ordinary income to the extent of the market discount that you have not previously included in income and are treated as having accrued on the 2063 Note at the time of the disposition.</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you may be required to defer, until the maturity of the 2063 Note or its earlier disposition in a taxable transaction, the deduction of all or a portion of the interest expense on any indebtedness attributable to the 2063 Note. You should consult your tax adviser regarding these rules.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market discount will be considered to accrue ratably during the period from the date of acquisition to the maturity date of the 2063 Note unless you elect to accrue on a constant interest method. You may elect to include market discount in income currently as it accrues, on either a ratable or constant interest method, in which case the rule described above regarding deferral of interest deductions will not apply. An election to accrue market discount on a current basis will apply to all debt instruments acquired with market discount that you acquire on or after the first day of the first taxable year to which the election applies. The election may not be revoked without the consent of the Internal Revenue Service (the “IRS”). You should consult your tax adviser before making this election.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Amortizable Bond Premium</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you purchase a 2063 Note for an amount that is greater than its principal amount (disregarding any amount paid in respect of pre-acquisition accrued interest), you will be considered to have purchased the 2063 Note with amortizable bond premium equal to such excess. You may elect to amortize this bond premium, using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a constant-yield method, over the remaining term of the Note. Because of the optional redemption feature of the 2063 Notes, however, special rules apply that may reduce, eliminate or defer the amount of bond premium that may be amortized. You generally may use the amortizable bond premium allocable to an accrual period to offset interest otherwise required to be included in income with respect to the Note in that accrual period. An election to amortize bond premium applies to all taxable debt obligations then owned or thereafter acquired and may be revoked only with the consent of the IRS.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(excluding amounts attributable to pre-acquisition accrued interest), increased by any market discount that you previously included in income with respect to such Note, and reduced by any bond premium previously amortized with respect to such Note. For these purposes, the amount realized does not include any amount attributable to accrued but unpaid interest (which generally would include any amount attributable to pre-acquisition accrued interest), which is treated as described under “—Payments of Stated Interest” and “—Pre-Acquisition Accrued Interest” above. Except as described with respect to market discount under “Market Discount”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Information returns are required to be filed with the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This section applies to you if are a Non-U.S. Holder. You are a Non-U.S. Holder if for U.S. federal income tax purposes you are a beneficial owner of a Note and are:</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on the Notes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“FATCA,” payments of principal and interest on the Notes to you will not be subject to U.S. federal income or withholding tax, provided that, in the case of interest,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ten percent or more of the total combined voting power of all classes of our stock entitled to vote;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related, directly or indirectly, to us through stock ownership;</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effectively connected with your conduct of a trade or business in the United States as described below.</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“FATCA,”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Effectively Connected Income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payment of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interest on the Notes to “foreign financial institutions” (which is broadly defined for this purpose and in general includes investment vehicles) and certain other non-U.S. entities unless various U.S. information reporting and due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In addition, although the currently issued regulations under FATCA would subject payments of gross proceeds of sales or other dispositions of the Notes to withholding under FATCA,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BofA Securities, Inc., Citigroup Global Markets Inc. and Mizuho Securities USA LLC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3"/>
                <w:szCs w:val="13"/>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56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of 20</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20</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20</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20</w:t>
            </w:r>
          </w:p>
        </w:tc>
        <w:tc>
          <w:tcPr>
            <w:tcW w:w="26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2063</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56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28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28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28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Pr>
          <w:p>
            <w:pPr>
              <w:spacing w:after="0"/>
              <w:rPr>
                <w:sz w:val="15"/>
                <w:szCs w:val="15"/>
                <w:color w:val="auto"/>
              </w:rPr>
            </w:pPr>
          </w:p>
        </w:tc>
        <w:tc>
          <w:tcPr>
            <w:tcW w:w="7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03"/>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03"/>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52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52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52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52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40" w:lineRule="exact"/>
        <w:rPr>
          <w:sz w:val="20"/>
          <w:szCs w:val="20"/>
          <w:color w:val="auto"/>
        </w:rPr>
      </w:pPr>
    </w:p>
    <w:p>
      <w:pPr>
        <w:ind w:left="120" w:right="420" w:firstLine="440"/>
        <w:spacing w:after="0" w:line="276" w:lineRule="auto"/>
        <w:rPr>
          <w:sz w:val="20"/>
          <w:szCs w:val="20"/>
          <w:color w:val="auto"/>
        </w:rPr>
      </w:pPr>
      <w:r>
        <w:rPr>
          <w:rFonts w:ascii="Times New Roman" w:cs="Times New Roman" w:eastAsia="Times New Roman" w:hAnsi="Times New Roman"/>
          <w:sz w:val="17"/>
          <w:szCs w:val="17"/>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w:t>
      </w:r>
    </w:p>
    <w:p>
      <w:pPr>
        <w:spacing w:after="0" w:line="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exceed        % per 20  Note,         % per 20  Note,         % per 20  Note,        % per 20  Note and        % per 2063 Note. Any such securities dealers may resell any Notes purchased from the underwriters to certain other brokers or dealers at a discount from the initial public offering price not to exceed        % per 20  Note,        % per 20  Note,        % per 20  Note,        % per 20  Note and        % per 2063 Note. If all of the Notes are not sold at the initial offering price, the underwriters may change the offering price and the other selling terms.</w:t>
      </w:r>
    </w:p>
    <w:p>
      <w:pPr>
        <w:spacing w:after="0" w:line="18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that we are to pay to the underwriters in connection with this offering (expressed as a percentage of the principal amount of the Notes).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Paid by Texas</w:t>
            </w: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48"/>
        </w:trPr>
        <w:tc>
          <w:tcPr>
            <w:tcW w:w="1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73"/>
        </w:trPr>
        <w:tc>
          <w:tcPr>
            <w:tcW w:w="1320" w:type="dxa"/>
            <w:vAlign w:val="bottom"/>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3660" w:type="dxa"/>
            <w:vAlign w:val="bottom"/>
            <w:tcBorders>
              <w:bottom w:val="single" w:sz="8" w:color="CCEEFF"/>
            </w:tcBorders>
          </w:tcPr>
          <w:p>
            <w:pPr>
              <w:spacing w:after="0"/>
              <w:rPr>
                <w:sz w:val="15"/>
                <w:szCs w:val="15"/>
                <w:color w:val="auto"/>
              </w:rPr>
            </w:pPr>
          </w:p>
        </w:tc>
        <w:tc>
          <w:tcPr>
            <w:tcW w:w="21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200" w:type="dxa"/>
            <w:vAlign w:val="bottom"/>
            <w:tcBorders>
              <w:bottom w:val="single" w:sz="8" w:color="CCEEFF"/>
            </w:tcBorders>
          </w:tcPr>
          <w:p>
            <w:pPr>
              <w:spacing w:after="0"/>
              <w:rPr>
                <w:sz w:val="15"/>
                <w:szCs w:val="15"/>
                <w:color w:val="auto"/>
              </w:rPr>
            </w:pPr>
          </w:p>
        </w:tc>
        <w:tc>
          <w:tcPr>
            <w:tcW w:w="1700" w:type="dxa"/>
            <w:vAlign w:val="bottom"/>
          </w:tcPr>
          <w:p>
            <w:pPr>
              <w:spacing w:after="0"/>
              <w:rPr>
                <w:sz w:val="15"/>
                <w:szCs w:val="15"/>
                <w:color w:val="auto"/>
              </w:rPr>
            </w:pPr>
          </w:p>
        </w:tc>
      </w:tr>
      <w:tr>
        <w:trPr>
          <w:trHeight w:val="210"/>
        </w:trPr>
        <w:tc>
          <w:tcPr>
            <w:tcW w:w="13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9"/>
              </w:rPr>
              <w:t>Per 20 </w:t>
            </w:r>
          </w:p>
        </w:tc>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w:t>
            </w:r>
          </w:p>
        </w:tc>
        <w:tc>
          <w:tcPr>
            <w:tcW w:w="2180" w:type="dxa"/>
            <w:vAlign w:val="bottom"/>
            <w:shd w:val="clear" w:color="auto" w:fill="CCEEFF"/>
          </w:tcPr>
          <w:p>
            <w:pPr>
              <w:spacing w:after="0"/>
              <w:rPr>
                <w:sz w:val="18"/>
                <w:szCs w:val="18"/>
                <w:color w:val="auto"/>
              </w:rPr>
            </w:pPr>
          </w:p>
        </w:tc>
        <w:tc>
          <w:tcPr>
            <w:tcW w:w="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7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89"/>
              </w:rPr>
              <w:t>Per 20 </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w:t>
            </w:r>
          </w:p>
        </w:tc>
        <w:tc>
          <w:tcPr>
            <w:tcW w:w="2180" w:type="dxa"/>
            <w:vAlign w:val="bottom"/>
          </w:tcPr>
          <w:p>
            <w:pPr>
              <w:spacing w:after="0"/>
              <w:rPr>
                <w:sz w:val="18"/>
                <w:szCs w:val="18"/>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7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9"/>
              </w:rPr>
              <w:t>Per 20 </w:t>
            </w:r>
          </w:p>
        </w:tc>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w:t>
            </w:r>
          </w:p>
        </w:tc>
        <w:tc>
          <w:tcPr>
            <w:tcW w:w="2180" w:type="dxa"/>
            <w:vAlign w:val="bottom"/>
            <w:shd w:val="clear" w:color="auto" w:fill="CCEEFF"/>
          </w:tcPr>
          <w:p>
            <w:pPr>
              <w:spacing w:after="0"/>
              <w:rPr>
                <w:sz w:val="18"/>
                <w:szCs w:val="18"/>
                <w:color w:val="auto"/>
              </w:rPr>
            </w:pPr>
          </w:p>
        </w:tc>
        <w:tc>
          <w:tcPr>
            <w:tcW w:w="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7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89"/>
              </w:rPr>
              <w:t>Per 20 </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w:t>
            </w:r>
          </w:p>
        </w:tc>
        <w:tc>
          <w:tcPr>
            <w:tcW w:w="2180" w:type="dxa"/>
            <w:vAlign w:val="bottom"/>
          </w:tcPr>
          <w:p>
            <w:pPr>
              <w:spacing w:after="0"/>
              <w:rPr>
                <w:sz w:val="18"/>
                <w:szCs w:val="18"/>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7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2063 Note</w:t>
            </w:r>
          </w:p>
        </w:tc>
        <w:tc>
          <w:tcPr>
            <w:tcW w:w="2180" w:type="dxa"/>
            <w:vAlign w:val="bottom"/>
            <w:shd w:val="clear" w:color="auto" w:fill="CCEEFF"/>
          </w:tcPr>
          <w:p>
            <w:pPr>
              <w:spacing w:after="0"/>
              <w:rPr>
                <w:sz w:val="18"/>
                <w:szCs w:val="18"/>
                <w:color w:val="auto"/>
              </w:rPr>
            </w:pPr>
          </w:p>
        </w:tc>
        <w:tc>
          <w:tcPr>
            <w:tcW w:w="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700" w:type="dxa"/>
            <w:vAlign w:val="bottom"/>
          </w:tcPr>
          <w:p>
            <w:pPr>
              <w:spacing w:after="0"/>
              <w:rPr>
                <w:sz w:val="18"/>
                <w:szCs w:val="18"/>
                <w:color w:val="auto"/>
              </w:rPr>
            </w:pPr>
          </w:p>
        </w:tc>
      </w:tr>
      <w:tr>
        <w:trPr>
          <w:trHeight w:val="432"/>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We estimate that our total expenses for this offering will be approximately $ </w:t>
            </w:r>
          </w:p>
        </w:tc>
        <w:tc>
          <w:tcPr>
            <w:tcW w:w="49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w w:val="99"/>
              </w:rPr>
              <w:t>         million, including underwriting discounts. The underwriters</w:t>
            </w:r>
          </w:p>
        </w:tc>
      </w:tr>
    </w:tbl>
    <w:p>
      <w:pPr>
        <w:ind w:left="120"/>
        <w:spacing w:after="0"/>
        <w:rPr>
          <w:sz w:val="20"/>
          <w:szCs w:val="20"/>
          <w:color w:val="auto"/>
        </w:rPr>
      </w:pPr>
      <w:r>
        <w:rPr>
          <w:rFonts w:ascii="Times New Roman" w:cs="Times New Roman" w:eastAsia="Times New Roman" w:hAnsi="Times New Roman"/>
          <w:sz w:val="18"/>
          <w:szCs w:val="18"/>
          <w:color w:val="auto"/>
        </w:rPr>
        <w:t>have agreed to reimburse us for certain of our expenses in connection with the offering.</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Purchases and sales in the open market may include short sales, purchases to cover short positions and stabilizing purchases.</w:t>
      </w:r>
    </w:p>
    <w:p>
      <w:pPr>
        <w:spacing w:after="0" w:line="131" w:lineRule="exact"/>
        <w:rPr>
          <w:sz w:val="20"/>
          <w:szCs w:val="20"/>
          <w:color w:val="auto"/>
        </w:rPr>
      </w:pPr>
    </w:p>
    <w:p>
      <w:pPr>
        <w:ind w:left="1080" w:right="1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the Notes than they are required to purchase in this offering.</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Notes in the open market after the distribution has been completed in order to cover short positions.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the Notes so long as the stabilizing bids do not exceed a specified maximum.</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prices of the Notes. They may also cause the prices of the Notes to be higher than the prices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last paragraph of the cover page of this prospectus supplement, which will be the        business day following the date of the pricing of the Notes. Under Rule 15c6-1 of the Exchange Act, trades in the secondary market generally are required to settle in two business days, unless the parties to a trade expressly agree otherwise.</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Accordingly, purchasers who wish to trade Notes prior to the second business day before the delivery of the Notes hereunder will be required, by virtue of the fact that the Notes initially will settle in T+        , to specify alternative settlement arrangements to prevent a failed settlement.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w:t>
      </w:r>
    </w:p>
    <w:p>
      <w:pPr>
        <w:spacing w:after="0" w:line="19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or superseded,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2017/565 as it forms part of domestic law by virtue of the European Union (Withdrawal) Act 2018 (“EUWA”); (ii) a customer within the meaning of the provisions of the Financial Services and Markets Act 2000 (as amended, the “FSMA”) and any rules or regulations made under the FSMA to implement Directive (EU) 2016/97 (as amended or superseded, the “Insurance Distribution Directive”), where that customer would not qualify as a professional client, as defined in point (8) of Article 2(1) of Regulation (EU) No 600/2014 as it forms part of domestic law by virtue of the EUWA; or (iii) not a qualified investor as defined in Article 2 of the Prospectus Regulation as it forms part of domestic law by virtue of the EUWA (the “UK Prospectus Regulation”). Consequently no key information document required by the PRIIPs Regulation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9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76" w:lineRule="exact"/>
        <w:rPr>
          <w:sz w:val="20"/>
          <w:szCs w:val="20"/>
          <w:color w:val="auto"/>
        </w:rPr>
      </w:pPr>
    </w:p>
    <w:p>
      <w:pPr>
        <w:ind w:left="120" w:right="8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Canadian investors are advised that this document has been prepared in reliance on section 3A.3 of National Instrument 33-105 </w:t>
      </w:r>
      <w:r>
        <w:rPr>
          <w:rFonts w:ascii="Times New Roman" w:cs="Times New Roman" w:eastAsia="Times New Roman" w:hAnsi="Times New Roman"/>
          <w:sz w:val="18"/>
          <w:szCs w:val="18"/>
          <w:b w:val="1"/>
          <w:bCs w:val="1"/>
          <w:i w:val="1"/>
          <w:iCs w:val="1"/>
          <w:color w:val="auto"/>
        </w:rPr>
        <w:t xml:space="preserve">Underwriting Conflicts </w:t>
      </w:r>
      <w:r>
        <w:rPr>
          <w:rFonts w:ascii="Times New Roman" w:cs="Times New Roman" w:eastAsia="Times New Roman" w:hAnsi="Times New Roman"/>
          <w:sz w:val="18"/>
          <w:szCs w:val="18"/>
          <w:b w:val="1"/>
          <w:bCs w:val="1"/>
          <w:color w:val="auto"/>
        </w:rPr>
        <w:t>(“NI 33-105”). Pursuant to section 3A.3 of NI 33-105,</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this document is exempt from the requirement to provide investors with certain conflicts of interest disclosure pertaining to “connected issuer” and/or “related issuer” relationships as would otherwise be required pursuant to subsection 2.1(1) of NI 33-105.</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Resale Restrictions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of Purchasers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Prospectus Exemptions (“NI 45-106”) or, in Ontario, as such term is defined in section 73.3(1) of the Securities Act (Ontario); and (iii) is a “permitted client” as such term is defined in section 1.1 of National Instrument 31-103 Registration Requirements, Exemptions and Ongoing Registrant Obligations.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Taxation and Eligibility for Investment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Rights of Action for Damages or Rescission</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Language of Documents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Upon receipt of this document, each Canadian investor hereby confirms that it has expressly requested that all documents evidencing or relating in any way to the sale of the Notes described herein (including for greater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Neither this prospectus supplement nor any other offering material relating to the Notes described in this prospectus supplement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any other offering material relating to the Notes has been or will be:</w:t>
      </w:r>
    </w:p>
    <w:p>
      <w:pPr>
        <w:spacing w:after="0" w:line="85"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Notes to the public in France.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31" w:lineRule="exact"/>
        <w:rPr>
          <w:sz w:val="20"/>
          <w:szCs w:val="20"/>
          <w:color w:val="auto"/>
        </w:rPr>
      </w:pPr>
    </w:p>
    <w:p>
      <w:pPr>
        <w:ind w:left="1080" w:right="16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àl’épargne).</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Notes may be resold directly or indirectly, only in compliance with articles L.411-1, L.411-2, L.412-1 and L.621-8 through L.621-8-3 of the French Code monétaire et financier.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have not been offered or sold and will not be offered or sold in Hong Kong by means of any document other than (i) to “professional investors” as defined in the Securities and Futures Ordinance (Cap. 571 of the laws of Hong Kong) (the “SFO”) and any rules made thereunder; or (ii) in other circumstances which do not result in the document being a “prospectus” as defined in the Companies (Winding Up and Miscellaneous Provisions) Ordinance (Cap. 32 of the Laws of Hong Kong) (the “CO”) or which do not constitute an offer to the public within the meaning of the CO. No advertisement, invitation or document relating to the Notes has been or may be issued or has been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as defined in the SFO and any rules made thereunder.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The Notes have not been and will not be registered pursuant to Article 4, Paragraph 1 of the Financial Instruments and Exchange Act. Accordingly, none of the Notes nor any interest therein may be offered or sold,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in each case (i) pursuant to an exemption from the registration requirements of, and otherwise in compliance with, the Financial Instruments and Exchange Act and (ii) in compliance with any other applicable laws, regulations and ministerial guidelines of Japan in effect at the relevant time.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this prospectus supplement and the accompanying prospectus or any other document or material in connection with the offer or sale, or invitation for subscription or purchase, of Notes may not be circulated or distributed, nor may the Notes be offered or sold, or be made the subject of an invitation for subscription or purchase, whether directly or indirectly, to any person in Singapore other than:</w:t>
      </w:r>
    </w:p>
    <w:p>
      <w:pPr>
        <w:spacing w:after="0" w:line="85" w:lineRule="exact"/>
        <w:rPr>
          <w:sz w:val="20"/>
          <w:szCs w:val="20"/>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67" w:lineRule="exact"/>
        <w:rPr>
          <w:rFonts w:ascii="Times New Roman" w:cs="Times New Roman" w:eastAsia="Times New Roman" w:hAnsi="Times New Roman"/>
          <w:sz w:val="18"/>
          <w:szCs w:val="18"/>
          <w:color w:val="auto"/>
        </w:rPr>
      </w:pPr>
    </w:p>
    <w:p>
      <w:pPr>
        <w:ind w:left="1080" w:right="9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1080" w:right="1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the SFA;</w:t>
      </w:r>
    </w:p>
    <w:p>
      <w:pPr>
        <w:spacing w:after="0" w:line="11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58"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Singapore SFA Product Classification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connection with Section 309B of the SFA and the Securities and Futures (Capital Markets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Regulations 2018 (“CMP”), unless otherwise specified before an offer of notes, the Company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nor the accompanying prospectus nor any other offering or marketing material relating to the Notes constitutes a prospectus as such term is understood pursuant to article 652a or article 1156 of the Swiss Code of Obligations, and neither this prospectus supplement nor the accompanying prospectus nor any other offering or marketing material relating to the Notes may be publicly distributed or otherwise made publicly available in Switzerland.</w:t>
      </w:r>
    </w:p>
    <w:p>
      <w:pPr>
        <w:spacing w:after="0" w:line="7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Neither this prospectus supplement nor the accompanying prospectus nor any other offering or marketing material relating to the offering, nor the Company nor the Notes have been or will be filed with or approved by any Swiss regulatory authority. The Notes are not subject to the supervision by any Swiss regulatory authority, e.g., the Swiss Financial Markets Supervisory Authority FINMA, and investors in the Notes will not benefit from protection or supervision by such authority.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have not been, and will not be, registered or filed with, or approved by, the Financial Supervisory Commission of Taiwan, the Republic of China (“Taiwan”) and/or other regulatory authority of Taiwan pursuant to applicable securities laws and regulations and may not be sold, issued or offered within Taiwan through a public offering or in circumstances which constitute an offer within the meaning of the Taiwan Securities and Exchange Act or relevant laws and regulations that requires a registration, filing or approval of the Financial Supervisory Commission of Taiwan and/or other regulatory authority of Taiwan. No person or entity in Taiwan is authorized to offer, sell or distribute or otherwise intermediate the offering of the Notes or the provision of information relating to this prospectus supplement and the accompanying prospectus. The Notes may be made available to Taiwan resident investors outside Taiwan for purchase by such investors outside Taiwan for purchase outside Taiwan by investors residing in Taiwan, but may not be issued, offered, sold or resold in Taiwan, unless otherwise permitted by Taiwan laws and regulations.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Plan Investors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Notes may be purchased and held by or with the assets of (i) “employee benefit plans” within the meaning of Section 3(3) of the Employee Retirement Income Security Act of 1974, as amended (“ERISA”) subject to Title I of ERISA, (ii) plans, individual retirement 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of the foregoing described in clauses (i) and (ii), pursuant to ERISA or otherwise (each of the foregoing described in clauses (i), (ii) and (iii) referred to herein as a “Plan”). A fiduciary of a Plan subject to Title I of ERISA or Similar Laws must determine that the purchase and holding of a Note is consistent with its fiduciary duties under any applicable provision of ERISA, Section 4975 of the Code or Similar Laws. Each purchaser and subsequent transferee that is a Plan must also determine, and will be deemed to have represented by its purchase and holding of a Note, that such purchase and holding and any subsequent disposition of the Note will not constitute or result in a non-exempt prohibited transaction under Section 406 of ERISA or Section 4975 of the Code, or a violation of any applicable Similar Law. Such purchaser or transferee should consult legal counsel before purchasing the Notes. Nothing in this prospectus supplement, or the accompanying prospectus is, or should be construed as, a representation or advice as to whether an investment in the Notes is appropriate for, or would meet any or all of the relevant legal requirements with respect to investments by, Plans generally or any particular Plan.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supplement and elsewhere in the registration statement. Our financial statements and our management’s assessment of the effectiveness of internal control over financial reporting as of December 31, 2023 are incorporated by reference in reliance on Ernst &amp; Young LLP’s reports, given on their authority as experts in accounting and auditing.</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supplement forms a part and the exhibits and schedules thereto.</w:t>
      </w:r>
    </w:p>
    <w:p>
      <w:pPr>
        <w:spacing w:after="0" w:line="176" w:lineRule="exact"/>
        <w:rPr>
          <w:sz w:val="20"/>
          <w:szCs w:val="20"/>
          <w:color w:val="auto"/>
        </w:rPr>
      </w:pPr>
    </w:p>
    <w:p>
      <w:pPr>
        <w:ind w:left="120" w:right="40" w:firstLine="4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our Annual Report on </w:t>
      </w:r>
      <w:hyperlink r:id="rId52">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xml:space="preserve"> for the year ended December 31, 2023, filed on February 2, 2024, our Current Report on </w:t>
      </w:r>
      <w:hyperlink r:id="rId53">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filed on January 12, 2024,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76"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173990</wp:posOffset>
            </wp:positionV>
            <wp:extent cx="2871470" cy="668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87147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267335</wp:posOffset>
            </wp:positionV>
            <wp:extent cx="1474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types of securities that may be offered and sold by Texas Instruments Incorporated or by selling security holders under this prospectus from time to time: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 Common stock</w:t>
            </w:r>
          </w:p>
        </w:tc>
        <w:tc>
          <w:tcPr>
            <w:tcW w:w="2420" w:type="dxa"/>
            <w:vAlign w:val="bottom"/>
          </w:tcPr>
          <w:p>
            <w:pPr>
              <w:ind w:left="2260"/>
              <w:spacing w:after="0"/>
              <w:rPr>
                <w:sz w:val="20"/>
                <w:szCs w:val="20"/>
                <w:color w:val="auto"/>
              </w:rPr>
            </w:pPr>
            <w:r>
              <w:rPr>
                <w:rFonts w:ascii="Times New Roman" w:cs="Times New Roman" w:eastAsia="Times New Roman" w:hAnsi="Times New Roman"/>
                <w:sz w:val="13"/>
                <w:szCs w:val="13"/>
                <w:color w:val="auto"/>
                <w:w w:val="79"/>
              </w:rPr>
              <w:t>• </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1"/>
              </w:rPr>
              <w:t> Warrants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 Preferred stock</w:t>
            </w:r>
          </w:p>
        </w:tc>
        <w:tc>
          <w:tcPr>
            <w:tcW w:w="2420" w:type="dxa"/>
            <w:vAlign w:val="bottom"/>
          </w:tcPr>
          <w:p>
            <w:pPr>
              <w:ind w:left="2260"/>
              <w:spacing w:after="0"/>
              <w:rPr>
                <w:sz w:val="20"/>
                <w:szCs w:val="20"/>
                <w:color w:val="auto"/>
              </w:rPr>
            </w:pPr>
            <w:r>
              <w:rPr>
                <w:rFonts w:ascii="Times New Roman" w:cs="Times New Roman" w:eastAsia="Times New Roman" w:hAnsi="Times New Roman"/>
                <w:sz w:val="13"/>
                <w:szCs w:val="13"/>
                <w:color w:val="auto"/>
                <w:w w:val="79"/>
              </w:rPr>
              <w:t>• </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 Units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 Debt securities</w:t>
            </w:r>
          </w:p>
        </w:tc>
        <w:tc>
          <w:tcPr>
            <w:tcW w:w="24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 Maturity</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 Redemption terms</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 Liquidation amount</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 Interest rate</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 Listing on a security exchange</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 Subsidiary guarantees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 Currency of payments</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 Amount payable at maturity</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 Sinking fund terms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 Dividends</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 Conversion or exchange rights</w:t>
            </w: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19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Nasdaq Global Select Market under the ticker symbol TXN. On February 3, 2022, the reported last sale price on The Nasdaq Global Select Market for our common stock was $175.59.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left="120" w:right="660" w:firstLine="440"/>
        <w:spacing w:after="0" w:line="286" w:lineRule="auto"/>
        <w:rPr>
          <w:sz w:val="20"/>
          <w:szCs w:val="20"/>
          <w:color w:val="auto"/>
        </w:rPr>
      </w:pPr>
      <w:r>
        <w:rPr>
          <w:rFonts w:ascii="Times New Roman" w:cs="Times New Roman" w:eastAsia="Times New Roman" w:hAnsi="Times New Roman"/>
          <w:sz w:val="21"/>
          <w:szCs w:val="21"/>
          <w:b w:val="1"/>
          <w:bCs w:val="1"/>
          <w:color w:val="auto"/>
        </w:rPr>
        <w:t>Investing in these securities involves certain risks. See “Item 1A—Risk Factors” beginning on page 9 of our Annual Report on Form 10-K for the year ended December 31, 2021,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194310</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4, 2022</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64"/>
        </w:trPr>
        <w:tc>
          <w:tcPr>
            <w:tcW w:w="43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2320" w:type="dxa"/>
            <w:vAlign w:val="bottom"/>
            <w:tcBorders>
              <w:bottom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412"/>
        </w:trPr>
        <w:tc>
          <w:tcPr>
            <w:tcW w:w="4340" w:type="dxa"/>
            <w:vAlign w:val="bottom"/>
            <w:gridSpan w:val="14"/>
            <w:vMerge w:val="continue"/>
          </w:tcPr>
          <w:p>
            <w:pPr>
              <w:spacing w:after="0"/>
              <w:rPr>
                <w:sz w:val="24"/>
                <w:szCs w:val="24"/>
                <w:color w:val="auto"/>
              </w:rPr>
            </w:pPr>
          </w:p>
        </w:tc>
        <w:tc>
          <w:tcPr>
            <w:tcW w:w="23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40" w:type="dxa"/>
            <w:vAlign w:val="bottom"/>
            <w:gridSpan w:val="14"/>
            <w:vMerge w:val="continue"/>
          </w:tcPr>
          <w:p>
            <w:pPr>
              <w:spacing w:after="0"/>
              <w:rPr>
                <w:sz w:val="13"/>
                <w:szCs w:val="13"/>
                <w:color w:val="auto"/>
              </w:rPr>
            </w:pPr>
          </w:p>
        </w:tc>
        <w:tc>
          <w:tcPr>
            <w:tcW w:w="6340" w:type="dxa"/>
            <w:vAlign w:val="bottom"/>
            <w:gridSpan w:val="2"/>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700" w:type="dxa"/>
            <w:vAlign w:val="bottom"/>
            <w:gridSpan w:val="6"/>
          </w:tcPr>
          <w:p>
            <w:pPr>
              <w:spacing w:after="0"/>
              <w:rPr>
                <w:sz w:val="18"/>
                <w:szCs w:val="18"/>
                <w:color w:val="auto"/>
              </w:rPr>
            </w:pPr>
          </w:p>
        </w:tc>
        <w:tc>
          <w:tcPr>
            <w:tcW w:w="6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920" w:type="dxa"/>
            <w:vAlign w:val="bottom"/>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2160" w:type="dxa"/>
            <w:vAlign w:val="bottom"/>
            <w:gridSpan w:val="3"/>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gridSpan w:val="5"/>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2880" w:type="dxa"/>
            <w:vAlign w:val="bottom"/>
            <w:gridSpan w:val="8"/>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820" w:type="dxa"/>
            <w:vAlign w:val="bottom"/>
            <w:gridSpan w:val="7"/>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62" w:lineRule="exact"/>
        <w:rPr>
          <w:sz w:val="20"/>
          <w:szCs w:val="20"/>
          <w:color w:val="auto"/>
        </w:rPr>
      </w:pPr>
    </w:p>
    <w:p>
      <w:pPr>
        <w:jc w:val="both"/>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on the SEC’s website www.sec.gov.</w:t>
      </w:r>
    </w:p>
    <w:p>
      <w:pPr>
        <w:spacing w:after="0" w:line="162" w:lineRule="exact"/>
        <w:rPr>
          <w:sz w:val="20"/>
          <w:szCs w:val="20"/>
          <w:color w:val="auto"/>
        </w:rPr>
      </w:pPr>
    </w:p>
    <w:p>
      <w:pPr>
        <w:ind w:left="120" w:right="40" w:firstLine="44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63">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for the year ended December 31, 2021, filed on February 4, 2022, the Current Report on </w:t>
      </w:r>
      <w:hyperlink r:id="rId64">
        <w:r>
          <w:rPr>
            <w:rFonts w:ascii="Times New Roman" w:cs="Times New Roman" w:eastAsia="Times New Roman" w:hAnsi="Times New Roman"/>
            <w:sz w:val="17"/>
            <w:szCs w:val="17"/>
            <w:u w:val="single" w:color="auto"/>
            <w:color w:val="0000EE"/>
          </w:rPr>
          <w:t>Form 8-K</w:t>
        </w:r>
      </w:hyperlink>
      <w:r>
        <w:rPr>
          <w:rFonts w:ascii="Times New Roman" w:cs="Times New Roman" w:eastAsia="Times New Roman" w:hAnsi="Times New Roman"/>
          <w:sz w:val="17"/>
          <w:szCs w:val="17"/>
          <w:color w:val="auto"/>
        </w:rPr>
        <w:t xml:space="preserve">, filed on January 26, 2022, the description of our common stock contained in our registration statement on </w:t>
      </w:r>
      <w:hyperlink r:id="rId65">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71" w:lineRule="exact"/>
        <w:rPr>
          <w:rFonts w:ascii="Times New Roman" w:cs="Times New Roman" w:eastAsia="Times New Roman" w:hAnsi="Times New Roman"/>
          <w:sz w:val="17"/>
          <w:szCs w:val="17"/>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76" w:lineRule="exact"/>
        <w:rPr>
          <w:rFonts w:ascii="Times New Roman" w:cs="Times New Roman" w:eastAsia="Times New Roman" w:hAnsi="Times New Roman"/>
          <w:sz w:val="17"/>
          <w:szCs w:val="17"/>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Texas Instruments Incorporated, P.O. Box 660199, MS 8657, Dallas, Texas 75266-0199, Attention: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92" w:lineRule="exact"/>
        <w:rPr>
          <w:rFonts w:ascii="Times New Roman" w:cs="Times New Roman" w:eastAsia="Times New Roman" w:hAnsi="Times New Roman"/>
          <w:sz w:val="17"/>
          <w:szCs w:val="17"/>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rFonts w:ascii="Times New Roman" w:cs="Times New Roman" w:eastAsia="Times New Roman" w:hAnsi="Times New Roman"/>
          <w:sz w:val="17"/>
          <w:szCs w:val="17"/>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7" w:lineRule="exact"/>
        <w:rPr>
          <w:rFonts w:ascii="Times New Roman" w:cs="Times New Roman" w:eastAsia="Times New Roman" w:hAnsi="Times New Roman"/>
          <w:sz w:val="17"/>
          <w:szCs w:val="17"/>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our company or our management:</w:t>
      </w:r>
    </w:p>
    <w:p>
      <w:pPr>
        <w:spacing w:after="0" w:line="67" w:lineRule="exact"/>
        <w:rPr>
          <w:rFonts w:ascii="Times New Roman" w:cs="Times New Roman" w:eastAsia="Times New Roman" w:hAnsi="Times New Roman"/>
          <w:sz w:val="17"/>
          <w:szCs w:val="17"/>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and natural events in the countries in which we, our customers or our suppliers operate, including global trade policies;</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the industrial and automotive markets, and customer demand that differs from forecasts;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58" w:lineRule="exact"/>
        <w:rPr>
          <w:rFonts w:ascii="Times New Roman" w:cs="Times New Roman" w:eastAsia="Times New Roman" w:hAnsi="Times New Roman"/>
          <w:sz w:val="17"/>
          <w:szCs w:val="17"/>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and other threats relating to our information technology systems or those of our customers, vendors and other third parties;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and realize opportunities from acquisitions and other strategic, business and organizational changes, or our ability to realize our expectations regarding the amount and timing of associated restructuring charges and cost savings;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1"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manufacturing equipment, third-party manufacturing services and manufacturing technology;</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semiconductor distributors’ promotion of competing product lines to our detriment; or disputes with current or former distributors;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customer inventory adjustments;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personnel, and effectively manage key employee succession;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320" w:top="455" w:right="6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3" w:lineRule="exact"/>
        <w:rPr>
          <w:sz w:val="20"/>
          <w:szCs w:val="20"/>
          <w:color w:val="auto"/>
        </w:rPr>
      </w:pPr>
    </w:p>
    <w:p>
      <w:pPr>
        <w:jc w:val="both"/>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Restated Certificate of Incorporation authorizes us to issue 2,400,000,000 shares of common stock, $1.00 par value per share, and 10,000,000 shares of preferred stock, $25.00 par value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of January 25, 2022, there were 923,547,062 shares of common stock outstanding which were held of record by 12,134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9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By-Laws provide that the annual meeting of stockholders shall be held on a date as may be fixed by our board of directors and as stated in a written notice, which must be mailed or delivered to each stockholder at least 10 days prior to any stockholder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As of January 25, 2022,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 Special meetings of stockholders may also be requested by a stockholder or stockholders who own, individually or in the aggregate, at least 25% of our outstanding common stock, subject to the written notice requirements and exceptions set forth in the By-Laws.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prior to the date the interested stockholder obtained such status;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 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will constitute unsecured and unsubordinated obligations of ours and will rank pari passu with our other unsecured and unsubordinated obligations.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9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You should look in the prospectus supplement for any additional or different terms of the debt securities being offered, including the following terms:</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designation;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(i.e., price) at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mature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1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 and the place or places where principal and interest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payment of additional amounts for taxes and any provision for redemption, if we must pay such additional amounts in respect of any debt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may have to repay the debt securities early at your option;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may be exchanged for the cash value of other securities issued by us or by a third party;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the debt securities may be defeased;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debt securities in uncertificated form;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Debt Securities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The term “attributable debt” in respect of a sale and leaseback transaction means, at the time of determination, the lesser of</w:t>
      </w:r>
    </w:p>
    <w:p>
      <w:pPr>
        <w:spacing w:after="0" w:line="29" w:lineRule="exact"/>
        <w:rPr>
          <w:sz w:val="20"/>
          <w:szCs w:val="20"/>
          <w:color w:val="auto"/>
        </w:rPr>
      </w:pPr>
    </w:p>
    <w:p>
      <w:pPr>
        <w:ind w:left="120" w:right="120" w:hanging="4"/>
        <w:spacing w:after="0" w:line="255" w:lineRule="auto"/>
        <w:tabs>
          <w:tab w:leader="none" w:pos="3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8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6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78" w:lineRule="exact"/>
        <w:rPr>
          <w:sz w:val="20"/>
          <w:szCs w:val="20"/>
          <w:color w:val="auto"/>
        </w:rPr>
      </w:pPr>
    </w:p>
    <w:p>
      <w:pPr>
        <w:ind w:left="120" w:right="32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Restrictions on Liens</w:t>
      </w:r>
      <w:r>
        <w:rPr>
          <w:rFonts w:ascii="Times New Roman" w:cs="Times New Roman" w:eastAsia="Times New Roman" w:hAnsi="Times New Roman"/>
          <w:sz w:val="17"/>
          <w:szCs w:val="17"/>
          <w:color w:val="auto"/>
        </w:rPr>
        <w:t>. The indenture provides that, unless as may otherwise be indicated by resolution of our board of directors, officers’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8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as of the closing date of the offering of the relevant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existing at the time of or within 120 days after acquisition of the property and certain purchase money mortgages;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of an entity existing at the time that entity is merged into or consolidated with us or substantially all the assets of which are acquired by us;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8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for taxes, assessments or other governmental charges not yet due or payable or subject to penalties for non-payment or which we are contesting in good faith by appropriate proceedings;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in whole or in part, of any mortgage referred to in the bullet points above.</w:t>
      </w:r>
    </w:p>
    <w:p>
      <w:pPr>
        <w:spacing w:after="0" w:line="160"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Restrictions on Sale and Leaseback Transactions</w:t>
      </w:r>
      <w:r>
        <w:rPr>
          <w:rFonts w:ascii="Times New Roman" w:cs="Times New Roman" w:eastAsia="Times New Roman" w:hAnsi="Times New Roman"/>
          <w:sz w:val="18"/>
          <w:szCs w:val="18"/>
          <w:color w:val="auto"/>
        </w:rPr>
        <w:t>. The indenture provides that, unless as may otherwise be indicated by resolution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87" w:lineRule="exact"/>
        <w:rPr>
          <w:sz w:val="20"/>
          <w:szCs w:val="20"/>
          <w:color w:val="auto"/>
        </w:rPr>
      </w:pPr>
    </w:p>
    <w:p>
      <w:pPr>
        <w:ind w:left="108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85" w:lineRule="exact"/>
        <w:rPr>
          <w:rFonts w:ascii="Times New Roman" w:cs="Times New Roman" w:eastAsia="Times New Roman" w:hAnsi="Times New Roman"/>
          <w:sz w:val="18"/>
          <w:szCs w:val="18"/>
          <w:color w:val="auto"/>
        </w:rPr>
      </w:pPr>
    </w:p>
    <w:p>
      <w:pPr>
        <w:ind w:left="1080" w:right="320" w:hanging="424"/>
        <w:spacing w:after="0" w:line="312" w:lineRule="auto"/>
        <w:tabs>
          <w:tab w:leader="none" w:pos="10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45"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such sale and leaseback transaction and we elect to designate such amount as a credit against such transaction,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720" w:hanging="331"/>
        <w:spacing w:after="0" w:line="282"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74"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Exempted Debt</w:t>
      </w:r>
      <w:r>
        <w:rPr>
          <w:rFonts w:ascii="Times New Roman" w:cs="Times New Roman" w:eastAsia="Times New Roman" w:hAnsi="Times New Roman"/>
          <w:sz w:val="18"/>
          <w:szCs w:val="18"/>
          <w:color w:val="auto"/>
        </w:rPr>
        <w:t>. The indenture provides that, notwithstanding the restrictions on mortgages and sale and leaseback transactions described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Consolidation, Merger and Sale or Conveyance</w:t>
      </w:r>
      <w:r>
        <w:rPr>
          <w:rFonts w:ascii="Times New Roman" w:cs="Times New Roman" w:eastAsia="Times New Roman" w:hAnsi="Times New Roman"/>
          <w:sz w:val="18"/>
          <w:szCs w:val="18"/>
          <w:color w:val="auto"/>
        </w:rPr>
        <w:t>. We may not consolidate with, merge with or into, or sell, or convey (including by way of lease)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or substantially all of our assets to any person or permit any person to merge with or into us unless:</w:t>
      </w:r>
    </w:p>
    <w:p>
      <w:pPr>
        <w:spacing w:after="0" w:line="112" w:lineRule="exact"/>
        <w:rPr>
          <w:sz w:val="20"/>
          <w:szCs w:val="20"/>
          <w:color w:val="auto"/>
        </w:rPr>
      </w:pPr>
    </w:p>
    <w:p>
      <w:pPr>
        <w:ind w:left="1080" w:right="160" w:hanging="424"/>
        <w:spacing w:after="0" w:line="25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9" w:lineRule="auto"/>
        <w:tabs>
          <w:tab w:leader="none" w:pos="10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 The restrictions in the bullets above shall not be applicable to:</w:t>
      </w:r>
    </w:p>
    <w:p>
      <w:pPr>
        <w:spacing w:after="0" w:line="63" w:lineRule="exact"/>
        <w:rPr>
          <w:rFonts w:ascii="Times New Roman" w:cs="Times New Roman" w:eastAsia="Times New Roman" w:hAnsi="Times New Roman"/>
          <w:sz w:val="17"/>
          <w:szCs w:val="17"/>
          <w:color w:val="auto"/>
        </w:rPr>
      </w:pPr>
    </w:p>
    <w:p>
      <w:pPr>
        <w:ind w:left="1080" w:right="5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us with or into a single direct or indirect wholly owned subsidiary of ours pursuant to Section 251(g) (or any successor provision) of the General Corporation Law of the State of Delaware. 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for any series of debt securities is defined under the indenture as being:</w:t>
      </w:r>
    </w:p>
    <w:p>
      <w:pPr>
        <w:spacing w:after="0" w:line="131" w:lineRule="exact"/>
        <w:rPr>
          <w:sz w:val="20"/>
          <w:szCs w:val="20"/>
          <w:color w:val="auto"/>
        </w:rPr>
      </w:pPr>
    </w:p>
    <w:p>
      <w:pPr>
        <w:ind w:left="1080" w:right="22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payment of interest on any debt securities of such series when due and payable, if that default continues for a period of 30 days;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in such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30"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us in an involuntary case under any applicable bankruptcy, insolvency, or other similar law now or hereafter in effect;</w:t>
      </w:r>
    </w:p>
    <w:p>
      <w:pPr>
        <w:spacing w:after="0" w:line="67"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receiver, liquidator, assignee, custodian, trustee, sequestrator, or similar official of us or for all or substantially all of our property; or</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our affairs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under any applicable bankruptcy, insolvency, or other similar law now or hereafter in effect;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an order for relief in an involuntary case under any such law;</w:t>
      </w:r>
    </w:p>
    <w:p>
      <w:pPr>
        <w:spacing w:after="0" w:line="130" w:lineRule="exact"/>
        <w:rPr>
          <w:rFonts w:ascii="Times New Roman" w:cs="Times New Roman" w:eastAsia="Times New Roman" w:hAnsi="Times New Roman"/>
          <w:sz w:val="18"/>
          <w:szCs w:val="18"/>
          <w:color w:val="auto"/>
        </w:rPr>
      </w:pPr>
    </w:p>
    <w:p>
      <w:pPr>
        <w:ind w:left="1540" w:right="400" w:hanging="331"/>
        <w:spacing w:after="0" w:line="282"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or taking possession by a receiver, liquidator, assignee, custodian, trustee, sequestrator, or similar official of us for all or substantially all of our property; or</w:t>
      </w:r>
    </w:p>
    <w:p>
      <w:pPr>
        <w:spacing w:after="0" w:line="67"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general assignment for the benefit of creditors. The default by us under any other debt, including any other series of debt securities, is not a default under the indenture.</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93"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debt securities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debt securities do not give the trustee a direction that is inconsistent with the request.</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Discharge and Defeasance</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67" w:lineRule="exact"/>
        <w:rPr>
          <w:sz w:val="20"/>
          <w:szCs w:val="20"/>
          <w:color w:val="auto"/>
        </w:rPr>
      </w:pPr>
    </w:p>
    <w:p>
      <w:pPr>
        <w:ind w:left="1080" w:right="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previously authenticated and delivered have been delivered to the trustee for cancellation, and we have paid all sums payable by us under the indenture; or</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85" w:lineRule="exact"/>
        <w:rPr>
          <w:sz w:val="20"/>
          <w:szCs w:val="20"/>
          <w:color w:val="auto"/>
        </w:rPr>
      </w:pPr>
    </w:p>
    <w:p>
      <w:pPr>
        <w:ind w:left="1080" w:right="40" w:hanging="424"/>
        <w:spacing w:after="0" w:line="254"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93"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88"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mortgage or pledge any assets as security for the securities of one or more series;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us, and the assumption by such successor corporation of our covenants, agreements and obligations under the indenture;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under “Certain Covenants—Consolidation, Merger and Sale or Conveyance”;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debt securities as permitted by the indenture;</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is necessary or desirable provided that such change shall not adversely affect the interests of the holders of the debt securities of any series in any material respect;</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85"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stated maturity of the principal of, or the time of payment of any installment of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place or currency of payment of principal of, or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impairs the right of holders to institute suit for the enforcement of any payment of any debt securities of such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67" w:lineRule="exact"/>
        <w:rPr>
          <w:rFonts w:ascii="Times New Roman" w:cs="Times New Roman" w:eastAsia="Times New Roman" w:hAnsi="Times New Roman"/>
          <w:sz w:val="18"/>
          <w:szCs w:val="18"/>
          <w:color w:val="auto"/>
        </w:rPr>
      </w:pPr>
    </w:p>
    <w:p>
      <w:pPr>
        <w:ind w:left="1080" w:right="70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1" w:lineRule="exact"/>
        <w:rPr>
          <w:rFonts w:ascii="Times New Roman" w:cs="Times New Roman" w:eastAsia="Times New Roman" w:hAnsi="Times New Roman"/>
          <w:sz w:val="18"/>
          <w:szCs w:val="18"/>
          <w:color w:val="auto"/>
        </w:rPr>
      </w:pPr>
    </w:p>
    <w:p>
      <w:pPr>
        <w:ind w:left="5540" w:right="180" w:hanging="4884"/>
        <w:spacing w:after="0" w:line="454" w:lineRule="auto"/>
        <w:tabs>
          <w:tab w:leader="none" w:pos="10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default in respect of a covenant or provision which cannot be modified or amended without the consent of each affected holder. 15</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Personal Liability of Incorporators, Stockholders, Officers,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9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320" w:top="455" w:right="5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1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Registered Global Securities</w:t>
      </w:r>
      <w:r>
        <w:rPr>
          <w:rFonts w:ascii="Times New Roman" w:cs="Times New Roman" w:eastAsia="Times New Roman" w:hAnsi="Times New Roman"/>
          <w:sz w:val="18"/>
          <w:szCs w:val="18"/>
          <w:color w:val="auto"/>
        </w:rPr>
        <w:t>. We may issue the registered debt securities, warrants and units in the form of one or more fully registered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4"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or selling security holders may sell the securities being offered hereby in the following manner or any manner specified in a prospectus supplement:</w:t>
      </w:r>
    </w:p>
    <w:p>
      <w:pPr>
        <w:spacing w:after="0" w:line="67"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sz w:val="20"/>
          <w:szCs w:val="20"/>
          <w:color w:val="auto"/>
        </w:rPr>
      </w:pPr>
    </w:p>
    <w:p>
      <w:pPr>
        <w:jc w:val="both"/>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6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83"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2021, and the effectiveness of our internal control over financial reporting as of December 31, 2021, as set forth in their reports, which are incorporated by reference into this prospectus and elsewhere in the registration statement. Our financial statements and our management’s assessment of the effectiveness of internal control over financial reporting as of December 31, 2021, are incorporated by reference in reliance on Ernst &amp; Young LLP’s reports, given on their authority as experts in accounting and auditing.</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40"/>
          </w:cols>
          <w:pgMar w:left="320" w:top="455" w:right="5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344170</wp:posOffset>
            </wp:positionV>
            <wp:extent cx="2880360" cy="6686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288036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4060" w:type="dxa"/>
        <w:tblCellMar>
          <w:top w:w="0" w:type="dxa"/>
          <w:left w:w="0" w:type="dxa"/>
          <w:bottom w:w="0" w:type="dxa"/>
          <w:right w:w="0" w:type="dxa"/>
        </w:tblCellMar>
      </w:tblPr>
      <w:tr>
        <w:trPr>
          <w:trHeight w:val="297"/>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xml:space="preserve">  </w:t>
            </w:r>
          </w:p>
        </w:tc>
        <w:tc>
          <w:tcPr>
            <w:tcW w:w="38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w:t>
            </w:r>
          </w:p>
        </w:tc>
        <w:tc>
          <w:tcPr>
            <w:tcW w:w="1660" w:type="dxa"/>
            <w:vAlign w:val="bottom"/>
          </w:tcPr>
          <w:p>
            <w:pPr>
              <w:ind w:left="20"/>
              <w:spacing w:after="0"/>
              <w:rPr>
                <w:sz w:val="20"/>
                <w:szCs w:val="20"/>
                <w:color w:val="auto"/>
              </w:rPr>
            </w:pPr>
            <w:r>
              <w:rPr>
                <w:rFonts w:ascii="Times New Roman" w:cs="Times New Roman" w:eastAsia="Times New Roman" w:hAnsi="Times New Roman"/>
                <w:sz w:val="25"/>
                <w:szCs w:val="25"/>
                <w:b w:val="1"/>
                <w:bCs w:val="1"/>
                <w:color w:val="auto"/>
              </w:rPr>
              <w:t>Notes due 20</w:t>
            </w:r>
          </w:p>
        </w:tc>
      </w:tr>
      <w:tr>
        <w:trPr>
          <w:trHeight w:val="297"/>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xml:space="preserve">  </w:t>
            </w:r>
          </w:p>
        </w:tc>
        <w:tc>
          <w:tcPr>
            <w:tcW w:w="38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w:t>
            </w:r>
          </w:p>
        </w:tc>
        <w:tc>
          <w:tcPr>
            <w:tcW w:w="1660" w:type="dxa"/>
            <w:vAlign w:val="bottom"/>
          </w:tcPr>
          <w:p>
            <w:pPr>
              <w:ind w:left="20"/>
              <w:spacing w:after="0"/>
              <w:rPr>
                <w:sz w:val="20"/>
                <w:szCs w:val="20"/>
                <w:color w:val="auto"/>
              </w:rPr>
            </w:pPr>
            <w:r>
              <w:rPr>
                <w:rFonts w:ascii="Times New Roman" w:cs="Times New Roman" w:eastAsia="Times New Roman" w:hAnsi="Times New Roman"/>
                <w:sz w:val="25"/>
                <w:szCs w:val="25"/>
                <w:b w:val="1"/>
                <w:bCs w:val="1"/>
                <w:color w:val="auto"/>
              </w:rPr>
              <w:t>Notes due 20</w:t>
            </w:r>
          </w:p>
        </w:tc>
      </w:tr>
      <w:tr>
        <w:trPr>
          <w:trHeight w:val="297"/>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xml:space="preserve">  </w:t>
            </w:r>
          </w:p>
        </w:tc>
        <w:tc>
          <w:tcPr>
            <w:tcW w:w="38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w:t>
            </w:r>
          </w:p>
        </w:tc>
        <w:tc>
          <w:tcPr>
            <w:tcW w:w="1660" w:type="dxa"/>
            <w:vAlign w:val="bottom"/>
          </w:tcPr>
          <w:p>
            <w:pPr>
              <w:ind w:left="20"/>
              <w:spacing w:after="0"/>
              <w:rPr>
                <w:sz w:val="20"/>
                <w:szCs w:val="20"/>
                <w:color w:val="auto"/>
              </w:rPr>
            </w:pPr>
            <w:r>
              <w:rPr>
                <w:rFonts w:ascii="Times New Roman" w:cs="Times New Roman" w:eastAsia="Times New Roman" w:hAnsi="Times New Roman"/>
                <w:sz w:val="25"/>
                <w:szCs w:val="25"/>
                <w:b w:val="1"/>
                <w:bCs w:val="1"/>
                <w:color w:val="auto"/>
              </w:rPr>
              <w:t>Notes due 20</w:t>
            </w:r>
          </w:p>
        </w:tc>
      </w:tr>
      <w:tr>
        <w:trPr>
          <w:trHeight w:val="297"/>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xml:space="preserve">  </w:t>
            </w:r>
          </w:p>
        </w:tc>
        <w:tc>
          <w:tcPr>
            <w:tcW w:w="38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w:t>
            </w:r>
          </w:p>
        </w:tc>
        <w:tc>
          <w:tcPr>
            <w:tcW w:w="1660" w:type="dxa"/>
            <w:vAlign w:val="bottom"/>
          </w:tcPr>
          <w:p>
            <w:pPr>
              <w:ind w:left="20"/>
              <w:spacing w:after="0"/>
              <w:rPr>
                <w:sz w:val="20"/>
                <w:szCs w:val="20"/>
                <w:color w:val="auto"/>
              </w:rPr>
            </w:pPr>
            <w:r>
              <w:rPr>
                <w:rFonts w:ascii="Times New Roman" w:cs="Times New Roman" w:eastAsia="Times New Roman" w:hAnsi="Times New Roman"/>
                <w:sz w:val="25"/>
                <w:szCs w:val="25"/>
                <w:b w:val="1"/>
                <w:bCs w:val="1"/>
                <w:color w:val="auto"/>
              </w:rPr>
              <w:t>Notes due 20</w:t>
            </w:r>
          </w:p>
        </w:tc>
      </w:tr>
      <w:tr>
        <w:trPr>
          <w:trHeight w:val="334"/>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5"/>
                <w:szCs w:val="25"/>
                <w:b w:val="1"/>
                <w:bCs w:val="1"/>
                <w:color w:val="auto"/>
              </w:rPr>
              <w:t>5.050%</w:t>
            </w:r>
          </w:p>
        </w:tc>
        <w:tc>
          <w:tcPr>
            <w:tcW w:w="1660" w:type="dxa"/>
            <w:vAlign w:val="bottom"/>
          </w:tcPr>
          <w:p>
            <w:pPr>
              <w:ind w:left="20"/>
              <w:spacing w:after="0"/>
              <w:rPr>
                <w:sz w:val="20"/>
                <w:szCs w:val="20"/>
                <w:color w:val="auto"/>
              </w:rPr>
            </w:pPr>
            <w:r>
              <w:rPr>
                <w:rFonts w:ascii="Times New Roman" w:cs="Times New Roman" w:eastAsia="Times New Roman" w:hAnsi="Times New Roman"/>
                <w:sz w:val="25"/>
                <w:szCs w:val="25"/>
                <w:b w:val="1"/>
                <w:bCs w:val="1"/>
                <w:color w:val="auto"/>
              </w:rPr>
              <w:t>Notes due 2063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1271905</wp:posOffset>
            </wp:positionV>
            <wp:extent cx="1474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243840</wp:posOffset>
            </wp:positionV>
            <wp:extent cx="1474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ectPr>
          <w:pgSz w:w="11900" w:h="16838" w:orient="portrait"/>
          <w:cols w:equalWidth="0" w:num="1">
            <w:col w:w="11140"/>
          </w:cols>
          <w:pgMar w:left="320" w:top="455" w:right="439" w:bottom="1440" w:gutter="0" w:footer="0" w:header="0"/>
        </w:sectPr>
      </w:pP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auto"/>
        </w:rPr>
        <w:t>BofA Securities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1311275</wp:posOffset>
            </wp:positionV>
            <wp:extent cx="1474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Mizuho</w:t>
      </w:r>
    </w:p>
    <w:p>
      <w:pPr>
        <w:spacing w:after="0" w:line="200" w:lineRule="exact"/>
        <w:rPr>
          <w:sz w:val="20"/>
          <w:szCs w:val="20"/>
          <w:color w:val="auto"/>
        </w:rPr>
      </w:pPr>
    </w:p>
    <w:p>
      <w:pPr>
        <w:sectPr>
          <w:pgSz w:w="11900" w:h="16838" w:orient="portrait"/>
          <w:cols w:equalWidth="0" w:num="3">
            <w:col w:w="5080" w:space="720"/>
            <w:col w:w="3660" w:space="720"/>
            <w:col w:w="96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2"/>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3"/>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lvl w:ilvl="1">
      <w:lvlJc w:val="left"/>
      <w:lvlText w:val="•"/>
      <w:numFmt w:val="bullet"/>
      <w:start w:val="1"/>
    </w:lvl>
  </w:abstractNum>
  <w:abstractNum w:abstractNumId="34">
    <w:nsid w:val="2D517796"/>
    <w:multiLevelType w:val="hybridMultilevel"/>
    <w:lvl w:ilvl="0">
      <w:lvlJc w:val="left"/>
      <w:lvlText w:val="•"/>
      <w:numFmt w:val="bullet"/>
      <w:start w:val="1"/>
    </w:lvl>
    <w:lvl w:ilvl="1">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lvl w:ilvl="1">
      <w:lvlJc w:val="left"/>
      <w:lvlText w:val="•"/>
      <w:numFmt w:val="bullet"/>
      <w:start w:val="1"/>
    </w:lvl>
  </w:abstractNum>
  <w:abstractNum w:abstractNumId="37">
    <w:nsid w:val="3855585C"/>
    <w:multiLevelType w:val="hybridMultilevel"/>
    <w:lvl w:ilvl="0">
      <w:lvlJc w:val="left"/>
      <w:lvlText w:val="•"/>
      <w:numFmt w:val="bullet"/>
      <w:start w:val="1"/>
    </w:lvl>
    <w:lvl w:ilvl="1">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jpe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jpe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52" Type="http://schemas.openxmlformats.org/officeDocument/2006/relationships/hyperlink" Target="http://www.sec.gov/ix?doc=/Archives/edgar/data/97476/000009747624000007/txn-20231231.htm" TargetMode="External"/><Relationship Id="rId53" Type="http://schemas.openxmlformats.org/officeDocument/2006/relationships/hyperlink" Target="http://www.sec.gov/ix?doc=/Archives/edgar/data/97476/000119312524007559/d154904d8k.htm" TargetMode="External"/><Relationship Id="rId63" Type="http://schemas.openxmlformats.org/officeDocument/2006/relationships/hyperlink" Target="http://www.sec.gov/ix?doc=/Archives/edgar/data/0000097476/000009747622000009/txn-20211231.htm" TargetMode="External"/><Relationship Id="rId64" Type="http://schemas.openxmlformats.org/officeDocument/2006/relationships/hyperlink" Target="http://www.sec.gov/ix?doc=/Archives/edgar/data/97476/000119312522018409/d252810d8k.htm" TargetMode="External"/><Relationship Id="rId65"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2024-02-05T07:56:35Z</dcterms:created>
  <dcterms:modified xsi:type="dcterms:W3CDTF">2024-02-05T07:56:35Z</dcterms:modified>
</cp:coreProperties>
</file>