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775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7755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VanScoter John C</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07/26/2007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3"/>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4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3"/>
              <w:spacing w:after="0"/>
              <w:rPr>
                <w:sz w:val="20"/>
                <w:szCs w:val="20"/>
                <w:color w:val="auto"/>
              </w:rPr>
            </w:pPr>
            <w:r>
              <w:rPr>
                <w:rFonts w:ascii="Arial" w:cs="Arial" w:eastAsia="Arial" w:hAnsi="Arial"/>
                <w:sz w:val="17"/>
                <w:szCs w:val="17"/>
                <w:color w:val="0000FF"/>
                <w:w w:val="93"/>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jc w:val="center"/>
              <w:ind w:left="81"/>
              <w:spacing w:after="0"/>
              <w:rPr>
                <w:sz w:val="20"/>
                <w:szCs w:val="20"/>
                <w:color w:val="auto"/>
              </w:rPr>
            </w:pPr>
            <w:r>
              <w:rPr>
                <w:rFonts w:ascii="Arial" w:cs="Arial" w:eastAsia="Arial" w:hAnsi="Arial"/>
                <w:sz w:val="17"/>
                <w:szCs w:val="17"/>
                <w:color w:val="0000FF"/>
                <w:w w:val="92"/>
              </w:rPr>
              <w:t>40,000</w:t>
            </w:r>
          </w:p>
        </w:tc>
        <w:tc>
          <w:tcPr>
            <w:tcW w:w="640" w:type="dxa"/>
            <w:vAlign w:val="bottom"/>
          </w:tcPr>
          <w:p>
            <w:pPr>
              <w:jc w:val="center"/>
              <w:ind w:left="147"/>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13.19</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172,443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3"/>
              <w:spacing w:after="0"/>
              <w:rPr>
                <w:sz w:val="20"/>
                <w:szCs w:val="20"/>
                <w:color w:val="auto"/>
              </w:rPr>
            </w:pPr>
            <w:r>
              <w:rPr>
                <w:rFonts w:ascii="Arial" w:cs="Arial" w:eastAsia="Arial" w:hAnsi="Arial"/>
                <w:sz w:val="17"/>
                <w:szCs w:val="17"/>
                <w:color w:val="0000FF"/>
                <w:w w:val="93"/>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1"/>
              <w:spacing w:after="0"/>
              <w:rPr>
                <w:sz w:val="20"/>
                <w:szCs w:val="20"/>
                <w:color w:val="auto"/>
              </w:rPr>
            </w:pPr>
            <w:r>
              <w:rPr>
                <w:rFonts w:ascii="Arial" w:cs="Arial" w:eastAsia="Arial" w:hAnsi="Arial"/>
                <w:sz w:val="17"/>
                <w:szCs w:val="17"/>
                <w:color w:val="0000FF"/>
                <w:w w:val="93"/>
              </w:rPr>
              <w:t>1,501</w:t>
            </w:r>
          </w:p>
        </w:tc>
        <w:tc>
          <w:tcPr>
            <w:tcW w:w="640" w:type="dxa"/>
            <w:vAlign w:val="bottom"/>
          </w:tcPr>
          <w:p>
            <w:pPr>
              <w:jc w:val="center"/>
              <w:ind w:left="147"/>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36.13</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170,942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3"/>
              <w:spacing w:after="0"/>
              <w:rPr>
                <w:sz w:val="20"/>
                <w:szCs w:val="20"/>
                <w:color w:val="auto"/>
              </w:rPr>
            </w:pPr>
            <w:r>
              <w:rPr>
                <w:rFonts w:ascii="Arial" w:cs="Arial" w:eastAsia="Arial" w:hAnsi="Arial"/>
                <w:sz w:val="17"/>
                <w:szCs w:val="17"/>
                <w:color w:val="0000FF"/>
                <w:w w:val="93"/>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1"/>
              <w:spacing w:after="0"/>
              <w:rPr>
                <w:sz w:val="20"/>
                <w:szCs w:val="20"/>
                <w:color w:val="auto"/>
              </w:rPr>
            </w:pPr>
            <w:r>
              <w:rPr>
                <w:rFonts w:ascii="Arial" w:cs="Arial" w:eastAsia="Arial" w:hAnsi="Arial"/>
                <w:sz w:val="17"/>
                <w:szCs w:val="17"/>
                <w:color w:val="0000FF"/>
                <w:w w:val="93"/>
              </w:rPr>
              <w:t>3,603</w:t>
            </w:r>
          </w:p>
        </w:tc>
        <w:tc>
          <w:tcPr>
            <w:tcW w:w="640" w:type="dxa"/>
            <w:vAlign w:val="bottom"/>
          </w:tcPr>
          <w:p>
            <w:pPr>
              <w:jc w:val="center"/>
              <w:ind w:left="147"/>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36.14</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167,339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3"/>
              <w:spacing w:after="0"/>
              <w:rPr>
                <w:sz w:val="20"/>
                <w:szCs w:val="20"/>
                <w:color w:val="auto"/>
              </w:rPr>
            </w:pPr>
            <w:r>
              <w:rPr>
                <w:rFonts w:ascii="Arial" w:cs="Arial" w:eastAsia="Arial" w:hAnsi="Arial"/>
                <w:sz w:val="17"/>
                <w:szCs w:val="17"/>
                <w:color w:val="0000FF"/>
                <w:w w:val="93"/>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1"/>
              <w:spacing w:after="0"/>
              <w:rPr>
                <w:sz w:val="20"/>
                <w:szCs w:val="20"/>
                <w:color w:val="auto"/>
              </w:rPr>
            </w:pPr>
            <w:r>
              <w:rPr>
                <w:rFonts w:ascii="Arial" w:cs="Arial" w:eastAsia="Arial" w:hAnsi="Arial"/>
                <w:sz w:val="17"/>
                <w:szCs w:val="17"/>
                <w:color w:val="0000FF"/>
                <w:w w:val="93"/>
              </w:rPr>
              <w:t>2,660</w:t>
            </w:r>
          </w:p>
        </w:tc>
        <w:tc>
          <w:tcPr>
            <w:tcW w:w="640" w:type="dxa"/>
            <w:vAlign w:val="bottom"/>
          </w:tcPr>
          <w:p>
            <w:pPr>
              <w:jc w:val="center"/>
              <w:ind w:left="147"/>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36.15</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164,679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3"/>
              <w:spacing w:after="0"/>
              <w:rPr>
                <w:sz w:val="20"/>
                <w:szCs w:val="20"/>
                <w:color w:val="auto"/>
              </w:rPr>
            </w:pPr>
            <w:r>
              <w:rPr>
                <w:rFonts w:ascii="Arial" w:cs="Arial" w:eastAsia="Arial" w:hAnsi="Arial"/>
                <w:sz w:val="17"/>
                <w:szCs w:val="17"/>
                <w:color w:val="0000FF"/>
                <w:w w:val="93"/>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1"/>
              <w:spacing w:after="0"/>
              <w:rPr>
                <w:sz w:val="20"/>
                <w:szCs w:val="20"/>
                <w:color w:val="auto"/>
              </w:rPr>
            </w:pPr>
            <w:r>
              <w:rPr>
                <w:rFonts w:ascii="Arial" w:cs="Arial" w:eastAsia="Arial" w:hAnsi="Arial"/>
                <w:sz w:val="17"/>
                <w:szCs w:val="17"/>
                <w:color w:val="0000FF"/>
                <w:w w:val="93"/>
              </w:rPr>
              <w:t>9,287</w:t>
            </w:r>
          </w:p>
        </w:tc>
        <w:tc>
          <w:tcPr>
            <w:tcW w:w="640" w:type="dxa"/>
            <w:vAlign w:val="bottom"/>
          </w:tcPr>
          <w:p>
            <w:pPr>
              <w:jc w:val="center"/>
              <w:ind w:left="147"/>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36.16</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155,392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3"/>
              <w:spacing w:after="0"/>
              <w:rPr>
                <w:sz w:val="20"/>
                <w:szCs w:val="20"/>
                <w:color w:val="auto"/>
              </w:rPr>
            </w:pPr>
            <w:r>
              <w:rPr>
                <w:rFonts w:ascii="Arial" w:cs="Arial" w:eastAsia="Arial" w:hAnsi="Arial"/>
                <w:sz w:val="17"/>
                <w:szCs w:val="17"/>
                <w:color w:val="0000FF"/>
                <w:w w:val="93"/>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1"/>
              <w:spacing w:after="0"/>
              <w:rPr>
                <w:sz w:val="20"/>
                <w:szCs w:val="20"/>
                <w:color w:val="auto"/>
              </w:rPr>
            </w:pPr>
            <w:r>
              <w:rPr>
                <w:rFonts w:ascii="Arial" w:cs="Arial" w:eastAsia="Arial" w:hAnsi="Arial"/>
                <w:sz w:val="17"/>
                <w:szCs w:val="17"/>
                <w:color w:val="0000FF"/>
                <w:w w:val="92"/>
              </w:rPr>
              <w:t>10,080</w:t>
            </w:r>
          </w:p>
        </w:tc>
        <w:tc>
          <w:tcPr>
            <w:tcW w:w="640" w:type="dxa"/>
            <w:vAlign w:val="bottom"/>
          </w:tcPr>
          <w:p>
            <w:pPr>
              <w:jc w:val="center"/>
              <w:ind w:left="147"/>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36.17</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145,312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3"/>
              <w:spacing w:after="0"/>
              <w:rPr>
                <w:sz w:val="20"/>
                <w:szCs w:val="20"/>
                <w:color w:val="auto"/>
              </w:rPr>
            </w:pPr>
            <w:r>
              <w:rPr>
                <w:rFonts w:ascii="Arial" w:cs="Arial" w:eastAsia="Arial" w:hAnsi="Arial"/>
                <w:sz w:val="17"/>
                <w:szCs w:val="17"/>
                <w:color w:val="0000FF"/>
                <w:w w:val="93"/>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1"/>
              <w:spacing w:after="0"/>
              <w:rPr>
                <w:sz w:val="20"/>
                <w:szCs w:val="20"/>
                <w:color w:val="auto"/>
              </w:rPr>
            </w:pPr>
            <w:r>
              <w:rPr>
                <w:rFonts w:ascii="Arial" w:cs="Arial" w:eastAsia="Arial" w:hAnsi="Arial"/>
                <w:sz w:val="17"/>
                <w:szCs w:val="17"/>
                <w:color w:val="0000FF"/>
                <w:w w:val="93"/>
              </w:rPr>
              <w:t>6,434</w:t>
            </w:r>
          </w:p>
        </w:tc>
        <w:tc>
          <w:tcPr>
            <w:tcW w:w="640" w:type="dxa"/>
            <w:vAlign w:val="bottom"/>
          </w:tcPr>
          <w:p>
            <w:pPr>
              <w:jc w:val="center"/>
              <w:ind w:left="147"/>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36.18</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138,878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3"/>
              <w:spacing w:after="0"/>
              <w:rPr>
                <w:sz w:val="20"/>
                <w:szCs w:val="20"/>
                <w:color w:val="auto"/>
              </w:rPr>
            </w:pPr>
            <w:r>
              <w:rPr>
                <w:rFonts w:ascii="Arial" w:cs="Arial" w:eastAsia="Arial" w:hAnsi="Arial"/>
                <w:sz w:val="17"/>
                <w:szCs w:val="17"/>
                <w:color w:val="0000FF"/>
                <w:w w:val="93"/>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1"/>
              <w:spacing w:after="0"/>
              <w:rPr>
                <w:sz w:val="20"/>
                <w:szCs w:val="20"/>
                <w:color w:val="auto"/>
              </w:rPr>
            </w:pPr>
            <w:r>
              <w:rPr>
                <w:rFonts w:ascii="Arial" w:cs="Arial" w:eastAsia="Arial" w:hAnsi="Arial"/>
                <w:sz w:val="17"/>
                <w:szCs w:val="17"/>
                <w:color w:val="0000FF"/>
                <w:w w:val="93"/>
              </w:rPr>
              <w:t>2,145</w:t>
            </w:r>
          </w:p>
        </w:tc>
        <w:tc>
          <w:tcPr>
            <w:tcW w:w="640" w:type="dxa"/>
            <w:vAlign w:val="bottom"/>
          </w:tcPr>
          <w:p>
            <w:pPr>
              <w:jc w:val="center"/>
              <w:ind w:left="147"/>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36.19</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136,733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3"/>
              <w:spacing w:after="0"/>
              <w:rPr>
                <w:sz w:val="20"/>
                <w:szCs w:val="20"/>
                <w:color w:val="auto"/>
              </w:rPr>
            </w:pPr>
            <w:r>
              <w:rPr>
                <w:rFonts w:ascii="Arial" w:cs="Arial" w:eastAsia="Arial" w:hAnsi="Arial"/>
                <w:sz w:val="17"/>
                <w:szCs w:val="17"/>
                <w:color w:val="0000FF"/>
                <w:w w:val="93"/>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1"/>
              <w:spacing w:after="0"/>
              <w:rPr>
                <w:sz w:val="20"/>
                <w:szCs w:val="20"/>
                <w:color w:val="auto"/>
              </w:rPr>
            </w:pPr>
            <w:r>
              <w:rPr>
                <w:rFonts w:ascii="Arial" w:cs="Arial" w:eastAsia="Arial" w:hAnsi="Arial"/>
                <w:sz w:val="17"/>
                <w:szCs w:val="17"/>
                <w:color w:val="0000FF"/>
                <w:w w:val="93"/>
              </w:rPr>
              <w:t>4,290</w:t>
            </w:r>
          </w:p>
        </w:tc>
        <w:tc>
          <w:tcPr>
            <w:tcW w:w="640" w:type="dxa"/>
            <w:vAlign w:val="bottom"/>
          </w:tcPr>
          <w:p>
            <w:pPr>
              <w:jc w:val="center"/>
              <w:ind w:left="147"/>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83"/>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36.2</w:t>
            </w: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132,443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8,584.8</w:t>
            </w:r>
            <w:r>
              <w:rPr>
                <w:rFonts w:ascii="Arial" w:cs="Arial" w:eastAsia="Arial" w:hAnsi="Arial"/>
                <w:sz w:val="22"/>
                <w:szCs w:val="22"/>
                <w:color w:val="008000"/>
                <w:w w:val="88"/>
                <w:vertAlign w:val="superscript"/>
              </w:rPr>
              <w:t>(1)</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4,943.07</w:t>
            </w:r>
            <w:r>
              <w:rPr>
                <w:rFonts w:ascii="Arial" w:cs="Arial" w:eastAsia="Arial" w:hAnsi="Arial"/>
                <w:sz w:val="22"/>
                <w:szCs w:val="22"/>
                <w:color w:val="008000"/>
                <w:w w:val="87"/>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jc w:val="center"/>
              <w:ind w:right="420"/>
              <w:spacing w:after="0" w:line="134" w:lineRule="exact"/>
              <w:rPr>
                <w:sz w:val="20"/>
                <w:szCs w:val="20"/>
                <w:color w:val="auto"/>
              </w:rPr>
            </w:pPr>
            <w:r>
              <w:rPr>
                <w:rFonts w:ascii="Arial" w:cs="Arial" w:eastAsia="Arial" w:hAnsi="Arial"/>
                <w:sz w:val="12"/>
                <w:szCs w:val="12"/>
                <w:b w:val="1"/>
                <w:bCs w:val="1"/>
                <w:color w:val="auto"/>
                <w:w w:val="99"/>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13.19</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07/26/2007</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40,000</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(3)</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06/18/2008</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67"/>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6-30-07. (Interests in this account are denominated in units. Consequently, share amount shown is an estimate.) This statement does not include changes in beneficial ownership of shares held in this account occurring after 6-30-07 that are eligible for deferred reporting on Form 5.</w:t>
      </w:r>
    </w:p>
    <w:p>
      <w:pPr>
        <w:spacing w:after="0" w:line="9"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6-30-07. (Interests in this account are denominated in units. Consequently, share amount shown is an estimate.) This statement does not include changes in beneficial ownership of shares held in such account occurring after 6-30-07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June 18, 1999.</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CYNTHIA H. HAYNES,</w:t>
            </w:r>
          </w:p>
        </w:tc>
        <w:tc>
          <w:tcPr>
            <w:tcW w:w="5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07/27/2007</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820" w:type="dxa"/>
            <w:vAlign w:val="bottom"/>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5"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745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2019-12-16T02:50:44Z</dcterms:created>
  <dcterms:modified xsi:type="dcterms:W3CDTF">2019-12-16T02:50:44Z</dcterms:modified>
</cp:coreProperties>
</file>