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46355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3" w:lineRule="exact"/>
        <w:rPr>
          <w:sz w:val="24"/>
          <w:szCs w:val="24"/>
          <w:color w:val="auto"/>
        </w:rPr>
      </w:pPr>
    </w:p>
    <w:p>
      <w:pPr>
        <w:ind w:left="760" w:right="320" w:hanging="734"/>
        <w:spacing w:after="0" w:line="250" w:lineRule="auto"/>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44" w:lineRule="exact"/>
        <w:rPr>
          <w:sz w:val="24"/>
          <w:szCs w:val="24"/>
          <w:color w:val="auto"/>
        </w:rPr>
      </w:pPr>
    </w:p>
    <w:p>
      <w:pPr>
        <w:ind w:left="780" w:right="300" w:hanging="746"/>
        <w:spacing w:after="0" w:line="247" w:lineRule="auto"/>
        <w:tabs>
          <w:tab w:leader="none" w:pos="7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37465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97" w:lineRule="exact"/>
        <w:rPr>
          <w:sz w:val="24"/>
          <w:szCs w:val="24"/>
          <w:color w:val="auto"/>
        </w:rPr>
      </w:pPr>
    </w:p>
    <w:tbl>
      <w:tblPr>
        <w:tblLayout w:type="fixed"/>
        <w:tblInd w:w="1420" w:type="dxa"/>
        <w:tblCellMar>
          <w:top w:w="0" w:type="dxa"/>
          <w:left w:w="0" w:type="dxa"/>
          <w:bottom w:w="0" w:type="dxa"/>
          <w:right w:w="0" w:type="dxa"/>
        </w:tblCellMar>
      </w:tblPr>
      <w:tr>
        <w:trPr>
          <w:trHeight w:val="239"/>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8"/>
              </w:rPr>
              <w:t>Delaware</w:t>
            </w:r>
          </w:p>
        </w:tc>
        <w:tc>
          <w:tcPr>
            <w:tcW w:w="382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200"/>
        </w:trPr>
        <w:tc>
          <w:tcPr>
            <w:tcW w:w="4340" w:type="dxa"/>
            <w:vAlign w:val="bottom"/>
          </w:tcPr>
          <w:p>
            <w:pPr>
              <w:jc w:val="center"/>
              <w:ind w:right="1399"/>
              <w:spacing w:after="0"/>
              <w:rPr>
                <w:sz w:val="20"/>
                <w:szCs w:val="20"/>
                <w:color w:val="auto"/>
              </w:rPr>
            </w:pPr>
            <w:r>
              <w:rPr>
                <w:rFonts w:ascii="Arial" w:cs="Arial" w:eastAsia="Arial" w:hAnsi="Arial"/>
                <w:sz w:val="14"/>
                <w:szCs w:val="14"/>
                <w:b w:val="1"/>
                <w:bCs w:val="1"/>
                <w:color w:val="auto"/>
              </w:rPr>
              <w:t>(State of Incorporation)</w:t>
            </w:r>
          </w:p>
        </w:tc>
        <w:tc>
          <w:tcPr>
            <w:tcW w:w="3820" w:type="dxa"/>
            <w:vAlign w:val="bottom"/>
          </w:tcPr>
          <w:p>
            <w:pPr>
              <w:jc w:val="center"/>
              <w:ind w:left="1379"/>
              <w:spacing w:after="0"/>
              <w:rPr>
                <w:sz w:val="20"/>
                <w:szCs w:val="20"/>
                <w:color w:val="auto"/>
              </w:rPr>
            </w:pPr>
            <w:r>
              <w:rPr>
                <w:rFonts w:ascii="Arial" w:cs="Arial" w:eastAsia="Arial" w:hAnsi="Arial"/>
                <w:sz w:val="14"/>
                <w:szCs w:val="14"/>
                <w:b w:val="1"/>
                <w:bCs w:val="1"/>
                <w:color w:val="auto"/>
              </w:rPr>
              <w:t>(I.R.S. Employer Identification No.)</w:t>
            </w:r>
          </w:p>
        </w:tc>
      </w:tr>
      <w:tr>
        <w:trPr>
          <w:trHeight w:val="340"/>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2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200"/>
        </w:trPr>
        <w:tc>
          <w:tcPr>
            <w:tcW w:w="4340" w:type="dxa"/>
            <w:vAlign w:val="bottom"/>
          </w:tcPr>
          <w:p>
            <w:pPr>
              <w:jc w:val="center"/>
              <w:ind w:right="1399"/>
              <w:spacing w:after="0"/>
              <w:rPr>
                <w:sz w:val="20"/>
                <w:szCs w:val="20"/>
                <w:color w:val="auto"/>
              </w:rPr>
            </w:pPr>
            <w:r>
              <w:rPr>
                <w:rFonts w:ascii="Arial" w:cs="Arial" w:eastAsia="Arial" w:hAnsi="Arial"/>
                <w:sz w:val="14"/>
                <w:szCs w:val="14"/>
                <w:b w:val="1"/>
                <w:bCs w:val="1"/>
                <w:color w:val="auto"/>
              </w:rPr>
              <w:t>(Address of principal executive offices)</w:t>
            </w:r>
          </w:p>
        </w:tc>
        <w:tc>
          <w:tcPr>
            <w:tcW w:w="382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94615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90" w:lineRule="exact"/>
        <w:rPr>
          <w:sz w:val="24"/>
          <w:szCs w:val="24"/>
          <w:color w:val="auto"/>
        </w:rPr>
      </w:pPr>
    </w:p>
    <w:p>
      <w:pPr>
        <w:ind w:right="1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jc w:val="both"/>
        <w:ind w:right="3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6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6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4"/>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05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907,966,327</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July 18, 2023</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0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For Three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4,531</w:t>
            </w:r>
          </w:p>
        </w:tc>
        <w:tc>
          <w:tcPr>
            <w:tcW w:w="440" w:type="dxa"/>
            <w:vAlign w:val="bottom"/>
            <w:gridSpan w:val="2"/>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8,910</w:t>
            </w:r>
          </w:p>
        </w:tc>
        <w:tc>
          <w:tcPr>
            <w:tcW w:w="460" w:type="dxa"/>
            <w:vAlign w:val="bottom"/>
            <w:gridSpan w:val="2"/>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1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w:t>
            </w:r>
          </w:p>
        </w:tc>
        <w:tc>
          <w:tcPr>
            <w:tcW w:w="12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2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2,910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5,773</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935</w:t>
            </w:r>
          </w:p>
        </w:tc>
        <w:tc>
          <w:tcPr>
            <w:tcW w:w="1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Restructuring charges/other</w:t>
            </w:r>
          </w:p>
        </w:tc>
        <w:tc>
          <w:tcPr>
            <w:tcW w:w="12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1,972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3,906</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Other income (expense), net (OI&amp;E)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1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4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3,430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Earnings per common share (EPS):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3.76</w:t>
            </w:r>
          </w:p>
        </w:tc>
        <w:tc>
          <w:tcPr>
            <w:tcW w:w="1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Average shares outstanding:</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9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907</w:t>
            </w:r>
          </w:p>
        </w:tc>
        <w:tc>
          <w:tcPr>
            <w:tcW w:w="12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spacing w:after="0"/>
              <w:rPr>
                <w:sz w:val="22"/>
                <w:szCs w:val="2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right="800"/>
        <w:spacing w:after="0" w:line="234"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1,722</w:t>
            </w:r>
          </w:p>
        </w:tc>
        <w:tc>
          <w:tcPr>
            <w:tcW w:w="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2,291</w:t>
            </w:r>
          </w:p>
        </w:tc>
        <w:tc>
          <w:tcPr>
            <w:tcW w:w="52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3,430</w:t>
            </w:r>
          </w:p>
        </w:tc>
        <w:tc>
          <w:tcPr>
            <w:tcW w:w="52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4,492</w:t>
            </w:r>
          </w:p>
        </w:tc>
      </w:tr>
      <w:tr>
        <w:trPr>
          <w:trHeight w:val="243"/>
        </w:trPr>
        <w:tc>
          <w:tcPr>
            <w:tcW w:w="6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DBDBDB"/>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DBDBDB"/>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DBDBDB"/>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1,714</w:t>
            </w:r>
          </w:p>
        </w:tc>
        <w:tc>
          <w:tcPr>
            <w:tcW w:w="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3,412</w:t>
            </w:r>
          </w:p>
        </w:tc>
        <w:tc>
          <w:tcPr>
            <w:tcW w:w="52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4,473</w:t>
            </w:r>
          </w:p>
        </w:tc>
      </w:tr>
      <w:tr>
        <w:trPr>
          <w:trHeight w:val="20"/>
        </w:trPr>
        <w:tc>
          <w:tcPr>
            <w:tcW w:w="6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For Three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1,722</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3,430</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Adjustments, net of tax effect of ($2) and $8; ($1) and $6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0"/>
        </w:trPr>
        <w:tc>
          <w:tcPr>
            <w:tcW w:w="5980" w:type="dxa"/>
            <w:vAlign w:val="bottom"/>
            <w:shd w:val="clear" w:color="auto" w:fill="DBDBDB"/>
          </w:tcPr>
          <w:p>
            <w:pPr>
              <w:ind w:left="220"/>
              <w:spacing w:after="0" w:line="189" w:lineRule="exact"/>
              <w:rPr>
                <w:sz w:val="20"/>
                <w:szCs w:val="20"/>
                <w:color w:val="auto"/>
              </w:rPr>
            </w:pPr>
            <w:r>
              <w:rPr>
                <w:rFonts w:ascii="Arial" w:cs="Arial" w:eastAsia="Arial" w:hAnsi="Arial"/>
                <w:sz w:val="18"/>
                <w:szCs w:val="18"/>
                <w:color w:val="auto"/>
              </w:rPr>
              <w:t>Recognized within net income, net of tax effect of ($1) and ($4); ($2)</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940" w:type="dxa"/>
            <w:vAlign w:val="bottom"/>
            <w:vMerge w:val="restart"/>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and ($5)</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($1) and $0; $0 and $0</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Available-for-sale investments: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$0 and $1; $0 and $2</w:t>
            </w: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1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1,728</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3,438</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5"/>
        </w:trPr>
        <w:tc>
          <w:tcPr>
            <w:tcW w:w="83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3,439</w:t>
            </w:r>
          </w:p>
        </w:tc>
        <w:tc>
          <w:tcPr>
            <w:tcW w:w="28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43"/>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($16) and ($13)</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1,956</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9"/>
        </w:trPr>
        <w:tc>
          <w:tcPr>
            <w:tcW w:w="83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2,110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6"/>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15,514</w:t>
            </w: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(3,139)</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7"/>
        </w:trPr>
        <w:tc>
          <w:tcPr>
            <w:tcW w:w="83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8,525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Overfunded retirement plans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1,675</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30,939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923</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6"/>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2,711</w:t>
            </w: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1,172</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37"/>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832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51,522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Treasury common stock at cost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Shares: June 30, 2023 – 833; December 31, 2022 – 835</w:t>
            </w: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(40,240)</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15,940</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30,939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8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9"/>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8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60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(972)</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60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8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6"/>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(2,428)</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Proceeds from asset sales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(7,060)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43"/>
        </w:trPr>
        <w:tc>
          <w:tcPr>
            <w:tcW w:w="8600" w:type="dxa"/>
            <w:vAlign w:val="bottom"/>
          </w:tcPr>
          <w:p>
            <w:pPr>
              <w:ind w:left="140"/>
              <w:spacing w:after="0"/>
              <w:rPr>
                <w:sz w:val="20"/>
                <w:szCs w:val="20"/>
                <w:color w:val="auto"/>
              </w:rPr>
            </w:pPr>
            <w:r>
              <w:rPr>
                <w:rFonts w:ascii="Arial" w:cs="Arial" w:eastAsia="Arial" w:hAnsi="Arial"/>
                <w:sz w:val="18"/>
                <w:szCs w:val="18"/>
                <w:color w:val="auto"/>
              </w:rPr>
              <w:t>Proceeds from short-term investments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7"/>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Repayment of debt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(2,250)</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9"/>
        </w:trPr>
        <w:tc>
          <w:tcPr>
            <w:tcW w:w="86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86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43"/>
        </w:trPr>
        <w:tc>
          <w:tcPr>
            <w:tcW w:w="8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3,439</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3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90" w:lineRule="exact"/>
        <w:rPr>
          <w:sz w:val="20"/>
          <w:szCs w:val="20"/>
          <w:color w:val="auto"/>
        </w:rPr>
      </w:pPr>
    </w:p>
    <w:p>
      <w:pPr>
        <w:ind w:left="620" w:right="40" w:hanging="328"/>
        <w:spacing w:after="0" w:line="256"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84" w:lineRule="exact"/>
        <w:rPr>
          <w:rFonts w:ascii="Arial" w:cs="Arial" w:eastAsia="Arial" w:hAnsi="Arial"/>
          <w:sz w:val="18"/>
          <w:szCs w:val="18"/>
          <w:color w:val="auto"/>
        </w:rPr>
      </w:pPr>
    </w:p>
    <w:p>
      <w:pPr>
        <w:ind w:left="620" w:right="180" w:hanging="328"/>
        <w:spacing w:after="0" w:line="275"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7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For Three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For Six Months Ended</w:t>
            </w:r>
          </w:p>
        </w:tc>
      </w:tr>
      <w:tr>
        <w:trPr>
          <w:trHeight w:val="191"/>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60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24"/>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r>
      <w:tr>
        <w:trPr>
          <w:trHeight w:val="243"/>
        </w:trPr>
        <w:tc>
          <w:tcPr>
            <w:tcW w:w="6080" w:type="dxa"/>
            <w:vAlign w:val="bottom"/>
          </w:tcPr>
          <w:p>
            <w:pPr>
              <w:ind w:left="140"/>
              <w:spacing w:after="0"/>
              <w:rPr>
                <w:sz w:val="20"/>
                <w:szCs w:val="20"/>
                <w:color w:val="auto"/>
              </w:rPr>
            </w:pPr>
            <w:r>
              <w:rPr>
                <w:rFonts w:ascii="Arial" w:cs="Arial" w:eastAsia="Arial" w:hAnsi="Arial"/>
                <w:sz w:val="18"/>
                <w:szCs w:val="18"/>
                <w:color w:val="auto"/>
              </w:rPr>
              <w:t>Analog</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3,278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6,567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7,808</w:t>
            </w:r>
          </w:p>
        </w:tc>
      </w:tr>
      <w:tr>
        <w:trPr>
          <w:trHeight w:val="230"/>
        </w:trPr>
        <w:tc>
          <w:tcPr>
            <w:tcW w:w="6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894</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1,603</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56"/>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4,531</w:t>
            </w:r>
          </w:p>
        </w:tc>
        <w:tc>
          <w:tcPr>
            <w:tcW w:w="4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5,212</w:t>
            </w:r>
          </w:p>
        </w:tc>
        <w:tc>
          <w:tcPr>
            <w:tcW w:w="400" w:type="dxa"/>
            <w:vAlign w:val="bottom"/>
            <w:gridSpan w:val="2"/>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8,910</w:t>
            </w:r>
          </w:p>
        </w:tc>
        <w:tc>
          <w:tcPr>
            <w:tcW w:w="4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10,117</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3"/>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Analog</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4,376</w:t>
            </w:r>
          </w:p>
        </w:tc>
      </w:tr>
      <w:tr>
        <w:trPr>
          <w:trHeight w:val="230"/>
        </w:trPr>
        <w:tc>
          <w:tcPr>
            <w:tcW w:w="6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318</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639</w:t>
            </w:r>
          </w:p>
        </w:tc>
      </w:tr>
      <w:tr>
        <w:trPr>
          <w:trHeight w:val="243"/>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DBDBDB"/>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1,972</w:t>
            </w:r>
          </w:p>
        </w:tc>
        <w:tc>
          <w:tcPr>
            <w:tcW w:w="4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3,906</w:t>
            </w:r>
          </w:p>
        </w:tc>
        <w:tc>
          <w:tcPr>
            <w:tcW w:w="4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5,286</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geographic area information is based on product shipment destination, which does not reflect end demand by geography.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For 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Six Months Ended</w:t>
            </w:r>
          </w:p>
        </w:tc>
        <w:tc>
          <w:tcPr>
            <w:tcW w:w="680" w:type="dxa"/>
            <w:vAlign w:val="bottom"/>
          </w:tcPr>
          <w:p>
            <w:pPr>
              <w:spacing w:after="0"/>
              <w:rPr>
                <w:sz w:val="17"/>
                <w:szCs w:val="17"/>
                <w:color w:val="auto"/>
              </w:rPr>
            </w:pPr>
          </w:p>
        </w:tc>
      </w:tr>
      <w:tr>
        <w:trPr>
          <w:trHeight w:val="191"/>
        </w:trPr>
        <w:tc>
          <w:tcPr>
            <w:tcW w:w="3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5"/>
        </w:trPr>
        <w:tc>
          <w:tcPr>
            <w:tcW w:w="34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r>
      <w:tr>
        <w:trPr>
          <w:trHeight w:val="224"/>
        </w:trPr>
        <w:tc>
          <w:tcPr>
            <w:tcW w:w="34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34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 (a)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1,820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132"/>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3,651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52</w:t>
            </w:r>
          </w:p>
        </w:tc>
      </w:tr>
      <w:tr>
        <w:trPr>
          <w:trHeight w:val="243"/>
        </w:trPr>
        <w:tc>
          <w:tcPr>
            <w:tcW w:w="340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29"/>
        </w:trPr>
        <w:tc>
          <w:tcPr>
            <w:tcW w:w="34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132"/>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1,942</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16</w:t>
            </w: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43"/>
        </w:trPr>
        <w:tc>
          <w:tcPr>
            <w:tcW w:w="34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10,117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40" w:right="140" w:hanging="332"/>
        <w:spacing w:after="0" w:line="27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includes shipments to customers that manufacture in China and then export end products to their customers around the world, as well as distributors that transship inventory through China to service other countries.</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following additional geographic information includes our estimate for revenue based on the location of our end customers’ headquarters, providing a better representation of the geographic profile for where critical decisions are made.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For Three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Six Months Ended</w:t>
            </w:r>
          </w:p>
        </w:tc>
        <w:tc>
          <w:tcPr>
            <w:tcW w:w="660" w:type="dxa"/>
            <w:vAlign w:val="bottom"/>
          </w:tcPr>
          <w:p>
            <w:pPr>
              <w:spacing w:after="0"/>
              <w:rPr>
                <w:sz w:val="16"/>
                <w:szCs w:val="16"/>
                <w:color w:val="auto"/>
              </w:rPr>
            </w:pPr>
          </w:p>
        </w:tc>
      </w:tr>
      <w:tr>
        <w:trPr>
          <w:trHeight w:val="201"/>
        </w:trPr>
        <w:tc>
          <w:tcPr>
            <w:tcW w:w="3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344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r>
      <w:tr>
        <w:trPr>
          <w:trHeight w:val="224"/>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33 %</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3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132"/>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34"/>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26</w:t>
            </w: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30"/>
        </w:trPr>
        <w:tc>
          <w:tcPr>
            <w:tcW w:w="3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1,194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132"/>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2,464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34"/>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22</w:t>
            </w: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43"/>
        </w:trPr>
        <w:tc>
          <w:tcPr>
            <w:tcW w:w="3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shd w:val="clear" w:color="auto" w:fill="DBDBDB"/>
          </w:tcPr>
          <w:p>
            <w:pPr>
              <w:spacing w:after="0"/>
              <w:rPr>
                <w:sz w:val="21"/>
                <w:szCs w:val="21"/>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66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70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66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40" w:right="180" w:hanging="332"/>
        <w:spacing w:after="0" w:line="27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13% and 9% in the second quarters of 2023 and 2022, respectively, and 13% and 10% in the first six months of 2023 and 2022,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2022. The Consolidated Statements of Income, Comprehensive Income and Cash Flows for the periods ended June 30, 2023 and 2022, and the Consolidated Balance Sheet as of June 30, 2023,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2022. The results for the three- and six-month periods are not necessarily indicative of a full year’s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For Three Months Ended June 30,</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84"/>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95"/>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43"/>
        </w:trPr>
        <w:tc>
          <w:tcPr>
            <w:tcW w:w="41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9"/>
        </w:trPr>
        <w:tc>
          <w:tcPr>
            <w:tcW w:w="4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1,713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908</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4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210"/>
        </w:trPr>
        <w:tc>
          <w:tcPr>
            <w:tcW w:w="4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r>
      <w:tr>
        <w:trPr>
          <w:trHeight w:val="243"/>
        </w:trPr>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1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spacing w:after="0"/>
              <w:rPr>
                <w:sz w:val="19"/>
                <w:szCs w:val="19"/>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1"/>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Six Months Ended June 30,</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84"/>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4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907</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4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12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43"/>
        </w:trPr>
        <w:tc>
          <w:tcPr>
            <w:tcW w:w="41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0"/>
        </w:trPr>
        <w:tc>
          <w:tcPr>
            <w:tcW w:w="4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916</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0"/>
        </w:trPr>
        <w:tc>
          <w:tcPr>
            <w:tcW w:w="4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Potentially dilutive securities representing 9 million and 6 million shares of common stock that were outstanding during the second quarters of 2023 and 2022, respectively, and 9 million and 5 million shares outstanding during the first six months of 2023 and 2022, respectively, were excluded from the computation of diluted earnings per common share during these periods because their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have not been material. 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fair values of our derivative financial instruments were not material as of June 30, 2023.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2023, the carrying value of long-term debt, including the current portion, was $11.22 billion, and the estimated fair value was $ 10.46 billion. The estimated fair value is measured using broker-dealer quotes, which are Level 2 inputs. See Note 4 for a description of fair value and the definition of Level 2 inputs.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Six Months Ended</w:t>
            </w:r>
          </w:p>
        </w:tc>
      </w:tr>
      <w:tr>
        <w:trPr>
          <w:trHeight w:val="191"/>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7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24"/>
        </w:trPr>
        <w:tc>
          <w:tcPr>
            <w:tcW w:w="5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38"/>
              <w:spacing w:after="0"/>
              <w:rPr>
                <w:sz w:val="20"/>
                <w:szCs w:val="20"/>
                <w:color w:val="auto"/>
              </w:rPr>
            </w:pPr>
            <w:r>
              <w:rPr>
                <w:rFonts w:ascii="Arial" w:cs="Arial" w:eastAsia="Arial" w:hAnsi="Arial"/>
                <w:sz w:val="18"/>
                <w:szCs w:val="18"/>
                <w:b w:val="1"/>
                <w:bCs w:val="1"/>
                <w:color w:val="auto"/>
              </w:rPr>
              <w:t>289</w:t>
            </w:r>
          </w:p>
        </w:tc>
        <w:tc>
          <w:tcPr>
            <w:tcW w:w="4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38"/>
              <w:spacing w:after="0"/>
              <w:rPr>
                <w:sz w:val="20"/>
                <w:szCs w:val="20"/>
                <w:color w:val="auto"/>
              </w:rPr>
            </w:pPr>
            <w:r>
              <w:rPr>
                <w:rFonts w:ascii="Arial" w:cs="Arial" w:eastAsia="Arial" w:hAnsi="Arial"/>
                <w:sz w:val="18"/>
                <w:szCs w:val="18"/>
                <w:b w:val="1"/>
                <w:bCs w:val="1"/>
                <w:color w:val="auto"/>
              </w:rPr>
              <w:t>565</w:t>
            </w:r>
          </w:p>
        </w:tc>
        <w:tc>
          <w:tcPr>
            <w:tcW w:w="4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rPr>
              <w:t>756</w:t>
            </w:r>
          </w:p>
        </w:tc>
      </w:tr>
      <w:tr>
        <w:trPr>
          <w:trHeight w:val="243"/>
        </w:trPr>
        <w:tc>
          <w:tcPr>
            <w:tcW w:w="5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BDBDB"/>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DBDBDB"/>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(41)</w:t>
            </w:r>
          </w:p>
        </w:tc>
      </w:tr>
      <w:tr>
        <w:trPr>
          <w:trHeight w:val="243"/>
        </w:trPr>
        <w:tc>
          <w:tcPr>
            <w:tcW w:w="5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38"/>
              <w:spacing w:after="0"/>
              <w:rPr>
                <w:sz w:val="20"/>
                <w:szCs w:val="20"/>
                <w:color w:val="auto"/>
              </w:rPr>
            </w:pPr>
            <w:r>
              <w:rPr>
                <w:rFonts w:ascii="Arial" w:cs="Arial" w:eastAsia="Arial" w:hAnsi="Arial"/>
                <w:sz w:val="18"/>
                <w:szCs w:val="18"/>
                <w:b w:val="1"/>
                <w:bCs w:val="1"/>
                <w:color w:val="auto"/>
              </w:rPr>
              <w:t>280</w:t>
            </w:r>
          </w:p>
        </w:tc>
        <w:tc>
          <w:tcPr>
            <w:tcW w:w="4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38"/>
              <w:spacing w:after="0"/>
              <w:rPr>
                <w:sz w:val="20"/>
                <w:szCs w:val="20"/>
                <w:color w:val="auto"/>
              </w:rPr>
            </w:pPr>
            <w:r>
              <w:rPr>
                <w:rFonts w:ascii="Arial" w:cs="Arial" w:eastAsia="Arial" w:hAnsi="Arial"/>
                <w:sz w:val="18"/>
                <w:szCs w:val="18"/>
                <w:b w:val="1"/>
                <w:bCs w:val="1"/>
                <w:color w:val="auto"/>
              </w:rPr>
              <w:t>518</w:t>
            </w:r>
          </w:p>
        </w:tc>
        <w:tc>
          <w:tcPr>
            <w:tcW w:w="4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rPr>
              <w:t>715</w:t>
            </w: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5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3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3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1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34"/>
              <w:spacing w:after="0" w:line="143" w:lineRule="exact"/>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3"/>
              <w:spacing w:after="0" w:line="143" w:lineRule="exact"/>
              <w:rPr>
                <w:sz w:val="20"/>
                <w:szCs w:val="20"/>
                <w:color w:val="auto"/>
              </w:rPr>
            </w:pPr>
            <w:r>
              <w:rPr>
                <w:rFonts w:ascii="Arial" w:cs="Arial" w:eastAsia="Arial" w:hAnsi="Arial"/>
                <w:sz w:val="14"/>
                <w:szCs w:val="14"/>
                <w:b w:val="1"/>
                <w:bCs w:val="1"/>
                <w:color w:val="auto"/>
              </w:rPr>
              <w:t>Long-Term</w:t>
            </w:r>
          </w:p>
        </w:tc>
        <w:tc>
          <w:tcPr>
            <w:tcW w:w="120" w:type="dxa"/>
            <w:vAlign w:val="bottom"/>
          </w:tcPr>
          <w:p>
            <w:pPr>
              <w:spacing w:after="0"/>
              <w:rPr>
                <w:sz w:val="12"/>
                <w:szCs w:val="12"/>
                <w:color w:val="auto"/>
              </w:rPr>
            </w:pPr>
          </w:p>
        </w:tc>
        <w:tc>
          <w:tcPr>
            <w:tcW w:w="11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60" w:type="dxa"/>
            <w:vAlign w:val="bottom"/>
          </w:tcPr>
          <w:p>
            <w:pPr>
              <w:jc w:val="right"/>
              <w:ind w:right="153"/>
              <w:spacing w:after="0" w:line="143"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2,367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1,761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580" w:type="dxa"/>
            <w:vAlign w:val="bottom"/>
            <w:shd w:val="clear" w:color="auto" w:fill="DBDBDB"/>
          </w:tcPr>
          <w:p>
            <w:pPr>
              <w:ind w:left="140"/>
              <w:spacing w:after="0" w:line="189" w:lineRule="exact"/>
              <w:rPr>
                <w:sz w:val="20"/>
                <w:szCs w:val="20"/>
                <w:color w:val="auto"/>
              </w:rPr>
            </w:pPr>
            <w:r>
              <w:rPr>
                <w:rFonts w:ascii="Arial" w:cs="Arial" w:eastAsia="Arial" w:hAnsi="Arial"/>
                <w:sz w:val="18"/>
                <w:szCs w:val="18"/>
                <w:color w:val="auto"/>
              </w:rPr>
              <w:t>Non-U.S. government and agency</w:t>
            </w:r>
          </w:p>
        </w:tc>
        <w:tc>
          <w:tcPr>
            <w:tcW w:w="160" w:type="dxa"/>
            <w:vAlign w:val="bottom"/>
            <w:shd w:val="clear" w:color="auto" w:fill="DBDBDB"/>
          </w:tcPr>
          <w:p>
            <w:pPr>
              <w:spacing w:after="0"/>
              <w:rPr>
                <w:sz w:val="16"/>
                <w:szCs w:val="16"/>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DBDBDB"/>
          </w:tcPr>
          <w:p>
            <w:pPr>
              <w:spacing w:after="0"/>
              <w:rPr>
                <w:sz w:val="19"/>
                <w:szCs w:val="19"/>
                <w:color w:val="auto"/>
              </w:rPr>
            </w:pPr>
          </w:p>
        </w:tc>
        <w:tc>
          <w:tcPr>
            <w:tcW w:w="102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vMerge w:val="continue"/>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vMerge w:val="continue"/>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2,901</w:t>
            </w:r>
          </w:p>
        </w:tc>
        <w:tc>
          <w:tcPr>
            <w:tcW w:w="100" w:type="dxa"/>
            <w:vAlign w:val="bottom"/>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6,113</w:t>
            </w:r>
          </w:p>
        </w:tc>
        <w:tc>
          <w:tcPr>
            <w:tcW w:w="120" w:type="dxa"/>
            <w:vAlign w:val="bottom"/>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6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5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Cash on hand</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w:t>
            </w:r>
          </w:p>
        </w:tc>
        <w:tc>
          <w:tcPr>
            <w:tcW w:w="10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3,439</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6,113</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As of June 30, 2023, and December 31, 2022, unrealized gains and losses associated with our debt investments were not material. We did not recognize any credit losses related to debt investments for the first six months of 2023 and 2022. All of our debt securities classified as available-for-sale as of June 30, 2023, have maturities within one year.</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Proceeds from sales, redemptions and maturities of short-term available-for-sale investments were $3.07 billion and $ 4.20 billion for the second quarters of 2023 and 2022, respectively, and $7.09 billion and $6.97 billion for the first six months of 2023 and 2022, respectively. Gross realized gains and losses from these sales were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19" w:lineRule="exact"/>
        <w:rPr>
          <w:sz w:val="20"/>
          <w:szCs w:val="20"/>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20" w:right="100" w:hanging="328"/>
        <w:spacing w:after="0" w:line="25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80" w:lineRule="exact"/>
        <w:rPr>
          <w:rFonts w:ascii="Arial" w:cs="Arial" w:eastAsia="Arial" w:hAnsi="Arial"/>
          <w:sz w:val="18"/>
          <w:szCs w:val="18"/>
          <w:color w:val="auto"/>
        </w:rPr>
      </w:pPr>
    </w:p>
    <w:p>
      <w:pPr>
        <w:ind w:left="620" w:right="260" w:hanging="328"/>
        <w:spacing w:after="0" w:line="266"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June 30, 2023, and December 31, 2022, we had no Level 3 assets or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83"/>
        </w:trPr>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36"/>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spacing w:after="0"/>
              <w:rPr>
                <w:sz w:val="20"/>
                <w:szCs w:val="20"/>
                <w:color w:val="auto"/>
              </w:rPr>
            </w:pPr>
          </w:p>
        </w:tc>
        <w:tc>
          <w:tcPr>
            <w:tcW w:w="900" w:type="dxa"/>
            <w:vAlign w:val="bottom"/>
            <w:tcBorders>
              <w:top w:val="single" w:sz="8" w:color="auto"/>
            </w:tcBorders>
            <w:shd w:val="clear" w:color="auto" w:fill="DBDBDB"/>
          </w:tcPr>
          <w:p>
            <w:pPr>
              <w:spacing w:after="0"/>
              <w:rPr>
                <w:sz w:val="20"/>
                <w:szCs w:val="20"/>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2,367</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2,367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29"/>
        </w:trPr>
        <w:tc>
          <w:tcPr>
            <w:tcW w:w="37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2,145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2,145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r>
      <w:tr>
        <w:trPr>
          <w:trHeight w:val="243"/>
        </w:trPr>
        <w:tc>
          <w:tcPr>
            <w:tcW w:w="372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4,914</w:t>
            </w:r>
          </w:p>
        </w:tc>
      </w:tr>
      <w:tr>
        <w:trPr>
          <w:trHeight w:val="229"/>
        </w:trPr>
        <w:tc>
          <w:tcPr>
            <w:tcW w:w="37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6,335</w:t>
            </w:r>
          </w:p>
        </w:tc>
        <w:tc>
          <w:tcPr>
            <w:tcW w:w="340" w:type="dxa"/>
            <w:vAlign w:val="bottom"/>
            <w:gridSpan w:val="2"/>
            <w:shd w:val="clear" w:color="auto" w:fill="DBDBDB"/>
          </w:tcPr>
          <w:p>
            <w:pPr>
              <w:jc w:val="right"/>
              <w:ind w:right="1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2,690</w:t>
            </w:r>
          </w:p>
        </w:tc>
        <w:tc>
          <w:tcPr>
            <w:tcW w:w="380" w:type="dxa"/>
            <w:vAlign w:val="bottom"/>
            <w:gridSpan w:val="2"/>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9,025</w:t>
            </w:r>
          </w:p>
        </w:tc>
        <w:tc>
          <w:tcPr>
            <w:tcW w:w="34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6,163</w:t>
            </w:r>
          </w:p>
        </w:tc>
        <w:tc>
          <w:tcPr>
            <w:tcW w:w="34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8,371</w:t>
            </w:r>
          </w:p>
        </w:tc>
      </w:tr>
      <w:tr>
        <w:trPr>
          <w:trHeight w:val="20"/>
        </w:trPr>
        <w:tc>
          <w:tcPr>
            <w:tcW w:w="37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353</w:t>
            </w:r>
          </w:p>
        </w:tc>
        <w:tc>
          <w:tcPr>
            <w:tcW w:w="340" w:type="dxa"/>
            <w:vAlign w:val="bottom"/>
            <w:gridSpan w:val="2"/>
            <w:shd w:val="clear" w:color="auto" w:fill="DBDBDB"/>
          </w:tcPr>
          <w:p>
            <w:pPr>
              <w:jc w:val="right"/>
              <w:ind w:right="1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353</w:t>
            </w:r>
          </w:p>
        </w:tc>
        <w:tc>
          <w:tcPr>
            <w:tcW w:w="34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34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37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U.S. Defined Benefit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U.S. Retiree Health 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June 30,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26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65"/>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U.S. Defined Benefit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U.S. Retiree Health Care</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Six Months Ended June 30,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r>
      <w:tr>
        <w:trPr>
          <w:trHeight w:val="22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26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gridSpan w:val="2"/>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838"/>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June 30, 2023, the aforementioned line of credit was a variable-rate, revolving credit facility from a consortium of investment-grade banks that allows us to borrow up to $1 billion until March 2024. The interest rate on borrowings under this credit facility, if drawn, is indexed to the applicable Term Secured Overnight Financing Rate (Term SOFR). As of June 30, 2023, our credit facility was undrawn, and we had no commercial paper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May 2023, we issued three series of senior unsecured notes for an aggregate principal amount of $1.60 billion, consisting of:</w:t>
      </w:r>
    </w:p>
    <w:p>
      <w:pPr>
        <w:spacing w:after="0" w:line="225" w:lineRule="exact"/>
        <w:rPr>
          <w:sz w:val="20"/>
          <w:szCs w:val="20"/>
          <w:color w:val="auto"/>
        </w:rPr>
      </w:pPr>
    </w:p>
    <w:p>
      <w:pPr>
        <w:ind w:left="620" w:hanging="32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 million further issuance of existing 4.60% notes due in 2028;</w:t>
      </w:r>
    </w:p>
    <w:p>
      <w:pPr>
        <w:spacing w:after="0" w:line="21" w:lineRule="exact"/>
        <w:rPr>
          <w:rFonts w:ascii="Arial" w:cs="Arial" w:eastAsia="Arial" w:hAnsi="Arial"/>
          <w:sz w:val="18"/>
          <w:szCs w:val="18"/>
          <w:color w:val="auto"/>
        </w:rPr>
      </w:pPr>
    </w:p>
    <w:p>
      <w:pPr>
        <w:ind w:left="620" w:hanging="32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 million further issuance of existing 4.90% notes due in 2033; and</w:t>
      </w:r>
    </w:p>
    <w:p>
      <w:pPr>
        <w:spacing w:after="0" w:line="9" w:lineRule="exact"/>
        <w:rPr>
          <w:rFonts w:ascii="Arial" w:cs="Arial" w:eastAsia="Arial" w:hAnsi="Arial"/>
          <w:sz w:val="18"/>
          <w:szCs w:val="18"/>
          <w:color w:val="auto"/>
        </w:rPr>
      </w:pPr>
    </w:p>
    <w:p>
      <w:pPr>
        <w:ind w:left="620" w:hanging="32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billion of 5.05% notes due in 2063.</w:t>
      </w:r>
    </w:p>
    <w:p>
      <w:pPr>
        <w:spacing w:after="0" w:line="21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incurred $ 7 million of issuance cost and other related costs. The proceeds of the offering were $1.60 billion, net of the original issuance discounts and premiums, which will be used for general corporate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May 2023, we retired $500 million of maturing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2023, we issued two series of senior unsecured notes for an aggregate principal amount of $1.40 billion, consisting of $750 million of 4.90% notes due in 2033 and $650 million of 5.00% notes due in 2053. We incurred $11 million of issuance and other related costs. The proceeds of the offering were $1.40 billion, net of the original issuance discounts, which will be used for general corporate purposes.</w:t>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37"/>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2023 at 2.25%</w:t>
            </w:r>
          </w:p>
        </w:tc>
        <w:tc>
          <w:tcPr>
            <w:tcW w:w="26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2024 at 2.625%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4.70%</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6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2.25%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1.75%</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2032 at 3.65%</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2033 at 4.90%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6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2063 at 5.05%</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11,300</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8,800</w:t>
            </w:r>
          </w:p>
        </w:tc>
      </w:tr>
      <w:tr>
        <w:trPr>
          <w:trHeight w:val="230"/>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8,735</w:t>
            </w:r>
          </w:p>
        </w:tc>
      </w:tr>
      <w:tr>
        <w:trPr>
          <w:trHeight w:val="243"/>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2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10,920</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8,235</w:t>
            </w:r>
          </w:p>
        </w:tc>
      </w:tr>
      <w:tr>
        <w:trPr>
          <w:trHeight w:val="20"/>
        </w:trPr>
        <w:tc>
          <w:tcPr>
            <w:tcW w:w="83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and debt expense was $89 million and $ 49 million for the second quarters of 2023 and 2022, respectively, and $157 million and $101 million for the first six months of 2023 and 2022, respectively. This was net of the amortized discounts, premiums, issuance and other related costs. Capitalized interest was not 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2"/>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AOCI</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shd w:val="clear" w:color="auto" w:fill="DBDBDB"/>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460" w:type="dxa"/>
            <w:vAlign w:val="bottom"/>
            <w:gridSpan w:val="2"/>
            <w:shd w:val="clear" w:color="auto" w:fill="DBDBDB"/>
          </w:tcPr>
          <w:p>
            <w:pPr>
              <w:jc w:val="right"/>
              <w:ind w:right="168"/>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2,951</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3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2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($1.24 per share)</w:t>
            </w:r>
          </w:p>
        </w:tc>
        <w:tc>
          <w:tcPr>
            <w:tcW w:w="2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20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460" w:type="dxa"/>
            <w:vAlign w:val="bottom"/>
            <w:gridSpan w:val="2"/>
            <w:shd w:val="clear" w:color="auto" w:fill="DBDBDB"/>
          </w:tcPr>
          <w:p>
            <w:pPr>
              <w:jc w:val="right"/>
              <w:ind w:right="168"/>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3,163</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51,522</w:t>
            </w:r>
          </w:p>
        </w:tc>
        <w:tc>
          <w:tcPr>
            <w:tcW w:w="300" w:type="dxa"/>
            <w:vAlign w:val="bottom"/>
            <w:gridSpan w:val="2"/>
            <w:shd w:val="clear" w:color="auto" w:fill="DBDBDB"/>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(40,240)</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2"/>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460" w:type="dxa"/>
            <w:vAlign w:val="bottom"/>
            <w:gridSpan w:val="2"/>
            <w:shd w:val="clear" w:color="auto" w:fill="DBDBDB"/>
          </w:tcPr>
          <w:p>
            <w:pPr>
              <w:jc w:val="right"/>
              <w:ind w:right="168"/>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3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36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6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June 30, 2022</w:t>
            </w:r>
          </w:p>
        </w:tc>
        <w:tc>
          <w:tcPr>
            <w:tcW w:w="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460" w:type="dxa"/>
            <w:vAlign w:val="bottom"/>
            <w:gridSpan w:val="2"/>
            <w:shd w:val="clear" w:color="auto" w:fill="DBDBDB"/>
          </w:tcPr>
          <w:p>
            <w:pPr>
              <w:jc w:val="right"/>
              <w:ind w:right="168"/>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2,783</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48,280</w:t>
            </w:r>
          </w:p>
        </w:tc>
        <w:tc>
          <w:tcPr>
            <w:tcW w:w="3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(38,532)</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3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3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3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second quarter and first six months of 2022, restructuring charges/other included $66 million and $132 million, respectively, of preproduction costs at our Lehi, Utah, manufacturing facility, which were included in Other for segment reporting purposes. These costs transitioned primarily to cost of revenue after production began in December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237"/>
        </w:trPr>
        <w:tc>
          <w:tcPr>
            <w:tcW w:w="8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30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921</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82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8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1,675</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1,135</w:t>
            </w:r>
          </w:p>
        </w:tc>
      </w:tr>
      <w:tr>
        <w:trPr>
          <w:trHeight w:val="20"/>
        </w:trPr>
        <w:tc>
          <w:tcPr>
            <w:tcW w:w="82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3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second quarters and first six months of 2023 and 2022. The table below details where these transactions are recorded in our Consolidated Statements of Income.</w:t>
      </w:r>
    </w:p>
    <w:p>
      <w:pPr>
        <w:sectPr>
          <w:pgSz w:w="11900" w:h="16838" w:orient="portrait"/>
          <w:cols w:equalWidth="0" w:num="1">
            <w:col w:w="11240"/>
          </w:cols>
          <w:pgMar w:left="320" w:top="118" w:right="339" w:bottom="1440" w:gutter="0" w:footer="0" w:header="0"/>
        </w:sectPr>
      </w:pP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20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actuarial losses of defined benefit plans:</w:t>
            </w:r>
          </w:p>
        </w:tc>
        <w:tc>
          <w:tcPr>
            <w:tcW w:w="7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120"/>
              <w:spacing w:after="0" w:line="189" w:lineRule="exact"/>
              <w:rPr>
                <w:sz w:val="20"/>
                <w:szCs w:val="20"/>
                <w:color w:val="auto"/>
              </w:rPr>
            </w:pPr>
            <w:r>
              <w:rPr>
                <w:rFonts w:ascii="Arial" w:cs="Arial" w:eastAsia="Arial" w:hAnsi="Arial"/>
                <w:sz w:val="18"/>
                <w:szCs w:val="18"/>
                <w:color w:val="auto"/>
              </w:rPr>
              <w:t>Recognized net actuarial loss and settlement</w:t>
            </w:r>
          </w:p>
        </w:tc>
        <w:tc>
          <w:tcPr>
            <w:tcW w:w="780" w:type="dxa"/>
            <w:vAlign w:val="bottom"/>
            <w:vMerge w:val="restart"/>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92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20</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center"/>
              <w:ind w:left="519"/>
              <w:spacing w:after="0"/>
              <w:rPr>
                <w:sz w:val="20"/>
                <w:szCs w:val="20"/>
                <w:color w:val="auto"/>
              </w:rPr>
            </w:pPr>
            <w:r>
              <w:rPr>
                <w:rFonts w:ascii="Arial" w:cs="Arial" w:eastAsia="Arial" w:hAnsi="Arial"/>
                <w:sz w:val="18"/>
                <w:szCs w:val="18"/>
                <w:b w:val="1"/>
                <w:bCs w:val="1"/>
                <w:color w:val="auto"/>
                <w:w w:val="99"/>
              </w:rPr>
              <w:t>8</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1"/>
        </w:trPr>
        <w:tc>
          <w:tcPr>
            <w:tcW w:w="3880" w:type="dxa"/>
            <w:vAlign w:val="bottom"/>
          </w:tcPr>
          <w:p>
            <w:pPr>
              <w:ind w:left="120"/>
              <w:spacing w:after="0"/>
              <w:rPr>
                <w:sz w:val="20"/>
                <w:szCs w:val="20"/>
                <w:color w:val="auto"/>
              </w:rPr>
            </w:pPr>
            <w:r>
              <w:rPr>
                <w:rFonts w:ascii="Arial" w:cs="Arial" w:eastAsia="Arial" w:hAnsi="Arial"/>
                <w:sz w:val="18"/>
                <w:szCs w:val="18"/>
                <w:color w:val="auto"/>
              </w:rPr>
              <w:t>losses (a)</w:t>
            </w:r>
          </w:p>
        </w:tc>
        <w:tc>
          <w:tcPr>
            <w:tcW w:w="7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3880" w:type="dxa"/>
            <w:vAlign w:val="bottom"/>
          </w:tcPr>
          <w:p>
            <w:pPr>
              <w:ind w:left="120"/>
              <w:spacing w:after="0"/>
              <w:rPr>
                <w:sz w:val="20"/>
                <w:szCs w:val="20"/>
                <w:color w:val="auto"/>
              </w:rPr>
            </w:pPr>
            <w:r>
              <w:rPr>
                <w:rFonts w:ascii="Arial" w:cs="Arial" w:eastAsia="Arial" w:hAnsi="Arial"/>
                <w:sz w:val="18"/>
                <w:szCs w:val="18"/>
                <w:color w:val="auto"/>
              </w:rPr>
              <w:t>Tax effect</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479"/>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center"/>
              <w:ind w:left="519"/>
              <w:spacing w:after="0"/>
              <w:rPr>
                <w:sz w:val="20"/>
                <w:szCs w:val="20"/>
                <w:color w:val="auto"/>
              </w:rPr>
            </w:pPr>
            <w:r>
              <w:rPr>
                <w:rFonts w:ascii="Arial" w:cs="Arial" w:eastAsia="Arial" w:hAnsi="Arial"/>
                <w:sz w:val="18"/>
                <w:szCs w:val="18"/>
                <w:b w:val="1"/>
                <w:bCs w:val="1"/>
                <w:color w:val="auto"/>
                <w:w w:val="99"/>
              </w:rPr>
              <w:t>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ind w:left="-179"/>
        <w:spacing w:after="0" w:line="279" w:lineRule="auto"/>
        <w:rPr>
          <w:sz w:val="20"/>
          <w:szCs w:val="20"/>
          <w:color w:val="auto"/>
        </w:rPr>
      </w:pPr>
      <w:r>
        <w:rPr>
          <w:rFonts w:ascii="Arial" w:cs="Arial" w:eastAsia="Arial" w:hAnsi="Arial"/>
          <w:sz w:val="14"/>
          <w:szCs w:val="14"/>
          <w:b w:val="1"/>
          <w:bCs w:val="1"/>
          <w:color w:val="auto"/>
        </w:rPr>
        <w:t>Impact to Related Statement of Income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-22860</wp:posOffset>
            </wp:positionV>
            <wp:extent cx="15944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Decrease to OI&amp;E</w:t>
      </w:r>
    </w:p>
    <w:p>
      <w:pPr>
        <w:spacing w:after="0" w:line="23" w:lineRule="exact"/>
        <w:rPr>
          <w:sz w:val="20"/>
          <w:szCs w:val="20"/>
          <w:color w:val="auto"/>
        </w:rPr>
      </w:pPr>
    </w:p>
    <w:p>
      <w:pPr>
        <w:ind w:right="480"/>
        <w:spacing w:after="0" w:line="244" w:lineRule="auto"/>
        <w:rPr>
          <w:sz w:val="20"/>
          <w:szCs w:val="20"/>
          <w:color w:val="auto"/>
        </w:rPr>
      </w:pPr>
      <w:r>
        <w:rPr>
          <w:rFonts w:ascii="Arial" w:cs="Arial" w:eastAsia="Arial" w:hAnsi="Arial"/>
          <w:sz w:val="18"/>
          <w:szCs w:val="18"/>
          <w:color w:val="auto"/>
        </w:rPr>
        <w:t>Decrease to provision for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1152" w:lineRule="exact"/>
        <w:rPr>
          <w:sz w:val="20"/>
          <w:szCs w:val="20"/>
          <w:color w:val="auto"/>
        </w:rPr>
      </w:pPr>
    </w:p>
    <w:p>
      <w:pPr>
        <w:sectPr>
          <w:pgSz w:w="11900" w:h="16838" w:orient="portrait"/>
          <w:cols w:equalWidth="0" w:num="2">
            <w:col w:w="8640" w:space="120"/>
            <w:col w:w="2480"/>
          </w:cols>
          <w:pgMar w:left="320" w:top="118" w:right="339" w:bottom="1440" w:gutter="0" w:footer="0" w:header="0"/>
          <w:type w:val="continuous"/>
        </w:sectPr>
      </w:pPr>
    </w:p>
    <w:p>
      <w:pPr>
        <w:spacing w:after="0" w:line="3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During the first six months of 2023, 3 million shares were issued from treasury related to stock compensation. Shares issued from treasury during the second quarter of 2023 were less than 1 million.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40" w:hanging="328"/>
        <w:spacing w:after="0" w:line="27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7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65" w:lineRule="exact"/>
        <w:rPr>
          <w:rFonts w:ascii="Arial" w:cs="Arial" w:eastAsia="Arial" w:hAnsi="Arial"/>
          <w:sz w:val="18"/>
          <w:szCs w:val="18"/>
          <w:color w:val="auto"/>
        </w:rPr>
      </w:pPr>
    </w:p>
    <w:p>
      <w:pPr>
        <w:jc w:val="both"/>
        <w:ind w:left="1300" w:right="420" w:hanging="320"/>
        <w:spacing w:after="0" w:line="27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5" w:lineRule="exact"/>
        <w:rPr>
          <w:rFonts w:ascii="Arial" w:cs="Arial" w:eastAsia="Arial" w:hAnsi="Arial"/>
          <w:sz w:val="18"/>
          <w:szCs w:val="18"/>
          <w:color w:val="auto"/>
        </w:rPr>
      </w:pPr>
    </w:p>
    <w:p>
      <w:pPr>
        <w:ind w:left="1300" w:hanging="320"/>
        <w:spacing w:after="0" w:line="275" w:lineRule="auto"/>
        <w:tabs>
          <w:tab w:leader="none" w:pos="12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66"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76" w:lineRule="exact"/>
        <w:rPr>
          <w:sz w:val="20"/>
          <w:szCs w:val="20"/>
          <w:color w:val="auto"/>
        </w:rPr>
      </w:pPr>
    </w:p>
    <w:p>
      <w:pPr>
        <w:ind w:left="660" w:right="640" w:hanging="328"/>
        <w:spacing w:after="0" w:line="27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4" w:lineRule="exact"/>
        <w:rPr>
          <w:sz w:val="20"/>
          <w:szCs w:val="20"/>
          <w:color w:val="auto"/>
        </w:rPr>
      </w:pPr>
    </w:p>
    <w:p>
      <w:pPr>
        <w:ind w:left="620" w:hanging="328"/>
        <w:spacing w:after="0" w:line="263"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5" w:lineRule="exact"/>
        <w:rPr>
          <w:rFonts w:ascii="Arial" w:cs="Arial" w:eastAsia="Arial" w:hAnsi="Arial"/>
          <w:sz w:val="18"/>
          <w:szCs w:val="18"/>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7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5" w:lineRule="exact"/>
        <w:rPr>
          <w:rFonts w:ascii="Arial" w:cs="Arial" w:eastAsia="Arial" w:hAnsi="Arial"/>
          <w:sz w:val="18"/>
          <w:szCs w:val="18"/>
          <w:color w:val="auto"/>
        </w:rPr>
      </w:pPr>
    </w:p>
    <w:p>
      <w:pPr>
        <w:ind w:left="1300" w:right="480" w:hanging="320"/>
        <w:spacing w:after="0" w:line="27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5" w:lineRule="exact"/>
        <w:rPr>
          <w:rFonts w:ascii="Arial" w:cs="Arial" w:eastAsia="Arial" w:hAnsi="Arial"/>
          <w:sz w:val="18"/>
          <w:szCs w:val="18"/>
          <w:color w:val="auto"/>
        </w:rPr>
      </w:pPr>
    </w:p>
    <w:p>
      <w:pPr>
        <w:ind w:left="1300" w:right="720" w:hanging="320"/>
        <w:spacing w:after="0" w:line="27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8" w:name="page19"/>
    <w:bookmarkEnd w:id="18"/>
    <w:p>
      <w:pPr>
        <w:ind w:left="1300" w:right="480" w:hanging="320"/>
        <w:spacing w:after="0" w:line="258"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81" w:lineRule="exact"/>
        <w:rPr>
          <w:rFonts w:ascii="Arial" w:cs="Arial" w:eastAsia="Arial" w:hAnsi="Arial"/>
          <w:sz w:val="18"/>
          <w:szCs w:val="18"/>
          <w:color w:val="auto"/>
        </w:rPr>
      </w:pPr>
    </w:p>
    <w:p>
      <w:pPr>
        <w:ind w:left="620" w:hanging="32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$4.53 billion, net income was $1.72 billion and earnings per share (EPS) were $1.87.</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Revenue increased 3% sequentially and decreased 13% from the same quarter a year ago. Similar to last quarter, we experienced weakness across our end markets with the exception of automotive.</w:t>
      </w:r>
    </w:p>
    <w:p>
      <w:pPr>
        <w:spacing w:after="0" w:line="17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Our cash flow from operations of $7.4 billion for the trailing 12 months again underscored the strength of our business model, the quality of our product portfolio and the benefit of 300-mm production. Free cash flow for the same period was $3.2 billion and 17% of revenue.</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Over the past 12 months we invested $3.6 billion in R&amp;D and SG&amp;A, invested $4.2 billion in capital expenditures and returned $6.5 billion to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 quarter 2023 compared with second quarter 2022</w:t>
      </w:r>
    </w:p>
    <w:p>
      <w:pPr>
        <w:spacing w:after="0" w:line="235"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Revenue of $4.53 billion decreased $681 million, or 13%, due to lower revenue from Analog, partially offset by higher revenue from Embedded Processing.</w:t>
      </w:r>
    </w:p>
    <w:p>
      <w:pPr>
        <w:spacing w:after="0" w:line="17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Gross profit of $2.91 billion was down $ 715 million, or 20%, due to lower revenue and higher manufacturing costs associated with planned capacity expansion. As a percentage of revenue, gross profit decreased to 64.2% from 69.6%.</w:t>
      </w:r>
    </w:p>
    <w:p>
      <w:pPr>
        <w:spacing w:after="0" w:line="174"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Operating expenses (R&amp;D and SG&amp;A) were $938 million compared with $836 million. This increase was due to higher employee-related costs as we invest to strengthen our competitive advantages.</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Restructuring charges/other in the year-ago period was $66 million due to preproduction costs at our Lehi, Utah, manufacturing facility. These costs transitioned primarily to cost of revenue after production began in December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$1.97 billion, or 43.5% of revenue, compared with $2.72 billion, or 52.2%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$119 million of income compared with $7 million of income, due to higher interest income.</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Interest and debt expense of $89 million increased $40 million due to the issuance of additional long-term debt. See Note 6 to the financial statements.</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provision for income taxes was $280 million compared with $390 million. This decrease was primarily due to lower income before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$1.72 billion compared with $2.29 billion. EPS was $1.87 compared with $2.45.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Second quarter 2023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Q2 2023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Q2 2022</w:t>
            </w:r>
          </w:p>
        </w:tc>
        <w:tc>
          <w:tcPr>
            <w:tcW w:w="120" w:type="dxa"/>
            <w:vAlign w:val="bottom"/>
            <w:tcBorders>
              <w:bottom w:val="single" w:sz="8" w:color="DBDBDB"/>
            </w:tcBorders>
          </w:tcPr>
          <w:p>
            <w:pPr>
              <w:spacing w:after="0"/>
              <w:rPr>
                <w:sz w:val="17"/>
                <w:szCs w:val="17"/>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3,278</w:t>
            </w: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3,992</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2,226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44.6 %</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55.8 %</w:t>
            </w:r>
          </w:p>
        </w:tc>
        <w:tc>
          <w:tcPr>
            <w:tcW w:w="1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bl>
    <w:p>
      <w:pPr>
        <w:spacing w:after="0" w:line="284"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Analog revenue decreased in both product lines, led by Power. Operating profit decreased primarily due to lower revenue and higher manufacturing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Q2 2023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Q2 2022</w:t>
            </w:r>
          </w:p>
        </w:tc>
        <w:tc>
          <w:tcPr>
            <w:tcW w:w="140" w:type="dxa"/>
            <w:vAlign w:val="bottom"/>
            <w:tcBorders>
              <w:bottom w:val="single" w:sz="8" w:color="DBDBDB"/>
            </w:tcBorders>
          </w:tcPr>
          <w:p>
            <w:pPr>
              <w:spacing w:after="0"/>
              <w:rPr>
                <w:sz w:val="17"/>
                <w:szCs w:val="17"/>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DBDBDB"/>
          </w:tcPr>
          <w:p>
            <w:pPr>
              <w:jc w:val="right"/>
              <w:ind w:right="135"/>
              <w:spacing w:after="0"/>
              <w:rPr>
                <w:sz w:val="20"/>
                <w:szCs w:val="20"/>
                <w:color w:val="auto"/>
              </w:rPr>
            </w:pPr>
            <w:r>
              <w:rPr>
                <w:rFonts w:ascii="Arial" w:cs="Arial" w:eastAsia="Arial" w:hAnsi="Arial"/>
                <w:sz w:val="18"/>
                <w:szCs w:val="18"/>
                <w:b w:val="1"/>
                <w:bCs w:val="1"/>
                <w:color w:val="auto"/>
              </w:rPr>
              <w:t>894</w:t>
            </w: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ind w:right="135"/>
              <w:spacing w:after="0"/>
              <w:rPr>
                <w:sz w:val="20"/>
                <w:szCs w:val="20"/>
                <w:color w:val="auto"/>
              </w:rPr>
            </w:pPr>
            <w:r>
              <w:rPr>
                <w:rFonts w:ascii="Arial" w:cs="Arial" w:eastAsia="Arial" w:hAnsi="Arial"/>
                <w:sz w:val="18"/>
                <w:szCs w:val="18"/>
                <w:color w:val="auto"/>
              </w:rPr>
              <w:t>821</w:t>
            </w: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1"/>
                <w:szCs w:val="21"/>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324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35.6 %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39.5 %</w:t>
            </w: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r>
    </w:tbl>
    <w:p>
      <w:pPr>
        <w:spacing w:after="0" w:line="298" w:lineRule="exact"/>
        <w:rPr>
          <w:sz w:val="20"/>
          <w:szCs w:val="20"/>
          <w:color w:val="auto"/>
        </w:rPr>
      </w:pPr>
    </w:p>
    <w:p>
      <w:pPr>
        <w:ind w:right="1040"/>
        <w:spacing w:after="0" w:line="275" w:lineRule="auto"/>
        <w:rPr>
          <w:sz w:val="20"/>
          <w:szCs w:val="20"/>
          <w:color w:val="auto"/>
        </w:rPr>
      </w:pPr>
      <w:r>
        <w:rPr>
          <w:rFonts w:ascii="Arial" w:cs="Arial" w:eastAsia="Arial" w:hAnsi="Arial"/>
          <w:sz w:val="18"/>
          <w:szCs w:val="18"/>
          <w:color w:val="auto"/>
        </w:rPr>
        <w:t>Embedded Processing revenue increased due to the mix of products shipped. Operating profit decreased primarily due to higher manufacturing costs, partially offset by higher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products, calculators and custom ASIC products)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Q2 2022</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37"/>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DBDBDB"/>
          </w:tcPr>
          <w:p>
            <w:pPr>
              <w:jc w:val="right"/>
              <w:ind w:right="135"/>
              <w:spacing w:after="0"/>
              <w:rPr>
                <w:sz w:val="20"/>
                <w:szCs w:val="20"/>
                <w:color w:val="auto"/>
              </w:rPr>
            </w:pPr>
            <w:r>
              <w:rPr>
                <w:rFonts w:ascii="Arial" w:cs="Arial" w:eastAsia="Arial" w:hAnsi="Arial"/>
                <w:sz w:val="18"/>
                <w:szCs w:val="18"/>
                <w:b w:val="1"/>
                <w:bCs w:val="1"/>
                <w:color w:val="auto"/>
              </w:rPr>
              <w:t>359</w:t>
            </w: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ind w:right="135"/>
              <w:spacing w:after="0"/>
              <w:rPr>
                <w:sz w:val="20"/>
                <w:szCs w:val="20"/>
                <w:color w:val="auto"/>
              </w:rPr>
            </w:pPr>
            <w:r>
              <w:rPr>
                <w:rFonts w:ascii="Arial" w:cs="Arial" w:eastAsia="Arial" w:hAnsi="Arial"/>
                <w:sz w:val="18"/>
                <w:szCs w:val="18"/>
                <w:color w:val="auto"/>
              </w:rPr>
              <w:t>399</w:t>
            </w: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173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53.2 %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43.4 %</w:t>
            </w: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$40 million, and operating profit increased $18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2023 compared with first six months of 2022</w:t>
      </w:r>
    </w:p>
    <w:p>
      <w:pPr>
        <w:spacing w:after="0" w:line="235"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Revenue of $8.91 billion decreased $1.21 billion, or 12%, due to lower revenue from Analog, partially offset by higher revenue from Embedded Processing.</w:t>
      </w:r>
    </w:p>
    <w:p>
      <w:pPr>
        <w:spacing w:after="0" w:line="17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Gross profit of $5.77 billion was down $ 1.29 billion, or 18%, due to lower revenue and higher manufacturing costs associated with planned capacity expansion. As a percentage of revenue, gross profit decreased to 64.8% from 69.9%.</w:t>
      </w:r>
    </w:p>
    <w:p>
      <w:pPr>
        <w:spacing w:after="0" w:line="17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Operating expenses were $1.87 billion compared with $1.65 billion. This increase was due to higher employee-related costs as we invest to strengthen our competitive advantages.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in the year-ago period was $132 million due to preproduction costs at our Lehi, Utah, manufacturing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These costs transitioned primarily to cost of revenue after production began in December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$3.91 billion, or 43.8% of revenue, compared with $5.29 billion, or 52.2%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$199 million of income compared with $22 million of income, due to higher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$157 million increased $56 million due to the issuance of additional long-term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0" w:name="page21"/>
    <w:bookmarkEnd w:id="20"/>
    <w:p>
      <w:pPr>
        <w:spacing w:after="0" w:line="275" w:lineRule="auto"/>
        <w:rPr>
          <w:sz w:val="20"/>
          <w:szCs w:val="20"/>
          <w:color w:val="auto"/>
        </w:rPr>
      </w:pPr>
      <w:r>
        <w:rPr>
          <w:rFonts w:ascii="Arial" w:cs="Arial" w:eastAsia="Arial" w:hAnsi="Arial"/>
          <w:sz w:val="18"/>
          <w:szCs w:val="18"/>
          <w:color w:val="auto"/>
        </w:rPr>
        <w:t>Our provision for income taxes was $518 million compared with $715 million. This decrease was primarily due to lower income before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$3.43 billion compared with $4.49 billion. EPS was $3.72 compared with $4.80.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4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YTD 2023</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YTD 2022</w:t>
            </w:r>
          </w:p>
        </w:tc>
        <w:tc>
          <w:tcPr>
            <w:tcW w:w="120" w:type="dxa"/>
            <w:vAlign w:val="bottom"/>
            <w:tcBorders>
              <w:bottom w:val="single" w:sz="8" w:color="DBDBDB"/>
            </w:tcBorders>
          </w:tcPr>
          <w:p>
            <w:pPr>
              <w:spacing w:after="0"/>
              <w:rPr>
                <w:sz w:val="17"/>
                <w:szCs w:val="17"/>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6,567</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7,808</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3,037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4,376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46.2 %</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56.0 %</w:t>
            </w:r>
          </w:p>
        </w:tc>
        <w:tc>
          <w:tcPr>
            <w:tcW w:w="1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bl>
    <w:p>
      <w:pPr>
        <w:spacing w:after="0" w:line="284"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Analog revenue decreased in both product lines, led by Power. Operating profit decreased primarily due to lower revenue and higher manufacturing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4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YTD 2023</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YTD 2022</w:t>
            </w:r>
          </w:p>
        </w:tc>
        <w:tc>
          <w:tcPr>
            <w:tcW w:w="120" w:type="dxa"/>
            <w:vAlign w:val="bottom"/>
            <w:tcBorders>
              <w:bottom w:val="single" w:sz="8" w:color="DBDBDB"/>
            </w:tcBorders>
          </w:tcPr>
          <w:p>
            <w:pPr>
              <w:spacing w:after="0"/>
              <w:rPr>
                <w:sz w:val="17"/>
                <w:szCs w:val="17"/>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1,726</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1,603</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1"/>
                <w:szCs w:val="21"/>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639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32.2 %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39.9 %</w:t>
            </w:r>
          </w:p>
        </w:tc>
        <w:tc>
          <w:tcPr>
            <w:tcW w:w="12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r>
    </w:tbl>
    <w:p>
      <w:pPr>
        <w:spacing w:after="0" w:line="298" w:lineRule="exact"/>
        <w:rPr>
          <w:sz w:val="20"/>
          <w:szCs w:val="20"/>
          <w:color w:val="auto"/>
        </w:rPr>
      </w:pPr>
    </w:p>
    <w:p>
      <w:pPr>
        <w:ind w:right="1040"/>
        <w:spacing w:after="0" w:line="275" w:lineRule="auto"/>
        <w:rPr>
          <w:sz w:val="20"/>
          <w:szCs w:val="20"/>
          <w:color w:val="auto"/>
        </w:rPr>
      </w:pPr>
      <w:r>
        <w:rPr>
          <w:rFonts w:ascii="Arial" w:cs="Arial" w:eastAsia="Arial" w:hAnsi="Arial"/>
          <w:sz w:val="18"/>
          <w:szCs w:val="18"/>
          <w:color w:val="auto"/>
        </w:rPr>
        <w:t>Embedded Processing revenue increased due to the mix of products shipped. Operating profit decreased primarily due to higher manufacturing costs, partially offset by higher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YTD 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YTD 2022</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37"/>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35"/>
              <w:spacing w:after="0"/>
              <w:rPr>
                <w:sz w:val="20"/>
                <w:szCs w:val="20"/>
                <w:color w:val="auto"/>
              </w:rPr>
            </w:pPr>
            <w:r>
              <w:rPr>
                <w:rFonts w:ascii="Arial" w:cs="Arial" w:eastAsia="Arial" w:hAnsi="Arial"/>
                <w:sz w:val="18"/>
                <w:szCs w:val="18"/>
                <w:b w:val="1"/>
                <w:bCs w:val="1"/>
                <w:color w:val="auto"/>
              </w:rPr>
              <w:t>617</w:t>
            </w:r>
          </w:p>
        </w:tc>
        <w:tc>
          <w:tcPr>
            <w:tcW w:w="3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135"/>
              <w:spacing w:after="0"/>
              <w:rPr>
                <w:sz w:val="20"/>
                <w:szCs w:val="20"/>
                <w:color w:val="auto"/>
              </w:rPr>
            </w:pPr>
            <w:r>
              <w:rPr>
                <w:rFonts w:ascii="Arial" w:cs="Arial" w:eastAsia="Arial" w:hAnsi="Arial"/>
                <w:sz w:val="18"/>
                <w:szCs w:val="18"/>
                <w:color w:val="auto"/>
              </w:rPr>
              <w:t>706</w:t>
            </w: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271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50.9 %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38.4 %</w:t>
            </w: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$89 million, and operating profit increased $43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At the end of the second quarter of 2023, total cash (cash and cash equivalents plus short-term investments) was $9.55 billion, an increase of $485 million from the end of 2022.</w:t>
      </w:r>
    </w:p>
    <w:p>
      <w:pPr>
        <w:spacing w:after="0" w:line="17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Accounts receivable were $1.96 billion, an increase of $ 61 million compared with the end of 2022. Days sales outstanding for the second quarter of 2023 were 39 compared with 37 at the end of 2022.</w:t>
      </w:r>
    </w:p>
    <w:p>
      <w:pPr>
        <w:spacing w:after="0" w:line="174"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Inventory was $3.73 billion, an increase of $972 million from the end of 2022. Days of inventory for the second quarter of 2023 were 207 compared with 157 at the end of 2022.</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June 30, 2023, our credit facility was undrawn, and we had no commercial paper outstanding. Cash flows from operating activities for the first six months of 2023 were</w:t>
      </w:r>
    </w:p>
    <w:p>
      <w:pPr>
        <w:ind w:right="240"/>
        <w:spacing w:after="0" w:line="261" w:lineRule="auto"/>
        <w:rPr>
          <w:sz w:val="20"/>
          <w:szCs w:val="20"/>
          <w:color w:val="auto"/>
        </w:rPr>
      </w:pPr>
      <w:r>
        <w:rPr>
          <w:rFonts w:ascii="Arial" w:cs="Arial" w:eastAsia="Arial" w:hAnsi="Arial"/>
          <w:sz w:val="18"/>
          <w:szCs w:val="18"/>
          <w:color w:val="auto"/>
        </w:rPr>
        <w:t>$2.56 billion, a decrease of $1.35 billion from the year-ago period due to lower net income and higher cash used for working capital, as we continued to strategically build inventory.</w:t>
      </w:r>
    </w:p>
    <w:p>
      <w:pPr>
        <w:spacing w:after="0" w:line="186"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Investing activities for the first six months of 2023 used $2.36 billion compared with $443 million in the year-ago period. Capital expenditures were $2.43 billion compared with $1.04 billion in the year-ago period and were primarily for semiconductor manufacturing equipment and facilities in both periods. Short-term investments provided cash of $31 million compared with $525 million in the year-ago period.</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 See Note 9 to the financial statements.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Financing activities for the first six months of 2023 provided $187 million compared with $ 4.30 billion of cash used in the year-ago period. In 2023, we received net proceeds of $3.00 billion from the issuance of fixed-rate, long-term debt, and we retired maturing debt of $500 million. In the year-ago period, we retired maturing debt of $500 million. Dividends paid were $2.25 billion compared with $2.12 billion in the year-ago period, reflecting an increased dividend rate, partially offset by fewer shares outstanding. We used $182 million to repurchase 1.1 million shares of our common stock compared with $1.77 billion used in the year-ago period to repurchase 10.7 million shares. Employee exercises of stock options provided cash proceeds of $150 million compared with $113 million in the year-ago period.</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had $3.44 billion of cash and cash equivalents and $6.11 billion of short-term investments as of June 30, 2023. We believe we have the necessary financial resources and operating plans to fund our working capital needs, capital expenditures, dividend and debt-related payments, and other business requirements for at least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1"/>
        </w:trPr>
        <w:tc>
          <w:tcPr>
            <w:tcW w:w="7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704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7,367</w:t>
            </w:r>
          </w:p>
        </w:tc>
        <w:tc>
          <w:tcPr>
            <w:tcW w:w="4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8,697</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(4,185)</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DBDBDB"/>
            </w:tcBorders>
          </w:tcPr>
          <w:p>
            <w:pPr>
              <w:spacing w:after="0"/>
              <w:rPr>
                <w:sz w:val="21"/>
                <w:szCs w:val="21"/>
                <w:color w:val="auto"/>
              </w:rPr>
            </w:pPr>
          </w:p>
        </w:tc>
        <w:tc>
          <w:tcPr>
            <w:tcW w:w="1300" w:type="dxa"/>
            <w:vAlign w:val="bottom"/>
            <w:tcBorders>
              <w:bottom w:val="single" w:sz="8" w:color="DBDBDB"/>
            </w:tcBorders>
          </w:tcPr>
          <w:p>
            <w:pPr>
              <w:spacing w:after="0"/>
              <w:rPr>
                <w:sz w:val="21"/>
                <w:szCs w:val="21"/>
                <w:color w:val="auto"/>
              </w:rPr>
            </w:pPr>
          </w:p>
        </w:tc>
      </w:tr>
      <w:tr>
        <w:trPr>
          <w:trHeight w:val="24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3,182</w:t>
            </w:r>
          </w:p>
        </w:tc>
        <w:tc>
          <w:tcPr>
            <w:tcW w:w="4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5,889</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9"/>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18,821</w:t>
            </w:r>
          </w:p>
        </w:tc>
        <w:tc>
          <w:tcPr>
            <w:tcW w:w="4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19,592</w:t>
            </w:r>
          </w:p>
        </w:tc>
        <w:tc>
          <w:tcPr>
            <w:tcW w:w="1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39.1 %</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44.4 %</w:t>
            </w:r>
          </w:p>
        </w:tc>
        <w:tc>
          <w:tcPr>
            <w:tcW w:w="1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r>
        <w:trPr>
          <w:trHeight w:val="251"/>
        </w:trPr>
        <w:tc>
          <w:tcPr>
            <w:tcW w:w="704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30.1 %</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6" w:right="5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2022, and is incorporated by reference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40"/>
          </w:cols>
          <w:pgMar w:left="320" w:top="886" w:right="33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7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200"/>
        </w:trPr>
        <w:tc>
          <w:tcPr>
            <w:tcW w:w="2360" w:type="dxa"/>
            <w:vAlign w:val="bottom"/>
            <w:vMerge w:val="continue"/>
          </w:tcPr>
          <w:p>
            <w:pPr>
              <w:spacing w:after="0"/>
              <w:rPr>
                <w:sz w:val="17"/>
                <w:szCs w:val="17"/>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6" w:lineRule="exact"/>
        <w:rPr>
          <w:sz w:val="20"/>
          <w:szCs w:val="20"/>
          <w:color w:val="auto"/>
        </w:rPr>
      </w:pPr>
    </w:p>
    <w:p>
      <w:pPr>
        <w:jc w:val="center"/>
        <w:ind w:right="40"/>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2" w:lineRule="exact"/>
        <w:rPr>
          <w:sz w:val="20"/>
          <w:szCs w:val="20"/>
          <w:color w:val="auto"/>
        </w:rPr>
      </w:pPr>
    </w:p>
    <w:p>
      <w:pPr>
        <w:sectPr>
          <w:pgSz w:w="11900" w:h="16838" w:orient="portrait"/>
          <w:cols w:equalWidth="0" w:num="2">
            <w:col w:w="9140" w:space="180"/>
            <w:col w:w="1920"/>
          </w:cols>
          <w:pgMar w:left="320" w:top="886" w:right="33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41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April 1, 2023 through April 30, 2023</w:t>
            </w:r>
          </w:p>
        </w:tc>
        <w:tc>
          <w:tcPr>
            <w:tcW w:w="10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228,925</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174.29</w:t>
            </w:r>
          </w:p>
        </w:tc>
        <w:tc>
          <w:tcPr>
            <w:tcW w:w="4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228,925</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21.34</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May 1, 2023 through May 31, 2023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122,663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166.54</w:t>
            </w:r>
          </w:p>
        </w:tc>
        <w:tc>
          <w:tcPr>
            <w:tcW w:w="440" w:type="dxa"/>
            <w:vAlign w:val="bottom"/>
          </w:tcPr>
          <w:p>
            <w:pPr>
              <w:spacing w:after="0"/>
              <w:rPr>
                <w:sz w:val="19"/>
                <w:szCs w:val="19"/>
                <w:color w:val="auto"/>
              </w:rPr>
            </w:pPr>
          </w:p>
        </w:tc>
        <w:tc>
          <w:tcPr>
            <w:tcW w:w="1820" w:type="dxa"/>
            <w:vAlign w:val="bottom"/>
            <w:gridSpan w:val="2"/>
          </w:tcPr>
          <w:p>
            <w:pPr>
              <w:jc w:val="right"/>
              <w:ind w:right="390"/>
              <w:spacing w:after="0"/>
              <w:rPr>
                <w:sz w:val="20"/>
                <w:szCs w:val="20"/>
                <w:color w:val="auto"/>
              </w:rPr>
            </w:pPr>
            <w:r>
              <w:rPr>
                <w:rFonts w:ascii="Arial" w:cs="Arial" w:eastAsia="Arial" w:hAnsi="Arial"/>
                <w:sz w:val="18"/>
                <w:szCs w:val="18"/>
                <w:color w:val="auto"/>
              </w:rPr>
              <w:t>122,479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21.32</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43"/>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June 1, 2023 through June 30, 2023</w:t>
            </w:r>
          </w:p>
        </w:tc>
        <w:tc>
          <w:tcPr>
            <w:tcW w:w="100" w:type="dxa"/>
            <w:vAlign w:val="bottom"/>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95,682</w:t>
            </w:r>
          </w:p>
        </w:tc>
        <w:tc>
          <w:tcPr>
            <w:tcW w:w="44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173.71</w:t>
            </w:r>
          </w:p>
        </w:tc>
        <w:tc>
          <w:tcPr>
            <w:tcW w:w="4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95,682</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21.31</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447,270</w:t>
            </w:r>
          </w:p>
        </w:tc>
        <w:tc>
          <w:tcPr>
            <w:tcW w:w="440" w:type="dxa"/>
            <w:vAlign w:val="bottom"/>
          </w:tcPr>
          <w:p>
            <w:pPr>
              <w:ind w:left="6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172.04</w:t>
            </w:r>
          </w:p>
        </w:tc>
        <w:tc>
          <w:tcPr>
            <w:tcW w:w="440" w:type="dxa"/>
            <w:vAlign w:val="bottom"/>
          </w:tcPr>
          <w:p>
            <w:pPr>
              <w:ind w:left="60"/>
              <w:spacing w:after="0"/>
              <w:rPr>
                <w:sz w:val="20"/>
                <w:szCs w:val="20"/>
                <w:color w:val="auto"/>
              </w:rPr>
            </w:pPr>
            <w:r>
              <w:rPr>
                <w:rFonts w:ascii="Arial" w:cs="Arial" w:eastAsia="Arial" w:hAnsi="Arial"/>
                <w:sz w:val="18"/>
                <w:szCs w:val="18"/>
                <w:color w:val="auto"/>
              </w:rPr>
              <w:t>(b)</w:t>
            </w:r>
          </w:p>
        </w:tc>
        <w:tc>
          <w:tcPr>
            <w:tcW w:w="1820" w:type="dxa"/>
            <w:vAlign w:val="bottom"/>
            <w:gridSpan w:val="2"/>
          </w:tcPr>
          <w:p>
            <w:pPr>
              <w:jc w:val="right"/>
              <w:ind w:right="390"/>
              <w:spacing w:after="0"/>
              <w:rPr>
                <w:sz w:val="20"/>
                <w:szCs w:val="20"/>
                <w:color w:val="auto"/>
              </w:rPr>
            </w:pPr>
            <w:r>
              <w:rPr>
                <w:rFonts w:ascii="Arial" w:cs="Arial" w:eastAsia="Arial" w:hAnsi="Arial"/>
                <w:sz w:val="18"/>
                <w:szCs w:val="18"/>
                <w:color w:val="auto"/>
              </w:rPr>
              <w:t>447,086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21.31</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 (c)</w:t>
            </w:r>
          </w:p>
        </w:tc>
      </w:tr>
      <w:tr>
        <w:trPr>
          <w:trHeight w:val="21"/>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25" w:lineRule="exact"/>
        <w:rPr>
          <w:sz w:val="20"/>
          <w:szCs w:val="20"/>
          <w:color w:val="auto"/>
        </w:rPr>
      </w:pPr>
    </w:p>
    <w:p>
      <w:pPr>
        <w:ind w:left="340" w:right="80" w:hanging="332"/>
        <w:spacing w:after="0" w:line="306"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76" w:lineRule="exact"/>
        <w:rPr>
          <w:rFonts w:ascii="Arial" w:cs="Arial" w:eastAsia="Arial" w:hAnsi="Arial"/>
          <w:sz w:val="17"/>
          <w:szCs w:val="17"/>
          <w:color w:val="auto"/>
        </w:rPr>
      </w:pPr>
    </w:p>
    <w:p>
      <w:pPr>
        <w:ind w:left="340" w:hanging="332"/>
        <w:spacing w:after="0" w:line="27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open-market purchases, 184 shares of common stock were surrendered by employees to satisfy tax withholding obligations in connection with the vesting of restricted stock units.</w:t>
      </w:r>
    </w:p>
    <w:p>
      <w:pPr>
        <w:spacing w:after="0" w:line="200" w:lineRule="exact"/>
        <w:rPr>
          <w:rFonts w:ascii="Arial" w:cs="Arial" w:eastAsia="Arial" w:hAnsi="Arial"/>
          <w:sz w:val="18"/>
          <w:szCs w:val="18"/>
          <w:color w:val="auto"/>
        </w:rPr>
      </w:pPr>
    </w:p>
    <w:p>
      <w:pPr>
        <w:ind w:left="340" w:right="400" w:hanging="332"/>
        <w:spacing w:after="0" w:line="27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June 30, 2023,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5" w:name="page26"/>
    <w:bookmarkEnd w:id="25"/>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Designation of Exhibits in</w:t>
            </w: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60" w:type="dxa"/>
            <w:vAlign w:val="bottom"/>
            <w:gridSpan w:val="19"/>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DBDBDB"/>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60" w:type="dxa"/>
            <w:vAlign w:val="bottom"/>
            <w:tcBorders>
              <w:bottom w:val="single" w:sz="8" w:color="DBDBDB"/>
            </w:tcBorders>
            <w:shd w:val="clear" w:color="auto" w:fill="DBDBDB"/>
          </w:tcPr>
          <w:p>
            <w:pPr>
              <w:spacing w:after="0"/>
              <w:rPr>
                <w:sz w:val="18"/>
                <w:szCs w:val="18"/>
                <w:color w:val="auto"/>
              </w:rPr>
            </w:pPr>
          </w:p>
        </w:tc>
        <w:tc>
          <w:tcPr>
            <w:tcW w:w="9220" w:type="dxa"/>
            <w:vAlign w:val="bottom"/>
            <w:tcBorders>
              <w:bottom w:val="single" w:sz="8" w:color="0000FF"/>
            </w:tcBorders>
            <w:gridSpan w:val="17"/>
            <w:shd w:val="clear" w:color="auto" w:fill="DBDBDB"/>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Restated Certificate of Incorporation of the Registrant, dated April 18, 1985, as amended (incorporated by reference</w:t>
              </w:r>
            </w:hyperlink>
          </w:p>
        </w:tc>
        <w:tc>
          <w:tcPr>
            <w:tcW w:w="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880" w:type="dxa"/>
            <w:vAlign w:val="bottom"/>
            <w:vMerge w:val="continue"/>
            <w:shd w:val="clear" w:color="auto" w:fill="DBDBDB"/>
          </w:tcPr>
          <w:p>
            <w:pPr>
              <w:spacing w:after="0"/>
              <w:rPr>
                <w:sz w:val="11"/>
                <w:szCs w:val="11"/>
                <w:color w:val="auto"/>
              </w:rPr>
            </w:pPr>
          </w:p>
        </w:tc>
        <w:tc>
          <w:tcPr>
            <w:tcW w:w="60" w:type="dxa"/>
            <w:vAlign w:val="bottom"/>
            <w:vMerge w:val="restart"/>
            <w:shd w:val="clear" w:color="auto" w:fill="DBDBDB"/>
          </w:tcPr>
          <w:p>
            <w:pPr>
              <w:spacing w:after="0"/>
              <w:rPr>
                <w:sz w:val="11"/>
                <w:szCs w:val="11"/>
                <w:color w:val="auto"/>
              </w:rPr>
            </w:pPr>
          </w:p>
        </w:tc>
        <w:tc>
          <w:tcPr>
            <w:tcW w:w="9300" w:type="dxa"/>
            <w:vAlign w:val="bottom"/>
            <w:gridSpan w:val="18"/>
            <w:vMerge w:val="restart"/>
            <w:shd w:val="clear" w:color="auto" w:fill="DBDBDB"/>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to Exhibit 3(a) of the Registrant’s Annual Report on Form 10-K for the year ended December 31, 2014).</w:t>
              </w:r>
            </w:hyperlink>
          </w:p>
        </w:tc>
        <w:tc>
          <w:tcPr>
            <w:tcW w:w="0" w:type="dxa"/>
            <w:vAlign w:val="bottom"/>
          </w:tcPr>
          <w:p>
            <w:pPr>
              <w:spacing w:after="0"/>
              <w:rPr>
                <w:sz w:val="1"/>
                <w:szCs w:val="1"/>
                <w:color w:val="auto"/>
              </w:rPr>
            </w:pPr>
          </w:p>
        </w:tc>
      </w:tr>
      <w:tr>
        <w:trPr>
          <w:trHeight w:val="67"/>
        </w:trPr>
        <w:tc>
          <w:tcPr>
            <w:tcW w:w="1880" w:type="dxa"/>
            <w:vAlign w:val="bottom"/>
            <w:shd w:val="clear" w:color="auto" w:fill="DBDBDB"/>
          </w:tcPr>
          <w:p>
            <w:pPr>
              <w:spacing w:after="0"/>
              <w:rPr>
                <w:sz w:val="5"/>
                <w:szCs w:val="5"/>
                <w:color w:val="auto"/>
              </w:rPr>
            </w:pPr>
          </w:p>
        </w:tc>
        <w:tc>
          <w:tcPr>
            <w:tcW w:w="60" w:type="dxa"/>
            <w:vAlign w:val="bottom"/>
            <w:vMerge w:val="continue"/>
            <w:shd w:val="clear" w:color="auto" w:fill="DBDBDB"/>
          </w:tcPr>
          <w:p>
            <w:pPr>
              <w:spacing w:after="0"/>
              <w:rPr>
                <w:sz w:val="5"/>
                <w:szCs w:val="5"/>
                <w:color w:val="auto"/>
              </w:rPr>
            </w:pPr>
          </w:p>
        </w:tc>
        <w:tc>
          <w:tcPr>
            <w:tcW w:w="9300" w:type="dxa"/>
            <w:vAlign w:val="bottom"/>
            <w:gridSpan w:val="18"/>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900" w:type="dxa"/>
            <w:vAlign w:val="bottom"/>
            <w:tcBorders>
              <w:top w:val="single" w:sz="8" w:color="0000FF"/>
            </w:tcBorders>
            <w:shd w:val="clear" w:color="auto" w:fill="DBDBDB"/>
          </w:tcPr>
          <w:p>
            <w:pPr>
              <w:spacing w:after="0"/>
              <w:rPr>
                <w:sz w:val="4"/>
                <w:szCs w:val="4"/>
                <w:color w:val="auto"/>
              </w:rPr>
            </w:pPr>
          </w:p>
        </w:tc>
        <w:tc>
          <w:tcPr>
            <w:tcW w:w="740" w:type="dxa"/>
            <w:vAlign w:val="bottom"/>
            <w:tcBorders>
              <w:top w:val="single" w:sz="8" w:color="0000FF"/>
            </w:tcBorders>
            <w:shd w:val="clear" w:color="auto" w:fill="DBDBDB"/>
          </w:tcPr>
          <w:p>
            <w:pPr>
              <w:spacing w:after="0"/>
              <w:rPr>
                <w:sz w:val="4"/>
                <w:szCs w:val="4"/>
                <w:color w:val="auto"/>
              </w:rPr>
            </w:pPr>
          </w:p>
        </w:tc>
        <w:tc>
          <w:tcPr>
            <w:tcW w:w="1280" w:type="dxa"/>
            <w:vAlign w:val="bottom"/>
            <w:tcBorders>
              <w:top w:val="single" w:sz="8" w:color="0000FF"/>
            </w:tcBorders>
            <w:shd w:val="clear" w:color="auto" w:fill="DBDBDB"/>
          </w:tcPr>
          <w:p>
            <w:pPr>
              <w:spacing w:after="0"/>
              <w:rPr>
                <w:sz w:val="4"/>
                <w:szCs w:val="4"/>
                <w:color w:val="auto"/>
              </w:rPr>
            </w:pPr>
          </w:p>
        </w:tc>
        <w:tc>
          <w:tcPr>
            <w:tcW w:w="440" w:type="dxa"/>
            <w:vAlign w:val="bottom"/>
            <w:tcBorders>
              <w:top w:val="single" w:sz="8" w:color="0000FF"/>
            </w:tcBorders>
            <w:shd w:val="clear" w:color="auto" w:fill="DBDBDB"/>
          </w:tcPr>
          <w:p>
            <w:pPr>
              <w:spacing w:after="0"/>
              <w:rPr>
                <w:sz w:val="4"/>
                <w:szCs w:val="4"/>
                <w:color w:val="auto"/>
              </w:rPr>
            </w:pPr>
          </w:p>
        </w:tc>
        <w:tc>
          <w:tcPr>
            <w:tcW w:w="100" w:type="dxa"/>
            <w:vAlign w:val="bottom"/>
            <w:tcBorders>
              <w:top w:val="single" w:sz="8" w:color="0000FF"/>
            </w:tcBorders>
            <w:shd w:val="clear" w:color="auto" w:fill="DBDBDB"/>
          </w:tcPr>
          <w:p>
            <w:pPr>
              <w:spacing w:after="0"/>
              <w:rPr>
                <w:sz w:val="4"/>
                <w:szCs w:val="4"/>
                <w:color w:val="auto"/>
              </w:rPr>
            </w:pPr>
          </w:p>
        </w:tc>
        <w:tc>
          <w:tcPr>
            <w:tcW w:w="320" w:type="dxa"/>
            <w:vAlign w:val="bottom"/>
            <w:tcBorders>
              <w:top w:val="single" w:sz="8" w:color="0000FF"/>
            </w:tcBorders>
            <w:shd w:val="clear" w:color="auto" w:fill="DBDBDB"/>
          </w:tcPr>
          <w:p>
            <w:pPr>
              <w:spacing w:after="0"/>
              <w:rPr>
                <w:sz w:val="4"/>
                <w:szCs w:val="4"/>
                <w:color w:val="auto"/>
              </w:rPr>
            </w:pPr>
          </w:p>
        </w:tc>
        <w:tc>
          <w:tcPr>
            <w:tcW w:w="140" w:type="dxa"/>
            <w:vAlign w:val="bottom"/>
            <w:tcBorders>
              <w:top w:val="single" w:sz="8" w:color="0000FF"/>
            </w:tcBorders>
            <w:shd w:val="clear" w:color="auto" w:fill="DBDBDB"/>
          </w:tcPr>
          <w:p>
            <w:pPr>
              <w:spacing w:after="0"/>
              <w:rPr>
                <w:sz w:val="4"/>
                <w:szCs w:val="4"/>
                <w:color w:val="auto"/>
              </w:rPr>
            </w:pPr>
          </w:p>
        </w:tc>
        <w:tc>
          <w:tcPr>
            <w:tcW w:w="120" w:type="dxa"/>
            <w:vAlign w:val="bottom"/>
            <w:tcBorders>
              <w:top w:val="single" w:sz="8" w:color="0000FF"/>
            </w:tcBorders>
            <w:shd w:val="clear" w:color="auto" w:fill="DBDBDB"/>
          </w:tcPr>
          <w:p>
            <w:pPr>
              <w:spacing w:after="0"/>
              <w:rPr>
                <w:sz w:val="4"/>
                <w:szCs w:val="4"/>
                <w:color w:val="auto"/>
              </w:rPr>
            </w:pPr>
          </w:p>
        </w:tc>
        <w:tc>
          <w:tcPr>
            <w:tcW w:w="2520" w:type="dxa"/>
            <w:vAlign w:val="bottom"/>
            <w:tcBorders>
              <w:top w:val="single" w:sz="8" w:color="0000FF"/>
            </w:tcBorders>
            <w:shd w:val="clear" w:color="auto" w:fill="DBDBDB"/>
          </w:tcPr>
          <w:p>
            <w:pPr>
              <w:spacing w:after="0"/>
              <w:rPr>
                <w:sz w:val="4"/>
                <w:szCs w:val="4"/>
                <w:color w:val="auto"/>
              </w:rPr>
            </w:pPr>
          </w:p>
        </w:tc>
        <w:tc>
          <w:tcPr>
            <w:tcW w:w="60" w:type="dxa"/>
            <w:vAlign w:val="bottom"/>
            <w:tcBorders>
              <w:top w:val="single" w:sz="8" w:color="0000FF"/>
            </w:tcBorders>
            <w:shd w:val="clear" w:color="auto" w:fill="DBDBDB"/>
          </w:tcPr>
          <w:p>
            <w:pPr>
              <w:spacing w:after="0"/>
              <w:rPr>
                <w:sz w:val="4"/>
                <w:szCs w:val="4"/>
                <w:color w:val="auto"/>
              </w:rPr>
            </w:pPr>
          </w:p>
        </w:tc>
        <w:tc>
          <w:tcPr>
            <w:tcW w:w="580" w:type="dxa"/>
            <w:vAlign w:val="bottom"/>
            <w:tcBorders>
              <w:top w:val="single" w:sz="8" w:color="0000FF"/>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60" w:type="dxa"/>
            <w:vAlign w:val="bottom"/>
          </w:tcPr>
          <w:p>
            <w:pPr>
              <w:spacing w:after="0"/>
              <w:rPr>
                <w:sz w:val="17"/>
                <w:szCs w:val="17"/>
                <w:color w:val="auto"/>
              </w:rPr>
            </w:pPr>
          </w:p>
        </w:tc>
        <w:tc>
          <w:tcPr>
            <w:tcW w:w="8960" w:type="dxa"/>
            <w:vAlign w:val="bottom"/>
            <w:tcBorders>
              <w:bottom w:val="single" w:sz="8" w:color="0000FF"/>
            </w:tcBorders>
            <w:gridSpan w:val="14"/>
          </w:tcPr>
          <w:p>
            <w:pPr>
              <w:spacing w:after="0" w:line="20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By-Laws of the Registrant (incorporated by reference to Exhibit 3 of the Registrant’s Current Report on Form 8-K</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880" w:type="dxa"/>
            <w:vAlign w:val="bottom"/>
            <w:vMerge w:val="continue"/>
          </w:tcPr>
          <w:p>
            <w:pPr>
              <w:spacing w:after="0"/>
              <w:rPr>
                <w:sz w:val="11"/>
                <w:szCs w:val="11"/>
                <w:color w:val="auto"/>
              </w:rPr>
            </w:pPr>
          </w:p>
        </w:tc>
        <w:tc>
          <w:tcPr>
            <w:tcW w:w="9360" w:type="dxa"/>
            <w:vAlign w:val="bottom"/>
            <w:gridSpan w:val="19"/>
            <w:vMerge w:val="restart"/>
          </w:tcPr>
          <w:p>
            <w:pPr>
              <w:ind w:left="60"/>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93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80" w:type="dxa"/>
            <w:vAlign w:val="bottom"/>
            <w:tcBorders>
              <w:bottom w:val="single" w:sz="8" w:color="DBDBDB"/>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4(a)</w:t>
            </w:r>
          </w:p>
        </w:tc>
        <w:tc>
          <w:tcPr>
            <w:tcW w:w="60" w:type="dxa"/>
            <w:vAlign w:val="bottom"/>
            <w:tcBorders>
              <w:bottom w:val="single" w:sz="8" w:color="DBDBDB"/>
            </w:tcBorders>
            <w:shd w:val="clear" w:color="auto" w:fill="DBDBDB"/>
          </w:tcPr>
          <w:p>
            <w:pPr>
              <w:spacing w:after="0"/>
              <w:rPr>
                <w:sz w:val="17"/>
                <w:szCs w:val="17"/>
                <w:color w:val="auto"/>
              </w:rPr>
            </w:pPr>
          </w:p>
        </w:tc>
        <w:tc>
          <w:tcPr>
            <w:tcW w:w="9200" w:type="dxa"/>
            <w:vAlign w:val="bottom"/>
            <w:tcBorders>
              <w:bottom w:val="single" w:sz="8" w:color="0000FF"/>
            </w:tcBorders>
            <w:gridSpan w:val="16"/>
            <w:shd w:val="clear" w:color="auto" w:fill="DBDBDB"/>
          </w:tcPr>
          <w:p>
            <w:pPr>
              <w:spacing w:after="0" w:line="20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Officers’ Certificate, dated May 18, 2023 (incorporated by reference to Exhibit 4.1 of the Registrant’s Current Report</w:t>
              </w:r>
            </w:hyperlink>
          </w:p>
        </w:tc>
        <w:tc>
          <w:tcPr>
            <w:tcW w:w="100" w:type="dxa"/>
            <w:vAlign w:val="bottom"/>
            <w:tcBorders>
              <w:bottom w:val="single" w:sz="8" w:color="DBDBDB"/>
            </w:tcBorders>
            <w:gridSpan w:val="2"/>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80" w:type="dxa"/>
            <w:vAlign w:val="bottom"/>
            <w:vMerge w:val="continue"/>
            <w:shd w:val="clear" w:color="auto" w:fill="DBDBDB"/>
          </w:tcPr>
          <w:p>
            <w:pPr>
              <w:spacing w:after="0"/>
              <w:rPr>
                <w:sz w:val="11"/>
                <w:szCs w:val="11"/>
                <w:color w:val="auto"/>
              </w:rPr>
            </w:pPr>
          </w:p>
        </w:tc>
        <w:tc>
          <w:tcPr>
            <w:tcW w:w="60" w:type="dxa"/>
            <w:vAlign w:val="bottom"/>
            <w:vMerge w:val="restart"/>
            <w:shd w:val="clear" w:color="auto" w:fill="DBDBDB"/>
          </w:tcPr>
          <w:p>
            <w:pPr>
              <w:spacing w:after="0"/>
              <w:rPr>
                <w:sz w:val="11"/>
                <w:szCs w:val="11"/>
                <w:color w:val="auto"/>
              </w:rPr>
            </w:pPr>
          </w:p>
        </w:tc>
        <w:tc>
          <w:tcPr>
            <w:tcW w:w="9300" w:type="dxa"/>
            <w:vAlign w:val="bottom"/>
            <w:gridSpan w:val="18"/>
            <w:vMerge w:val="restart"/>
            <w:shd w:val="clear" w:color="auto" w:fill="DBDBDB"/>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on Form 8-K filed May 18, 2023).</w:t>
              </w:r>
            </w:hyperlink>
          </w:p>
        </w:tc>
        <w:tc>
          <w:tcPr>
            <w:tcW w:w="0" w:type="dxa"/>
            <w:vAlign w:val="bottom"/>
          </w:tcPr>
          <w:p>
            <w:pPr>
              <w:spacing w:after="0"/>
              <w:rPr>
                <w:sz w:val="1"/>
                <w:szCs w:val="1"/>
                <w:color w:val="auto"/>
              </w:rPr>
            </w:pPr>
          </w:p>
        </w:tc>
      </w:tr>
      <w:tr>
        <w:trPr>
          <w:trHeight w:val="67"/>
        </w:trPr>
        <w:tc>
          <w:tcPr>
            <w:tcW w:w="1880" w:type="dxa"/>
            <w:vAlign w:val="bottom"/>
            <w:shd w:val="clear" w:color="auto" w:fill="DBDBDB"/>
          </w:tcPr>
          <w:p>
            <w:pPr>
              <w:spacing w:after="0"/>
              <w:rPr>
                <w:sz w:val="5"/>
                <w:szCs w:val="5"/>
                <w:color w:val="auto"/>
              </w:rPr>
            </w:pPr>
          </w:p>
        </w:tc>
        <w:tc>
          <w:tcPr>
            <w:tcW w:w="60" w:type="dxa"/>
            <w:vAlign w:val="bottom"/>
            <w:vMerge w:val="continue"/>
            <w:shd w:val="clear" w:color="auto" w:fill="DBDBDB"/>
          </w:tcPr>
          <w:p>
            <w:pPr>
              <w:spacing w:after="0"/>
              <w:rPr>
                <w:sz w:val="5"/>
                <w:szCs w:val="5"/>
                <w:color w:val="auto"/>
              </w:rPr>
            </w:pPr>
          </w:p>
        </w:tc>
        <w:tc>
          <w:tcPr>
            <w:tcW w:w="9300" w:type="dxa"/>
            <w:vAlign w:val="bottom"/>
            <w:gridSpan w:val="18"/>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900" w:type="dxa"/>
            <w:vAlign w:val="bottom"/>
            <w:tcBorders>
              <w:top w:val="single" w:sz="8" w:color="0000FF"/>
            </w:tcBorders>
            <w:shd w:val="clear" w:color="auto" w:fill="DBDBDB"/>
          </w:tcPr>
          <w:p>
            <w:pPr>
              <w:spacing w:after="0"/>
              <w:rPr>
                <w:sz w:val="4"/>
                <w:szCs w:val="4"/>
                <w:color w:val="auto"/>
              </w:rPr>
            </w:pPr>
          </w:p>
        </w:tc>
        <w:tc>
          <w:tcPr>
            <w:tcW w:w="740" w:type="dxa"/>
            <w:vAlign w:val="bottom"/>
            <w:tcBorders>
              <w:top w:val="single" w:sz="8" w:color="0000FF"/>
            </w:tcBorders>
            <w:shd w:val="clear" w:color="auto" w:fill="DBDBDB"/>
          </w:tcPr>
          <w:p>
            <w:pPr>
              <w:spacing w:after="0"/>
              <w:rPr>
                <w:sz w:val="4"/>
                <w:szCs w:val="4"/>
                <w:color w:val="auto"/>
              </w:rPr>
            </w:pPr>
          </w:p>
        </w:tc>
        <w:tc>
          <w:tcPr>
            <w:tcW w:w="128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31(a)</w:t>
            </w:r>
          </w:p>
        </w:tc>
        <w:tc>
          <w:tcPr>
            <w:tcW w:w="60" w:type="dxa"/>
            <w:vAlign w:val="bottom"/>
          </w:tcPr>
          <w:p>
            <w:pPr>
              <w:spacing w:after="0"/>
              <w:rPr>
                <w:sz w:val="17"/>
                <w:szCs w:val="17"/>
                <w:color w:val="auto"/>
              </w:rPr>
            </w:pPr>
          </w:p>
        </w:tc>
        <w:tc>
          <w:tcPr>
            <w:tcW w:w="9300" w:type="dxa"/>
            <w:vAlign w:val="bottom"/>
            <w:gridSpan w:val="18"/>
          </w:tcPr>
          <w:p>
            <w:pPr>
              <w:spacing w:after="0" w:line="202" w:lineRule="exact"/>
              <w:rPr>
                <w:sz w:val="20"/>
                <w:szCs w:val="20"/>
                <w:color w:val="auto"/>
              </w:rPr>
            </w:pPr>
            <w:r>
              <w:rPr>
                <w:rFonts w:ascii="Arial" w:cs="Arial" w:eastAsia="Arial" w:hAnsi="Arial"/>
                <w:sz w:val="18"/>
                <w:szCs w:val="18"/>
                <w:color w:val="0000FF"/>
              </w:rPr>
              <w:t>Certification of Chief Executive Officer of Periodic Report Pursuant to Rule 13a-14(a) or Rule 15d-14(a).†</w:t>
            </w: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31(b)</w:t>
            </w:r>
          </w:p>
        </w:tc>
        <w:tc>
          <w:tcPr>
            <w:tcW w:w="60" w:type="dxa"/>
            <w:vAlign w:val="bottom"/>
            <w:tcBorders>
              <w:bottom w:val="single" w:sz="8" w:color="DBDBDB"/>
            </w:tcBorders>
            <w:shd w:val="clear" w:color="auto" w:fill="DBDBDB"/>
          </w:tcPr>
          <w:p>
            <w:pPr>
              <w:spacing w:after="0"/>
              <w:rPr>
                <w:sz w:val="21"/>
                <w:szCs w:val="21"/>
                <w:color w:val="auto"/>
              </w:rPr>
            </w:pPr>
          </w:p>
        </w:tc>
        <w:tc>
          <w:tcPr>
            <w:tcW w:w="830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Financial Officer of Periodic Report Pursuant to Rule 13a-14(a) or Rule 15d-14(a).†</w:t>
            </w:r>
          </w:p>
        </w:tc>
        <w:tc>
          <w:tcPr>
            <w:tcW w:w="1000" w:type="dxa"/>
            <w:vAlign w:val="bottom"/>
            <w:tcBorders>
              <w:bottom w:val="single" w:sz="8" w:color="DBDBDB"/>
            </w:tcBorders>
            <w:gridSpan w:val="6"/>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32(a)</w:t>
            </w:r>
          </w:p>
        </w:tc>
        <w:tc>
          <w:tcPr>
            <w:tcW w:w="9360" w:type="dxa"/>
            <w:vAlign w:val="bottom"/>
            <w:gridSpan w:val="19"/>
          </w:tcPr>
          <w:p>
            <w:pPr>
              <w:ind w:left="60"/>
              <w:spacing w:after="0" w:line="202" w:lineRule="exact"/>
              <w:rPr>
                <w:sz w:val="20"/>
                <w:szCs w:val="20"/>
                <w:color w:val="auto"/>
              </w:rPr>
            </w:pPr>
            <w:r>
              <w:rPr>
                <w:rFonts w:ascii="Arial" w:cs="Arial" w:eastAsia="Arial" w:hAnsi="Arial"/>
                <w:sz w:val="18"/>
                <w:szCs w:val="18"/>
                <w:color w:val="0000FF"/>
              </w:rPr>
              <w:t>Certification by Chief Executive Officer of Periodic Report Pursuant to 18 U.S.C. Section 1350.†</w:t>
            </w: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32(b)</w:t>
            </w:r>
          </w:p>
        </w:tc>
        <w:tc>
          <w:tcPr>
            <w:tcW w:w="60" w:type="dxa"/>
            <w:vAlign w:val="bottom"/>
            <w:tcBorders>
              <w:bottom w:val="single" w:sz="8" w:color="DBDBDB"/>
            </w:tcBorders>
            <w:shd w:val="clear" w:color="auto" w:fill="DBDBDB"/>
          </w:tcPr>
          <w:p>
            <w:pPr>
              <w:spacing w:after="0"/>
              <w:rPr>
                <w:sz w:val="21"/>
                <w:szCs w:val="21"/>
                <w:color w:val="auto"/>
              </w:rPr>
            </w:pPr>
          </w:p>
        </w:tc>
        <w:tc>
          <w:tcPr>
            <w:tcW w:w="756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Financial Officer of Periodic Report Pursuant to 18 U.S.C. Section 1350.†</w:t>
            </w:r>
          </w:p>
        </w:tc>
        <w:tc>
          <w:tcPr>
            <w:tcW w:w="1740" w:type="dxa"/>
            <w:vAlign w:val="bottom"/>
            <w:tcBorders>
              <w:bottom w:val="single" w:sz="8" w:color="DBDBDB"/>
            </w:tcBorders>
            <w:gridSpan w:val="9"/>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101.ins</w:t>
            </w:r>
          </w:p>
        </w:tc>
        <w:tc>
          <w:tcPr>
            <w:tcW w:w="60" w:type="dxa"/>
            <w:vAlign w:val="bottom"/>
          </w:tcPr>
          <w:p>
            <w:pPr>
              <w:spacing w:after="0"/>
              <w:rPr>
                <w:sz w:val="17"/>
                <w:szCs w:val="17"/>
                <w:color w:val="auto"/>
              </w:rPr>
            </w:pPr>
          </w:p>
        </w:tc>
        <w:tc>
          <w:tcPr>
            <w:tcW w:w="9060" w:type="dxa"/>
            <w:vAlign w:val="bottom"/>
            <w:tcBorders>
              <w:bottom w:val="single" w:sz="8" w:color="auto"/>
            </w:tcBorders>
            <w:gridSpan w:val="15"/>
          </w:tcPr>
          <w:p>
            <w:pPr>
              <w:spacing w:after="0" w:line="202"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w:t>
            </w: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880" w:type="dxa"/>
            <w:vAlign w:val="bottom"/>
            <w:vMerge w:val="continue"/>
          </w:tcPr>
          <w:p>
            <w:pPr>
              <w:spacing w:after="0"/>
              <w:rPr>
                <w:sz w:val="11"/>
                <w:szCs w:val="11"/>
                <w:color w:val="auto"/>
              </w:rPr>
            </w:pPr>
          </w:p>
        </w:tc>
        <w:tc>
          <w:tcPr>
            <w:tcW w:w="9360" w:type="dxa"/>
            <w:vAlign w:val="bottom"/>
            <w:gridSpan w:val="19"/>
            <w:vMerge w:val="restart"/>
          </w:tcPr>
          <w:p>
            <w:pPr>
              <w:ind w:left="60"/>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67"/>
        </w:trPr>
        <w:tc>
          <w:tcPr>
            <w:tcW w:w="1880" w:type="dxa"/>
            <w:vAlign w:val="bottom"/>
          </w:tcPr>
          <w:p>
            <w:pPr>
              <w:spacing w:after="0"/>
              <w:rPr>
                <w:sz w:val="5"/>
                <w:szCs w:val="5"/>
                <w:color w:val="auto"/>
              </w:rPr>
            </w:pPr>
          </w:p>
        </w:tc>
        <w:tc>
          <w:tcPr>
            <w:tcW w:w="93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60" w:type="dxa"/>
            <w:vAlign w:val="bottom"/>
            <w:tcBorders>
              <w:bottom w:val="single" w:sz="8" w:color="DBDBDB"/>
            </w:tcBorders>
            <w:shd w:val="clear" w:color="auto" w:fill="DBDBDB"/>
          </w:tcPr>
          <w:p>
            <w:pPr>
              <w:spacing w:after="0"/>
              <w:rPr>
                <w:sz w:val="21"/>
                <w:szCs w:val="21"/>
                <w:color w:val="auto"/>
              </w:rPr>
            </w:pPr>
          </w:p>
        </w:tc>
        <w:tc>
          <w:tcPr>
            <w:tcW w:w="4780" w:type="dxa"/>
            <w:vAlign w:val="bottom"/>
            <w:tcBorders>
              <w:bottom w:val="single" w:sz="8" w:color="auto"/>
            </w:tcBorders>
            <w:gridSpan w:val="6"/>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Definition Linkbase Document.†</w:t>
            </w:r>
          </w:p>
        </w:tc>
        <w:tc>
          <w:tcPr>
            <w:tcW w:w="452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rPr>
              <w:t>101.sch</w:t>
            </w:r>
          </w:p>
        </w:tc>
        <w:tc>
          <w:tcPr>
            <w:tcW w:w="9360" w:type="dxa"/>
            <w:vAlign w:val="bottom"/>
            <w:gridSpan w:val="19"/>
          </w:tcPr>
          <w:p>
            <w:pPr>
              <w:ind w:left="60"/>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101.cal</w:t>
            </w:r>
          </w:p>
        </w:tc>
        <w:tc>
          <w:tcPr>
            <w:tcW w:w="60" w:type="dxa"/>
            <w:vAlign w:val="bottom"/>
            <w:tcBorders>
              <w:bottom w:val="single" w:sz="8" w:color="DBDBDB"/>
            </w:tcBorders>
            <w:shd w:val="clear" w:color="auto" w:fill="DBDBDB"/>
          </w:tcPr>
          <w:p>
            <w:pPr>
              <w:spacing w:after="0"/>
              <w:rPr>
                <w:sz w:val="21"/>
                <w:szCs w:val="21"/>
                <w:color w:val="auto"/>
              </w:rPr>
            </w:pPr>
          </w:p>
        </w:tc>
        <w:tc>
          <w:tcPr>
            <w:tcW w:w="4920" w:type="dxa"/>
            <w:vAlign w:val="bottom"/>
            <w:tcBorders>
              <w:bottom w:val="single" w:sz="8" w:color="auto"/>
            </w:tcBorders>
            <w:gridSpan w:val="7"/>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Calculation Linkbase Document.†</w:t>
            </w:r>
          </w:p>
        </w:tc>
        <w:tc>
          <w:tcPr>
            <w:tcW w:w="4380" w:type="dxa"/>
            <w:vAlign w:val="bottom"/>
            <w:tcBorders>
              <w:bottom w:val="single" w:sz="8" w:color="DBDBDB"/>
            </w:tcBorders>
            <w:gridSpan w:val="11"/>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rPr>
              <w:t>101.lab</w:t>
            </w:r>
          </w:p>
        </w:tc>
        <w:tc>
          <w:tcPr>
            <w:tcW w:w="9360" w:type="dxa"/>
            <w:vAlign w:val="bottom"/>
            <w:gridSpan w:val="19"/>
          </w:tcPr>
          <w:p>
            <w:pPr>
              <w:ind w:left="60"/>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8"/>
              </w:rPr>
              <w:t>101.pre</w:t>
            </w:r>
          </w:p>
        </w:tc>
        <w:tc>
          <w:tcPr>
            <w:tcW w:w="9360" w:type="dxa"/>
            <w:vAlign w:val="bottom"/>
            <w:gridSpan w:val="19"/>
            <w:shd w:val="clear" w:color="auto" w:fill="DBDBDB"/>
          </w:tcPr>
          <w:p>
            <w:pPr>
              <w:ind w:left="60"/>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8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900" w:type="dxa"/>
            <w:vAlign w:val="bottom"/>
            <w:tcBorders>
              <w:top w:val="single" w:sz="8" w:color="auto"/>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128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940" w:hanging="1169"/>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35"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4" w:lineRule="exact"/>
        <w:rPr>
          <w:sz w:val="20"/>
          <w:szCs w:val="20"/>
          <w:color w:val="auto"/>
        </w:rPr>
      </w:pPr>
    </w:p>
    <w:p>
      <w:pPr>
        <w:ind w:left="620" w:right="32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5" w:lineRule="exact"/>
        <w:rPr>
          <w:rFonts w:ascii="Arial" w:cs="Arial" w:eastAsia="Arial" w:hAnsi="Arial"/>
          <w:sz w:val="18"/>
          <w:szCs w:val="18"/>
          <w:color w:val="auto"/>
        </w:rPr>
      </w:pPr>
    </w:p>
    <w:p>
      <w:pPr>
        <w:ind w:left="620" w:right="40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65" w:lineRule="exact"/>
        <w:rPr>
          <w:rFonts w:ascii="Arial" w:cs="Arial" w:eastAsia="Arial" w:hAnsi="Arial"/>
          <w:sz w:val="18"/>
          <w:szCs w:val="18"/>
          <w:color w:val="auto"/>
        </w:rPr>
      </w:pPr>
    </w:p>
    <w:p>
      <w:pPr>
        <w:ind w:left="620" w:hanging="32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2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65" w:lineRule="exact"/>
        <w:rPr>
          <w:rFonts w:ascii="Arial" w:cs="Arial" w:eastAsia="Arial" w:hAnsi="Arial"/>
          <w:sz w:val="18"/>
          <w:szCs w:val="18"/>
          <w:color w:val="auto"/>
        </w:rPr>
      </w:pPr>
    </w:p>
    <w:p>
      <w:pPr>
        <w:ind w:left="620" w:right="20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5" w:lineRule="exact"/>
        <w:rPr>
          <w:rFonts w:ascii="Arial" w:cs="Arial" w:eastAsia="Arial" w:hAnsi="Arial"/>
          <w:sz w:val="18"/>
          <w:szCs w:val="18"/>
          <w:color w:val="auto"/>
        </w:rPr>
      </w:pPr>
    </w:p>
    <w:p>
      <w:pPr>
        <w:ind w:left="620" w:right="240" w:hanging="328"/>
        <w:spacing w:after="0" w:line="263"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75" w:lineRule="exact"/>
        <w:rPr>
          <w:rFonts w:ascii="Arial" w:cs="Arial" w:eastAsia="Arial" w:hAnsi="Arial"/>
          <w:sz w:val="18"/>
          <w:szCs w:val="18"/>
          <w:color w:val="auto"/>
        </w:rPr>
      </w:pPr>
    </w:p>
    <w:p>
      <w:pPr>
        <w:ind w:left="620" w:right="14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5" w:lineRule="exact"/>
        <w:rPr>
          <w:rFonts w:ascii="Arial" w:cs="Arial" w:eastAsia="Arial" w:hAnsi="Arial"/>
          <w:sz w:val="18"/>
          <w:szCs w:val="18"/>
          <w:color w:val="auto"/>
        </w:rPr>
      </w:pPr>
    </w:p>
    <w:p>
      <w:pPr>
        <w:ind w:left="620" w:right="58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65" w:lineRule="exact"/>
        <w:rPr>
          <w:rFonts w:ascii="Arial" w:cs="Arial" w:eastAsia="Arial" w:hAnsi="Arial"/>
          <w:sz w:val="18"/>
          <w:szCs w:val="18"/>
          <w:color w:val="auto"/>
        </w:rPr>
      </w:pPr>
    </w:p>
    <w:p>
      <w:pPr>
        <w:ind w:left="620" w:hanging="32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18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5" w:lineRule="exact"/>
        <w:rPr>
          <w:rFonts w:ascii="Arial" w:cs="Arial" w:eastAsia="Arial" w:hAnsi="Arial"/>
          <w:sz w:val="18"/>
          <w:szCs w:val="18"/>
          <w:color w:val="auto"/>
        </w:rPr>
      </w:pPr>
    </w:p>
    <w:p>
      <w:pPr>
        <w:jc w:val="both"/>
        <w:ind w:left="620" w:right="660" w:hanging="328"/>
        <w:spacing w:after="0" w:line="306"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1" w:lineRule="exact"/>
        <w:rPr>
          <w:rFonts w:ascii="Arial" w:cs="Arial" w:eastAsia="Arial" w:hAnsi="Arial"/>
          <w:sz w:val="17"/>
          <w:szCs w:val="17"/>
          <w:color w:val="auto"/>
        </w:rPr>
      </w:pPr>
    </w:p>
    <w:p>
      <w:pPr>
        <w:ind w:left="620" w:right="300" w:hanging="328"/>
        <w:spacing w:after="0" w:line="263"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75" w:lineRule="exact"/>
        <w:rPr>
          <w:rFonts w:ascii="Arial" w:cs="Arial" w:eastAsia="Arial" w:hAnsi="Arial"/>
          <w:sz w:val="18"/>
          <w:szCs w:val="18"/>
          <w:color w:val="auto"/>
        </w:rPr>
      </w:pPr>
    </w:p>
    <w:p>
      <w:pPr>
        <w:ind w:left="620" w:right="64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65" w:lineRule="exact"/>
        <w:rPr>
          <w:rFonts w:ascii="Arial" w:cs="Arial" w:eastAsia="Arial" w:hAnsi="Arial"/>
          <w:sz w:val="18"/>
          <w:szCs w:val="18"/>
          <w:color w:val="auto"/>
        </w:rPr>
      </w:pPr>
    </w:p>
    <w:p>
      <w:pPr>
        <w:ind w:left="620" w:hanging="32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4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5" w:lineRule="exact"/>
        <w:rPr>
          <w:rFonts w:ascii="Arial" w:cs="Arial" w:eastAsia="Arial" w:hAnsi="Arial"/>
          <w:sz w:val="18"/>
          <w:szCs w:val="18"/>
          <w:color w:val="auto"/>
        </w:rPr>
      </w:pPr>
    </w:p>
    <w:p>
      <w:pPr>
        <w:ind w:left="620" w:right="120" w:hanging="328"/>
        <w:spacing w:after="0" w:line="275"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5" w:lineRule="exact"/>
        <w:rPr>
          <w:rFonts w:ascii="Arial" w:cs="Arial" w:eastAsia="Arial" w:hAnsi="Arial"/>
          <w:sz w:val="18"/>
          <w:szCs w:val="18"/>
          <w:color w:val="auto"/>
        </w:rPr>
      </w:pPr>
    </w:p>
    <w:p>
      <w:pPr>
        <w:ind w:left="620" w:hanging="32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7" w:name="page28"/>
    <w:bookmarkEnd w:id="27"/>
    <w:p>
      <w:pPr>
        <w:ind w:left="620" w:hanging="32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04" w:right="51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29571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ectPr>
          <w:pgSz w:w="11900" w:h="16838" w:orient="portrait"/>
          <w:cols w:equalWidth="0" w:num="1">
            <w:col w:w="11180"/>
          </w:cols>
          <w:pgMar w:left="320" w:top="896" w:right="3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00" w:right="240" w:hanging="492"/>
        <w:spacing w:after="0" w:line="274"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7"/>
          <w:szCs w:val="17"/>
          <w:color w:val="auto"/>
        </w:rPr>
      </w:pPr>
    </w:p>
    <w:p>
      <w:pPr>
        <w:jc w:val="both"/>
        <w:ind w:left="500" w:right="280" w:hanging="492"/>
        <w:spacing w:after="0" w:line="22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486"/>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6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3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jc w:val="center"/>
        <w:ind w:left="8120"/>
        <w:spacing w:after="0" w:line="219" w:lineRule="auto"/>
        <w:rPr>
          <w:sz w:val="20"/>
          <w:szCs w:val="20"/>
          <w:color w:val="auto"/>
        </w:rPr>
      </w:pPr>
      <w:r>
        <w:rPr>
          <w:rFonts w:ascii="Arial" w:cs="Arial" w:eastAsia="Arial" w:hAnsi="Arial"/>
          <w:sz w:val="18"/>
          <w:szCs w:val="18"/>
          <w:color w:val="auto"/>
        </w:rPr>
        <w:t>President and</w:t>
      </w:r>
    </w:p>
    <w:p>
      <w:pPr>
        <w:jc w:val="center"/>
        <w:ind w:left="8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00" w:right="240" w:hanging="492"/>
        <w:spacing w:after="0" w:line="274"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7"/>
          <w:szCs w:val="17"/>
          <w:color w:val="auto"/>
        </w:rPr>
      </w:pPr>
    </w:p>
    <w:p>
      <w:pPr>
        <w:jc w:val="both"/>
        <w:ind w:left="500" w:right="280" w:hanging="492"/>
        <w:spacing w:after="0" w:line="22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486"/>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2023</w:t>
      </w:r>
    </w:p>
    <w:p>
      <w:pPr>
        <w:spacing w:after="0" w:line="26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3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Rafael R.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Haviv Ilan, President and Chief Executive Officer of Texas Instruments Incorporated (the “Company”), hereby certifies that, to his knowledge:</w:t>
      </w:r>
    </w:p>
    <w:p>
      <w:pPr>
        <w:spacing w:after="0" w:line="146" w:lineRule="exact"/>
        <w:rPr>
          <w:sz w:val="20"/>
          <w:szCs w:val="20"/>
          <w:color w:val="auto"/>
        </w:rPr>
      </w:pPr>
    </w:p>
    <w:p>
      <w:pPr>
        <w:ind w:right="160" w:firstLine="494"/>
        <w:spacing w:after="0" w:line="34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2023,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26, 2023</w:t>
      </w:r>
    </w:p>
    <w:p>
      <w:pPr>
        <w:spacing w:after="0" w:line="3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3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4"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jc w:val="center"/>
        <w:ind w:left="8120"/>
        <w:spacing w:after="0" w:line="203" w:lineRule="auto"/>
        <w:rPr>
          <w:sz w:val="20"/>
          <w:szCs w:val="20"/>
          <w:color w:val="auto"/>
        </w:rPr>
      </w:pPr>
      <w:r>
        <w:rPr>
          <w:rFonts w:ascii="Arial" w:cs="Arial" w:eastAsia="Arial" w:hAnsi="Arial"/>
          <w:sz w:val="18"/>
          <w:szCs w:val="18"/>
          <w:color w:val="auto"/>
        </w:rPr>
        <w:t>President and</w:t>
      </w:r>
    </w:p>
    <w:p>
      <w:pPr>
        <w:jc w:val="center"/>
        <w:ind w:left="8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160" w:firstLine="494"/>
        <w:spacing w:after="0" w:line="34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2023,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26, 2023</w:t>
      </w:r>
    </w:p>
    <w:p>
      <w:pPr>
        <w:spacing w:after="0" w:line="3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34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4"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
    </w:lvl>
    <w:lvl w:ilvl="1">
      <w:lvlJc w:val="left"/>
      <w:lvlText w:val="%2."/>
      <w:numFmt w:val="lowerRoman"/>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6" Type="http://schemas.openxmlformats.org/officeDocument/2006/relationships/hyperlink" Target="http://www.sec.gov/Archives/edgar/data/97476/000009747615000003/txn-12312014xexhibit3a.htm" TargetMode="External"/><Relationship Id="rId47" Type="http://schemas.openxmlformats.org/officeDocument/2006/relationships/hyperlink" Target="https://www.sec.gov/Archives/edgar/data/97476/000119312522018409/d252810dex3.htm" TargetMode="External"/><Relationship Id="rId48" Type="http://schemas.openxmlformats.org/officeDocument/2006/relationships/hyperlink" Target="https://www.sec.gov/Archives/edgar/data/97476/000119312523148183/d46824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2023-07-26T08:36:48Z</dcterms:created>
  <dcterms:modified xsi:type="dcterms:W3CDTF">2023-07-26T08:36:48Z</dcterms:modified>
</cp:coreProperties>
</file>