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401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013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RITCHIE KEVIN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01/26/2012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01/26/2012</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2"/>
              </w:rPr>
              <w:t>58,334</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315,119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3,110.51</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5,298.86</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32.36</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01/26/2012</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175,000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01/26/2022</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175,000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175,000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48" w:lineRule="exact"/>
        <w:rPr>
          <w:rFonts w:ascii="Arial" w:cs="Arial" w:eastAsia="Arial" w:hAnsi="Arial"/>
          <w:sz w:val="13"/>
          <w:szCs w:val="13"/>
          <w:color w:val="008000"/>
        </w:rPr>
      </w:pPr>
    </w:p>
    <w:p>
      <w:pPr>
        <w:ind w:left="40" w:right="5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12-31-2011. (Interests in this account are denominated in units. Consequently, share amount shown is an estimate.) This statement does not include changes in beneficial ownership of shares held in this account occurring after 12-31-2011 that are eligible for deferred reporting on Form 5.</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12-31-2011. (Interests in this account are denominated in units. Consequently, share amount shown is an estimate.) This statement does not include changes in beneficial ownership of shares held in such account occurring after 12-31-2011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26, 2013.</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01/30/2012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843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2019-12-17T00:16:39Z</dcterms:created>
  <dcterms:modified xsi:type="dcterms:W3CDTF">2019-12-17T00:16:39Z</dcterms:modified>
</cp:coreProperties>
</file>