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382270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401320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left="660" w:right="2360" w:hanging="652"/>
        <w:spacing w:after="0" w:line="53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UNDER SECTION 13 or 15(d) OF THE SECURITIES EXCHANGE ACT OF 1934 For the quarterly period ended March 31, 2009</w:t>
      </w:r>
    </w:p>
    <w:p>
      <w:pPr>
        <w:ind w:left="660" w:right="1600"/>
        <w:spacing w:after="0" w:line="532" w:lineRule="auto"/>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 to 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394970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382270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Delaware</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75-0289970</w:t>
            </w:r>
          </w:p>
        </w:tc>
      </w:tr>
      <w:tr>
        <w:trPr>
          <w:trHeight w:val="234"/>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2"/>
              </w:rPr>
              <w:t>(State of Incorporation)</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657"/>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0"/>
              </w:rPr>
              <w:t>12500 TI Boulevard, P.O. Box 660199, Dallas, Texas</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75266-0199</w:t>
            </w:r>
          </w:p>
        </w:tc>
      </w:tr>
      <w:tr>
        <w:trPr>
          <w:trHeight w:val="234"/>
        </w:trPr>
        <w:tc>
          <w:tcPr>
            <w:tcW w:w="5140" w:type="dxa"/>
            <w:vAlign w:val="bottom"/>
          </w:tcPr>
          <w:p>
            <w:pPr>
              <w:jc w:val="center"/>
              <w:ind w:right="11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4"/>
              </w:rPr>
              <w:t>(Zip Code)</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394970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right="4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S No</w:t>
      </w:r>
    </w:p>
    <w:p>
      <w:pPr>
        <w:spacing w:after="0" w:line="200" w:lineRule="exact"/>
        <w:rPr>
          <w:sz w:val="24"/>
          <w:szCs w:val="24"/>
          <w:color w:val="auto"/>
        </w:rPr>
      </w:pPr>
    </w:p>
    <w:p>
      <w:pPr>
        <w:spacing w:after="0" w:line="25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0" w:lineRule="exact"/>
        <w:rPr>
          <w:sz w:val="24"/>
          <w:szCs w:val="24"/>
          <w:color w:val="auto"/>
        </w:rPr>
      </w:pPr>
    </w:p>
    <w:p>
      <w:pPr>
        <w:spacing w:after="0" w:line="251" w:lineRule="exact"/>
        <w:rPr>
          <w:sz w:val="24"/>
          <w:szCs w:val="24"/>
          <w:color w:val="auto"/>
        </w:rPr>
      </w:pPr>
    </w:p>
    <w:p>
      <w:pPr>
        <w:ind w:left="10360"/>
        <w:spacing w:after="0"/>
        <w:tabs>
          <w:tab w:leader="none" w:pos="109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ectPr>
          <w:pgSz w:w="11900" w:h="16838" w:orient="portrait"/>
          <w:cols w:equalWidth="0" w:num="1">
            <w:col w:w="11420"/>
          </w:cols>
          <w:pgMar w:left="240" w:top="1260" w:right="239" w:bottom="181" w:gutter="0" w:footer="0" w:header="0"/>
        </w:sectPr>
      </w:pPr>
    </w:p>
    <w:bookmarkStart w:id="1" w:name="page2"/>
    <w:bookmarkEnd w:id="1"/>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5" w:right="239" w:bottom="1440" w:gutter="0" w:footer="0" w:header="0"/>
        </w:sectPr>
      </w:pPr>
    </w:p>
    <w:p>
      <w:pPr>
        <w:spacing w:after="0" w:line="174"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Large accelerated filer S Non-accelerated filer</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jc w:val="center"/>
        <w:ind w:right="62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61" w:lineRule="exact"/>
        <w:rPr>
          <w:sz w:val="20"/>
          <w:szCs w:val="20"/>
          <w:color w:val="auto"/>
        </w:rPr>
      </w:pPr>
    </w:p>
    <w:p>
      <w:pPr>
        <w:sectPr>
          <w:pgSz w:w="11900" w:h="16838" w:orient="portrait"/>
          <w:cols w:equalWidth="0" w:num="3">
            <w:col w:w="2260" w:space="720"/>
            <w:col w:w="3960" w:space="720"/>
            <w:col w:w="376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0"/>
          <w:szCs w:val="20"/>
          <w:color w:val="auto"/>
        </w:rPr>
      </w:pPr>
    </w:p>
    <w:p>
      <w:pPr>
        <w:jc w:val="both"/>
        <w:ind w:left="10560"/>
        <w:spacing w:after="0"/>
        <w:tabs>
          <w:tab w:leader="none" w:pos="11040" w:val="left"/>
        </w:tabs>
        <w:rPr>
          <w:sz w:val="20"/>
          <w:szCs w:val="20"/>
          <w:color w:val="auto"/>
        </w:rPr>
      </w:pPr>
      <w:r>
        <w:rPr>
          <w:rFonts w:ascii="Arial" w:cs="Arial" w:eastAsia="Arial" w:hAnsi="Arial"/>
          <w:sz w:val="18"/>
          <w:szCs w:val="18"/>
          <w:color w:val="auto"/>
        </w:rPr>
        <w:t>Yes</w:t>
        <w:tab/>
        <w:t>No 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1,273,453,110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4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869950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rPr>
              <w:t>PART I - FINANCIAL INFORMATION</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w w:val="88"/>
              </w:rPr>
              <w:t>Consolidated Statements of Income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b w:val="1"/>
                <w:bCs w:val="1"/>
                <w:color w:val="auto"/>
                <w:w w:val="89"/>
              </w:rPr>
              <w:t>(Millions of dollars, except share and per-share amounts)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ind w:left="80"/>
              <w:spacing w:after="0"/>
              <w:rPr>
                <w:sz w:val="20"/>
                <w:szCs w:val="20"/>
                <w:color w:val="auto"/>
              </w:rPr>
            </w:pPr>
            <w:r>
              <w:rPr>
                <w:rFonts w:ascii="Arial" w:cs="Arial" w:eastAsia="Arial" w:hAnsi="Arial"/>
                <w:sz w:val="18"/>
                <w:szCs w:val="18"/>
                <w:b w:val="1"/>
                <w:bCs w:val="1"/>
                <w:color w:val="auto"/>
              </w:rPr>
              <w:t>For 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Revenue</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2,086</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 (COR)</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1,280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(R&amp;D)</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386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Selling, general and administrative (SG&amp;A)</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305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.01</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Diluted</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.01</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Average common shares outstanding (millions):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1,275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1,277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Cash dividends declared per share of common stock</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20" w:type="dxa"/>
            <w:vAlign w:val="bottom"/>
            <w:gridSpan w:val="5"/>
          </w:tcPr>
          <w:p>
            <w:pPr>
              <w:jc w:val="right"/>
              <w:spacing w:after="0"/>
              <w:rPr>
                <w:sz w:val="20"/>
                <w:szCs w:val="20"/>
                <w:color w:val="auto"/>
              </w:rPr>
            </w:pPr>
            <w:r>
              <w:rPr>
                <w:rFonts w:ascii="Arial" w:cs="Arial" w:eastAsia="Arial" w:hAnsi="Arial"/>
                <w:sz w:val="18"/>
                <w:szCs w:val="18"/>
                <w:b w:val="1"/>
                <w:bCs w:val="1"/>
                <w:color w:val="auto"/>
              </w:rPr>
              <w:t>For Three Months Ended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8"/>
                <w:szCs w:val="18"/>
                <w:b w:val="1"/>
                <w:bCs w:val="1"/>
                <w:color w:val="auto"/>
                <w:w w:val="98"/>
              </w:rPr>
              <w:t>March 31,</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Net Income</w:t>
            </w:r>
          </w:p>
        </w:tc>
        <w:tc>
          <w:tcPr>
            <w:tcW w:w="296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w:t>
            </w:r>
          </w:p>
        </w:tc>
        <w:tc>
          <w:tcPr>
            <w:tcW w:w="9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Changes in available-for-sale investments:</w:t>
            </w:r>
          </w:p>
        </w:tc>
        <w:tc>
          <w:tcPr>
            <w:tcW w:w="2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Adjustment, net of taxes</w:t>
            </w:r>
          </w:p>
        </w:tc>
        <w:tc>
          <w:tcPr>
            <w:tcW w:w="2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80"/>
              <w:spacing w:after="0"/>
              <w:rPr>
                <w:sz w:val="20"/>
                <w:szCs w:val="20"/>
                <w:color w:val="auto"/>
              </w:rPr>
            </w:pPr>
            <w:r>
              <w:rPr>
                <w:rFonts w:ascii="Arial" w:cs="Arial" w:eastAsia="Arial" w:hAnsi="Arial"/>
                <w:sz w:val="18"/>
                <w:szCs w:val="18"/>
                <w:color w:val="auto"/>
              </w:rPr>
              <w:t>Reclassification of recognized transactions, net of taxes</w:t>
            </w:r>
          </w:p>
        </w:tc>
        <w:tc>
          <w:tcPr>
            <w:tcW w:w="2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Unrecognized net actuarial loss of defined benefit plans:</w:t>
            </w:r>
          </w:p>
        </w:tc>
        <w:tc>
          <w:tcPr>
            <w:tcW w:w="2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80"/>
              <w:spacing w:after="0"/>
              <w:rPr>
                <w:sz w:val="20"/>
                <w:szCs w:val="20"/>
                <w:color w:val="auto"/>
              </w:rPr>
            </w:pPr>
            <w:r>
              <w:rPr>
                <w:rFonts w:ascii="Arial" w:cs="Arial" w:eastAsia="Arial" w:hAnsi="Arial"/>
                <w:sz w:val="18"/>
                <w:szCs w:val="18"/>
                <w:color w:val="auto"/>
              </w:rPr>
              <w:t>Adjustment, net of taxes</w:t>
            </w:r>
          </w:p>
        </w:tc>
        <w:tc>
          <w:tcPr>
            <w:tcW w:w="2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Reclassification of recognized transactions, net of taxes</w:t>
            </w:r>
          </w:p>
        </w:tc>
        <w:tc>
          <w:tcPr>
            <w:tcW w:w="2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Unrecognized prior service cost of defined benefit plans:</w:t>
            </w:r>
          </w:p>
        </w:tc>
        <w:tc>
          <w:tcPr>
            <w:tcW w:w="2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Adjustment, net of taxes</w:t>
            </w:r>
          </w:p>
        </w:tc>
        <w:tc>
          <w:tcPr>
            <w:tcW w:w="2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Total</w:t>
            </w:r>
          </w:p>
        </w:tc>
        <w:tc>
          <w:tcPr>
            <w:tcW w:w="2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49</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96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66</w:t>
            </w:r>
          </w:p>
        </w:tc>
        <w:tc>
          <w:tcPr>
            <w:tcW w:w="9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Current assets:</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1,436</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Short-term investments</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allowances of ($20) and ($30)</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Raw materials</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Finished goods</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1,098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Deferred income taxes</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Total current assets</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5,532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7,030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(3,915)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3,115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Long-term investments</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Capitalized software licenses, net</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Overfunded retirement plans</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assets</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11,520</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Borders>
              <w:top w:val="single" w:sz="8" w:color="CCEEFF"/>
            </w:tcBorders>
          </w:tcPr>
          <w:p>
            <w:pPr>
              <w:spacing w:after="0"/>
              <w:rPr>
                <w:sz w:val="18"/>
                <w:szCs w:val="18"/>
                <w:color w:val="auto"/>
              </w:rPr>
            </w:pPr>
          </w:p>
        </w:tc>
        <w:tc>
          <w:tcPr>
            <w:tcW w:w="38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Current liabilities:</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326</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Accrued profit sharing and retirement</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1,287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4940" w:type="dxa"/>
            <w:vAlign w:val="bottom"/>
            <w:tcBorders>
              <w:top w:val="single" w:sz="8" w:color="CCEEFF"/>
            </w:tcBorders>
          </w:tcPr>
          <w:p>
            <w:pPr>
              <w:spacing w:after="0"/>
              <w:rPr>
                <w:sz w:val="24"/>
                <w:szCs w:val="24"/>
                <w:color w:val="auto"/>
              </w:rPr>
            </w:pPr>
          </w:p>
        </w:tc>
        <w:tc>
          <w:tcPr>
            <w:tcW w:w="3860" w:type="dxa"/>
            <w:vAlign w:val="bottom"/>
            <w:tcBorders>
              <w:top w:val="single" w:sz="8" w:color="CCEEFF"/>
            </w:tcBorders>
          </w:tcPr>
          <w:p>
            <w:pPr>
              <w:jc w:val="right"/>
              <w:ind w:right="297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40" w:type="dxa"/>
            <w:vAlign w:val="bottom"/>
            <w:tcBorders>
              <w:bottom w:val="single" w:sz="8" w:color="808080"/>
            </w:tcBorders>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w w:val="94"/>
              </w:rPr>
              <w:t>Preferred stock, $25 par value. Authorized – 10,000,000 shares. Participating cumulative preferred. None issued.</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Common stock, $1 par value. Authorized – 2,400,000,000 shares. Shares issued: March 31, 2009 -- 1,739,723,261;</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1,740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December 31, 2008 -- 1,739,718,073</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21,043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Pr>
          <w:p>
            <w:pPr>
              <w:ind w:left="160"/>
              <w:spacing w:after="0" w:line="201" w:lineRule="exact"/>
              <w:rPr>
                <w:sz w:val="20"/>
                <w:szCs w:val="20"/>
                <w:color w:val="auto"/>
              </w:rPr>
            </w:pPr>
            <w:r>
              <w:rPr>
                <w:rFonts w:ascii="Arial" w:cs="Arial" w:eastAsia="Arial" w:hAnsi="Arial"/>
                <w:sz w:val="18"/>
                <w:szCs w:val="18"/>
                <w:color w:val="auto"/>
              </w:rPr>
              <w:t>Less treasury common stock at cost:</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(13,852)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Shares: March 31, 2009 -- 466,270,151; December 31, 2008 -- 461,822,215</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 net of taxes</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(741)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160"/>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9,210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9,326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11,520</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w w:val="92"/>
              </w:rPr>
              <w:t>(Millions of dollars)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6"/>
            <w:vMerge w:val="restart"/>
          </w:tcPr>
          <w:p>
            <w:pPr>
              <w:jc w:val="right"/>
              <w:ind w:right="380"/>
              <w:spacing w:after="0"/>
              <w:rPr>
                <w:sz w:val="20"/>
                <w:szCs w:val="20"/>
                <w:color w:val="auto"/>
              </w:rPr>
            </w:pPr>
            <w:r>
              <w:rPr>
                <w:rFonts w:ascii="Arial" w:cs="Arial" w:eastAsia="Arial" w:hAnsi="Arial"/>
                <w:sz w:val="18"/>
                <w:szCs w:val="18"/>
                <w:b w:val="1"/>
                <w:bCs w:val="1"/>
                <w:color w:val="auto"/>
                <w:w w:val="95"/>
              </w:rPr>
              <w:t>For 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net income: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230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Amortization of acquisition-related intangibles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Losses on sale of assets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from changes in:</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profit sharing and retirement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short-term investments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Sales and maturities of short-term investments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long-term investments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Sales of long-term investments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363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Stock repurchases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390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1,436</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prior periods’ financial statements have been reclassified to conform to the current presentation.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ind w:right="26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81" w:lineRule="exact"/>
        <w:rPr>
          <w:sz w:val="20"/>
          <w:szCs w:val="20"/>
          <w:color w:val="auto"/>
        </w:rPr>
      </w:pPr>
    </w:p>
    <w:p>
      <w:pPr>
        <w:ind w:left="240" w:right="20" w:hanging="231"/>
        <w:spacing w:after="0" w:line="277" w:lineRule="auto"/>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Description of business and significant accounting policies and practices</w:t>
      </w:r>
      <w:r>
        <w:rPr>
          <w:rFonts w:ascii="Arial" w:cs="Arial" w:eastAsia="Arial" w:hAnsi="Arial"/>
          <w:sz w:val="18"/>
          <w:szCs w:val="18"/>
          <w:color w:val="auto"/>
        </w:rPr>
        <w:t>. Texas Instruments (TI) makes, markets and sells high-technology components; about 80,000 customers all over the world buy our products.</w:t>
      </w:r>
    </w:p>
    <w:p>
      <w:pPr>
        <w:spacing w:after="0" w:line="197" w:lineRule="exact"/>
        <w:rPr>
          <w:rFonts w:ascii="Arial" w:cs="Arial" w:eastAsia="Arial" w:hAnsi="Arial"/>
          <w:sz w:val="18"/>
          <w:szCs w:val="18"/>
          <w:color w:val="auto"/>
        </w:rPr>
      </w:pPr>
    </w:p>
    <w:p>
      <w:pPr>
        <w:ind w:left="240" w:right="20"/>
        <w:spacing w:after="0" w:line="287" w:lineRule="auto"/>
        <w:rPr>
          <w:rFonts w:ascii="Arial" w:cs="Arial" w:eastAsia="Arial" w:hAnsi="Arial"/>
          <w:sz w:val="18"/>
          <w:szCs w:val="18"/>
          <w:color w:val="auto"/>
        </w:rPr>
      </w:pPr>
      <w:r>
        <w:rPr>
          <w:rFonts w:ascii="Arial" w:cs="Arial" w:eastAsia="Arial" w:hAnsi="Arial"/>
          <w:sz w:val="16"/>
          <w:szCs w:val="16"/>
          <w:i w:val="1"/>
          <w:iCs w:val="1"/>
          <w:color w:val="auto"/>
        </w:rPr>
        <w:t xml:space="preserve">Basis of Presentation – </w:t>
      </w:r>
      <w:r>
        <w:rPr>
          <w:rFonts w:ascii="Arial" w:cs="Arial" w:eastAsia="Arial" w:hAnsi="Arial"/>
          <w:sz w:val="16"/>
          <w:szCs w:val="16"/>
          <w:color w:val="auto"/>
        </w:rPr>
        <w:t>The consolidated financial statements have been prepared in accordance with accounting principles generally accepted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U.S. (US GAAP) and except for new accounting standards on business combinations, fair value measurements and earnings per share, on the same basis as the audited financial statements included in our annual report on Form 10-K for the year ended December 31, 2008</w:t>
      </w:r>
      <w:r>
        <w:rPr>
          <w:rFonts w:ascii="Arial" w:cs="Arial" w:eastAsia="Arial" w:hAnsi="Arial"/>
          <w:sz w:val="16"/>
          <w:szCs w:val="16"/>
          <w:b w:val="1"/>
          <w:bCs w:val="1"/>
          <w:color w:val="auto"/>
        </w:rPr>
        <w:t>.</w:t>
      </w:r>
      <w:r>
        <w:rPr>
          <w:rFonts w:ascii="Arial" w:cs="Arial" w:eastAsia="Arial" w:hAnsi="Arial"/>
          <w:sz w:val="16"/>
          <w:szCs w:val="16"/>
          <w:color w:val="auto"/>
        </w:rPr>
        <w:t xml:space="preserve"> The consolidated statements of income, statements of comprehensive income and statements of cash flows for the periods ended March 31, 2009 and 2008, and the balance sheet as of March 31, 2009, are not audited but reflect all adjustments that are of a normal recurring nature and are necessary for a fair statement of the results of the periods shown. The consolidated balance sheet as of December 31, 2008, presented herein is derived from the audited consolidated balance sheet presented in our annual report on Form 10-K at that date. Certain amounts in the prior periods’ financial statements have been reclassified to conform to the current period presentation.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US GAAP for a complete set of financial statements, they should be read in conjunction with the audited consolidated financial statements and notes included in our annual report on Form 10-K for the year ended December 31, 2008. The results for the three-month period are not necessarily indicative of a full year’s results.</w:t>
      </w:r>
    </w:p>
    <w:p>
      <w:pPr>
        <w:spacing w:after="0" w:line="195" w:lineRule="exact"/>
        <w:rPr>
          <w:rFonts w:ascii="Arial" w:cs="Arial" w:eastAsia="Arial" w:hAnsi="Arial"/>
          <w:sz w:val="18"/>
          <w:szCs w:val="18"/>
          <w:color w:val="auto"/>
        </w:rPr>
      </w:pPr>
    </w:p>
    <w:p>
      <w:pPr>
        <w:ind w:left="240" w:right="360"/>
        <w:spacing w:after="0" w:line="277"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w:t>
      </w:r>
    </w:p>
    <w:p>
      <w:pPr>
        <w:spacing w:after="0" w:line="197" w:lineRule="exact"/>
        <w:rPr>
          <w:rFonts w:ascii="Arial" w:cs="Arial" w:eastAsia="Arial" w:hAnsi="Arial"/>
          <w:sz w:val="18"/>
          <w:szCs w:val="18"/>
          <w:color w:val="auto"/>
        </w:rPr>
      </w:pPr>
    </w:p>
    <w:p>
      <w:pPr>
        <w:ind w:left="240" w:right="160"/>
        <w:spacing w:after="0" w:line="277" w:lineRule="auto"/>
        <w:rPr>
          <w:rFonts w:ascii="Arial" w:cs="Arial" w:eastAsia="Arial" w:hAnsi="Arial"/>
          <w:sz w:val="18"/>
          <w:szCs w:val="18"/>
          <w:color w:val="auto"/>
        </w:rPr>
      </w:pPr>
      <w:r>
        <w:rPr>
          <w:rFonts w:ascii="Arial" w:cs="Arial" w:eastAsia="Arial" w:hAnsi="Arial"/>
          <w:sz w:val="18"/>
          <w:szCs w:val="18"/>
          <w:color w:val="auto"/>
        </w:rPr>
        <w:t>All dollar amounts in the financial statements and tables in the notes, except share and per-share amounts, are stated in millions of U.S. dollars unless otherwise indicated.</w:t>
      </w:r>
    </w:p>
    <w:p>
      <w:pPr>
        <w:spacing w:after="0" w:line="197" w:lineRule="exact"/>
        <w:rPr>
          <w:rFonts w:ascii="Arial" w:cs="Arial" w:eastAsia="Arial" w:hAnsi="Arial"/>
          <w:sz w:val="18"/>
          <w:szCs w:val="18"/>
          <w:color w:val="auto"/>
        </w:rPr>
      </w:pPr>
    </w:p>
    <w:p>
      <w:pPr>
        <w:ind w:left="240" w:right="20"/>
        <w:spacing w:after="0" w:line="254" w:lineRule="auto"/>
        <w:rPr>
          <w:rFonts w:ascii="Arial" w:cs="Arial" w:eastAsia="Arial" w:hAnsi="Arial"/>
          <w:sz w:val="18"/>
          <w:szCs w:val="18"/>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In the first quarter of 2009, we acquired CICLON Semiconductor Device Corporation (CICLON), a designer of high-frequency, high-efficiency power management semiconductors for $111 million, including net cash of $104 million. This acquisition expands TI’s ability to help customers improve energy efficiency in end-equipment designs, such as high-power computing and server systems. We recognized $70 million of goodwill, which is not expected to be deductible for tax purposes, $40 million of intangible assets, and $1 million of other net assets and liabilities. We are still in the process of finalizing valuations of certain assets and liabilities, so these provisional measurements are subject to change. The former CICLON operations were integrated into our Analog segment. The results of CICLON’s operations have been included in our financial statements from the acquisition date and for the first quarter of 2009 were not significant. Pro forma information for the comparable quarter of 2008 would not be materially different from amounts reported.</w:t>
      </w:r>
    </w:p>
    <w:p>
      <w:pPr>
        <w:spacing w:after="0" w:line="219" w:lineRule="exact"/>
        <w:rPr>
          <w:rFonts w:ascii="Arial" w:cs="Arial" w:eastAsia="Arial" w:hAnsi="Arial"/>
          <w:sz w:val="18"/>
          <w:szCs w:val="18"/>
          <w:color w:val="auto"/>
        </w:rPr>
      </w:pPr>
    </w:p>
    <w:p>
      <w:pPr>
        <w:ind w:left="240"/>
        <w:spacing w:after="0" w:line="273" w:lineRule="auto"/>
        <w:rPr>
          <w:rFonts w:ascii="Arial" w:cs="Arial" w:eastAsia="Arial" w:hAnsi="Arial"/>
          <w:sz w:val="18"/>
          <w:szCs w:val="18"/>
          <w:color w:val="auto"/>
        </w:rPr>
      </w:pPr>
      <w:r>
        <w:rPr>
          <w:rFonts w:ascii="Arial" w:cs="Arial" w:eastAsia="Arial" w:hAnsi="Arial"/>
          <w:sz w:val="17"/>
          <w:szCs w:val="17"/>
          <w:i w:val="1"/>
          <w:iCs w:val="1"/>
          <w:color w:val="auto"/>
        </w:rPr>
        <w:t xml:space="preserve">Use of Derivatives and Hedging – </w:t>
      </w:r>
      <w:r>
        <w:rPr>
          <w:rFonts w:ascii="Arial" w:cs="Arial" w:eastAsia="Arial" w:hAnsi="Arial"/>
          <w:sz w:val="17"/>
          <w:szCs w:val="17"/>
          <w:color w:val="auto"/>
        </w:rPr>
        <w:t>We use derivative financial instruments to manage exposure to foreign exchange risk. We do not apply hedge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to our foreign currency derivative instruments. These instruments are primarily forward foreign currency exchange contracts that are used as economic hedges to reduce the earnings impact exchange rate fluctuations may have on our non-U.S. dollar net balance sheet exposures or for specified non-U.S. dollar forecasted transactions. Gains and losses from changes in the fair value of these forward foreign currency exchange contracts are credited or charged to other income (expense) net (OI&amp;E). We do not use derivative financial instruments for speculative or trading purposes and their financial impact is not significant to our financial condition and results of operations.</w:t>
      </w:r>
    </w:p>
    <w:p>
      <w:pPr>
        <w:spacing w:after="0" w:line="205" w:lineRule="exact"/>
        <w:rPr>
          <w:rFonts w:ascii="Arial" w:cs="Arial" w:eastAsia="Arial" w:hAnsi="Arial"/>
          <w:sz w:val="18"/>
          <w:szCs w:val="18"/>
          <w:color w:val="auto"/>
        </w:rPr>
      </w:pPr>
    </w:p>
    <w:p>
      <w:pPr>
        <w:jc w:val="both"/>
        <w:ind w:left="240"/>
        <w:spacing w:after="0" w:line="312" w:lineRule="auto"/>
        <w:rPr>
          <w:rFonts w:ascii="Arial" w:cs="Arial" w:eastAsia="Arial" w:hAnsi="Arial"/>
          <w:sz w:val="18"/>
          <w:szCs w:val="18"/>
          <w:color w:val="auto"/>
        </w:rPr>
      </w:pPr>
      <w:r>
        <w:rPr>
          <w:rFonts w:ascii="Arial" w:cs="Arial" w:eastAsia="Arial" w:hAnsi="Arial"/>
          <w:sz w:val="16"/>
          <w:szCs w:val="16"/>
          <w:i w:val="1"/>
          <w:iCs w:val="1"/>
          <w:color w:val="auto"/>
        </w:rPr>
        <w:t xml:space="preserve">Fair Values of Financial Instruments </w:t>
      </w:r>
      <w:r>
        <w:rPr>
          <w:rFonts w:ascii="Arial" w:cs="Arial" w:eastAsia="Arial" w:hAnsi="Arial"/>
          <w:sz w:val="16"/>
          <w:szCs w:val="16"/>
          <w:color w:val="auto"/>
        </w:rPr>
        <w:t>– The fair values of our derivative financial instruments were not significant at March 31, 2009. The fair values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investments in cash equivalents, short term and certain long-term investments are disclosed in Note 7. The carrying values for other current financial assets and liabilities, such as accounts receivable and accounts payable, approximate fair value due to the short maturity of such instruments.</w:t>
      </w:r>
    </w:p>
    <w:p>
      <w:pPr>
        <w:spacing w:after="0" w:line="173" w:lineRule="exact"/>
        <w:rPr>
          <w:rFonts w:ascii="Arial" w:cs="Arial" w:eastAsia="Arial" w:hAnsi="Arial"/>
          <w:sz w:val="18"/>
          <w:szCs w:val="18"/>
          <w:color w:val="auto"/>
        </w:rPr>
      </w:pPr>
    </w:p>
    <w:p>
      <w:pPr>
        <w:ind w:left="240" w:right="40"/>
        <w:spacing w:after="0" w:line="293" w:lineRule="auto"/>
        <w:rPr>
          <w:rFonts w:ascii="Arial" w:cs="Arial" w:eastAsia="Arial" w:hAnsi="Arial"/>
          <w:sz w:val="18"/>
          <w:szCs w:val="18"/>
          <w:color w:val="auto"/>
        </w:rPr>
      </w:pPr>
      <w:r>
        <w:rPr>
          <w:rFonts w:ascii="Arial" w:cs="Arial" w:eastAsia="Arial" w:hAnsi="Arial"/>
          <w:sz w:val="16"/>
          <w:szCs w:val="16"/>
          <w:i w:val="1"/>
          <w:iCs w:val="1"/>
          <w:color w:val="auto"/>
        </w:rPr>
        <w:t xml:space="preserve">Changes in Accounting Standards – </w:t>
      </w:r>
      <w:r>
        <w:rPr>
          <w:rFonts w:ascii="Arial" w:cs="Arial" w:eastAsia="Arial" w:hAnsi="Arial"/>
          <w:sz w:val="16"/>
          <w:szCs w:val="16"/>
          <w:color w:val="auto"/>
        </w:rPr>
        <w:t>On April 1, 2009, the Financial Accounting Standards Board (FASB) issued FASB Staff Position (FSP) FAS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141(R)-1, </w:t>
      </w:r>
      <w:r>
        <w:rPr>
          <w:rFonts w:ascii="Arial" w:cs="Arial" w:eastAsia="Arial" w:hAnsi="Arial"/>
          <w:sz w:val="16"/>
          <w:szCs w:val="16"/>
          <w:i w:val="1"/>
          <w:iCs w:val="1"/>
          <w:color w:val="auto"/>
        </w:rPr>
        <w:t>Accounting for Assets Acquired and Liabilities Assumed in a Business Combination That Arise from Contingencies.</w:t>
      </w:r>
      <w:r>
        <w:rPr>
          <w:rFonts w:ascii="Arial" w:cs="Arial" w:eastAsia="Arial" w:hAnsi="Arial"/>
          <w:sz w:val="16"/>
          <w:szCs w:val="16"/>
          <w:color w:val="auto"/>
        </w:rPr>
        <w:t xml:space="preserve"> This FSP provides additional guidance and disclosure requirements regarding the recognition and measurement of contingent assets acquired and contingent liabilities assumed in a business combination where the fair value of the contingent assets and liabilities cannot be determined as of the acquisition date. This FSP was effective for us for acquisitions occurring after January 1, 2009. The adoption of this FSP did not have a significant impact on our acquisition of CICLON discussed previously, and its future impact will be dependent upon the specific terms of future business combinations.</w:t>
      </w:r>
    </w:p>
    <w:p>
      <w:pPr>
        <w:spacing w:after="0" w:line="19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500" w:top="513" w:right="239" w:bottom="1440" w:gutter="0" w:footer="0" w:header="0"/>
        </w:sectPr>
      </w:pPr>
    </w:p>
    <w:bookmarkStart w:id="8" w:name="page9"/>
    <w:bookmarkEnd w:id="8"/>
    <w:p>
      <w:pPr>
        <w:ind w:left="500"/>
        <w:spacing w:after="0"/>
        <w:rPr>
          <w:sz w:val="20"/>
          <w:szCs w:val="20"/>
          <w:color w:val="auto"/>
        </w:rPr>
      </w:pPr>
      <w:r>
        <w:rPr>
          <w:rFonts w:ascii="Arial" w:cs="Arial" w:eastAsia="Arial" w:hAnsi="Arial"/>
          <w:sz w:val="18"/>
          <w:szCs w:val="18"/>
          <w:color w:val="auto"/>
        </w:rPr>
        <w:t>On April 9, 2009, the FASB simultaneously issued the following three FSPs:</w:t>
      </w:r>
    </w:p>
    <w:p>
      <w:pPr>
        <w:spacing w:after="0" w:line="252" w:lineRule="exact"/>
        <w:rPr>
          <w:sz w:val="20"/>
          <w:szCs w:val="20"/>
          <w:color w:val="auto"/>
        </w:rPr>
      </w:pPr>
    </w:p>
    <w:p>
      <w:pPr>
        <w:jc w:val="both"/>
        <w:ind w:left="1140" w:hanging="132"/>
        <w:spacing w:after="0" w:line="259"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FSP FAS 157-4, </w:t>
      </w:r>
      <w:r>
        <w:rPr>
          <w:rFonts w:ascii="Arial" w:cs="Arial" w:eastAsia="Arial" w:hAnsi="Arial"/>
          <w:sz w:val="18"/>
          <w:szCs w:val="18"/>
          <w:i w:val="1"/>
          <w:iCs w:val="1"/>
          <w:color w:val="auto"/>
        </w:rPr>
        <w:t>Determining Fair Value When the Volume and Level of Activity for the Asset or Liability Have Significantly Decreased and</w:t>
      </w:r>
      <w:r>
        <w:rPr>
          <w:rFonts w:ascii="Arial" w:cs="Arial" w:eastAsia="Arial" w:hAnsi="Arial"/>
          <w:sz w:val="18"/>
          <w:szCs w:val="18"/>
          <w:color w:val="auto"/>
        </w:rPr>
        <w:t xml:space="preserve"> </w:t>
      </w:r>
      <w:r>
        <w:rPr>
          <w:rFonts w:ascii="Arial" w:cs="Arial" w:eastAsia="Arial" w:hAnsi="Arial"/>
          <w:sz w:val="18"/>
          <w:szCs w:val="18"/>
          <w:i w:val="1"/>
          <w:iCs w:val="1"/>
          <w:color w:val="auto"/>
        </w:rPr>
        <w:t>Identifying Transactions That Are Not Orderly</w:t>
      </w:r>
      <w:r>
        <w:rPr>
          <w:rFonts w:ascii="Arial" w:cs="Arial" w:eastAsia="Arial" w:hAnsi="Arial"/>
          <w:sz w:val="18"/>
          <w:szCs w:val="18"/>
          <w:color w:val="auto"/>
        </w:rPr>
        <w:t>, provides additional guidance to companies for determining fair values of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which there is no active market or quoted prices may represent distressed transactions. The guidance includes a reaffirmation of the need to use judgment in certain circumstances.</w:t>
      </w:r>
    </w:p>
    <w:p>
      <w:pPr>
        <w:spacing w:after="0" w:line="213" w:lineRule="exact"/>
        <w:rPr>
          <w:rFonts w:ascii="Arial" w:cs="Arial" w:eastAsia="Arial" w:hAnsi="Arial"/>
          <w:sz w:val="18"/>
          <w:szCs w:val="18"/>
          <w:color w:val="auto"/>
        </w:rPr>
      </w:pPr>
    </w:p>
    <w:p>
      <w:pPr>
        <w:jc w:val="both"/>
        <w:ind w:left="1140" w:hanging="132"/>
        <w:spacing w:after="0" w:line="264"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FSP FAS 107-1 and APB 28-1, </w:t>
      </w:r>
      <w:r>
        <w:rPr>
          <w:rFonts w:ascii="Arial" w:cs="Arial" w:eastAsia="Arial" w:hAnsi="Arial"/>
          <w:sz w:val="18"/>
          <w:szCs w:val="18"/>
          <w:i w:val="1"/>
          <w:iCs w:val="1"/>
          <w:color w:val="auto"/>
        </w:rPr>
        <w:t>Interim Disclosures about Fair Value of Financial Instruments,</w:t>
      </w:r>
      <w:r>
        <w:rPr>
          <w:rFonts w:ascii="Arial" w:cs="Arial" w:eastAsia="Arial" w:hAnsi="Arial"/>
          <w:sz w:val="18"/>
          <w:szCs w:val="18"/>
          <w:color w:val="auto"/>
        </w:rPr>
        <w:t xml:space="preserve"> requires companies to provide additional fair value information for certain financial instruments in interim financial statements, similar to what is currently required to be disclosed on an annual basis.</w:t>
      </w:r>
    </w:p>
    <w:p>
      <w:pPr>
        <w:spacing w:after="0" w:line="208" w:lineRule="exact"/>
        <w:rPr>
          <w:rFonts w:ascii="Arial" w:cs="Arial" w:eastAsia="Arial" w:hAnsi="Arial"/>
          <w:sz w:val="18"/>
          <w:szCs w:val="18"/>
          <w:color w:val="auto"/>
        </w:rPr>
      </w:pPr>
    </w:p>
    <w:p>
      <w:pPr>
        <w:jc w:val="both"/>
        <w:ind w:left="1140" w:hanging="132"/>
        <w:spacing w:after="0" w:line="286" w:lineRule="auto"/>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FSP FAS 115-2, FAS 124-2, and EITF 99-20-2, </w:t>
      </w:r>
      <w:r>
        <w:rPr>
          <w:rFonts w:ascii="Arial" w:cs="Arial" w:eastAsia="Arial" w:hAnsi="Arial"/>
          <w:sz w:val="17"/>
          <w:szCs w:val="17"/>
          <w:i w:val="1"/>
          <w:iCs w:val="1"/>
          <w:color w:val="auto"/>
        </w:rPr>
        <w:t>Recognition and Presentation of Other-Than-Temporary Impairments</w:t>
      </w:r>
      <w:r>
        <w:rPr>
          <w:rFonts w:ascii="Arial" w:cs="Arial" w:eastAsia="Arial" w:hAnsi="Arial"/>
          <w:sz w:val="17"/>
          <w:szCs w:val="17"/>
          <w:color w:val="auto"/>
        </w:rPr>
        <w:t>, amends the existing guidance regarding impairments for investments in debt securities. Specifically, it changes how companies determine if an impairment is considered to be other-than-temporary and the related accounting. This standard also provides for increased disclosures.</w:t>
      </w:r>
    </w:p>
    <w:p>
      <w:pPr>
        <w:spacing w:after="0" w:line="193" w:lineRule="exact"/>
        <w:rPr>
          <w:sz w:val="20"/>
          <w:szCs w:val="20"/>
          <w:color w:val="auto"/>
        </w:rPr>
      </w:pPr>
    </w:p>
    <w:p>
      <w:pPr>
        <w:ind w:left="500" w:right="440"/>
        <w:spacing w:after="0" w:line="277" w:lineRule="auto"/>
        <w:rPr>
          <w:sz w:val="20"/>
          <w:szCs w:val="20"/>
          <w:color w:val="auto"/>
        </w:rPr>
      </w:pPr>
      <w:r>
        <w:rPr>
          <w:rFonts w:ascii="Arial" w:cs="Arial" w:eastAsia="Arial" w:hAnsi="Arial"/>
          <w:sz w:val="18"/>
          <w:szCs w:val="18"/>
          <w:color w:val="auto"/>
        </w:rPr>
        <w:t>These FSPs apply to both interim and annual periods and will be effective for us beginning April 1, 2009. We have evaluated these standards and believe they will have no impact on our financial condition and results of operations.</w:t>
      </w:r>
    </w:p>
    <w:p>
      <w:pPr>
        <w:spacing w:after="0" w:line="197" w:lineRule="exact"/>
        <w:rPr>
          <w:sz w:val="20"/>
          <w:szCs w:val="20"/>
          <w:color w:val="auto"/>
        </w:rPr>
      </w:pPr>
    </w:p>
    <w:p>
      <w:pPr>
        <w:ind w:left="500" w:hanging="231"/>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Restructuring activities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00" w:right="240"/>
        <w:spacing w:after="0" w:line="255" w:lineRule="auto"/>
        <w:rPr>
          <w:rFonts w:ascii="Arial" w:cs="Arial" w:eastAsia="Arial" w:hAnsi="Arial"/>
          <w:sz w:val="18"/>
          <w:szCs w:val="18"/>
          <w:color w:val="auto"/>
        </w:rPr>
      </w:pPr>
      <w:r>
        <w:rPr>
          <w:rFonts w:ascii="Arial" w:cs="Arial" w:eastAsia="Arial" w:hAnsi="Arial"/>
          <w:sz w:val="18"/>
          <w:szCs w:val="18"/>
          <w:color w:val="auto"/>
        </w:rPr>
        <w:t>In October 2008, we announced actions that, when complete, will reduce annualized expenses by more than $200 million in our Wireless segment, especially our baseband operation. These actions eliminated about 650 jobs. Additionally, in January 2009 we announced actions that include employment reductions to align our spending with weakened demand. When complete, our employment will be reduced about 12 percent through a combination of layoffs and voluntary retirements and departures. Combined, these actions will reduce our annualized costs by more than $700 million. The total restructuring charges for these actions are expected to be in excess of $400 million and will continue through the fourth quarter of 2009.</w:t>
      </w:r>
    </w:p>
    <w:p>
      <w:pPr>
        <w:spacing w:after="0" w:line="220" w:lineRule="exact"/>
        <w:rPr>
          <w:rFonts w:ascii="Arial" w:cs="Arial" w:eastAsia="Arial" w:hAnsi="Arial"/>
          <w:sz w:val="18"/>
          <w:szCs w:val="18"/>
          <w:color w:val="auto"/>
        </w:rPr>
      </w:pPr>
    </w:p>
    <w:p>
      <w:pPr>
        <w:ind w:left="500" w:right="40"/>
        <w:spacing w:after="0" w:line="264" w:lineRule="auto"/>
        <w:rPr>
          <w:rFonts w:ascii="Arial" w:cs="Arial" w:eastAsia="Arial" w:hAnsi="Arial"/>
          <w:sz w:val="18"/>
          <w:szCs w:val="18"/>
          <w:color w:val="auto"/>
        </w:rPr>
      </w:pPr>
      <w:r>
        <w:rPr>
          <w:rFonts w:ascii="Arial" w:cs="Arial" w:eastAsia="Arial" w:hAnsi="Arial"/>
          <w:sz w:val="18"/>
          <w:szCs w:val="18"/>
          <w:color w:val="auto"/>
        </w:rPr>
        <w:t>In the fourth quarter of 2008, we recognized $230 million in restructuring charges related to these actions, consisting of $218 million for severance and benefits costs and $12 million related to impairments of long-lived assets. We also fully impaired $24 million of assets that were held for sale related to a separate 2007 action.</w:t>
      </w:r>
    </w:p>
    <w:p>
      <w:pPr>
        <w:spacing w:after="0" w:line="208" w:lineRule="exact"/>
        <w:rPr>
          <w:rFonts w:ascii="Arial" w:cs="Arial" w:eastAsia="Arial" w:hAnsi="Arial"/>
          <w:sz w:val="18"/>
          <w:szCs w:val="18"/>
          <w:color w:val="auto"/>
        </w:rPr>
      </w:pPr>
    </w:p>
    <w:p>
      <w:pPr>
        <w:ind w:left="500" w:right="320"/>
        <w:spacing w:after="0" w:line="308" w:lineRule="auto"/>
        <w:rPr>
          <w:rFonts w:ascii="Arial" w:cs="Arial" w:eastAsia="Arial" w:hAnsi="Arial"/>
          <w:sz w:val="18"/>
          <w:szCs w:val="18"/>
          <w:color w:val="auto"/>
        </w:rPr>
      </w:pPr>
      <w:r>
        <w:rPr>
          <w:rFonts w:ascii="Arial" w:cs="Arial" w:eastAsia="Arial" w:hAnsi="Arial"/>
          <w:sz w:val="17"/>
          <w:szCs w:val="17"/>
          <w:color w:val="auto"/>
        </w:rPr>
        <w:t>In the first quarter of 2009, we recognized an additional $105 million in restructuring charges related to these actions. These costs consisted of $98 million for severance and benefits costs and $7 million related to impairments and other charges for long-lived assets.</w:t>
      </w:r>
    </w:p>
    <w:p>
      <w:pPr>
        <w:spacing w:after="0" w:line="173"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The table below reflects the changes in accrued restructuring balances related to the 2008 and 2009 actions: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Impairments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rPr>
              <w:t>Severance and</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and Other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Benefits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Charges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 recognized in the quarter ending December 31, 2008</w:t>
            </w:r>
          </w:p>
        </w:tc>
        <w:tc>
          <w:tcPr>
            <w:tcW w:w="11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Non-cash charges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Remaining accrual at December 31, 2008</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Restructuring charges recognized in the quarter ending March 31, 2009</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Non-cash charges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Payments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(62)</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Remaining accrual at March 31, 2009</w:t>
            </w: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60" w:right="4380" w:hanging="5328"/>
        <w:spacing w:after="0" w:line="841" w:lineRule="auto"/>
        <w:tabs>
          <w:tab w:leader="none" w:pos="458"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post-employment benefit plan curtailment and special termination benefit charges.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-261620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auto"/>
              </w:rPr>
              <w:t>Restructuring charges by segment recognized in the first quarter of 2009 are as follows:</w:t>
            </w:r>
          </w:p>
        </w:tc>
        <w:tc>
          <w:tcPr>
            <w:tcW w:w="1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vMerge w:val="restart"/>
          </w:tcPr>
          <w:p>
            <w:pPr>
              <w:spacing w:after="0"/>
              <w:rPr>
                <w:sz w:val="24"/>
                <w:szCs w:val="24"/>
                <w:color w:val="auto"/>
              </w:rPr>
            </w:pPr>
          </w:p>
        </w:tc>
        <w:tc>
          <w:tcPr>
            <w:tcW w:w="8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Analog</w:t>
            </w:r>
          </w:p>
        </w:tc>
        <w:tc>
          <w:tcPr>
            <w:tcW w:w="2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Embedded Processing</w:t>
            </w:r>
          </w:p>
        </w:tc>
        <w:tc>
          <w:tcPr>
            <w:tcW w:w="1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1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Other</w:t>
            </w:r>
          </w:p>
        </w:tc>
        <w:tc>
          <w:tcPr>
            <w:tcW w:w="17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restructuring charges</w:t>
            </w:r>
          </w:p>
        </w:tc>
        <w:tc>
          <w:tcPr>
            <w:tcW w:w="2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hanging="231"/>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Stock-based compensation</w:t>
      </w:r>
      <w:r>
        <w:rPr>
          <w:rFonts w:ascii="Arial" w:cs="Arial" w:eastAsia="Arial" w:hAnsi="Arial"/>
          <w:sz w:val="18"/>
          <w:szCs w:val="18"/>
          <w:color w:val="auto"/>
        </w:rPr>
        <w:t>. We have several stock-based employee compensation plans, which are more fully described in Note 3 in our 2008 annual report on Form 10-K.</w:t>
      </w:r>
    </w:p>
    <w:p>
      <w:pPr>
        <w:spacing w:after="0" w:line="19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The amounts of stock-based compensation expense recognized in the periods presented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For Three Months Ended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8"/>
                <w:szCs w:val="18"/>
                <w:b w:val="1"/>
                <w:bCs w:val="1"/>
                <w:color w:val="auto"/>
                <w:w w:val="98"/>
              </w:rPr>
              <w:t>March 31,</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w:t>
            </w:r>
          </w:p>
        </w:tc>
        <w:tc>
          <w:tcPr>
            <w:tcW w:w="800" w:type="dxa"/>
            <w:vAlign w:val="bottom"/>
            <w:gridSpan w:val="2"/>
            <w:shd w:val="clear" w:color="auto" w:fill="CCEEFF"/>
          </w:tcPr>
          <w:p>
            <w:pPr>
              <w:jc w:val="right"/>
              <w:ind w:right="630"/>
              <w:spacing w:after="0"/>
              <w:rPr>
                <w:sz w:val="20"/>
                <w:szCs w:val="20"/>
                <w:color w:val="auto"/>
              </w:rPr>
            </w:pPr>
            <w:r>
              <w:rPr>
                <w:rFonts w:ascii="Arial" w:cs="Arial" w:eastAsia="Arial" w:hAnsi="Arial"/>
                <w:sz w:val="15"/>
                <w:szCs w:val="15"/>
                <w:b w:val="1"/>
                <w:bCs w:val="1"/>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1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R&amp;D</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23"/>
        </w:trPr>
        <w:tc>
          <w:tcPr>
            <w:tcW w:w="8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SG&amp;A</w:t>
            </w:r>
          </w:p>
        </w:tc>
        <w:tc>
          <w:tcPr>
            <w:tcW w:w="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Total</w:t>
            </w:r>
          </w:p>
        </w:tc>
        <w:tc>
          <w:tcPr>
            <w:tcW w:w="800" w:type="dxa"/>
            <w:vAlign w:val="bottom"/>
            <w:gridSpan w:val="2"/>
          </w:tcPr>
          <w:p>
            <w:pPr>
              <w:jc w:val="right"/>
              <w:ind w:right="630"/>
              <w:spacing w:after="0"/>
              <w:rPr>
                <w:sz w:val="20"/>
                <w:szCs w:val="20"/>
                <w:color w:val="auto"/>
              </w:rPr>
            </w:pPr>
            <w:r>
              <w:rPr>
                <w:rFonts w:ascii="Arial" w:cs="Arial" w:eastAsia="Arial" w:hAnsi="Arial"/>
                <w:sz w:val="15"/>
                <w:szCs w:val="15"/>
                <w:b w:val="1"/>
                <w:bCs w:val="1"/>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1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21"/>
        </w:trPr>
        <w:tc>
          <w:tcPr>
            <w:tcW w:w="8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These amounts include expense related to non-qualified stock options, RSUs and stock options offered under our employee stock purchase plan.</w:t>
      </w:r>
    </w:p>
    <w:p>
      <w:pPr>
        <w:spacing w:after="0" w:line="264" w:lineRule="exact"/>
        <w:rPr>
          <w:sz w:val="20"/>
          <w:szCs w:val="20"/>
          <w:color w:val="auto"/>
        </w:rPr>
      </w:pPr>
    </w:p>
    <w:p>
      <w:pPr>
        <w:jc w:val="both"/>
        <w:ind w:left="500" w:hanging="231"/>
        <w:spacing w:after="0" w:line="276"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Income taxes</w:t>
      </w:r>
      <w:r>
        <w:rPr>
          <w:rFonts w:ascii="Arial" w:cs="Arial" w:eastAsia="Arial" w:hAnsi="Arial"/>
          <w:sz w:val="17"/>
          <w:szCs w:val="17"/>
          <w:color w:val="auto"/>
        </w:rPr>
        <w:t>. Federal income taxes for the interim periods presented have been included in the accompanying financial statements on the basis of an estimated annual effective tax rate. As of March 31, 2009, the estimated annual effective tax rate for 2009 is about 24 percent, which differs from the 35 percent statutory corporate tax rate primarily due to the effects of non-U.S. tax rates. The first quarter of 2009 includes discrete tax benefits of $5 million primarily related to earnings of non-U.S. subsidiaries. The first quarter of 2008 included a discrete tax benefit of $81 million primarily due to our decision to indefinitely reinvest the accumulated earnings of a non-U.S. subsidiary.</w:t>
      </w:r>
    </w:p>
    <w:p>
      <w:pPr>
        <w:spacing w:after="0" w:line="199" w:lineRule="exact"/>
        <w:rPr>
          <w:rFonts w:ascii="Arial" w:cs="Arial" w:eastAsia="Arial" w:hAnsi="Arial"/>
          <w:sz w:val="17"/>
          <w:szCs w:val="17"/>
          <w:color w:val="auto"/>
        </w:rPr>
      </w:pPr>
    </w:p>
    <w:p>
      <w:pPr>
        <w:jc w:val="both"/>
        <w:ind w:left="500" w:hanging="231"/>
        <w:spacing w:after="0" w:line="25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Earnings per share (EPS)</w:t>
      </w:r>
      <w:r>
        <w:rPr>
          <w:rFonts w:ascii="Arial" w:cs="Arial" w:eastAsia="Arial" w:hAnsi="Arial"/>
          <w:sz w:val="18"/>
          <w:szCs w:val="18"/>
          <w:color w:val="auto"/>
        </w:rPr>
        <w:t xml:space="preserve">. In 2008, the FASB issued FSP EITF 03-6-1, </w:t>
      </w:r>
      <w:r>
        <w:rPr>
          <w:rFonts w:ascii="Arial" w:cs="Arial" w:eastAsia="Arial" w:hAnsi="Arial"/>
          <w:sz w:val="18"/>
          <w:szCs w:val="18"/>
          <w:i w:val="1"/>
          <w:iCs w:val="1"/>
          <w:color w:val="auto"/>
        </w:rPr>
        <w:t>Determining Whether Instruments Granted in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Transactions Are Participating Securities, </w:t>
      </w:r>
      <w:r>
        <w:rPr>
          <w:rFonts w:ascii="Arial" w:cs="Arial" w:eastAsia="Arial" w:hAnsi="Arial"/>
          <w:sz w:val="18"/>
          <w:szCs w:val="18"/>
          <w:color w:val="auto"/>
        </w:rPr>
        <w:t>and it became effective for us beginning January 1, 2009. Under this standard, unvested awards of share-based payments with rights to receive dividends or dividend equivalents, such as our restricted stock units (RSUs), are considered participating securities for purposes of calculating EPS. Under the two-class method required by EITF 03-6-1, a portion of net income is allocated to these participating securities and therefore is excluded from the calculation of EPS allocated to common stock, as shown in the table below. This FSP requires retrospective application for periods prior to the effective date and as a result, all prior period earnings per share data presented herein have been adjusted to conform to these provisions. The adoption of this FSP did not result in a change to the previously reported basic EPS and diluted EPS for the three months ended March 31, 2008.</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Computation and reconciliation of earnings per common share are as follows: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2"/>
              </w:rPr>
              <w:t>For Three Months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7"/>
          </w:tcPr>
          <w:p>
            <w:pPr>
              <w:jc w:val="center"/>
              <w:ind w:left="570"/>
              <w:spacing w:after="0"/>
              <w:rPr>
                <w:sz w:val="20"/>
                <w:szCs w:val="20"/>
                <w:color w:val="auto"/>
              </w:rPr>
            </w:pPr>
            <w:r>
              <w:rPr>
                <w:rFonts w:ascii="Arial" w:cs="Arial" w:eastAsia="Arial" w:hAnsi="Arial"/>
                <w:sz w:val="18"/>
                <w:szCs w:val="18"/>
                <w:b w:val="1"/>
                <w:bCs w:val="1"/>
                <w:color w:val="auto"/>
                <w:w w:val="92"/>
              </w:rPr>
              <w:t>For Three Months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93"/>
              </w:rPr>
              <w:t>March 31, 2009</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3"/>
              </w:rPr>
              <w:t>March 31, 2008</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Income</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280" w:type="dxa"/>
            <w:vAlign w:val="bottom"/>
          </w:tcPr>
          <w:p>
            <w:pPr>
              <w:spacing w:after="0"/>
              <w:rPr>
                <w:sz w:val="19"/>
                <w:szCs w:val="19"/>
                <w:color w:val="auto"/>
              </w:rPr>
            </w:pPr>
          </w:p>
        </w:tc>
        <w:tc>
          <w:tcPr>
            <w:tcW w:w="860" w:type="dxa"/>
            <w:vAlign w:val="bottom"/>
          </w:tcPr>
          <w:p>
            <w:pPr>
              <w:ind w:left="12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Income</w:t>
            </w:r>
          </w:p>
        </w:tc>
        <w:tc>
          <w:tcPr>
            <w:tcW w:w="80" w:type="dxa"/>
            <w:vAlign w:val="bottom"/>
          </w:tcPr>
          <w:p>
            <w:pPr>
              <w:spacing w:after="0"/>
              <w:rPr>
                <w:sz w:val="19"/>
                <w:szCs w:val="19"/>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Basic EPS: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ind w:right="762"/>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662</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Less income allocated to RSUs</w:t>
            </w:r>
          </w:p>
        </w:tc>
        <w:tc>
          <w:tcPr>
            <w:tcW w:w="92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Net Income allocated to common stock for</w:t>
            </w: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EPS calculation</w:t>
            </w:r>
          </w:p>
        </w:tc>
        <w:tc>
          <w:tcPr>
            <w:tcW w:w="920" w:type="dxa"/>
            <w:vAlign w:val="bottom"/>
            <w:shd w:val="clear" w:color="auto" w:fill="CCEEFF"/>
          </w:tcPr>
          <w:p>
            <w:pPr>
              <w:jc w:val="right"/>
              <w:ind w:right="762"/>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1,275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1,327</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 shares for Dilutives: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Stock-based compensation plans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Diluted EPS: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ind w:right="762"/>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662</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Less income allocated to RSUs</w:t>
            </w:r>
          </w:p>
        </w:tc>
        <w:tc>
          <w:tcPr>
            <w:tcW w:w="92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Net Income allocated to common stock for</w:t>
            </w: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EPS calculation</w:t>
            </w:r>
          </w:p>
        </w:tc>
        <w:tc>
          <w:tcPr>
            <w:tcW w:w="920" w:type="dxa"/>
            <w:vAlign w:val="bottom"/>
            <w:shd w:val="clear" w:color="auto" w:fill="CCEEFF"/>
          </w:tcPr>
          <w:p>
            <w:pPr>
              <w:jc w:val="right"/>
              <w:ind w:right="762"/>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1,345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00" w:right="120"/>
        <w:spacing w:after="0" w:line="264" w:lineRule="auto"/>
        <w:rPr>
          <w:sz w:val="20"/>
          <w:szCs w:val="20"/>
          <w:color w:val="auto"/>
        </w:rPr>
      </w:pPr>
      <w:r>
        <w:rPr>
          <w:rFonts w:ascii="Arial" w:cs="Arial" w:eastAsia="Arial" w:hAnsi="Arial"/>
          <w:sz w:val="18"/>
          <w:szCs w:val="18"/>
          <w:color w:val="auto"/>
        </w:rPr>
        <w:t>Options to purchase 167 million and 88 million shares of common stock that were outstanding during the first quarters of 2009 and 2008 were not included in the computation of diluted earnings per share because their exercise price was greater than the average market price of the common shares and, therefore, the effect would be anti-dilutive.</w:t>
      </w:r>
    </w:p>
    <w:p>
      <w:pPr>
        <w:spacing w:after="0" w:line="181" w:lineRule="exact"/>
        <w:rPr>
          <w:sz w:val="20"/>
          <w:szCs w:val="20"/>
          <w:color w:val="auto"/>
        </w:rPr>
      </w:pPr>
    </w:p>
    <w:p>
      <w:pPr>
        <w:jc w:val="both"/>
        <w:ind w:left="500" w:hanging="231"/>
        <w:spacing w:after="0" w:line="259"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Investments in auction-rate securities</w:t>
      </w:r>
      <w:r>
        <w:rPr>
          <w:rFonts w:ascii="Arial" w:cs="Arial" w:eastAsia="Arial" w:hAnsi="Arial"/>
          <w:sz w:val="18"/>
          <w:szCs w:val="18"/>
          <w:color w:val="auto"/>
        </w:rPr>
        <w:t>. As of March 31, 2009, we held $492 million ($533 million par value) of auction-rate securities, which are debt instruments with variable interest rates that historically would periodically reset through an auction process. The $41 million difference between fair value and par value is considered temporary and is recorded as an unrealized loss, net of taxes, in accumulated other comprehensive income (AOCI) on our balance sheets.</w:t>
      </w:r>
    </w:p>
    <w:p>
      <w:pPr>
        <w:spacing w:after="0" w:line="213" w:lineRule="exact"/>
        <w:rPr>
          <w:rFonts w:ascii="Arial" w:cs="Arial" w:eastAsia="Arial" w:hAnsi="Arial"/>
          <w:sz w:val="18"/>
          <w:szCs w:val="18"/>
          <w:color w:val="auto"/>
        </w:rPr>
      </w:pPr>
    </w:p>
    <w:p>
      <w:pPr>
        <w:ind w:left="500" w:right="40"/>
        <w:spacing w:after="0" w:line="269" w:lineRule="auto"/>
        <w:rPr>
          <w:rFonts w:ascii="Arial" w:cs="Arial" w:eastAsia="Arial" w:hAnsi="Arial"/>
          <w:sz w:val="18"/>
          <w:szCs w:val="18"/>
          <w:color w:val="auto"/>
        </w:rPr>
      </w:pPr>
      <w:r>
        <w:rPr>
          <w:rFonts w:ascii="Arial" w:cs="Arial" w:eastAsia="Arial" w:hAnsi="Arial"/>
          <w:sz w:val="17"/>
          <w:szCs w:val="17"/>
          <w:color w:val="auto"/>
        </w:rPr>
        <w:t>Since mid-February 2008, conditions in global credit markets have resulted in the failure of auctions for most auction-rate securities, including those we hold, because the amount of securities submitted for sale in those auctions exceeded the amount of bids. A failed auction does not represent a default by the issuer of the underlying security. When auctions are not successful, the interest rate moves to a maximum rate defined for each security, and is generally reset periodically at a level higher than defined short-term interest benchmarks. To date, we have collected all interest on all of our auction-rate securities when due and expect to continue to do so in the future. The principal associated with failed auctions will not be accessible until successful auctions resume, a buyer is found outside of the auction process, or issuers use a different form of financing to replace these securities. In the meantime, issuers continue to repay principal over time from cash flows prior to final maturity, or make final payments when they come due according to contractual maturities ranging from 14 to 39 years. We understand that issuers and financial markets are working on alternatives that may improve liquidity, although it is not yet clear when or to what extent such efforts will be successful. We expect that we will receive the principal associated with our auction-rate securities through one of the means described above. Due to the failed auctions and the uncertainty regarding the liquidity of these securities, in the first quarter of 2008 we reclassified our investments in auction-rate securities with a par value of $571 million from short-term investments to long-term investments.</w:t>
      </w:r>
    </w:p>
    <w:p>
      <w:pPr>
        <w:spacing w:after="0" w:line="206" w:lineRule="exact"/>
        <w:rPr>
          <w:rFonts w:ascii="Arial" w:cs="Arial" w:eastAsia="Arial" w:hAnsi="Arial"/>
          <w:sz w:val="18"/>
          <w:szCs w:val="18"/>
          <w:color w:val="auto"/>
        </w:rPr>
      </w:pPr>
    </w:p>
    <w:p>
      <w:pPr>
        <w:ind w:left="500" w:right="60"/>
        <w:spacing w:after="0" w:line="257" w:lineRule="auto"/>
        <w:rPr>
          <w:rFonts w:ascii="Arial" w:cs="Arial" w:eastAsia="Arial" w:hAnsi="Arial"/>
          <w:sz w:val="18"/>
          <w:szCs w:val="18"/>
          <w:color w:val="auto"/>
        </w:rPr>
      </w:pPr>
      <w:r>
        <w:rPr>
          <w:rFonts w:ascii="Arial" w:cs="Arial" w:eastAsia="Arial" w:hAnsi="Arial"/>
          <w:sz w:val="18"/>
          <w:szCs w:val="18"/>
          <w:color w:val="auto"/>
        </w:rPr>
        <w:t>As of March 31, 2009, $498 million par value of our auction-rate securities are backed by pools of student loans guaranteed by the U.S. Department of Education and we continue to believe that the credit quality of these securities is high based on this guarantee. As of March 31, 2009, all but one of these securities were rated AAA/Aaa by the major credit rating agencies, with the remaining security (with a par value of $25 million) rated AAA/Baa1. The remaining $35 million par value of our auction-rate securities are covered by bond insurance and were rated Aa3 by Moody’s as of March 31, 2009.</w:t>
      </w:r>
    </w:p>
    <w:p>
      <w:pPr>
        <w:spacing w:after="0" w:line="215" w:lineRule="exact"/>
        <w:rPr>
          <w:sz w:val="20"/>
          <w:szCs w:val="20"/>
          <w:color w:val="auto"/>
        </w:rPr>
      </w:pPr>
    </w:p>
    <w:p>
      <w:pPr>
        <w:ind w:left="500" w:right="120"/>
        <w:spacing w:after="0" w:line="277" w:lineRule="auto"/>
        <w:rPr>
          <w:sz w:val="20"/>
          <w:szCs w:val="20"/>
          <w:color w:val="auto"/>
        </w:rPr>
      </w:pPr>
      <w:r>
        <w:rPr>
          <w:rFonts w:ascii="Arial" w:cs="Arial" w:eastAsia="Arial" w:hAnsi="Arial"/>
          <w:sz w:val="18"/>
          <w:szCs w:val="18"/>
          <w:color w:val="auto"/>
        </w:rPr>
        <w:t>While our ability to liquidate auction-rate investments is likely to be limited for some period of time, we do not believe this will materially impact our ability to fund our working capital needs, capital expenditures, dividend payments or other business requirements.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both"/>
        <w:ind w:left="240" w:hanging="231"/>
        <w:spacing w:after="0" w:line="279" w:lineRule="auto"/>
        <w:tabs>
          <w:tab w:leader="none" w:pos="24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Fair value measurement</w:t>
      </w:r>
      <w:r>
        <w:rPr>
          <w:rFonts w:ascii="Arial" w:cs="Arial" w:eastAsia="Arial" w:hAnsi="Arial"/>
          <w:sz w:val="17"/>
          <w:szCs w:val="17"/>
          <w:color w:val="auto"/>
        </w:rPr>
        <w:t xml:space="preserve">. Beginning January 1, 2008, we measure and report our financial assets and liabilities in our financial statements under the provisions of SFAS 157,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Effective January 1, 2009, we adopted the provisions of SFAS 157 for non-financial assets and liabilities. We apply SFAS 157 to all assets and liabilities that are required to be measured at fair value. The adoption of SFAS 157 for non-financial assets and liabilities did not have a significant impact on our financial condition or results of operations.</w:t>
      </w:r>
    </w:p>
    <w:p>
      <w:pPr>
        <w:spacing w:after="0" w:line="198" w:lineRule="exact"/>
        <w:rPr>
          <w:rFonts w:ascii="Arial" w:cs="Arial" w:eastAsia="Arial" w:hAnsi="Arial"/>
          <w:sz w:val="17"/>
          <w:szCs w:val="17"/>
          <w:color w:val="auto"/>
        </w:rPr>
      </w:pPr>
    </w:p>
    <w:p>
      <w:pPr>
        <w:ind w:left="240" w:right="420"/>
        <w:spacing w:after="0" w:line="308" w:lineRule="auto"/>
        <w:rPr>
          <w:rFonts w:ascii="Arial" w:cs="Arial" w:eastAsia="Arial" w:hAnsi="Arial"/>
          <w:sz w:val="17"/>
          <w:szCs w:val="17"/>
          <w:color w:val="auto"/>
        </w:rPr>
      </w:pPr>
      <w:r>
        <w:rPr>
          <w:rFonts w:ascii="Arial" w:cs="Arial" w:eastAsia="Arial" w:hAnsi="Arial"/>
          <w:sz w:val="17"/>
          <w:szCs w:val="17"/>
          <w:color w:val="auto"/>
        </w:rPr>
        <w:t>SFAS 157 defines fair value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73" w:lineRule="exact"/>
        <w:rPr>
          <w:rFonts w:ascii="Arial" w:cs="Arial" w:eastAsia="Arial" w:hAnsi="Arial"/>
          <w:sz w:val="17"/>
          <w:szCs w:val="17"/>
          <w:color w:val="auto"/>
        </w:rPr>
      </w:pPr>
    </w:p>
    <w:p>
      <w:pPr>
        <w:ind w:left="240" w:right="640"/>
        <w:spacing w:after="0" w:line="598" w:lineRule="auto"/>
        <w:rPr>
          <w:rFonts w:ascii="Arial" w:cs="Arial" w:eastAsia="Arial" w:hAnsi="Arial"/>
          <w:sz w:val="17"/>
          <w:szCs w:val="17"/>
          <w:color w:val="auto"/>
        </w:rPr>
      </w:pPr>
      <w:r>
        <w:rPr>
          <w:rFonts w:ascii="Arial" w:cs="Arial" w:eastAsia="Arial" w:hAnsi="Arial"/>
          <w:sz w:val="16"/>
          <w:szCs w:val="16"/>
          <w:color w:val="auto"/>
        </w:rPr>
        <w:t>SFAS 157 establishes a three-level hierarchy for disclosure to show the extent and level of judgment used to estimate fair value measurements. Level 1 – Uses unadjusted quoted prices that are available in active markets for the identical assets or liabilities as of the reporting date.</w:t>
      </w:r>
    </w:p>
    <w:p>
      <w:pPr>
        <w:spacing w:after="0" w:line="1" w:lineRule="exact"/>
        <w:rPr>
          <w:rFonts w:ascii="Arial" w:cs="Arial" w:eastAsia="Arial" w:hAnsi="Arial"/>
          <w:sz w:val="17"/>
          <w:szCs w:val="17"/>
          <w:color w:val="auto"/>
        </w:rPr>
      </w:pPr>
    </w:p>
    <w:p>
      <w:pPr>
        <w:ind w:left="240" w:right="80"/>
        <w:spacing w:after="0" w:line="279" w:lineRule="auto"/>
        <w:rPr>
          <w:rFonts w:ascii="Arial" w:cs="Arial" w:eastAsia="Arial" w:hAnsi="Arial"/>
          <w:sz w:val="17"/>
          <w:szCs w:val="17"/>
          <w:color w:val="auto"/>
        </w:rPr>
      </w:pPr>
      <w:r>
        <w:rPr>
          <w:rFonts w:ascii="Arial" w:cs="Arial" w:eastAsia="Arial" w:hAnsi="Arial"/>
          <w:sz w:val="17"/>
          <w:szCs w:val="17"/>
          <w:color w:val="auto"/>
        </w:rPr>
        <w:t>Level 2 – 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w:t>
      </w:r>
    </w:p>
    <w:p>
      <w:pPr>
        <w:spacing w:after="0" w:line="198" w:lineRule="exact"/>
        <w:rPr>
          <w:rFonts w:ascii="Arial" w:cs="Arial" w:eastAsia="Arial" w:hAnsi="Arial"/>
          <w:sz w:val="17"/>
          <w:szCs w:val="17"/>
          <w:color w:val="auto"/>
        </w:rPr>
      </w:pPr>
    </w:p>
    <w:p>
      <w:pPr>
        <w:ind w:left="240"/>
        <w:spacing w:after="0"/>
        <w:rPr>
          <w:rFonts w:ascii="Arial" w:cs="Arial" w:eastAsia="Arial" w:hAnsi="Arial"/>
          <w:sz w:val="17"/>
          <w:szCs w:val="17"/>
          <w:color w:val="auto"/>
        </w:rPr>
      </w:pPr>
      <w:r>
        <w:rPr>
          <w:rFonts w:ascii="Arial" w:cs="Arial" w:eastAsia="Arial" w:hAnsi="Arial"/>
          <w:sz w:val="17"/>
          <w:szCs w:val="17"/>
          <w:color w:val="auto"/>
        </w:rPr>
        <w:t>Level 3 – Uses inputs that are unobservable and are supported by little or no market activity and reflect the use of significant management</w:t>
      </w:r>
    </w:p>
    <w:p>
      <w:pPr>
        <w:spacing w:after="0" w:line="34" w:lineRule="exact"/>
        <w:rPr>
          <w:rFonts w:ascii="Arial" w:cs="Arial" w:eastAsia="Arial" w:hAnsi="Arial"/>
          <w:sz w:val="17"/>
          <w:szCs w:val="17"/>
          <w:color w:val="auto"/>
        </w:rPr>
      </w:pPr>
    </w:p>
    <w:p>
      <w:pPr>
        <w:ind w:left="240"/>
        <w:spacing w:after="0" w:line="261" w:lineRule="auto"/>
        <w:rPr>
          <w:rFonts w:ascii="Arial" w:cs="Arial" w:eastAsia="Arial" w:hAnsi="Arial"/>
          <w:sz w:val="17"/>
          <w:szCs w:val="17"/>
          <w:color w:val="auto"/>
        </w:rPr>
      </w:pPr>
      <w:r>
        <w:rPr>
          <w:rFonts w:ascii="Arial" w:cs="Arial" w:eastAsia="Arial" w:hAnsi="Arial"/>
          <w:sz w:val="18"/>
          <w:szCs w:val="18"/>
          <w:color w:val="auto"/>
        </w:rPr>
        <w:t>judgment. These values are generally determined using pricing models for which the assumptions utilize management’s estimates of market participant assumptions.</w:t>
      </w:r>
    </w:p>
    <w:p>
      <w:pPr>
        <w:spacing w:after="0" w:line="210" w:lineRule="exact"/>
        <w:rPr>
          <w:rFonts w:ascii="Arial" w:cs="Arial" w:eastAsia="Arial" w:hAnsi="Arial"/>
          <w:sz w:val="17"/>
          <w:szCs w:val="17"/>
          <w:color w:val="auto"/>
        </w:rPr>
      </w:pPr>
    </w:p>
    <w:p>
      <w:pPr>
        <w:ind w:left="240"/>
        <w:spacing w:after="0" w:line="253" w:lineRule="auto"/>
        <w:rPr>
          <w:rFonts w:ascii="Arial" w:cs="Arial" w:eastAsia="Arial" w:hAnsi="Arial"/>
          <w:sz w:val="17"/>
          <w:szCs w:val="17"/>
          <w:color w:val="auto"/>
        </w:rPr>
      </w:pPr>
      <w:r>
        <w:rPr>
          <w:rFonts w:ascii="Arial" w:cs="Arial" w:eastAsia="Arial" w:hAnsi="Arial"/>
          <w:sz w:val="18"/>
          <w:szCs w:val="18"/>
          <w:color w:val="auto"/>
        </w:rPr>
        <w:t>Investments in auction-rate securities are our only Level 3 assets. We use a discounted cash flow (DCF) model to determine the estimated fair value of these investments as of each quarter end. The assumptions used in preparing the DCF model include estimates for the amount and timing of future interest and principal payments and the rate of return required by investors to own these securities in the current environment. In making these assumptions we consider relevant factors including: the formula for each security that defines the interest rate paid to investors in the event of a failed auction; forward projections of the interest rate benchmarks specified in such formulas; the likely timing of principal repayments; the probability of full repayment considering the guarantees by the U.S. Department of Education of the underlying student loans, guarantees by other third parties, and additional credit enhancements provided through other means; and, publicly available pricing data for student loan asset-backed securities that are not subject to auctions. Our estimate of the rate of return required by investors to own these securities also considers the current reduced liquidity for auction-rate securities.</w:t>
      </w:r>
    </w:p>
    <w:p>
      <w:pPr>
        <w:spacing w:after="0" w:line="224" w:lineRule="exact"/>
        <w:rPr>
          <w:rFonts w:ascii="Arial" w:cs="Arial" w:eastAsia="Arial" w:hAnsi="Arial"/>
          <w:sz w:val="17"/>
          <w:szCs w:val="17"/>
          <w:color w:val="auto"/>
        </w:rPr>
      </w:pPr>
    </w:p>
    <w:p>
      <w:pPr>
        <w:ind w:left="240" w:right="320"/>
        <w:spacing w:after="0" w:line="308" w:lineRule="auto"/>
        <w:rPr>
          <w:rFonts w:ascii="Arial" w:cs="Arial" w:eastAsia="Arial" w:hAnsi="Arial"/>
          <w:sz w:val="17"/>
          <w:szCs w:val="17"/>
          <w:color w:val="auto"/>
        </w:rPr>
      </w:pPr>
      <w:r>
        <w:rPr>
          <w:rFonts w:ascii="Arial" w:cs="Arial" w:eastAsia="Arial" w:hAnsi="Arial"/>
          <w:sz w:val="17"/>
          <w:szCs w:val="17"/>
          <w:color w:val="auto"/>
        </w:rPr>
        <w:t>The table below sets forth, by level, our assets and liabilities that were accounted for at fair value as of March 31, 2009. The table does not include cash on hand and also does not include assets and liabilities that are measured at historical cost or any basis other than fair value.</w:t>
      </w:r>
    </w:p>
    <w:p>
      <w:pPr>
        <w:spacing w:after="0" w:line="200" w:lineRule="exact"/>
        <w:rPr>
          <w:sz w:val="20"/>
          <w:szCs w:val="20"/>
          <w:color w:val="auto"/>
        </w:rPr>
      </w:pPr>
    </w:p>
    <w:p>
      <w:pPr>
        <w:spacing w:after="0" w:line="21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500" w:top="125"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Portion of</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Measured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at Fair Value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w:t>
            </w:r>
          </w:p>
        </w:tc>
        <w:tc>
          <w:tcPr>
            <w:tcW w:w="2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Items measured at fair value on a recurring basis: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Cash equivalents: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government agency securities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Money market funds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1,258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Short-term investments: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Corporate obligations guaranteed by FDIC</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Corporate obligations guaranteed by U.K. government</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government agency and Treasury securities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Mortgage-backed securities –GSE guaranteed</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 senior bonds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Long-term investments: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Auction–rate securities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Mutual funds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Deferred credit and other liabilities: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Deferred compensation liabilities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change in the fair values for Level 3 items for the quarter ended March 31, 2009.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Level 3</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Changes in fair value during the period ended March 31, 2009 (pre-tax):</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Assets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Liabilities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December 31, 2008</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Contingent consideration</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 included in AOCI</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Redemptions at par</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March 31, 2009</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20" w:right="3820" w:hanging="5351"/>
        <w:spacing w:after="0" w:line="731" w:lineRule="auto"/>
        <w:tabs>
          <w:tab w:leader="none" w:pos="49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Post-employment benefit plans</w:t>
      </w:r>
      <w:r>
        <w:rPr>
          <w:rFonts w:ascii="Arial" w:cs="Arial" w:eastAsia="Arial" w:hAnsi="Arial"/>
          <w:sz w:val="18"/>
          <w:szCs w:val="18"/>
          <w:color w:val="auto"/>
        </w:rPr>
        <w:t>. Components of net periodic employee benefit cost are as follows: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U.S.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U.S.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Non-U.S.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Defined Benefit</w:t>
            </w:r>
          </w:p>
        </w:tc>
        <w:tc>
          <w:tcPr>
            <w:tcW w:w="240" w:type="dxa"/>
            <w:vAlign w:val="bottom"/>
          </w:tcPr>
          <w:p>
            <w:pPr>
              <w:spacing w:after="0"/>
              <w:rPr>
                <w:sz w:val="20"/>
                <w:szCs w:val="20"/>
                <w:color w:val="auto"/>
              </w:rPr>
            </w:pPr>
          </w:p>
        </w:tc>
        <w:tc>
          <w:tcPr>
            <w:tcW w:w="198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Retiree Health Care</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Defined Benefit</w:t>
            </w: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For three months ended March 31,</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2008</w:t>
            </w:r>
          </w:p>
        </w:tc>
        <w:tc>
          <w:tcPr>
            <w:tcW w:w="2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9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Recognized net actuarial</w:t>
            </w:r>
          </w:p>
        </w:tc>
        <w:tc>
          <w:tcPr>
            <w:tcW w:w="2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14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loss</w:t>
            </w:r>
          </w:p>
        </w:tc>
        <w:tc>
          <w:tcPr>
            <w:tcW w:w="2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periodic benefit</w:t>
            </w:r>
          </w:p>
        </w:tc>
        <w:tc>
          <w:tcPr>
            <w:tcW w:w="240" w:type="dxa"/>
            <w:vAlign w:val="bottom"/>
            <w:vMerge w:val="restart"/>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4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40" w:type="dxa"/>
            <w:vAlign w:val="bottom"/>
            <w:vMerge w:val="continue"/>
            <w:shd w:val="clear" w:color="auto" w:fill="CCEEFF"/>
          </w:tcPr>
          <w:p>
            <w:pPr>
              <w:spacing w:after="0"/>
              <w:rPr>
                <w:sz w:val="23"/>
                <w:szCs w:val="23"/>
                <w:color w:val="auto"/>
              </w:rPr>
            </w:pPr>
          </w:p>
        </w:tc>
        <w:tc>
          <w:tcPr>
            <w:tcW w:w="920" w:type="dxa"/>
            <w:vAlign w:val="bottom"/>
            <w:vMerge w:val="continue"/>
            <w:shd w:val="clear" w:color="auto" w:fill="CCEEFF"/>
          </w:tcPr>
          <w:p>
            <w:pPr>
              <w:spacing w:after="0"/>
              <w:rPr>
                <w:sz w:val="23"/>
                <w:szCs w:val="23"/>
                <w:color w:val="auto"/>
              </w:rPr>
            </w:pPr>
          </w:p>
        </w:tc>
        <w:tc>
          <w:tcPr>
            <w:tcW w:w="140" w:type="dxa"/>
            <w:vAlign w:val="bottom"/>
            <w:vMerge w:val="continue"/>
            <w:shd w:val="clear" w:color="auto" w:fill="CCEEFF"/>
          </w:tcPr>
          <w:p>
            <w:pPr>
              <w:spacing w:after="0"/>
              <w:rPr>
                <w:sz w:val="23"/>
                <w:szCs w:val="23"/>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40" w:type="dxa"/>
            <w:vAlign w:val="bottom"/>
            <w:vMerge w:val="continue"/>
            <w:shd w:val="clear" w:color="auto" w:fill="CCEEFF"/>
          </w:tcPr>
          <w:p>
            <w:pPr>
              <w:spacing w:after="0"/>
              <w:rPr>
                <w:sz w:val="23"/>
                <w:szCs w:val="23"/>
                <w:color w:val="auto"/>
              </w:rPr>
            </w:pPr>
          </w:p>
        </w:tc>
        <w:tc>
          <w:tcPr>
            <w:tcW w:w="1040" w:type="dxa"/>
            <w:vAlign w:val="bottom"/>
            <w:gridSpan w:val="2"/>
            <w:vMerge w:val="continue"/>
            <w:shd w:val="clear" w:color="auto" w:fill="CCEEFF"/>
          </w:tcPr>
          <w:p>
            <w:pPr>
              <w:spacing w:after="0"/>
              <w:rPr>
                <w:sz w:val="23"/>
                <w:szCs w:val="23"/>
                <w:color w:val="auto"/>
              </w:rPr>
            </w:pPr>
          </w:p>
        </w:tc>
        <w:tc>
          <w:tcPr>
            <w:tcW w:w="9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40" w:type="dxa"/>
            <w:vAlign w:val="bottom"/>
            <w:vMerge w:val="continue"/>
            <w:shd w:val="clear" w:color="auto" w:fill="CCEEFF"/>
          </w:tcPr>
          <w:p>
            <w:pPr>
              <w:spacing w:after="0"/>
              <w:rPr>
                <w:sz w:val="23"/>
                <w:szCs w:val="23"/>
                <w:color w:val="auto"/>
              </w:rPr>
            </w:pPr>
          </w:p>
        </w:tc>
        <w:tc>
          <w:tcPr>
            <w:tcW w:w="1040" w:type="dxa"/>
            <w:vAlign w:val="bottom"/>
            <w:gridSpan w:val="2"/>
            <w:vMerge w:val="continue"/>
            <w:shd w:val="clear" w:color="auto" w:fill="CCEEFF"/>
          </w:tcPr>
          <w:p>
            <w:pPr>
              <w:spacing w:after="0"/>
              <w:rPr>
                <w:sz w:val="23"/>
                <w:szCs w:val="23"/>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Curtailment</w:t>
            </w:r>
          </w:p>
        </w:tc>
        <w:tc>
          <w:tcPr>
            <w:tcW w:w="24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24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Special termination benefit charges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including</w:t>
            </w:r>
          </w:p>
        </w:tc>
        <w:tc>
          <w:tcPr>
            <w:tcW w:w="240" w:type="dxa"/>
            <w:vAlign w:val="bottom"/>
            <w:vMerge w:val="restart"/>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4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24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40" w:type="dxa"/>
            <w:vAlign w:val="bottom"/>
            <w:vMerge w:val="continue"/>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9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40" w:type="dxa"/>
            <w:vAlign w:val="bottom"/>
            <w:vMerge w:val="continue"/>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left="500" w:hanging="231"/>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 We routinely sell products with a limited intellectual property indemnification included in the terms of sale. Historically, we have had only minimal and infrequent losses associated with these indemnities. Consequently, we cannot reasonably estimate or accrue for any future liabilities that may result.</w:t>
      </w:r>
    </w:p>
    <w:p>
      <w:pPr>
        <w:spacing w:after="0" w:line="208" w:lineRule="exact"/>
        <w:rPr>
          <w:rFonts w:ascii="Arial" w:cs="Arial" w:eastAsia="Arial" w:hAnsi="Arial"/>
          <w:sz w:val="18"/>
          <w:szCs w:val="18"/>
          <w:color w:val="auto"/>
        </w:rPr>
      </w:pPr>
    </w:p>
    <w:p>
      <w:pPr>
        <w:ind w:left="500" w:right="120"/>
        <w:spacing w:after="0" w:line="288" w:lineRule="auto"/>
        <w:rPr>
          <w:rFonts w:ascii="Arial" w:cs="Arial" w:eastAsia="Arial" w:hAnsi="Arial"/>
          <w:sz w:val="18"/>
          <w:szCs w:val="18"/>
          <w:color w:val="auto"/>
        </w:rPr>
      </w:pPr>
      <w:r>
        <w:rPr>
          <w:rFonts w:ascii="Arial" w:cs="Arial" w:eastAsia="Arial" w:hAnsi="Arial"/>
          <w:sz w:val="16"/>
          <w:szCs w:val="16"/>
          <w:color w:val="auto"/>
        </w:rPr>
        <w:t>We accrue for known product-related claims if a loss is probable and can be reasonably estimated. During the periods presented, there have been no material accruals or payments regarding product warranty or product liability, and historically we have experienced a low rate of payments on product claims. Consistent with general industry practice, we enter into formal contracts with certain customers that include negotiated warranty</w:t>
      </w:r>
    </w:p>
    <w:p>
      <w:pPr>
        <w:ind w:left="500" w:right="40"/>
        <w:spacing w:after="0" w:line="254" w:lineRule="auto"/>
        <w:rPr>
          <w:rFonts w:ascii="Arial" w:cs="Arial" w:eastAsia="Arial" w:hAnsi="Arial"/>
          <w:sz w:val="18"/>
          <w:szCs w:val="18"/>
          <w:color w:val="auto"/>
        </w:rPr>
      </w:pPr>
      <w:r>
        <w:rPr>
          <w:rFonts w:ascii="Arial" w:cs="Arial" w:eastAsia="Arial" w:hAnsi="Arial"/>
          <w:sz w:val="18"/>
          <w:szCs w:val="18"/>
          <w:color w:val="auto"/>
        </w:rPr>
        <w:t>remedies. Typically, under these agreements, our warranty for semiconductor products includes: three years’ coverage; an obligation to repair, replace or refund; and a maximum payment obligation tied to the price paid for our products. In some cases, product claims may exceed the price of our products. From time to time, we also negotiate contingent consideration payment arrangements associated with certain acquisitions, which are recorded at fair value.</w:t>
      </w:r>
    </w:p>
    <w:p>
      <w:pPr>
        <w:spacing w:after="0" w:line="216" w:lineRule="exact"/>
        <w:rPr>
          <w:rFonts w:ascii="Arial" w:cs="Arial" w:eastAsia="Arial" w:hAnsi="Arial"/>
          <w:sz w:val="18"/>
          <w:szCs w:val="18"/>
          <w:color w:val="auto"/>
        </w:rPr>
      </w:pPr>
    </w:p>
    <w:p>
      <w:pPr>
        <w:ind w:left="500" w:right="280"/>
        <w:spacing w:after="0" w:line="308" w:lineRule="auto"/>
        <w:rPr>
          <w:rFonts w:ascii="Arial" w:cs="Arial" w:eastAsia="Arial" w:hAnsi="Arial"/>
          <w:sz w:val="18"/>
          <w:szCs w:val="18"/>
          <w:color w:val="auto"/>
        </w:rPr>
      </w:pPr>
      <w:r>
        <w:rPr>
          <w:rFonts w:ascii="Arial" w:cs="Arial" w:eastAsia="Arial" w:hAnsi="Arial"/>
          <w:sz w:val="17"/>
          <w:szCs w:val="17"/>
          <w:color w:val="auto"/>
        </w:rPr>
        <w:t>We are subject to various other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173" w:lineRule="exact"/>
        <w:rPr>
          <w:rFonts w:ascii="Arial" w:cs="Arial" w:eastAsia="Arial" w:hAnsi="Arial"/>
          <w:sz w:val="18"/>
          <w:szCs w:val="18"/>
          <w:color w:val="auto"/>
        </w:rPr>
      </w:pPr>
    </w:p>
    <w:p>
      <w:pPr>
        <w:ind w:left="500" w:right="360"/>
        <w:spacing w:after="0" w:line="302" w:lineRule="auto"/>
        <w:rPr>
          <w:rFonts w:ascii="Arial" w:cs="Arial" w:eastAsia="Arial" w:hAnsi="Arial"/>
          <w:sz w:val="18"/>
          <w:szCs w:val="18"/>
          <w:color w:val="auto"/>
        </w:rPr>
      </w:pPr>
      <w:r>
        <w:rPr>
          <w:rFonts w:ascii="Arial" w:cs="Arial" w:eastAsia="Arial" w:hAnsi="Arial"/>
          <w:sz w:val="16"/>
          <w:szCs w:val="16"/>
          <w:i w:val="1"/>
          <w:iCs w:val="1"/>
          <w:color w:val="auto"/>
        </w:rPr>
        <w:t xml:space="preserve">Discontinued Operations Indemnity – </w:t>
      </w:r>
      <w:r>
        <w:rPr>
          <w:rFonts w:ascii="Arial" w:cs="Arial" w:eastAsia="Arial" w:hAnsi="Arial"/>
          <w:sz w:val="16"/>
          <w:szCs w:val="16"/>
          <w:color w:val="auto"/>
        </w:rPr>
        <w:t>In connection with the sale of the former Sensors &amp; Controls business to an affiliate of Bain Capital, LLC in</w:t>
      </w:r>
      <w:r>
        <w:rPr>
          <w:rFonts w:ascii="Arial" w:cs="Arial" w:eastAsia="Arial" w:hAnsi="Arial"/>
          <w:sz w:val="16"/>
          <w:szCs w:val="16"/>
          <w:i w:val="1"/>
          <w:iCs w:val="1"/>
          <w:color w:val="auto"/>
        </w:rPr>
        <w:t xml:space="preserve"> </w:t>
      </w:r>
      <w:r>
        <w:rPr>
          <w:rFonts w:ascii="Arial" w:cs="Arial" w:eastAsia="Arial" w:hAnsi="Arial"/>
          <w:sz w:val="16"/>
          <w:szCs w:val="16"/>
          <w:color w:val="auto"/>
        </w:rPr>
        <w:t>2006, we have agreed to indemnify the former business, renamed Sensata Technologies, Inc., for specified litigation matters and certain liabilities, including environmental liabilities. Our indemnification obligations with respect to breaches of representations and warranties and the specified litigation matters are generally subject to a total deductible of $30 million and our maximum potential exposure is limited to $300 million.</w:t>
      </w:r>
    </w:p>
    <w:p>
      <w:pPr>
        <w:spacing w:after="0" w:line="181" w:lineRule="exact"/>
        <w:rPr>
          <w:rFonts w:ascii="Arial" w:cs="Arial" w:eastAsia="Arial" w:hAnsi="Arial"/>
          <w:sz w:val="18"/>
          <w:szCs w:val="18"/>
          <w:color w:val="auto"/>
        </w:rPr>
      </w:pPr>
    </w:p>
    <w:p>
      <w:pPr>
        <w:ind w:left="500" w:hanging="321"/>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Segment data</w:t>
      </w:r>
      <w:r>
        <w:rPr>
          <w:rFonts w:ascii="Arial" w:cs="Arial" w:eastAsia="Arial" w:hAnsi="Arial"/>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6"/>
          </w:tcPr>
          <w:p>
            <w:pPr>
              <w:ind w:left="80"/>
              <w:spacing w:after="0"/>
              <w:rPr>
                <w:sz w:val="20"/>
                <w:szCs w:val="20"/>
                <w:color w:val="auto"/>
              </w:rPr>
            </w:pPr>
            <w:r>
              <w:rPr>
                <w:rFonts w:ascii="Arial" w:cs="Arial" w:eastAsia="Arial" w:hAnsi="Arial"/>
                <w:sz w:val="18"/>
                <w:szCs w:val="18"/>
                <w:b w:val="1"/>
                <w:bCs w:val="1"/>
                <w:color w:val="auto"/>
              </w:rPr>
              <w:t>For 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Revenue</w:t>
            </w:r>
          </w:p>
        </w:tc>
        <w:tc>
          <w:tcPr>
            <w:tcW w:w="3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Analog</w:t>
            </w:r>
          </w:p>
        </w:tc>
        <w:tc>
          <w:tcPr>
            <w:tcW w:w="3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814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Embedded Processing</w:t>
            </w: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3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w:t>
            </w: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2,086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0" w:type="dxa"/>
            <w:vAlign w:val="bottom"/>
            <w:gridSpan w:val="5"/>
          </w:tcPr>
          <w:p>
            <w:pPr>
              <w:jc w:val="right"/>
              <w:spacing w:after="0"/>
              <w:rPr>
                <w:sz w:val="20"/>
                <w:szCs w:val="20"/>
                <w:color w:val="auto"/>
              </w:rPr>
            </w:pPr>
            <w:r>
              <w:rPr>
                <w:rFonts w:ascii="Arial" w:cs="Arial" w:eastAsia="Arial" w:hAnsi="Arial"/>
                <w:sz w:val="18"/>
                <w:szCs w:val="18"/>
                <w:b w:val="1"/>
                <w:bCs w:val="1"/>
                <w:color w:val="auto"/>
              </w:rPr>
              <w:t>For Three Months Ended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8"/>
                <w:szCs w:val="18"/>
                <w:b w:val="1"/>
                <w:bCs w:val="1"/>
                <w:color w:val="auto"/>
                <w:w w:val="98"/>
              </w:rPr>
              <w:t>March 31,</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Segment Operating Profit (Loss)</w:t>
            </w:r>
          </w:p>
        </w:tc>
        <w:tc>
          <w:tcPr>
            <w:tcW w:w="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Analog</w:t>
            </w:r>
          </w:p>
        </w:tc>
        <w:tc>
          <w:tcPr>
            <w:tcW w:w="800" w:type="dxa"/>
            <w:vAlign w:val="bottom"/>
            <w:gridSpan w:val="2"/>
          </w:tcPr>
          <w:p>
            <w:pPr>
              <w:jc w:val="right"/>
              <w:ind w:right="630"/>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(35)</w:t>
            </w:r>
          </w:p>
        </w:tc>
        <w:tc>
          <w:tcPr>
            <w:tcW w:w="9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Embedded Processing</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Wireless</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operating profit</w:t>
            </w:r>
          </w:p>
        </w:tc>
        <w:tc>
          <w:tcPr>
            <w:tcW w:w="800" w:type="dxa"/>
            <w:vAlign w:val="bottom"/>
            <w:gridSpan w:val="2"/>
          </w:tcPr>
          <w:p>
            <w:pPr>
              <w:jc w:val="right"/>
              <w:ind w:right="630"/>
              <w:spacing w:after="0"/>
              <w:rPr>
                <w:sz w:val="20"/>
                <w:szCs w:val="20"/>
                <w:color w:val="auto"/>
              </w:rPr>
            </w:pPr>
            <w:r>
              <w:rPr>
                <w:rFonts w:ascii="Arial" w:cs="Arial" w:eastAsia="Arial" w:hAnsi="Arial"/>
                <w:sz w:val="15"/>
                <w:szCs w:val="15"/>
                <w:b w:val="1"/>
                <w:bCs w:val="1"/>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40" w:type="dxa"/>
            <w:vAlign w:val="bottom"/>
          </w:tcPr>
          <w:p>
            <w:pPr>
              <w:spacing w:after="0"/>
              <w:rPr>
                <w:sz w:val="18"/>
                <w:szCs w:val="18"/>
                <w:color w:val="auto"/>
              </w:rPr>
            </w:pPr>
          </w:p>
        </w:tc>
        <w:tc>
          <w:tcPr>
            <w:tcW w:w="9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807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right="500"/>
        <w:spacing w:after="0" w:line="277" w:lineRule="auto"/>
        <w:rPr>
          <w:sz w:val="20"/>
          <w:szCs w:val="20"/>
          <w:color w:val="auto"/>
        </w:rPr>
      </w:pPr>
      <w:r>
        <w:rPr>
          <w:rFonts w:ascii="Arial" w:cs="Arial" w:eastAsia="Arial" w:hAnsi="Arial"/>
          <w:sz w:val="18"/>
          <w:szCs w:val="18"/>
          <w:color w:val="auto"/>
        </w:rPr>
        <w:t>See Note 2 for restructuring charges impacting segment results for the three months ended March 31, 2009. There were no restructuring charges impacting segment results for the three months ended March 31,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Texas Instruments, we design and make semiconductors that we sell to electronics designers and manufacturers all over the world. We began operations in 1930 and are incorporated in Delaware. We are headquartered in Dallas, Texas, and have design, manufacturing or sales operations in more than 30 countries. We have four segments: Analog, Embedded Processing, Wireless and Other. We expect Analog and Embedded Processing to be our primary growth engines in the years ahead, and we therefore focus our resources on these segments.</w:t>
      </w:r>
    </w:p>
    <w:p>
      <w:pPr>
        <w:spacing w:after="0" w:line="21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We were the world’s fourth largest semiconductor company in 2008 as measured by revenue, according to an external source. Additionally, we sell calculators and related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information</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Semiconductors are electronic components that serve as the building blocks inside modern electronic systems and equipment. Semiconductors come in two basic forms: individual transistors and integrated circuits (generally known as “chips”) that combine multiple transistors on a single piece of material to form a complete electronic circuit. Our semiconductors are used to accomplish many different things, such as converting and amplifying signals, interfacing with other devices, managing and distributing power, processing data, canceling noise and improving signal resolution. Our portfolio includes products that are integral to almost all electronic equipment.</w:t>
      </w:r>
    </w:p>
    <w:p>
      <w:pPr>
        <w:spacing w:after="0" w:line="21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We sell two general categories of semiconductor products: custom and standard. A custom product is designed for a specific customer for a specific application, is sold only to that customer and is typically sold directly to the customer. A standard product is designed for use by many customers and/or many applications and is generally sold through both distribution and direct channels. Standard products include both proprietary and commodity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each segment’s products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Analog semiconductors change real-world signals – such as sound, temperature, pressure or images – by conditioning them, amplifying them and often converting them to a stream of digital data so the signals can be processed by other semiconductors, such as digital signal processors (DSPs). Analog semiconductors are also used to manage power distribution and consumption. Sales from our Analog segment accounted for about 40 percent of our revenue in 2008. According to WSTS, an industry data-gathering organization, the worldwide market for analog semiconductors was about $36 billion in 2008. Our Analog segment’s revenue in 2008 was $4.9 billion, or about 14% of this market, giving us the leading position. We believe that we are well positioned to increase our share over time.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Our Analog product lines are: high-performance analog, high-volume analog &amp; logic and power management.</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High-performance analog products: These include standard analog semiconductors, such as amplifiers, data converters, low-power radio frequency devices and interface semiconductors (our standard analog portfolio includes more than 15,000 products), that we market to many different customers (nearly 80,000) who use them in a wide range of products across the industrial, communications, computing and consumer markets. High-performance analog products generally have long life cycles, often 10 to 20 years.</w:t>
      </w:r>
    </w:p>
    <w:p>
      <w:pPr>
        <w:spacing w:after="0" w:line="21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High-volume analog &amp; logic products: These include two product types. The first, high-volume analog, includes products for specific applications, including custom products for specific customers. The life cycles of our high-volume analog products are generally shorter than those of our high-performance analog products. End markets for high-volume analog products include communications, automotive, computing and many consumer electronics products. The second product type, standard linear and logic, includes commodity products marketed to many different customers for many different applications.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6" w:name="page17"/>
    <w:bookmarkEnd w:id="16"/>
    <w:p>
      <w:pPr>
        <w:ind w:right="340"/>
        <w:spacing w:after="0" w:line="259" w:lineRule="auto"/>
        <w:rPr>
          <w:sz w:val="20"/>
          <w:szCs w:val="20"/>
          <w:color w:val="auto"/>
        </w:rPr>
      </w:pPr>
      <w:r>
        <w:rPr>
          <w:rFonts w:ascii="Arial" w:cs="Arial" w:eastAsia="Arial" w:hAnsi="Arial"/>
          <w:sz w:val="18"/>
          <w:szCs w:val="18"/>
          <w:color w:val="auto"/>
        </w:rPr>
        <w:t>Power management products: These include both standard and custom semiconductors that help customers manage power in any type of electronic system. We design and manufacture power management semiconductors for both portable devices (battery-powered devices, such as handheld consumer electronics, laptop computers and cordless power tools) and line-powered systems (products that require an external electrical source, such as computers, digital TVs, wireless base stations and high-voltage industrial equipment).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Embedded Processing products include our DSPs (other than DSPs specific to our Wireless segment) and microcontrollers. DSPs perform mathematical computations almost instantaneously to process or improve digital data. Microcontrollers are designed to control a set of specific tasks for electronic equipment. Sales of Embedded Processing products accounted for about 15 percent of our revenue in 2008. The worldwide market for embedded processors was about $17 billion in 2008. According to external sources, we have about 10 percent market share in this fragmented market, and we believe we are well positioned to increase our share over time.</w:t>
      </w:r>
    </w:p>
    <w:p>
      <w:pPr>
        <w:spacing w:after="0" w:line="2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An important characteristic of Embedded Processing products is that our customers often invest their own research and development (R&amp;D) to write software that operates on our products. This investment tends to increase the length of our customer relationships because customers prefer to re-use software from one product generation to the next. We make and sell standard, or catalog, Embedded Processing products used in many different applications and custom Embedded Processing products used in specific applications, such as communications infrastructure equipment and automotive.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w:t>
      </w:r>
    </w:p>
    <w:p>
      <w:pPr>
        <w:spacing w:after="0" w:line="25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Cell phones require a modem or “baseband” to connect to the wireless carrier’s network. Many of today’s advanced cell phones also require an applications processor to run the phone’s software and services, and semiconductors to enable connectivity to Bluetooth</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devices, WiFi networks or GPS location services. We design, make and sell products to satisfy each of these requirements. Wireless products are typically sold in high volumes and our Wireless portfolio includes both standard (or merchant) products and custom products. Sales of Wireless products accounted for about 25 percent of our revenue in 2008, and a significant portion of our Wireless sales were to a single customer.</w:t>
      </w:r>
    </w:p>
    <w:p>
      <w:pPr>
        <w:spacing w:after="0" w:line="231"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As wireless communications have proliferated, consumers have demanded capabilities beyond voice. Smartphones (phones that contain email, media, games and computing capability) represent one of the fastest growing wireless markets. These phones tend to include many semiconductor products. Major handset manufacturers are actively pursuing the smartphone market and increasingly focusing their R&amp;D on applications and services. As a result, we believe customer demand for applications processors will grow as handset manufacturers seek to differentiate their products by providing software and a unique user experience. Our OMAP</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product line has a leading position in the applications processor market and is used by most of the top handset manufacturers.</w:t>
      </w:r>
    </w:p>
    <w:p>
      <w:pPr>
        <w:spacing w:after="0" w:line="10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Wireless segment has been shifting focus from baseband chips, a market with shrinking competitive barriers and slowing growth rates, to applications processors, a market we expect will grow faster than the baseband market. Consistent with this shift in market focus, we are concentrating our Wireless investments on our applications processors and connectivity products and have discontinued further development of merchant baseband products. While we continue to sell custom baseband products, we are also decreasing custom baseband investments and expect substantially all of this revenue to cease by the end of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2"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Our Other segment includes revenue from smaller semiconductor product lines and handheld graphing and scientific calculators, and from royalties received for our patented technology that we license to other electronics companies. The semiconductor products in our Other segment include DLP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(primarily used to create high-definition images for business and home theater projectors, televisions and movie projectors), reduced-instruction set computing (RISC) microprocessors (designed to provide very fast computing and often implemented in servers) and custom semiconductors known as application-specific integrated circuits (ASICs). This segment accounted for about 20 percent of our revenue in 2008.</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Inventory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While our inventory practices differ by product, we generally maintain inventory levels that are consistent with our expectations of customer demand.</w:t>
      </w:r>
    </w:p>
    <w:p>
      <w:pPr>
        <w:spacing w:after="0" w:line="26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custom semiconductor products, where the risk of obsolescence is higher, we carry lower levels of inventory when possible. These products have a single customer, are sold in high volumes and have comparatively shorter life cycles. Life cycles of these products are often determined by end-equipment upgrade cycles and can be as short as 12 to 24 months.</w:t>
      </w:r>
    </w:p>
    <w:p>
      <w:pPr>
        <w:spacing w:after="0" w:line="20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standard semiconductor products, where the risk of obsolescence is low, we generally carry higher levels of inventory. These products usually have many customers and long life cycles, and are often ordered in small quantities. Standard product inventory is sometimes held in unfinished wafer form, giving us greater flexibility to meet final package and test configurations.</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a result of the following multi-year trends, we now tend to carry relatively higher levels of inventory (as measured in days of inventory) than in past years: standard products have become a larger part of our portfolio; we have increased consignment programs with our largest customers; and our distributors now carry relatively less inventory on average than in the past.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manage calculator inventory consistent with expected seasonality.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Manufacturing</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Semiconductor manufacturing begins with the wafer fabrication manufacturing process: a sequence of photo-lithographic and chemical processing steps that fabricate a number of semiconductor devices on a thin silicon wafer. Each device on the wafer is tested and the wafer is cut into pieces called chips. Each chip is assembled into a package that then may be retested. The entire process typically requires between twelve and eighteen weeks and takes place in highly specialized facilities.</w:t>
      </w:r>
    </w:p>
    <w:p>
      <w:pPr>
        <w:spacing w:after="0" w:line="214"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We own and operate semiconductor manufacturing sites in North America, Asia and Europe. These facilities include high-volume wafer fabrication plants and assembly/test sites. Our facilities require substantial investment to construct and are largely fixed-cost assets once in operation. Because we own much of our manufacturing capacity, a significant portion of our operating cost is fixed. In general, these fixed costs do not decline with reductions in customer demand or utilization of capacity and can adversely affect our profit margins as a result. Conversely, as product demand rises and factory utilization increases, the fixed costs are spread over increased output, potentially benefiting our profit margins.</w:t>
      </w:r>
    </w:p>
    <w:p>
      <w:pPr>
        <w:spacing w:after="0" w:line="20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Most of our Analog semiconductors require a lower level of capital investment in manufacturing and equipment than is needed for equivalent production levels of our Embedded Processing and Wireless semiconductors, which are manufactured using advanced logic wafer manufacturing equipment. While analog chips benefit from unique, proprietary wafer manufacturing processes, these processes can be applied using older, less expensive equipment. In addition, these processes and equipment remain usable for much longer than the manufacturing processes and equipment required for advanced logic wafer manufacturing.</w:t>
      </w:r>
    </w:p>
    <w:p>
      <w:pPr>
        <w:spacing w:after="0" w:line="2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To supplement our internal advanced logic wafer fabrication capacity, maximize our responsiveness to customer demand and minimize our overall capital expenditures, our wafer manufacturing strategy utilizes the capacity of outside suppliers, commonly known as foundries. Our strategy involves installing internal wafer fabrication capacity to a level we believe will remain fully utilized over the equipment’s useful lifetime and then outsourcing remaining capacity needs to foundries. In 2008, external foundries provided about 50 percent of the fabricated wafers for our advanced logic manufacturing needs. We expect the proportion of our advanced logic wafers provided by foundries will increase over time. We expect to maintain sufficient internal wafer fabrication capacity to meet substantially all our analog production needs.</w:t>
      </w:r>
    </w:p>
    <w:p>
      <w:pPr>
        <w:spacing w:after="0" w:line="22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to using foundries to supplement our wafer fabrication capacity, we selectively use subcontractors to supplement our assembly/test capacity. We generally use subcontractors for assembly/test of products that would be less cost-efficient to complete in-house (e.g., relatively low-volume products that are unlikely to keep internal equipment fully utilized), or in the event demand temporarily exceeds our internal capacity. We believe we often have a cost advantage in maintaining internal assembly/test capacity. Accordingly, we have recently opened an environmentally efficient assembly/test facility in the Philippines, and the facility is in the initial stages of production.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ind w:right="20"/>
        <w:spacing w:after="0" w:line="257" w:lineRule="auto"/>
        <w:rPr>
          <w:sz w:val="20"/>
          <w:szCs w:val="20"/>
          <w:color w:val="auto"/>
        </w:rPr>
      </w:pPr>
      <w:r>
        <w:rPr>
          <w:rFonts w:ascii="Arial" w:cs="Arial" w:eastAsia="Arial" w:hAnsi="Arial"/>
          <w:sz w:val="18"/>
          <w:szCs w:val="18"/>
          <w:color w:val="auto"/>
        </w:rPr>
        <w:t>This internal/external manufacturing strategy is designed to reduce the level of our required capital expenditures, and thereby reduce our subsequent levels of depreciation. Expected end results include less fluctuation in our profit margins due to changing product demand, and lower cash requirements for expanding and updating our manufacturing capabilities. As our internal manufacturing efforts shift to a higher percentage of analog products, an increasing proportion of our capital expenditures is devoted to assembly/test facilities and equipment. This is primarily due to the lower capital needs of analog wafer manufacturing equipment.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global semiconductor market is characterized by constant, though generally incremental, advances in product designs and manufacturing methods. Chip prices and manufacturing costs tend to decline over time as manufacturing methods and product life cycles mature. Typically, new chips are produced in limited quantities at first and then ramp to high-volume production over time. Consequently, new products tend not to have a significant impact on revenue for one or more quarters after they are introduced. In the discussion below, changes in our shipments are caused by changing demand for our products unless otherwise noted.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“semiconductor cycle” is an important concept that refers to the ebb and flow of supply, with relatively stable demand. The semiconductor market historically has been characterized by periods of tight supply caused by strengthening demand and/or insufficient manufacturing capacity, followed by periods of surplus inventory caused by weakening demand and/or excess manufacturing capacity. This cycle is affected by the significant time and money required to build and maintain semiconductor manufacturing facilities.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revenue and operating results are subject to some seasonal variation. Sales of our semiconductor products are seasonally weaker in the first quarter than in other quarters, particularly for products sold into cell phones and consumer electronics applications that have stronger sales later in the year as manufacturers prepare for the holiday selling season. Calculator revenue is tied to the U.S. back-to-school season and, as a result, is at its highest in the second and third quarters. Royalty revenue is not always uniform or predictable, in part due to the performance of our licensees and in part due to the timing of new license agreements or the expiration and renewal of existing agreements.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considerations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operate in a number of tax jurisdictions and are subject to several types of taxes including those that are based on income, capital, property and payroll, as well as sales and other transactional taxes. The timing of the final determination of our tax liabilities varies among the various jurisdictions and their taxing authorities. As a result, during any particular reporting period, we might reflect in our financial statements one or more tax refunds or assessments, or changes to tax liabilities, involving one or more taxing authorities.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First-quarter 2009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first-quarter revenue was $2.09 billion, net income was $17 million and earnings per share were $0.01.</w:t>
      </w:r>
    </w:p>
    <w:p>
      <w:pPr>
        <w:spacing w:after="0" w:line="25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Our revenue and earnings exceeded expectations for the quarter, but we are cautious because of the business climate. Demand for our products has begun to stabilize after sharp drops in the past two quarters. Many customers have increased orders for TI products as they have begun to slow down their inventory reductions. However, we remain sensitive to continuing weakness in the global economy, and we have yet to see signs of a broad-based recovery in our business. In this environment, we will keep our operations flexible so that we can respond quickly to any shifts in demand, whether up or down.</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Operational performance in the quarter was good, especially our reduction of inventory. We reduced our own inventory by $277 million, and at the same time worked with distributors to reduce channel inventory by $132 million. Our inventory reductions are essentially complete, and we expect to moderately increase production levels in our factories during the second quarter.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 w:name="page20"/>
    <w:bookmarkEnd w:id="19"/>
    <w:p>
      <w:pPr>
        <w:ind w:right="100"/>
        <w:spacing w:after="0" w:line="264" w:lineRule="auto"/>
        <w:rPr>
          <w:sz w:val="20"/>
          <w:szCs w:val="20"/>
          <w:color w:val="auto"/>
        </w:rPr>
      </w:pPr>
      <w:r>
        <w:rPr>
          <w:rFonts w:ascii="Arial" w:cs="Arial" w:eastAsia="Arial" w:hAnsi="Arial"/>
          <w:sz w:val="18"/>
          <w:szCs w:val="18"/>
          <w:color w:val="auto"/>
        </w:rPr>
        <w:t>Our people are focusing on opportunities for growth in Analog and Embedded Processing. Among highlights in the quarter were the acquisition of CICLON Semiconductor, a specialized supplier of analog chips for power management, and qualification of a new assembly/test factory. Both improve our ability to serve customers.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Three Months Ended</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460"/>
              <w:spacing w:after="0" w:line="198" w:lineRule="exact"/>
              <w:rPr>
                <w:sz w:val="20"/>
                <w:szCs w:val="20"/>
                <w:color w:val="auto"/>
              </w:rPr>
            </w:pPr>
            <w:r>
              <w:rPr>
                <w:rFonts w:ascii="Arial" w:cs="Arial" w:eastAsia="Arial" w:hAnsi="Arial"/>
                <w:sz w:val="18"/>
                <w:szCs w:val="18"/>
                <w:b w:val="1"/>
                <w:bCs w:val="1"/>
                <w:color w:val="auto"/>
                <w:w w:val="95"/>
              </w:rPr>
              <w:t>Mar. 31,</w:t>
            </w:r>
          </w:p>
        </w:tc>
        <w:tc>
          <w:tcPr>
            <w:tcW w:w="160" w:type="dxa"/>
            <w:vAlign w:val="bottom"/>
          </w:tcPr>
          <w:p>
            <w:pPr>
              <w:spacing w:after="0"/>
              <w:rPr>
                <w:sz w:val="17"/>
                <w:szCs w:val="17"/>
                <w:color w:val="auto"/>
              </w:rPr>
            </w:pPr>
          </w:p>
        </w:tc>
        <w:tc>
          <w:tcPr>
            <w:tcW w:w="1240" w:type="dxa"/>
            <w:vAlign w:val="bottom"/>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rPr>
              <w:t>Mar. 31,</w:t>
            </w:r>
          </w:p>
        </w:tc>
        <w:tc>
          <w:tcPr>
            <w:tcW w:w="200" w:type="dxa"/>
            <w:vAlign w:val="bottom"/>
          </w:tcPr>
          <w:p>
            <w:pPr>
              <w:spacing w:after="0"/>
              <w:rPr>
                <w:sz w:val="17"/>
                <w:szCs w:val="17"/>
                <w:color w:val="auto"/>
              </w:rPr>
            </w:pPr>
          </w:p>
        </w:tc>
        <w:tc>
          <w:tcPr>
            <w:tcW w:w="94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w w:val="96"/>
              </w:rPr>
              <w:t>Dec. 31,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2,086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3,272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1,280</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806</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1,756</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(R&amp;D)</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386</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Selling, general and administrative (SG&amp;A)</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305</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435</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105</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Operating profit</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807</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15</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840</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662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Average common shares outstanding (millions):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1,275</w:t>
            </w:r>
          </w:p>
        </w:tc>
        <w:tc>
          <w:tcPr>
            <w:tcW w:w="16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1,327</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1,277</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1,345</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Cash dividends declared per share of common stock</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Percentage of revenue: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38.6%</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R&amp;D</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18.5%</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14.6%</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Operating profit</w:t>
            </w: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0.5%</w:t>
            </w:r>
          </w:p>
        </w:tc>
        <w:tc>
          <w:tcPr>
            <w:tcW w:w="1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w:t>
      </w:r>
    </w:p>
    <w:p>
      <w:pPr>
        <w:spacing w:after="0" w:line="25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Revenue for the first quarter of 2009 was $2.09 billion, a decrease of $1.19 billion, or 36 percent, from the year-ago quarter, and $405 million, or 16 percent from the prior quarter. Revenue in all segments declined in both comparisons due to significantly reduced shipments of a broad range of products resulting from the downturn in global markets.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Gross profit for the first quarter of 2009 was $806 million, or 38.6 percent of revenue, a decrease of $950 million, or 54 percent from the year-ago</w:t>
      </w:r>
    </w:p>
    <w:p>
      <w:pPr>
        <w:spacing w:after="0" w:line="35"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quarter. Gross profit decreased $291 million, or 27 percent, from the prior quarter. The decline in gross profit in both comparisons was due to a combination of significantly lower revenue and the impact of lower factory utilization. Lower factory utilization decreased our gross profit by about $320 million from a year ago and about $120 million from the prior quarter.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ind w:right="80"/>
        <w:spacing w:after="0" w:line="272" w:lineRule="auto"/>
        <w:rPr>
          <w:sz w:val="20"/>
          <w:szCs w:val="20"/>
          <w:color w:val="auto"/>
        </w:rPr>
      </w:pPr>
      <w:r>
        <w:rPr>
          <w:rFonts w:ascii="Arial" w:cs="Arial" w:eastAsia="Arial" w:hAnsi="Arial"/>
          <w:sz w:val="17"/>
          <w:szCs w:val="17"/>
          <w:color w:val="auto"/>
        </w:rPr>
        <w:t>Operating expenses for the first quarter of 2009 were $386 million for R&amp;D and $305 million for SG&amp;A. R&amp;D expense decreased $128 million, or 25 percent, from a year ago primarily due to lower product development costs, and to a lesser extent, our previously-announced employment reductions. R&amp;D expense decreased $45 million, or 10 percent, from the prior quarter primarily due to our previously-announced employment reductions, particularly in our Other and Wireless segments. SG&amp;A expense decreased $130 million, or 30 percent, from the year-ago quarter primarily due to the combination of, in decreasing order, cost control efforts, the impact of previously-announced employment reductions and lower compensation-related expenses. SG&amp;A decreased $56 million, or 16 percent, sequentially primarily due to the combination of, in decreasing order, the impact of previously-announced employment reductions, cost control efforts and lower compensation-related expenses.</w:t>
      </w:r>
    </w:p>
    <w:p>
      <w:pPr>
        <w:spacing w:after="0" w:line="20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Restructuring costs in the first quarter of 2009 were $105 million, compared with $254 million in the prior quarter. The restructuring costs in the first quarter were for additional severance and benefits costs, primarily for non-U.S. employees (see Note 2 to the Financial Statements for a detailed discussion of these charges and payments made during the quarter). We still have restructuring actions underway in our non-U.S. subsidiaries. We expect to incur restructuring charges of about $100 million in the second quarter of 2009. As of March 31, 2009, a total of about 3,200 jobs have been eliminated since the first of these actions was announced in October of 2008.</w:t>
      </w:r>
    </w:p>
    <w:p>
      <w:pPr>
        <w:spacing w:after="0" w:line="215" w:lineRule="exact"/>
        <w:rPr>
          <w:sz w:val="20"/>
          <w:szCs w:val="20"/>
          <w:color w:val="auto"/>
        </w:rPr>
      </w:pPr>
    </w:p>
    <w:p>
      <w:pPr>
        <w:ind w:right="520"/>
        <w:spacing w:after="0" w:line="291" w:lineRule="auto"/>
        <w:rPr>
          <w:sz w:val="20"/>
          <w:szCs w:val="20"/>
          <w:color w:val="auto"/>
        </w:rPr>
      </w:pPr>
      <w:r>
        <w:rPr>
          <w:rFonts w:ascii="Arial" w:cs="Arial" w:eastAsia="Arial" w:hAnsi="Arial"/>
          <w:sz w:val="16"/>
          <w:szCs w:val="16"/>
          <w:color w:val="auto"/>
        </w:rPr>
        <w:t>For the first quarter of 2009, we had operating profit of $10 million, a decrease of 99 percent compared with the year-ago quarter, and a decrease of 80 percent compared with the previous quarter. The decline from a year ago was due to lower gross profit, and to a lesser extent, restructuring</w:t>
      </w:r>
    </w:p>
    <w:p>
      <w:pPr>
        <w:ind w:right="60"/>
        <w:spacing w:after="0" w:line="261" w:lineRule="auto"/>
        <w:rPr>
          <w:sz w:val="20"/>
          <w:szCs w:val="20"/>
          <w:color w:val="auto"/>
        </w:rPr>
      </w:pPr>
      <w:r>
        <w:rPr>
          <w:rFonts w:ascii="Arial" w:cs="Arial" w:eastAsia="Arial" w:hAnsi="Arial"/>
          <w:sz w:val="18"/>
          <w:szCs w:val="18"/>
          <w:color w:val="auto"/>
        </w:rPr>
        <w:t>charges. Collectively, these factors more than offset lower operating expenses. The decline from the prior quarter was due to lower gross profit, which more than offset lower restructuring charges and lower operating expenses.</w:t>
      </w:r>
    </w:p>
    <w:p>
      <w:pPr>
        <w:spacing w:after="0" w:line="21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Other income (expense) net (OI&amp;E) for the first quarter of 2009 was $5 million, a decrease of $28 million from the year-ago quarter, due about equally to lower interest income and investments. OI&amp;E increased $20 million from the prior quarter, which included a reserve associated with a former business.</w:t>
      </w:r>
    </w:p>
    <w:p>
      <w:pPr>
        <w:spacing w:after="0" w:line="15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As of March 31, 2009, the estimated annual effective tax rate for 2009 is expected to be about 24 percent (see Note 4 to the Financial Statements for additional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Quarterly income taxes are calculated using the estimated annual effective tax rate.</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first quarter of 2009 we had a net tax benefit of $2 million, compared with a tax provision of $178 million in the year-ago quarter. The decrease in the tax provision from the year-ago quarter was due to lower income before income taxes, partially offset by a decrease in net discrete tax benefits and, to a lesser extent, the effect of non-U.S. tax rates. Included in the net tax benefit for the quarter were $5 million in discrete tax benefits primarily related to earnings of non-U.S. subsidiaries. The tax provision in the year-ago quarter included discrete tax benefits of $81 million, which were primarily due to our decision to indefinitely reinvest the accumulated earnings of a non-U.S. subsidiary.</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In the previous quarter, we had a net tax benefit of $71 million, which reflected the cumulative effect of the reinstatement of the federal research tax credit.</w:t>
      </w:r>
    </w:p>
    <w:p>
      <w:pPr>
        <w:spacing w:after="0" w:line="2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the first quarter of 2009, we had net income of $17 million, or earnings per share of $0.01, compared with net income of $662 million, or earnings per share of $0.49, for the year-ago quarter and $107 million, or $0.08 per share for the prior quarter.</w:t>
      </w:r>
    </w:p>
    <w:p>
      <w:pPr>
        <w:spacing w:after="0" w:line="19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Orders in the first quarter were $2.19 billion, a decrease of 34 percent from the year-ago quarter. Compared with the prior quarter, orders were up 18 percent, but orders were unusually weak in the prior quarter as customers began reducing their inventory in response to the slowing global economy.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Segment results</w:t>
            </w:r>
          </w:p>
        </w:tc>
        <w:tc>
          <w:tcPr>
            <w:tcW w:w="3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4520" w:type="dxa"/>
            <w:vAlign w:val="bottom"/>
            <w:gridSpan w:val="3"/>
          </w:tcPr>
          <w:p>
            <w:pPr>
              <w:spacing w:after="0"/>
              <w:rPr>
                <w:sz w:val="20"/>
                <w:szCs w:val="20"/>
                <w:color w:val="auto"/>
              </w:rPr>
            </w:pPr>
            <w:r>
              <w:rPr>
                <w:rFonts w:ascii="Arial" w:cs="Arial" w:eastAsia="Arial" w:hAnsi="Arial"/>
                <w:sz w:val="18"/>
                <w:szCs w:val="18"/>
                <w:i w:val="1"/>
                <w:iCs w:val="1"/>
                <w:color w:val="auto"/>
              </w:rPr>
              <w:t>Analog</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1Q09</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1Q09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1Q09</w:t>
            </w:r>
          </w:p>
        </w:tc>
        <w:tc>
          <w:tcPr>
            <w:tcW w:w="4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1Q08</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vs. 1Q08</w:t>
            </w:r>
          </w:p>
        </w:tc>
        <w:tc>
          <w:tcPr>
            <w:tcW w:w="4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4Q08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vs. 4Q08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814</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Operating profit (loss) *</w:t>
            </w:r>
          </w:p>
        </w:tc>
        <w:tc>
          <w:tcPr>
            <w:tcW w:w="4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(35)</w:t>
            </w:r>
          </w:p>
        </w:tc>
        <w:tc>
          <w:tcPr>
            <w:tcW w:w="4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372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 (loss) % of revenue</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Analog revenue decreased 36 percent from the year-ago quarter and 20 percent from the prior quarter, primarily due to lower shipments of high-volume analog &amp; logic products. To a lesser extent, high-performance analog and power management revenue also declined in both comparisons due to decreased shipments. The lower revenue more than offset reductions in operating expenses and resulted in an operating loss for the first quarter of 2009. Operating profit declined from both the year-ago quarter and the previous quarter due to lower revenue.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i w:val="1"/>
                <w:iCs w:val="1"/>
                <w:color w:val="auto"/>
              </w:rPr>
              <w:t>Embedded Processing</w:t>
            </w: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1Q09</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1Q09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1Q09</w:t>
            </w:r>
          </w:p>
        </w:tc>
        <w:tc>
          <w:tcPr>
            <w:tcW w:w="40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1Q08</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vs. 1Q08</w:t>
            </w:r>
          </w:p>
        </w:tc>
        <w:tc>
          <w:tcPr>
            <w:tcW w:w="4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4Q08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vs. 4Q08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316</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Operating profit (loss) *</w:t>
            </w:r>
          </w:p>
        </w:tc>
        <w:tc>
          <w:tcPr>
            <w:tcW w:w="4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w:t>
            </w:r>
          </w:p>
        </w:tc>
        <w:tc>
          <w:tcPr>
            <w:tcW w:w="4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4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(loss) % of revenue</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0.6%</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Embedded Processing revenue decreased 26 percent from the year-ago quarter and 7 percent from the prior quarter. These declines were primarily due to decreased shipments of catalog products, and to a lesser extent, decreased shipments of automotive products. Compared to the year ago-quarter, operating profit decreased 98%, primarily due to the combination of lower revenue and, to a lesser extent, restructuring charges.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gridSpan w:val="2"/>
          </w:tcPr>
          <w:p>
            <w:pPr>
              <w:spacing w:after="0"/>
              <w:rPr>
                <w:sz w:val="20"/>
                <w:szCs w:val="20"/>
                <w:color w:val="auto"/>
              </w:rPr>
            </w:pPr>
            <w:r>
              <w:rPr>
                <w:rFonts w:ascii="Arial" w:cs="Arial" w:eastAsia="Arial" w:hAnsi="Arial"/>
                <w:sz w:val="18"/>
                <w:szCs w:val="18"/>
                <w:i w:val="1"/>
                <w:iCs w:val="1"/>
                <w:color w:val="auto"/>
              </w:rPr>
              <w:t>Wireless</w:t>
            </w: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1Q09</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1Q09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1Q09</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1Q08</w:t>
            </w:r>
          </w:p>
        </w:tc>
        <w:tc>
          <w:tcPr>
            <w:tcW w:w="26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vs. 1Q08</w:t>
            </w:r>
          </w:p>
        </w:tc>
        <w:tc>
          <w:tcPr>
            <w:tcW w:w="40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4Q08</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vs. 4Q08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551</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Operating profit (loss) *</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153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4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(loss) % of revenue</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(2.4%)</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13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32</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Wireless revenue declined 40 percent from the year-ago quarter and 15 percent from the prior quarter. These decreases were primarily due to decreased shipments of baseband products, and to a lesser extent, OMAP applications processor products. Revenue from connectivity products declined from the previous quarter due to lower shipments, although revenue was higher than the year-ago quarter due to higher shipments. For the first quarter of 2009, there was an operating loss. Compared with the year-ago quarter, operating profit declined due to lower revenue. Lower revenue more than offset an improvement in operating expenses. Compared with the prior quarter, our operating loss improved due to lower restructuring costs.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4540" w:type="dxa"/>
            <w:vAlign w:val="bottom"/>
            <w:gridSpan w:val="2"/>
          </w:tcPr>
          <w:p>
            <w:pPr>
              <w:spacing w:after="0"/>
              <w:rPr>
                <w:sz w:val="20"/>
                <w:szCs w:val="20"/>
                <w:color w:val="auto"/>
              </w:rPr>
            </w:pPr>
            <w:r>
              <w:rPr>
                <w:rFonts w:ascii="Arial" w:cs="Arial" w:eastAsia="Arial" w:hAnsi="Arial"/>
                <w:sz w:val="18"/>
                <w:szCs w:val="18"/>
                <w:i w:val="1"/>
                <w:iCs w:val="1"/>
                <w:color w:val="auto"/>
              </w:rPr>
              <w:t>Other</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1Q09</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1Q09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1Q09</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1Q08</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vs. 1Q08</w:t>
            </w:r>
          </w:p>
        </w:tc>
        <w:tc>
          <w:tcPr>
            <w:tcW w:w="4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4Q08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vs. 4Q08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405</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Operating profit (loss) *</w:t>
            </w:r>
          </w:p>
        </w:tc>
        <w:tc>
          <w:tcPr>
            <w:tcW w:w="4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56</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186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(loss) % of revenue</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13.8%</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*Includes restructuring expenses of</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Other revenue decreased 39 percent from the year-ago quarter, primarily due to lower shipments of, in decreasing order, RISC microprocessors, DLP products and calculators and lower royalties, while shipments of ASIC products increased. Compared with the previous quarter, revenue declined 17 percent due to lower shipments of, in decreasing order, DLP products, RISC microprocessors and ASIC products and lower royalties, while shipments of calculators increased. Operating profit for the first quarter of 2009 was lower than the year-ago quarter due to lower revenue, which was partially offset by lower operating expenses. Compared with the prior quarter, operating profit decreased due to lower revenue, which was offset by lower restructuring costs and reductions in operating expenses.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5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At the end of the first quarter of 2009, total cash (cash and cash equivalents plus short-term investments) was $2.43 billion. This was $114 million lower than at the end of 2008. In the first quarter we used $104 million of cash for an acquisition (see Note 1 to the Financial Statements for additional information).</w:t>
      </w:r>
    </w:p>
    <w:p>
      <w:pPr>
        <w:spacing w:after="0" w:line="15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Accounts receivable were $1.13 billion at the end of the quarter. This was an increase of $212 million from the end of 2008. Days sales outstanding were 49 at the end of the quarter compared with 33 at the end of 2008. Days sales outstanding were unusually low at year end due to a sharp decrease in shipments to customers during the fourth quarter of 2008, particularly in December.</w:t>
      </w:r>
    </w:p>
    <w:p>
      <w:pPr>
        <w:spacing w:after="0" w:line="20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Inventory was $1.10 billion at the end of the quarter. This was a reduction of $277 million from the end of 2008. Days of inventory at the end of the first quarter were 77, compared with 89 days at the end of 2008. We took aggressive actions to reduce inventory, including idling factories during a portion of the quarter.</w:t>
      </w:r>
    </w:p>
    <w:p>
      <w:pPr>
        <w:spacing w:after="0" w:line="20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Depreciation in the first quarter of 2009 was $230 million, a decrease of $11 million from the same period a year ago. Capital spending in the first quarter of 2009 totaled $43 million. This was a decrease of $176 million from a year ago primarily due to lower expenditures for semiconductor assembly/test facilities and equipment. We continued to constrain capital expenditures in the first quarter of 2009 as we do not need additional near-term manufacturing capacity in the current weak demand environment.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sources of liquidity are our cash flows from operations, cash and cash equivalents, short-term investments and revolving credit facilities. Cash flow from operations for the first quarter of 2009 was $251 million, a decrease of $398 million from the year-ago period. This decrease was due to the decrease in net income, partially offset by changes in working capital used for inventory.</w:t>
      </w:r>
    </w:p>
    <w:p>
      <w:pPr>
        <w:spacing w:after="0" w:line="208"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We have $1.44 billion of cash and cash equivalents and $990 million of short-term investments as of March 31, 2009. We have a multi-year $1 billion revolving credit facility and a non-U.S. revolving credit facility of $175 million. As of March 31, 2009, these credit facilities were not being utilized.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of 2009, investing activities provided cash of $363 million, compared with $391 million in the year-ago period.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ind w:right="100"/>
        <w:spacing w:after="0" w:line="276" w:lineRule="auto"/>
        <w:rPr>
          <w:sz w:val="20"/>
          <w:szCs w:val="20"/>
          <w:color w:val="auto"/>
        </w:rPr>
      </w:pPr>
      <w:r>
        <w:rPr>
          <w:rFonts w:ascii="Arial" w:cs="Arial" w:eastAsia="Arial" w:hAnsi="Arial"/>
          <w:sz w:val="17"/>
          <w:szCs w:val="17"/>
          <w:color w:val="auto"/>
        </w:rPr>
        <w:t>For the first quarter of 2009, net cash used in financing activities was $224 million, compared with $918 million in the year-ago period. We used $101 million of cash in the first quarter of 2009 to repurchase 6.6 million shares of our common stock and paid dividends of $141 million. In the same period last year we used $874 million of cash to repurchase 28.6 million shares of common stock and paid $133 million in dividends. Dividends were higher due to the increase in the quarterly dividend rate in the fourth quarter of 2008. Employee exercises of stock options are also reflected in cash from financing activities. In the first quarter of 2009, such exercises provided $18 million compared with $76 million for the same period a year ago.</w:t>
      </w:r>
    </w:p>
    <w:p>
      <w:pPr>
        <w:spacing w:after="0" w:line="2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2009, we expect: an annual effective tax rate of about 24 percent; R&amp;D expense of $1.5 billion; capital expenditures of $0.3 billion; and depreciation of $0.9 billion.</w:t>
      </w:r>
    </w:p>
    <w:p>
      <w:pPr>
        <w:spacing w:after="0" w:line="19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believe we have the necessary financial resources to fund our working capital needs, capital expenditures, authorized stock repurchases, dividend payments and other business requirements for at least the next 12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See Note 1 to the Financial Statements for detailed information regarding the status of new accounting standards that are not yet effective for us.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Information concerning market risk is contained on page 48 of Exhibit 13 to our Form 10-K for the year ended December 31, 2008, and is incorporated by reference to such exhibit.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 w:name="page25"/>
    <w:bookmarkEnd w:id="24"/>
    <w:p>
      <w:pPr>
        <w:ind w:left="4280"/>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3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3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Purchased as</w:t>
            </w:r>
          </w:p>
        </w:tc>
        <w:tc>
          <w:tcPr>
            <w:tcW w:w="330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Approximate Dollar Value of Shares that</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Part of</w:t>
            </w:r>
          </w:p>
        </w:tc>
        <w:tc>
          <w:tcPr>
            <w:tcW w:w="330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Publicly</w:t>
            </w:r>
          </w:p>
        </w:tc>
        <w:tc>
          <w:tcPr>
            <w:tcW w:w="3300" w:type="dxa"/>
            <w:vAlign w:val="bottom"/>
          </w:tcPr>
          <w:p>
            <w:pPr>
              <w:jc w:val="center"/>
              <w:ind w:left="5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Average</w:t>
            </w:r>
          </w:p>
        </w:tc>
        <w:tc>
          <w:tcPr>
            <w:tcW w:w="2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330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Under the</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Arial" w:cs="Arial" w:eastAsia="Arial" w:hAnsi="Arial"/>
                <w:sz w:val="18"/>
                <w:szCs w:val="18"/>
                <w:b w:val="1"/>
                <w:bCs w:val="1"/>
                <w:color w:val="auto"/>
                <w:w w:val="98"/>
              </w:rPr>
              <w:t>Price Paid</w:t>
            </w:r>
          </w:p>
        </w:tc>
        <w:tc>
          <w:tcPr>
            <w:tcW w:w="2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Plans or</w:t>
            </w:r>
          </w:p>
        </w:tc>
        <w:tc>
          <w:tcPr>
            <w:tcW w:w="330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Plans or</w:t>
            </w:r>
          </w:p>
        </w:tc>
      </w:tr>
      <w:tr>
        <w:trPr>
          <w:trHeight w:val="255"/>
        </w:trPr>
        <w:tc>
          <w:tcPr>
            <w:tcW w:w="20" w:type="dxa"/>
            <w:vAlign w:val="bottom"/>
          </w:tcPr>
          <w:p>
            <w:pPr>
              <w:spacing w:after="0"/>
              <w:rPr>
                <w:sz w:val="22"/>
                <w:szCs w:val="22"/>
                <w:color w:val="auto"/>
              </w:rPr>
            </w:pPr>
          </w:p>
        </w:tc>
        <w:tc>
          <w:tcPr>
            <w:tcW w:w="39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6"/>
              </w:rPr>
              <w:t>Purchased</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per Share</w:t>
            </w:r>
          </w:p>
        </w:tc>
        <w:tc>
          <w:tcPr>
            <w:tcW w:w="220" w:type="dxa"/>
            <w:vAlign w:val="bottom"/>
          </w:tcPr>
          <w:p>
            <w:pPr>
              <w:spacing w:after="0"/>
              <w:rPr>
                <w:sz w:val="22"/>
                <w:szCs w:val="22"/>
                <w:color w:val="auto"/>
              </w:rPr>
            </w:pPr>
          </w:p>
        </w:tc>
        <w:tc>
          <w:tcPr>
            <w:tcW w:w="1220" w:type="dxa"/>
            <w:vAlign w:val="bottom"/>
            <w:tcBorders>
              <w:bottom w:val="single" w:sz="8" w:color="auto"/>
            </w:tcBorders>
          </w:tcPr>
          <w:p>
            <w:pPr>
              <w:jc w:val="center"/>
              <w:ind w:left="70"/>
              <w:spacing w:after="0" w:line="247"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c>
          <w:tcPr>
            <w:tcW w:w="120" w:type="dxa"/>
            <w:vAlign w:val="bottom"/>
          </w:tcPr>
          <w:p>
            <w:pPr>
              <w:spacing w:after="0"/>
              <w:rPr>
                <w:sz w:val="22"/>
                <w:szCs w:val="22"/>
                <w:color w:val="auto"/>
              </w:rPr>
            </w:pPr>
          </w:p>
        </w:tc>
        <w:tc>
          <w:tcPr>
            <w:tcW w:w="3300" w:type="dxa"/>
            <w:vAlign w:val="bottom"/>
            <w:tcBorders>
              <w:bottom w:val="single" w:sz="8" w:color="auto"/>
            </w:tcBorders>
          </w:tcPr>
          <w:p>
            <w:pPr>
              <w:jc w:val="center"/>
              <w:ind w:left="70"/>
              <w:spacing w:after="0" w:line="247"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January 1 through January 31, 2009</w:t>
            </w:r>
          </w:p>
        </w:tc>
        <w:tc>
          <w:tcPr>
            <w:tcW w:w="1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3,364,000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15.03</w:t>
            </w:r>
          </w:p>
        </w:tc>
        <w:tc>
          <w:tcPr>
            <w:tcW w:w="14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3,364,000</w:t>
            </w:r>
          </w:p>
        </w:tc>
        <w:tc>
          <w:tcPr>
            <w:tcW w:w="120" w:type="dxa"/>
            <w:vAlign w:val="bottom"/>
            <w:shd w:val="clear" w:color="auto" w:fill="CCEEFF"/>
          </w:tcPr>
          <w:p>
            <w:pPr>
              <w:spacing w:after="0"/>
              <w:rPr>
                <w:sz w:val="18"/>
                <w:szCs w:val="18"/>
                <w:color w:val="auto"/>
              </w:rPr>
            </w:pPr>
          </w:p>
        </w:tc>
        <w:tc>
          <w:tcPr>
            <w:tcW w:w="330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$3,502 million</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February 1 through February 28, 2009</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3,190,000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ind w:left="100"/>
              <w:spacing w:after="0"/>
              <w:rPr>
                <w:sz w:val="20"/>
                <w:szCs w:val="20"/>
                <w:color w:val="auto"/>
              </w:rPr>
            </w:pPr>
            <w:r>
              <w:rPr>
                <w:rFonts w:ascii="Arial" w:cs="Arial" w:eastAsia="Arial" w:hAnsi="Arial"/>
                <w:sz w:val="18"/>
                <w:szCs w:val="18"/>
                <w:color w:val="auto"/>
              </w:rPr>
              <w:t>15.61</w:t>
            </w:r>
          </w:p>
        </w:tc>
        <w:tc>
          <w:tcPr>
            <w:tcW w:w="1440" w:type="dxa"/>
            <w:vAlign w:val="bottom"/>
            <w:gridSpan w:val="2"/>
          </w:tcPr>
          <w:p>
            <w:pPr>
              <w:jc w:val="right"/>
              <w:ind w:right="270"/>
              <w:spacing w:after="0"/>
              <w:rPr>
                <w:sz w:val="20"/>
                <w:szCs w:val="20"/>
                <w:color w:val="auto"/>
              </w:rPr>
            </w:pPr>
            <w:r>
              <w:rPr>
                <w:rFonts w:ascii="Arial" w:cs="Arial" w:eastAsia="Arial" w:hAnsi="Arial"/>
                <w:sz w:val="18"/>
                <w:szCs w:val="18"/>
                <w:color w:val="auto"/>
              </w:rPr>
              <w:t>3,190,000</w:t>
            </w:r>
          </w:p>
        </w:tc>
        <w:tc>
          <w:tcPr>
            <w:tcW w:w="120" w:type="dxa"/>
            <w:vAlign w:val="bottom"/>
          </w:tcPr>
          <w:p>
            <w:pPr>
              <w:spacing w:after="0"/>
              <w:rPr>
                <w:sz w:val="18"/>
                <w:szCs w:val="18"/>
                <w:color w:val="auto"/>
              </w:rPr>
            </w:pPr>
          </w:p>
        </w:tc>
        <w:tc>
          <w:tcPr>
            <w:tcW w:w="3300" w:type="dxa"/>
            <w:vAlign w:val="bottom"/>
          </w:tcPr>
          <w:p>
            <w:pPr>
              <w:ind w:left="1600"/>
              <w:spacing w:after="0"/>
              <w:rPr>
                <w:sz w:val="20"/>
                <w:szCs w:val="20"/>
                <w:color w:val="auto"/>
              </w:rPr>
            </w:pPr>
            <w:r>
              <w:rPr>
                <w:rFonts w:ascii="Arial" w:cs="Arial" w:eastAsia="Arial" w:hAnsi="Arial"/>
                <w:sz w:val="18"/>
                <w:szCs w:val="18"/>
                <w:color w:val="auto"/>
              </w:rPr>
              <w:t>$3,452 million</w:t>
            </w:r>
          </w:p>
        </w:tc>
      </w:tr>
      <w:tr>
        <w:trPr>
          <w:trHeight w:val="243"/>
        </w:trPr>
        <w:tc>
          <w:tcPr>
            <w:tcW w:w="20" w:type="dxa"/>
            <w:vAlign w:val="bottom"/>
          </w:tcPr>
          <w:p>
            <w:pPr>
              <w:spacing w:after="0"/>
              <w:rPr>
                <w:sz w:val="21"/>
                <w:szCs w:val="21"/>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March 1 through March 31, 2009</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18.87</w:t>
            </w:r>
          </w:p>
        </w:tc>
        <w:tc>
          <w:tcPr>
            <w:tcW w:w="1440" w:type="dxa"/>
            <w:vAlign w:val="bottom"/>
            <w:gridSpan w:val="2"/>
            <w:shd w:val="clear" w:color="auto" w:fill="CCEEFF"/>
          </w:tcPr>
          <w:p>
            <w:pPr>
              <w:jc w:val="right"/>
              <w:ind w:right="110"/>
              <w:spacing w:after="0" w:line="242" w:lineRule="exact"/>
              <w:rPr>
                <w:sz w:val="20"/>
                <w:szCs w:val="20"/>
                <w:color w:val="auto"/>
              </w:rPr>
            </w:pPr>
            <w:r>
              <w:rPr>
                <w:rFonts w:ascii="Arial" w:cs="Arial" w:eastAsia="Arial" w:hAnsi="Arial"/>
                <w:sz w:val="18"/>
                <w:szCs w:val="18"/>
                <w:color w:val="auto"/>
              </w:rPr>
              <w:t>30,000</w:t>
            </w:r>
            <w:r>
              <w:rPr>
                <w:rFonts w:ascii="Arial" w:cs="Arial" w:eastAsia="Arial" w:hAnsi="Arial"/>
                <w:sz w:val="25"/>
                <w:szCs w:val="25"/>
                <w:b w:val="1"/>
                <w:bCs w:val="1"/>
                <w:color w:val="auto"/>
                <w:vertAlign w:val="superscript"/>
              </w:rPr>
              <w:t>(2)</w:t>
            </w:r>
          </w:p>
        </w:tc>
        <w:tc>
          <w:tcPr>
            <w:tcW w:w="120" w:type="dxa"/>
            <w:vAlign w:val="bottom"/>
            <w:shd w:val="clear" w:color="auto" w:fill="CCEEFF"/>
          </w:tcPr>
          <w:p>
            <w:pPr>
              <w:spacing w:after="0"/>
              <w:rPr>
                <w:sz w:val="21"/>
                <w:szCs w:val="21"/>
                <w:color w:val="auto"/>
              </w:rPr>
            </w:pPr>
          </w:p>
        </w:tc>
        <w:tc>
          <w:tcPr>
            <w:tcW w:w="330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$3,452 million</w:t>
            </w:r>
          </w:p>
        </w:tc>
      </w:tr>
      <w:tr>
        <w:trPr>
          <w:trHeight w:val="27"/>
        </w:trPr>
        <w:tc>
          <w:tcPr>
            <w:tcW w:w="20" w:type="dxa"/>
            <w:vAlign w:val="bottom"/>
          </w:tcPr>
          <w:p>
            <w:pPr>
              <w:spacing w:after="0"/>
              <w:rPr>
                <w:sz w:val="2"/>
                <w:szCs w:val="2"/>
                <w:color w:val="auto"/>
              </w:rPr>
            </w:pPr>
          </w:p>
        </w:tc>
        <w:tc>
          <w:tcPr>
            <w:tcW w:w="3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300" w:type="dxa"/>
            <w:vAlign w:val="bottom"/>
            <w:shd w:val="clear" w:color="auto" w:fill="000000"/>
          </w:tcPr>
          <w:p>
            <w:pPr>
              <w:spacing w:after="0"/>
              <w:rPr>
                <w:sz w:val="2"/>
                <w:szCs w:val="2"/>
                <w:color w:val="auto"/>
              </w:rPr>
            </w:pPr>
          </w:p>
        </w:tc>
      </w:tr>
      <w:tr>
        <w:trPr>
          <w:trHeight w:val="333"/>
        </w:trPr>
        <w:tc>
          <w:tcPr>
            <w:tcW w:w="3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6,584,000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ind w:left="100"/>
              <w:spacing w:after="0"/>
              <w:rPr>
                <w:sz w:val="20"/>
                <w:szCs w:val="20"/>
                <w:color w:val="auto"/>
              </w:rPr>
            </w:pPr>
            <w:r>
              <w:rPr>
                <w:rFonts w:ascii="Arial" w:cs="Arial" w:eastAsia="Arial" w:hAnsi="Arial"/>
                <w:sz w:val="18"/>
                <w:szCs w:val="18"/>
                <w:color w:val="auto"/>
              </w:rPr>
              <w:t>15.33</w:t>
            </w: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6,584,000</w:t>
            </w:r>
            <w:r>
              <w:rPr>
                <w:rFonts w:ascii="Arial" w:cs="Arial" w:eastAsia="Arial" w:hAnsi="Arial"/>
                <w:sz w:val="25"/>
                <w:szCs w:val="25"/>
                <w:b w:val="1"/>
                <w:bCs w:val="1"/>
                <w:color w:val="auto"/>
                <w:vertAlign w:val="superscript"/>
              </w:rPr>
              <w:t>(2)</w:t>
            </w:r>
          </w:p>
        </w:tc>
        <w:tc>
          <w:tcPr>
            <w:tcW w:w="120" w:type="dxa"/>
            <w:vAlign w:val="bottom"/>
          </w:tcPr>
          <w:p>
            <w:pPr>
              <w:spacing w:after="0"/>
              <w:rPr>
                <w:sz w:val="24"/>
                <w:szCs w:val="24"/>
                <w:color w:val="auto"/>
              </w:rPr>
            </w:pPr>
          </w:p>
        </w:tc>
        <w:tc>
          <w:tcPr>
            <w:tcW w:w="3300" w:type="dxa"/>
            <w:vAlign w:val="bottom"/>
          </w:tcPr>
          <w:p>
            <w:pPr>
              <w:ind w:left="1600"/>
              <w:spacing w:after="0"/>
              <w:rPr>
                <w:sz w:val="20"/>
                <w:szCs w:val="20"/>
                <w:color w:val="auto"/>
              </w:rPr>
            </w:pPr>
            <w:r>
              <w:rPr>
                <w:rFonts w:ascii="Arial" w:cs="Arial" w:eastAsia="Arial" w:hAnsi="Arial"/>
                <w:sz w:val="18"/>
                <w:szCs w:val="18"/>
                <w:color w:val="auto"/>
              </w:rPr>
              <w:t>$3,452 million</w:t>
            </w: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0" w:hanging="308"/>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purchases during the quarter were made under an authorization to purchase up to $5 billion of additional shares of TI common stock, which was announced on September 21, 2007. No expiration date has been specified for this authorization.</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jc w:val="both"/>
        <w:ind w:left="340" w:hanging="308"/>
        <w:spacing w:after="0" w:line="25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purchases were made through open-market purchases except for 30,000 shares that were acquired in January and 30,000 shares that were acquired in March through a privately negotiated forward purchase contract with a non-affiliated financial institution. The forward purchase contract was designed to minimize the adverse impact on our earnings from the effect of stock market value fluctuations on the portion of our deferred compensation obligations denominated in TI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ind w:left="180"/>
              <w:spacing w:after="0"/>
              <w:rPr>
                <w:sz w:val="20"/>
                <w:szCs w:val="20"/>
                <w:color w:val="auto"/>
              </w:rPr>
            </w:pPr>
            <w:r>
              <w:rPr>
                <w:rFonts w:ascii="Arial" w:cs="Arial" w:eastAsia="Arial" w:hAnsi="Arial"/>
                <w:sz w:val="18"/>
                <w:szCs w:val="18"/>
                <w:b w:val="1"/>
                <w:bCs w:val="1"/>
                <w:color w:val="auto"/>
                <w:w w:val="98"/>
              </w:rPr>
              <w:t>Designation</w:t>
            </w:r>
          </w:p>
        </w:tc>
        <w:tc>
          <w:tcPr>
            <w:tcW w:w="10200" w:type="dxa"/>
            <w:vAlign w:val="bottom"/>
          </w:tcPr>
          <w:p>
            <w:pPr>
              <w:spacing w:after="0"/>
              <w:rPr>
                <w:sz w:val="18"/>
                <w:szCs w:val="18"/>
                <w:color w:val="auto"/>
              </w:rPr>
            </w:pPr>
          </w:p>
        </w:tc>
      </w:tr>
      <w:tr>
        <w:trPr>
          <w:trHeight w:val="216"/>
        </w:trPr>
        <w:tc>
          <w:tcPr>
            <w:tcW w:w="1220" w:type="dxa"/>
            <w:vAlign w:val="bottom"/>
          </w:tcPr>
          <w:p>
            <w:pPr>
              <w:ind w:left="180"/>
              <w:spacing w:after="0"/>
              <w:rPr>
                <w:sz w:val="20"/>
                <w:szCs w:val="20"/>
                <w:color w:val="auto"/>
              </w:rPr>
            </w:pPr>
            <w:r>
              <w:rPr>
                <w:rFonts w:ascii="Arial" w:cs="Arial" w:eastAsia="Arial" w:hAnsi="Arial"/>
                <w:sz w:val="18"/>
                <w:szCs w:val="18"/>
                <w:b w:val="1"/>
                <w:bCs w:val="1"/>
                <w:color w:val="auto"/>
              </w:rPr>
              <w:t>of Exhibits</w:t>
            </w:r>
          </w:p>
        </w:tc>
        <w:tc>
          <w:tcPr>
            <w:tcW w:w="10200" w:type="dxa"/>
            <w:vAlign w:val="bottom"/>
          </w:tcPr>
          <w:p>
            <w:pPr>
              <w:spacing w:after="0"/>
              <w:rPr>
                <w:sz w:val="18"/>
                <w:szCs w:val="18"/>
                <w:color w:val="auto"/>
              </w:rPr>
            </w:pPr>
          </w:p>
        </w:tc>
      </w:tr>
      <w:tr>
        <w:trPr>
          <w:trHeight w:val="216"/>
        </w:trPr>
        <w:tc>
          <w:tcPr>
            <w:tcW w:w="1220" w:type="dxa"/>
            <w:vAlign w:val="bottom"/>
          </w:tcPr>
          <w:p>
            <w:pPr>
              <w:ind w:left="180"/>
              <w:spacing w:after="0"/>
              <w:rPr>
                <w:sz w:val="20"/>
                <w:szCs w:val="20"/>
                <w:color w:val="auto"/>
              </w:rPr>
            </w:pPr>
            <w:r>
              <w:rPr>
                <w:rFonts w:ascii="Arial" w:cs="Arial" w:eastAsia="Arial" w:hAnsi="Arial"/>
                <w:sz w:val="18"/>
                <w:szCs w:val="18"/>
                <w:b w:val="1"/>
                <w:bCs w:val="1"/>
                <w:color w:val="auto"/>
              </w:rPr>
              <w:t>in This</w:t>
            </w:r>
          </w:p>
        </w:tc>
        <w:tc>
          <w:tcPr>
            <w:tcW w:w="10200" w:type="dxa"/>
            <w:vAlign w:val="bottom"/>
          </w:tcPr>
          <w:p>
            <w:pPr>
              <w:spacing w:after="0"/>
              <w:rPr>
                <w:sz w:val="18"/>
                <w:szCs w:val="18"/>
                <w:color w:val="auto"/>
              </w:rPr>
            </w:pPr>
          </w:p>
        </w:tc>
      </w:tr>
      <w:tr>
        <w:trPr>
          <w:trHeight w:val="241"/>
        </w:trPr>
        <w:tc>
          <w:tcPr>
            <w:tcW w:w="12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Report</w:t>
            </w:r>
          </w:p>
        </w:tc>
        <w:tc>
          <w:tcPr>
            <w:tcW w:w="102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Description of Exhibit</w:t>
            </w:r>
          </w:p>
        </w:tc>
      </w:tr>
      <w:tr>
        <w:trPr>
          <w:trHeight w:val="202"/>
        </w:trPr>
        <w:tc>
          <w:tcPr>
            <w:tcW w:w="1220" w:type="dxa"/>
            <w:vAlign w:val="bottom"/>
          </w:tcPr>
          <w:p>
            <w:pPr>
              <w:jc w:val="right"/>
              <w:ind w:right="390"/>
              <w:spacing w:after="0" w:line="201" w:lineRule="exact"/>
              <w:rPr>
                <w:sz w:val="20"/>
                <w:szCs w:val="20"/>
                <w:color w:val="auto"/>
              </w:rPr>
            </w:pPr>
            <w:r>
              <w:rPr>
                <w:rFonts w:ascii="Arial" w:cs="Arial" w:eastAsia="Arial" w:hAnsi="Arial"/>
                <w:sz w:val="18"/>
                <w:szCs w:val="18"/>
                <w:color w:val="auto"/>
              </w:rPr>
              <w:t>10.1</w:t>
            </w:r>
          </w:p>
        </w:tc>
        <w:tc>
          <w:tcPr>
            <w:tcW w:w="10200" w:type="dxa"/>
            <w:vAlign w:val="bottom"/>
          </w:tcPr>
          <w:p>
            <w:pPr>
              <w:ind w:left="160"/>
              <w:spacing w:after="0" w:line="201" w:lineRule="exact"/>
              <w:rPr>
                <w:sz w:val="20"/>
                <w:szCs w:val="20"/>
                <w:color w:val="auto"/>
              </w:rPr>
            </w:pPr>
            <w:r>
              <w:rPr>
                <w:rFonts w:ascii="Arial" w:cs="Arial" w:eastAsia="Arial" w:hAnsi="Arial"/>
                <w:sz w:val="18"/>
                <w:szCs w:val="18"/>
                <w:color w:val="auto"/>
                <w:w w:val="91"/>
              </w:rPr>
              <w:t>Texas Instruments 2009 Director Compensation Plan (incorporated by reference to the Registrant’s Proxy Statement dated March 5, 2009</w:t>
            </w:r>
          </w:p>
        </w:tc>
      </w:tr>
      <w:tr>
        <w:trPr>
          <w:trHeight w:val="216"/>
        </w:trPr>
        <w:tc>
          <w:tcPr>
            <w:tcW w:w="1220" w:type="dxa"/>
            <w:vAlign w:val="bottom"/>
          </w:tcPr>
          <w:p>
            <w:pPr>
              <w:spacing w:after="0"/>
              <w:rPr>
                <w:sz w:val="18"/>
                <w:szCs w:val="18"/>
                <w:color w:val="auto"/>
              </w:rPr>
            </w:pPr>
          </w:p>
        </w:tc>
        <w:tc>
          <w:tcPr>
            <w:tcW w:w="10200" w:type="dxa"/>
            <w:vAlign w:val="bottom"/>
          </w:tcPr>
          <w:p>
            <w:pPr>
              <w:ind w:left="160"/>
              <w:spacing w:after="0"/>
              <w:rPr>
                <w:sz w:val="20"/>
                <w:szCs w:val="20"/>
                <w:color w:val="auto"/>
              </w:rPr>
            </w:pPr>
            <w:r>
              <w:rPr>
                <w:rFonts w:ascii="Arial" w:cs="Arial" w:eastAsia="Arial" w:hAnsi="Arial"/>
                <w:sz w:val="18"/>
                <w:szCs w:val="18"/>
                <w:color w:val="auto"/>
              </w:rPr>
              <w:t>(see Exhibit B))</w:t>
            </w:r>
          </w:p>
        </w:tc>
      </w:tr>
      <w:tr>
        <w:trPr>
          <w:trHeight w:val="216"/>
        </w:trPr>
        <w:tc>
          <w:tcPr>
            <w:tcW w:w="1220" w:type="dxa"/>
            <w:vAlign w:val="bottom"/>
          </w:tcPr>
          <w:p>
            <w:pPr>
              <w:jc w:val="right"/>
              <w:ind w:right="390"/>
              <w:spacing w:after="0"/>
              <w:rPr>
                <w:sz w:val="20"/>
                <w:szCs w:val="20"/>
                <w:color w:val="auto"/>
              </w:rPr>
            </w:pPr>
            <w:r>
              <w:rPr>
                <w:rFonts w:ascii="Arial" w:cs="Arial" w:eastAsia="Arial" w:hAnsi="Arial"/>
                <w:sz w:val="18"/>
                <w:szCs w:val="18"/>
                <w:color w:val="auto"/>
              </w:rPr>
              <w:t>10.2</w:t>
            </w:r>
          </w:p>
        </w:tc>
        <w:tc>
          <w:tcPr>
            <w:tcW w:w="10200" w:type="dxa"/>
            <w:vAlign w:val="bottom"/>
          </w:tcPr>
          <w:p>
            <w:pPr>
              <w:ind w:left="160"/>
              <w:spacing w:after="0"/>
              <w:rPr>
                <w:sz w:val="20"/>
                <w:szCs w:val="20"/>
                <w:color w:val="auto"/>
              </w:rPr>
            </w:pPr>
            <w:r>
              <w:rPr>
                <w:rFonts w:ascii="Arial" w:cs="Arial" w:eastAsia="Arial" w:hAnsi="Arial"/>
                <w:sz w:val="18"/>
                <w:szCs w:val="18"/>
                <w:color w:val="auto"/>
              </w:rPr>
              <w:t>Form of Executive Officer Nonqualified Stock Option Agreement under Texas Instruments 2009 Long-term Incentive Plan</w:t>
            </w:r>
          </w:p>
        </w:tc>
      </w:tr>
      <w:tr>
        <w:trPr>
          <w:trHeight w:val="216"/>
        </w:trPr>
        <w:tc>
          <w:tcPr>
            <w:tcW w:w="1220" w:type="dxa"/>
            <w:vAlign w:val="bottom"/>
          </w:tcPr>
          <w:p>
            <w:pPr>
              <w:jc w:val="right"/>
              <w:ind w:right="390"/>
              <w:spacing w:after="0"/>
              <w:rPr>
                <w:sz w:val="20"/>
                <w:szCs w:val="20"/>
                <w:color w:val="auto"/>
              </w:rPr>
            </w:pPr>
            <w:r>
              <w:rPr>
                <w:rFonts w:ascii="Arial" w:cs="Arial" w:eastAsia="Arial" w:hAnsi="Arial"/>
                <w:sz w:val="18"/>
                <w:szCs w:val="18"/>
                <w:color w:val="auto"/>
              </w:rPr>
              <w:t>10.3</w:t>
            </w:r>
          </w:p>
        </w:tc>
        <w:tc>
          <w:tcPr>
            <w:tcW w:w="10200" w:type="dxa"/>
            <w:vAlign w:val="bottom"/>
          </w:tcPr>
          <w:p>
            <w:pPr>
              <w:ind w:left="160"/>
              <w:spacing w:after="0"/>
              <w:rPr>
                <w:sz w:val="20"/>
                <w:szCs w:val="20"/>
                <w:color w:val="auto"/>
              </w:rPr>
            </w:pPr>
            <w:r>
              <w:rPr>
                <w:rFonts w:ascii="Arial" w:cs="Arial" w:eastAsia="Arial" w:hAnsi="Arial"/>
                <w:sz w:val="18"/>
                <w:szCs w:val="18"/>
                <w:color w:val="auto"/>
              </w:rPr>
              <w:t>Form of Executive Officer Restricted Stock Unit Award Agreement under Texas Instruments 2009 Long-term Incentive Plan</w:t>
            </w:r>
          </w:p>
        </w:tc>
      </w:tr>
      <w:tr>
        <w:trPr>
          <w:trHeight w:val="216"/>
        </w:trPr>
        <w:tc>
          <w:tcPr>
            <w:tcW w:w="1220" w:type="dxa"/>
            <w:vAlign w:val="bottom"/>
          </w:tcPr>
          <w:p>
            <w:pPr>
              <w:jc w:val="right"/>
              <w:ind w:right="390"/>
              <w:spacing w:after="0"/>
              <w:rPr>
                <w:sz w:val="20"/>
                <w:szCs w:val="20"/>
                <w:color w:val="auto"/>
              </w:rPr>
            </w:pPr>
            <w:r>
              <w:rPr>
                <w:rFonts w:ascii="Arial" w:cs="Arial" w:eastAsia="Arial" w:hAnsi="Arial"/>
                <w:sz w:val="18"/>
                <w:szCs w:val="18"/>
                <w:color w:val="auto"/>
              </w:rPr>
              <w:t>31.1</w:t>
            </w:r>
          </w:p>
        </w:tc>
        <w:tc>
          <w:tcPr>
            <w:tcW w:w="10200" w:type="dxa"/>
            <w:vAlign w:val="bottom"/>
          </w:tcPr>
          <w:p>
            <w:pPr>
              <w:ind w:left="160"/>
              <w:spacing w:after="0"/>
              <w:rPr>
                <w:sz w:val="20"/>
                <w:szCs w:val="20"/>
                <w:color w:val="auto"/>
              </w:rPr>
            </w:pPr>
            <w:r>
              <w:rPr>
                <w:rFonts w:ascii="Arial" w:cs="Arial" w:eastAsia="Arial" w:hAnsi="Arial"/>
                <w:sz w:val="18"/>
                <w:szCs w:val="18"/>
                <w:color w:val="auto"/>
              </w:rPr>
              <w:t>Certification of Chief Executive Officer of Periodic Report Pursuant to Rule 13a-15(e) or Rule 15d-15(e).</w:t>
            </w:r>
          </w:p>
        </w:tc>
      </w:tr>
      <w:tr>
        <w:trPr>
          <w:trHeight w:val="216"/>
        </w:trPr>
        <w:tc>
          <w:tcPr>
            <w:tcW w:w="1220" w:type="dxa"/>
            <w:vAlign w:val="bottom"/>
          </w:tcPr>
          <w:p>
            <w:pPr>
              <w:jc w:val="right"/>
              <w:ind w:right="390"/>
              <w:spacing w:after="0"/>
              <w:rPr>
                <w:sz w:val="20"/>
                <w:szCs w:val="20"/>
                <w:color w:val="auto"/>
              </w:rPr>
            </w:pPr>
            <w:r>
              <w:rPr>
                <w:rFonts w:ascii="Arial" w:cs="Arial" w:eastAsia="Arial" w:hAnsi="Arial"/>
                <w:sz w:val="18"/>
                <w:szCs w:val="18"/>
                <w:color w:val="auto"/>
              </w:rPr>
              <w:t>31.2</w:t>
            </w:r>
          </w:p>
        </w:tc>
        <w:tc>
          <w:tcPr>
            <w:tcW w:w="10200" w:type="dxa"/>
            <w:vAlign w:val="bottom"/>
          </w:tcPr>
          <w:p>
            <w:pPr>
              <w:ind w:left="160"/>
              <w:spacing w:after="0"/>
              <w:rPr>
                <w:sz w:val="20"/>
                <w:szCs w:val="20"/>
                <w:color w:val="auto"/>
              </w:rPr>
            </w:pPr>
            <w:r>
              <w:rPr>
                <w:rFonts w:ascii="Arial" w:cs="Arial" w:eastAsia="Arial" w:hAnsi="Arial"/>
                <w:sz w:val="18"/>
                <w:szCs w:val="18"/>
                <w:color w:val="auto"/>
              </w:rPr>
              <w:t>Certification of Chief Financial Officer of Periodic Report Pursuant to Rule 13a-15(e) or Rule 15d-15(e).</w:t>
            </w:r>
          </w:p>
        </w:tc>
      </w:tr>
      <w:tr>
        <w:trPr>
          <w:trHeight w:val="216"/>
        </w:trPr>
        <w:tc>
          <w:tcPr>
            <w:tcW w:w="1220" w:type="dxa"/>
            <w:vAlign w:val="bottom"/>
          </w:tcPr>
          <w:p>
            <w:pPr>
              <w:jc w:val="right"/>
              <w:ind w:right="390"/>
              <w:spacing w:after="0"/>
              <w:rPr>
                <w:sz w:val="20"/>
                <w:szCs w:val="20"/>
                <w:color w:val="auto"/>
              </w:rPr>
            </w:pPr>
            <w:r>
              <w:rPr>
                <w:rFonts w:ascii="Arial" w:cs="Arial" w:eastAsia="Arial" w:hAnsi="Arial"/>
                <w:sz w:val="18"/>
                <w:szCs w:val="18"/>
                <w:color w:val="auto"/>
              </w:rPr>
              <w:t>32.1</w:t>
            </w:r>
          </w:p>
        </w:tc>
        <w:tc>
          <w:tcPr>
            <w:tcW w:w="10200" w:type="dxa"/>
            <w:vAlign w:val="bottom"/>
          </w:tcPr>
          <w:p>
            <w:pPr>
              <w:ind w:left="160"/>
              <w:spacing w:after="0"/>
              <w:rPr>
                <w:sz w:val="20"/>
                <w:szCs w:val="20"/>
                <w:color w:val="auto"/>
              </w:rPr>
            </w:pPr>
            <w:r>
              <w:rPr>
                <w:rFonts w:ascii="Arial" w:cs="Arial" w:eastAsia="Arial" w:hAnsi="Arial"/>
                <w:sz w:val="18"/>
                <w:szCs w:val="18"/>
                <w:color w:val="auto"/>
              </w:rPr>
              <w:t>Certification by Chief Executive Officer of Periodic Report Pursuant to 18 U.S.C. Section 1350.</w:t>
            </w:r>
          </w:p>
        </w:tc>
      </w:tr>
      <w:tr>
        <w:trPr>
          <w:trHeight w:val="230"/>
        </w:trPr>
        <w:tc>
          <w:tcPr>
            <w:tcW w:w="1220" w:type="dxa"/>
            <w:vAlign w:val="bottom"/>
          </w:tcPr>
          <w:p>
            <w:pPr>
              <w:jc w:val="right"/>
              <w:ind w:right="390"/>
              <w:spacing w:after="0"/>
              <w:rPr>
                <w:sz w:val="20"/>
                <w:szCs w:val="20"/>
                <w:color w:val="auto"/>
              </w:rPr>
            </w:pPr>
            <w:r>
              <w:rPr>
                <w:rFonts w:ascii="Arial" w:cs="Arial" w:eastAsia="Arial" w:hAnsi="Arial"/>
                <w:sz w:val="18"/>
                <w:szCs w:val="18"/>
                <w:color w:val="auto"/>
              </w:rPr>
              <w:t>32.2</w:t>
            </w:r>
          </w:p>
        </w:tc>
        <w:tc>
          <w:tcPr>
            <w:tcW w:w="10200" w:type="dxa"/>
            <w:vAlign w:val="bottom"/>
          </w:tcPr>
          <w:p>
            <w:pPr>
              <w:ind w:left="160"/>
              <w:spacing w:after="0"/>
              <w:rPr>
                <w:sz w:val="20"/>
                <w:szCs w:val="20"/>
                <w:color w:val="auto"/>
              </w:rPr>
            </w:pPr>
            <w:r>
              <w:rPr>
                <w:rFonts w:ascii="Arial" w:cs="Arial" w:eastAsia="Arial" w:hAnsi="Arial"/>
                <w:sz w:val="18"/>
                <w:szCs w:val="18"/>
                <w:color w:val="auto"/>
              </w:rPr>
              <w:t>Certification by Chief Financial Officer of Periodic Report Pursuant to 18 U.S.C. Section 1350.</w:t>
            </w:r>
          </w:p>
        </w:tc>
      </w:tr>
      <w:tr>
        <w:trPr>
          <w:trHeight w:val="851"/>
        </w:trPr>
        <w:tc>
          <w:tcPr>
            <w:tcW w:w="1220" w:type="dxa"/>
            <w:vAlign w:val="bottom"/>
          </w:tcPr>
          <w:p>
            <w:pPr>
              <w:spacing w:after="0"/>
              <w:rPr>
                <w:sz w:val="24"/>
                <w:szCs w:val="24"/>
                <w:color w:val="auto"/>
              </w:rPr>
            </w:pPr>
          </w:p>
        </w:tc>
        <w:tc>
          <w:tcPr>
            <w:tcW w:w="10200" w:type="dxa"/>
            <w:vAlign w:val="bottom"/>
          </w:tcPr>
          <w:p>
            <w:pPr>
              <w:ind w:left="4400"/>
              <w:spacing w:after="0"/>
              <w:rPr>
                <w:sz w:val="20"/>
                <w:szCs w:val="20"/>
                <w:color w:val="auto"/>
              </w:rPr>
            </w:pPr>
            <w:r>
              <w:rPr>
                <w:rFonts w:ascii="Arial" w:cs="Arial" w:eastAsia="Arial" w:hAnsi="Arial"/>
                <w:sz w:val="18"/>
                <w:szCs w:val="18"/>
                <w:color w:val="auto"/>
              </w:rPr>
              <w:t>24</w:t>
            </w:r>
          </w:p>
        </w:tc>
      </w:tr>
      <w:tr>
        <w:trPr>
          <w:trHeight w:val="118"/>
        </w:trPr>
        <w:tc>
          <w:tcPr>
            <w:tcW w:w="1220" w:type="dxa"/>
            <w:vAlign w:val="bottom"/>
            <w:tcBorders>
              <w:bottom w:val="single" w:sz="8" w:color="808080"/>
            </w:tcBorders>
          </w:tcPr>
          <w:p>
            <w:pPr>
              <w:spacing w:after="0"/>
              <w:rPr>
                <w:sz w:val="10"/>
                <w:szCs w:val="10"/>
                <w:color w:val="auto"/>
              </w:rPr>
            </w:pPr>
          </w:p>
        </w:tc>
        <w:tc>
          <w:tcPr>
            <w:tcW w:w="102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5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540" w:hanging="478"/>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3" w:lineRule="exact"/>
        <w:rPr>
          <w:rFonts w:ascii="Arial" w:cs="Arial" w:eastAsia="Arial" w:hAnsi="Arial"/>
          <w:sz w:val="18"/>
          <w:szCs w:val="18"/>
          <w:color w:val="auto"/>
        </w:rPr>
      </w:pPr>
    </w:p>
    <w:p>
      <w:pPr>
        <w:ind w:left="540" w:right="540" w:hanging="478"/>
        <w:spacing w:after="0" w:line="25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540" w:hanging="478"/>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540" w:hanging="478"/>
        <w:spacing w:after="0" w:line="25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540" w:hanging="478"/>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540" w:right="40" w:hanging="478"/>
        <w:spacing w:after="0" w:line="25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540" w:hanging="478"/>
        <w:spacing w:after="0"/>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540" w:hanging="478"/>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ability of TI and its customers and suppliers to access their bank accounts and lines of credit or otherwise access the capital markets;</w:t>
      </w:r>
    </w:p>
    <w:p>
      <w:pPr>
        <w:spacing w:after="0" w:line="20" w:lineRule="exact"/>
        <w:rPr>
          <w:rFonts w:ascii="Arial" w:cs="Arial" w:eastAsia="Arial" w:hAnsi="Arial"/>
          <w:sz w:val="17"/>
          <w:szCs w:val="17"/>
          <w:color w:val="auto"/>
        </w:rPr>
      </w:pPr>
    </w:p>
    <w:p>
      <w:pPr>
        <w:ind w:left="540" w:hanging="478"/>
        <w:spacing w:after="0"/>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540" w:hanging="478"/>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540" w:right="480" w:hanging="478"/>
        <w:spacing w:after="0" w:line="261"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quarterly report on Form 10-Q are made only as of the date of this report, and we undertake no obligation to update the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jc w:val="center"/>
        <w:ind w:right="-319"/>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5600"/>
        <w:spacing w:after="0"/>
        <w:tabs>
          <w:tab w:leader="none" w:pos="6080" w:val="left"/>
        </w:tabs>
        <w:rPr>
          <w:sz w:val="20"/>
          <w:szCs w:val="20"/>
          <w:color w:val="auto"/>
        </w:rPr>
      </w:pPr>
      <w:r>
        <w:rPr>
          <w:rFonts w:ascii="Arial" w:cs="Arial" w:eastAsia="Arial" w:hAnsi="Arial"/>
          <w:sz w:val="18"/>
          <w:szCs w:val="18"/>
          <w:color w:val="auto"/>
        </w:rPr>
        <w:t>By:</w:t>
        <w:tab/>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31750</wp:posOffset>
            </wp:positionV>
            <wp:extent cx="337883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78835" cy="17145"/>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and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2009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u w:val="single" w:color="auto"/>
          <w:color w:val="auto"/>
        </w:rPr>
        <w:t>Exhibit 10.2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34"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Form No. 2</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2009 LTIP</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Your option is subject to the following terms and conditions, your acceptance of which is required before you can exercise the option:</w:t>
      </w:r>
    </w:p>
    <w:p>
      <w:pPr>
        <w:spacing w:after="0" w:line="252" w:lineRule="exact"/>
        <w:rPr>
          <w:sz w:val="20"/>
          <w:szCs w:val="20"/>
          <w:color w:val="auto"/>
        </w:rPr>
      </w:pPr>
    </w:p>
    <w:p>
      <w:pPr>
        <w:ind w:left="500" w:hanging="492"/>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On or after the first anniversary of the Option Date (as defined in Section 9), during the balance of the option term, your option may be exercised and shares purchased at any time or times under the following conditions:</w:t>
      </w:r>
    </w:p>
    <w:p>
      <w:pPr>
        <w:spacing w:after="0" w:line="197" w:lineRule="exact"/>
        <w:rPr>
          <w:sz w:val="20"/>
          <w:szCs w:val="20"/>
          <w:color w:val="auto"/>
        </w:rPr>
      </w:pPr>
    </w:p>
    <w:p>
      <w:pPr>
        <w:ind w:left="98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Installment Table</w:t>
      </w:r>
      <w:r>
        <w:rPr>
          <w:rFonts w:ascii="Arial" w:cs="Arial" w:eastAsia="Arial" w:hAnsi="Arial"/>
          <w:sz w:val="18"/>
          <w:szCs w:val="18"/>
          <w:color w:val="auto"/>
        </w:rPr>
        <w:t>. Except as provided in Sections 1(b), 1(c) and 1(d), the option will be exercisable through the tenth anniversary of the Option Date based on the following table.</w:t>
      </w:r>
    </w:p>
    <w:p>
      <w:pPr>
        <w:spacing w:after="0" w:line="197" w:lineRule="exact"/>
        <w:rPr>
          <w:sz w:val="20"/>
          <w:szCs w:val="20"/>
          <w:color w:val="auto"/>
        </w:rPr>
      </w:pPr>
    </w:p>
    <w:tbl>
      <w:tblPr>
        <w:tblLayout w:type="fixed"/>
        <w:tblInd w:w="9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0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On or After</w:t>
            </w:r>
          </w:p>
        </w:tc>
        <w:tc>
          <w:tcPr>
            <w:tcW w:w="380" w:type="dxa"/>
            <w:vAlign w:val="bottom"/>
          </w:tcPr>
          <w:p>
            <w:pPr>
              <w:spacing w:after="0"/>
              <w:rPr>
                <w:sz w:val="20"/>
                <w:szCs w:val="20"/>
                <w:color w:val="auto"/>
              </w:rPr>
            </w:pPr>
          </w:p>
        </w:tc>
        <w:tc>
          <w:tcPr>
            <w:tcW w:w="460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Percent Exercisable</w:t>
            </w:r>
          </w:p>
        </w:tc>
      </w:tr>
      <w:tr>
        <w:trPr>
          <w:trHeight w:val="215"/>
        </w:trPr>
        <w:tc>
          <w:tcPr>
            <w:tcW w:w="20" w:type="dxa"/>
            <w:vAlign w:val="bottom"/>
          </w:tcPr>
          <w:p>
            <w:pPr>
              <w:spacing w:after="0"/>
              <w:rPr>
                <w:sz w:val="18"/>
                <w:szCs w:val="18"/>
                <w:color w:val="auto"/>
              </w:rPr>
            </w:pPr>
          </w:p>
        </w:tc>
        <w:tc>
          <w:tcPr>
            <w:tcW w:w="4600" w:type="dxa"/>
            <w:vAlign w:val="bottom"/>
          </w:tcPr>
          <w:p>
            <w:pPr>
              <w:spacing w:after="0" w:line="216" w:lineRule="exact"/>
              <w:rPr>
                <w:sz w:val="20"/>
                <w:szCs w:val="20"/>
                <w:color w:val="auto"/>
              </w:rPr>
            </w:pPr>
            <w:r>
              <w:rPr>
                <w:rFonts w:ascii="Arial" w:cs="Arial" w:eastAsia="Arial" w:hAnsi="Arial"/>
                <w:sz w:val="17"/>
                <w:szCs w:val="17"/>
                <w:color w:val="auto"/>
              </w:rPr>
              <w:t>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anniversary of the Option Date</w:t>
            </w:r>
          </w:p>
        </w:tc>
        <w:tc>
          <w:tcPr>
            <w:tcW w:w="380" w:type="dxa"/>
            <w:vAlign w:val="bottom"/>
          </w:tcPr>
          <w:p>
            <w:pPr>
              <w:spacing w:after="0"/>
              <w:rPr>
                <w:sz w:val="18"/>
                <w:szCs w:val="18"/>
                <w:color w:val="auto"/>
              </w:rPr>
            </w:pPr>
          </w:p>
        </w:tc>
        <w:tc>
          <w:tcPr>
            <w:tcW w:w="4600" w:type="dxa"/>
            <w:vAlign w:val="bottom"/>
          </w:tcPr>
          <w:p>
            <w:pPr>
              <w:jc w:val="center"/>
              <w:spacing w:after="0"/>
              <w:rPr>
                <w:sz w:val="20"/>
                <w:szCs w:val="20"/>
                <w:color w:val="auto"/>
              </w:rPr>
            </w:pPr>
            <w:r>
              <w:rPr>
                <w:rFonts w:ascii="Arial" w:cs="Arial" w:eastAsia="Arial" w:hAnsi="Arial"/>
                <w:sz w:val="18"/>
                <w:szCs w:val="18"/>
                <w:color w:val="auto"/>
                <w:w w:val="88"/>
              </w:rPr>
              <w:t>25%</w:t>
            </w:r>
          </w:p>
        </w:tc>
      </w:tr>
      <w:tr>
        <w:trPr>
          <w:trHeight w:val="230"/>
        </w:trPr>
        <w:tc>
          <w:tcPr>
            <w:tcW w:w="4620" w:type="dxa"/>
            <w:vAlign w:val="bottom"/>
            <w:gridSpan w:val="2"/>
          </w:tcPr>
          <w:p>
            <w:pPr>
              <w:spacing w:after="0" w:line="229"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anniversary of the Option Date</w:t>
            </w:r>
          </w:p>
        </w:tc>
        <w:tc>
          <w:tcPr>
            <w:tcW w:w="4980" w:type="dxa"/>
            <w:vAlign w:val="bottom"/>
            <w:gridSpan w:val="2"/>
          </w:tcPr>
          <w:p>
            <w:pPr>
              <w:jc w:val="center"/>
              <w:ind w:left="290"/>
              <w:spacing w:after="0"/>
              <w:rPr>
                <w:sz w:val="20"/>
                <w:szCs w:val="20"/>
                <w:color w:val="auto"/>
              </w:rPr>
            </w:pPr>
            <w:r>
              <w:rPr>
                <w:rFonts w:ascii="Arial" w:cs="Arial" w:eastAsia="Arial" w:hAnsi="Arial"/>
                <w:sz w:val="18"/>
                <w:szCs w:val="18"/>
                <w:color w:val="auto"/>
                <w:w w:val="88"/>
              </w:rPr>
              <w:t>50%</w:t>
            </w:r>
          </w:p>
        </w:tc>
      </w:tr>
      <w:tr>
        <w:trPr>
          <w:trHeight w:val="230"/>
        </w:trPr>
        <w:tc>
          <w:tcPr>
            <w:tcW w:w="4620" w:type="dxa"/>
            <w:vAlign w:val="bottom"/>
            <w:gridSpan w:val="2"/>
          </w:tcPr>
          <w:p>
            <w:pPr>
              <w:spacing w:after="0" w:line="229"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anniversary of the Option Date</w:t>
            </w:r>
          </w:p>
        </w:tc>
        <w:tc>
          <w:tcPr>
            <w:tcW w:w="4980" w:type="dxa"/>
            <w:vAlign w:val="bottom"/>
            <w:gridSpan w:val="2"/>
          </w:tcPr>
          <w:p>
            <w:pPr>
              <w:jc w:val="center"/>
              <w:ind w:left="290"/>
              <w:spacing w:after="0"/>
              <w:rPr>
                <w:sz w:val="20"/>
                <w:szCs w:val="20"/>
                <w:color w:val="auto"/>
              </w:rPr>
            </w:pPr>
            <w:r>
              <w:rPr>
                <w:rFonts w:ascii="Arial" w:cs="Arial" w:eastAsia="Arial" w:hAnsi="Arial"/>
                <w:sz w:val="18"/>
                <w:szCs w:val="18"/>
                <w:color w:val="auto"/>
                <w:w w:val="88"/>
              </w:rPr>
              <w:t>75%</w:t>
            </w:r>
          </w:p>
        </w:tc>
      </w:tr>
      <w:tr>
        <w:trPr>
          <w:trHeight w:val="329"/>
        </w:trPr>
        <w:tc>
          <w:tcPr>
            <w:tcW w:w="4620" w:type="dxa"/>
            <w:vAlign w:val="bottom"/>
            <w:gridSpan w:val="2"/>
          </w:tcPr>
          <w:p>
            <w:pPr>
              <w:spacing w:after="0"/>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anniversary of the Option Date</w:t>
            </w:r>
          </w:p>
        </w:tc>
        <w:tc>
          <w:tcPr>
            <w:tcW w:w="4980" w:type="dxa"/>
            <w:vAlign w:val="bottom"/>
            <w:gridSpan w:val="2"/>
          </w:tcPr>
          <w:p>
            <w:pPr>
              <w:jc w:val="center"/>
              <w:ind w:left="310"/>
              <w:spacing w:after="0"/>
              <w:rPr>
                <w:sz w:val="20"/>
                <w:szCs w:val="20"/>
                <w:color w:val="auto"/>
              </w:rPr>
            </w:pPr>
            <w:r>
              <w:rPr>
                <w:rFonts w:ascii="Arial" w:cs="Arial" w:eastAsia="Arial" w:hAnsi="Arial"/>
                <w:sz w:val="18"/>
                <w:szCs w:val="18"/>
                <w:color w:val="auto"/>
                <w:w w:val="91"/>
              </w:rPr>
              <w:t>100%</w:t>
            </w:r>
          </w:p>
        </w:tc>
      </w:tr>
    </w:tbl>
    <w:p>
      <w:pPr>
        <w:spacing w:after="0" w:line="144" w:lineRule="exact"/>
        <w:rPr>
          <w:sz w:val="20"/>
          <w:szCs w:val="20"/>
          <w:color w:val="auto"/>
        </w:rPr>
      </w:pPr>
    </w:p>
    <w:p>
      <w:pPr>
        <w:jc w:val="both"/>
        <w:ind w:left="980" w:hanging="486"/>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If there is a Change in Control (as defined in Section 9), then Section 1(c) (except Section 1(c)(vii)) and the table in Section 1(a) will not apply and, subject to the other terms and conditions of this agreement, the option will be exercisable in full through the tenth anniversary of the Option Date.</w:t>
      </w:r>
    </w:p>
    <w:p>
      <w:pPr>
        <w:spacing w:after="0" w:line="208" w:lineRule="exact"/>
        <w:rPr>
          <w:rFonts w:ascii="Arial" w:cs="Arial" w:eastAsia="Arial" w:hAnsi="Arial"/>
          <w:sz w:val="18"/>
          <w:szCs w:val="18"/>
          <w:color w:val="auto"/>
        </w:rPr>
      </w:pPr>
    </w:p>
    <w:p>
      <w:pPr>
        <w:ind w:left="980" w:hanging="486"/>
        <w:spacing w:after="0"/>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w:t>
      </w:r>
      <w:r>
        <w:rPr>
          <w:rFonts w:ascii="Arial" w:cs="Arial" w:eastAsia="Arial" w:hAnsi="Arial"/>
          <w:sz w:val="18"/>
          <w:szCs w:val="18"/>
          <w:u w:val="single" w:color="auto"/>
          <w:color w:val="auto"/>
        </w:rPr>
        <w:t>ermination of Employment</w:t>
      </w:r>
      <w:r>
        <w:rPr>
          <w:rFonts w:ascii="Arial" w:cs="Arial" w:eastAsia="Arial" w:hAnsi="Arial"/>
          <w:sz w:val="18"/>
          <w:szCs w:val="18"/>
          <w:color w:val="auto"/>
        </w:rPr>
        <w:t>. The effect of termination of employment from TI (as defined in Section 9) is as follows:</w:t>
      </w:r>
    </w:p>
    <w:p>
      <w:pPr>
        <w:spacing w:after="0" w:line="252" w:lineRule="exact"/>
        <w:rPr>
          <w:rFonts w:ascii="Arial" w:cs="Arial" w:eastAsia="Arial" w:hAnsi="Arial"/>
          <w:sz w:val="18"/>
          <w:szCs w:val="18"/>
          <w:color w:val="auto"/>
        </w:rPr>
      </w:pPr>
    </w:p>
    <w:p>
      <w:pPr>
        <w:ind w:left="1460" w:hanging="480"/>
        <w:spacing w:after="0"/>
        <w:tabs>
          <w:tab w:leader="none" w:pos="1460" w:val="left"/>
        </w:tabs>
        <w:numPr>
          <w:ilvl w:val="2"/>
          <w:numId w:val="16"/>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The option will be canceled immediately upon termination.</w:t>
      </w:r>
    </w:p>
    <w:p>
      <w:pPr>
        <w:spacing w:after="0" w:line="252" w:lineRule="exact"/>
        <w:rPr>
          <w:rFonts w:ascii="Arial" w:cs="Arial" w:eastAsia="Arial" w:hAnsi="Arial"/>
          <w:sz w:val="18"/>
          <w:szCs w:val="18"/>
          <w:color w:val="auto"/>
        </w:rPr>
      </w:pPr>
    </w:p>
    <w:p>
      <w:pPr>
        <w:ind w:left="1460" w:hanging="480"/>
        <w:spacing w:after="0"/>
        <w:tabs>
          <w:tab w:leader="none" w:pos="1460" w:val="left"/>
        </w:tabs>
        <w:numPr>
          <w:ilvl w:val="2"/>
          <w:numId w:val="16"/>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The option will continue to full term, becoming exercisable per the table in Section 1(a), and will be exercisable by your heirs.</w:t>
      </w:r>
    </w:p>
    <w:p>
      <w:pPr>
        <w:spacing w:after="0" w:line="263" w:lineRule="exact"/>
        <w:rPr>
          <w:rFonts w:ascii="Arial" w:cs="Arial" w:eastAsia="Arial" w:hAnsi="Arial"/>
          <w:sz w:val="17"/>
          <w:szCs w:val="17"/>
          <w:color w:val="auto"/>
        </w:rPr>
      </w:pPr>
    </w:p>
    <w:p>
      <w:pPr>
        <w:ind w:left="1460" w:hanging="480"/>
        <w:spacing w:after="0"/>
        <w:tabs>
          <w:tab w:leader="none" w:pos="1460" w:val="left"/>
        </w:tabs>
        <w:numPr>
          <w:ilvl w:val="2"/>
          <w:numId w:val="16"/>
        </w:numPr>
        <w:rPr>
          <w:rFonts w:ascii="Arial" w:cs="Arial" w:eastAsia="Arial" w:hAnsi="Arial"/>
          <w:sz w:val="18"/>
          <w:szCs w:val="18"/>
          <w:color w:val="auto"/>
        </w:rPr>
      </w:pPr>
      <w:r>
        <w:rPr>
          <w:rFonts w:ascii="Arial" w:cs="Arial" w:eastAsia="Arial" w:hAnsi="Arial"/>
          <w:sz w:val="18"/>
          <w:szCs w:val="18"/>
          <w:u w:val="single" w:color="auto"/>
          <w:color w:val="auto"/>
        </w:rPr>
        <w:t>Permanent disability</w:t>
      </w:r>
      <w:r>
        <w:rPr>
          <w:rFonts w:ascii="Arial" w:cs="Arial" w:eastAsia="Arial" w:hAnsi="Arial"/>
          <w:sz w:val="18"/>
          <w:szCs w:val="18"/>
          <w:color w:val="auto"/>
        </w:rPr>
        <w:t>: The option will continue to full term, becoming exercisable per the table in Section 1(a).</w:t>
      </w:r>
    </w:p>
    <w:p>
      <w:pPr>
        <w:spacing w:after="0" w:line="252" w:lineRule="exact"/>
        <w:rPr>
          <w:rFonts w:ascii="Arial" w:cs="Arial" w:eastAsia="Arial" w:hAnsi="Arial"/>
          <w:sz w:val="18"/>
          <w:szCs w:val="18"/>
          <w:color w:val="auto"/>
        </w:rPr>
      </w:pPr>
    </w:p>
    <w:p>
      <w:pPr>
        <w:jc w:val="both"/>
        <w:ind w:left="1460" w:hanging="480"/>
        <w:spacing w:after="0" w:line="302" w:lineRule="auto"/>
        <w:tabs>
          <w:tab w:leader="none" w:pos="1460" w:val="left"/>
        </w:tabs>
        <w:numPr>
          <w:ilvl w:val="2"/>
          <w:numId w:val="16"/>
        </w:numPr>
        <w:rPr>
          <w:rFonts w:ascii="Arial" w:cs="Arial" w:eastAsia="Arial" w:hAnsi="Arial"/>
          <w:sz w:val="16"/>
          <w:szCs w:val="16"/>
          <w:color w:val="auto"/>
        </w:rPr>
      </w:pPr>
      <w:r>
        <w:rPr>
          <w:rFonts w:ascii="Arial" w:cs="Arial" w:eastAsia="Arial" w:hAnsi="Arial"/>
          <w:sz w:val="16"/>
          <w:szCs w:val="16"/>
          <w:u w:val="single" w:color="auto"/>
          <w:color w:val="auto"/>
        </w:rPr>
        <w:t>Termination (except for cause), at least six months after the Option Date and when you are retirement eligible (normal or early) either under the terms of the TI 401(k) or pension plan in your home country or the country in which you work, as applicable (regardless of whether you are a participant in such plan), or if there is no such plan, as may be set forth in the laws or regulations in your home country or the country in which you work, as applicable</w:t>
      </w:r>
      <w:r>
        <w:rPr>
          <w:rFonts w:ascii="Arial" w:cs="Arial" w:eastAsia="Arial" w:hAnsi="Arial"/>
          <w:sz w:val="16"/>
          <w:szCs w:val="16"/>
          <w:color w:val="auto"/>
        </w:rPr>
        <w:t>: The option will continue to full term, becoming exercisable per the table in Section 1(a).</w:t>
      </w:r>
    </w:p>
    <w:p>
      <w:pPr>
        <w:spacing w:after="0" w:line="181" w:lineRule="exact"/>
        <w:rPr>
          <w:rFonts w:ascii="Arial" w:cs="Arial" w:eastAsia="Arial" w:hAnsi="Arial"/>
          <w:sz w:val="16"/>
          <w:szCs w:val="16"/>
          <w:color w:val="auto"/>
        </w:rPr>
      </w:pPr>
    </w:p>
    <w:p>
      <w:pPr>
        <w:jc w:val="both"/>
        <w:ind w:left="1460" w:hanging="480"/>
        <w:spacing w:after="0" w:line="264" w:lineRule="auto"/>
        <w:tabs>
          <w:tab w:leader="none" w:pos="1460" w:val="left"/>
        </w:tabs>
        <w:numPr>
          <w:ilvl w:val="2"/>
          <w:numId w:val="16"/>
        </w:numPr>
        <w:rPr>
          <w:rFonts w:ascii="Arial" w:cs="Arial" w:eastAsia="Arial" w:hAnsi="Arial"/>
          <w:sz w:val="18"/>
          <w:szCs w:val="18"/>
          <w:color w:val="auto"/>
        </w:rPr>
      </w:pPr>
      <w:r>
        <w:rPr>
          <w:rFonts w:ascii="Arial" w:cs="Arial" w:eastAsia="Arial" w:hAnsi="Arial"/>
          <w:sz w:val="18"/>
          <w:szCs w:val="18"/>
          <w:u w:val="single" w:color="auto"/>
          <w:color w:val="auto"/>
        </w:rPr>
        <w:t>Termination (except for cause) at least six months after the Option Date and after 20 years of service (credited or otherwise) as a TI employee, but you are not retirement eligible as described in Section 1(c)(iv)</w:t>
      </w:r>
      <w:r>
        <w:rPr>
          <w:rFonts w:ascii="Arial" w:cs="Arial" w:eastAsia="Arial" w:hAnsi="Arial"/>
          <w:sz w:val="18"/>
          <w:szCs w:val="18"/>
          <w:color w:val="auto"/>
        </w:rPr>
        <w:t>: The option will continue to full term, but will be exercisable only to the extent it was exercisable on the date of termination.</w:t>
      </w:r>
    </w:p>
    <w:p>
      <w:pPr>
        <w:spacing w:after="0" w:line="208" w:lineRule="exact"/>
        <w:rPr>
          <w:rFonts w:ascii="Arial" w:cs="Arial" w:eastAsia="Arial" w:hAnsi="Arial"/>
          <w:sz w:val="18"/>
          <w:szCs w:val="18"/>
          <w:color w:val="auto"/>
        </w:rPr>
      </w:pPr>
    </w:p>
    <w:p>
      <w:pPr>
        <w:ind w:left="1460" w:hanging="480"/>
        <w:spacing w:after="0"/>
        <w:tabs>
          <w:tab w:leader="none" w:pos="1460" w:val="left"/>
        </w:tabs>
        <w:numPr>
          <w:ilvl w:val="2"/>
          <w:numId w:val="16"/>
        </w:numPr>
        <w:rPr>
          <w:rFonts w:ascii="Arial" w:cs="Arial" w:eastAsia="Arial" w:hAnsi="Arial"/>
          <w:sz w:val="16"/>
          <w:szCs w:val="16"/>
          <w:color w:val="auto"/>
        </w:rPr>
      </w:pPr>
      <w:r>
        <w:rPr>
          <w:rFonts w:ascii="Arial" w:cs="Arial" w:eastAsia="Arial" w:hAnsi="Arial"/>
          <w:sz w:val="16"/>
          <w:szCs w:val="16"/>
          <w:u w:val="single" w:color="auto"/>
          <w:color w:val="auto"/>
        </w:rPr>
        <w:t>Other</w:t>
      </w:r>
      <w:r>
        <w:rPr>
          <w:rFonts w:ascii="Arial" w:cs="Arial" w:eastAsia="Arial" w:hAnsi="Arial"/>
          <w:sz w:val="16"/>
          <w:szCs w:val="16"/>
          <w:color w:val="auto"/>
        </w:rPr>
        <w:t>: For any termination other than those specified above, the option will be exercisable for 30 days after the date of termination, only</w:t>
      </w:r>
    </w:p>
    <w:p>
      <w:pPr>
        <w:spacing w:after="0" w:line="46" w:lineRule="exact"/>
        <w:rPr>
          <w:rFonts w:ascii="Arial" w:cs="Arial" w:eastAsia="Arial" w:hAnsi="Arial"/>
          <w:sz w:val="16"/>
          <w:szCs w:val="16"/>
          <w:color w:val="auto"/>
        </w:rPr>
      </w:pPr>
    </w:p>
    <w:p>
      <w:pPr>
        <w:jc w:val="both"/>
        <w:ind w:left="1460"/>
        <w:spacing w:after="0" w:line="255" w:lineRule="auto"/>
        <w:rPr>
          <w:rFonts w:ascii="Arial" w:cs="Arial" w:eastAsia="Arial" w:hAnsi="Arial"/>
          <w:sz w:val="16"/>
          <w:szCs w:val="16"/>
          <w:color w:val="auto"/>
        </w:rPr>
      </w:pPr>
      <w:r>
        <w:rPr>
          <w:rFonts w:ascii="Arial" w:cs="Arial" w:eastAsia="Arial" w:hAnsi="Arial"/>
          <w:sz w:val="18"/>
          <w:szCs w:val="18"/>
          <w:color w:val="auto"/>
        </w:rPr>
        <w:t>to the extent that it was exercisable on the date of termination per the table in Section 1(a), except as follows: If you die within 30 days after your termination, then your heirs may exercise the option for a period of up to one year after your death, but only to the extent any unexercised portion was exercisable on the date of termination.</w:t>
      </w:r>
    </w:p>
    <w:p>
      <w:pPr>
        <w:spacing w:after="0" w:line="217" w:lineRule="exact"/>
        <w:rPr>
          <w:rFonts w:ascii="Arial" w:cs="Arial" w:eastAsia="Arial" w:hAnsi="Arial"/>
          <w:sz w:val="16"/>
          <w:szCs w:val="16"/>
          <w:color w:val="auto"/>
        </w:rPr>
      </w:pPr>
    </w:p>
    <w:p>
      <w:pPr>
        <w:ind w:left="1460" w:hanging="480"/>
        <w:spacing w:after="0" w:line="308" w:lineRule="auto"/>
        <w:tabs>
          <w:tab w:leader="none" w:pos="1460" w:val="left"/>
        </w:tabs>
        <w:numPr>
          <w:ilvl w:val="2"/>
          <w:numId w:val="16"/>
        </w:numPr>
        <w:rPr>
          <w:rFonts w:ascii="Arial" w:cs="Arial" w:eastAsia="Arial" w:hAnsi="Arial"/>
          <w:sz w:val="17"/>
          <w:szCs w:val="17"/>
          <w:color w:val="auto"/>
        </w:rPr>
      </w:pPr>
      <w:r>
        <w:rPr>
          <w:rFonts w:ascii="Arial" w:cs="Arial" w:eastAsia="Arial" w:hAnsi="Arial"/>
          <w:sz w:val="17"/>
          <w:szCs w:val="17"/>
          <w:color w:val="auto"/>
        </w:rPr>
        <w:t>If your termination under Section 1(c)(v) or (vi) occurs within 30 days before the effective date of a Change in Control, then the Change in Control will be deemed to have occurred first and the option will be exercisable in accordance with Section 1(b).</w:t>
      </w:r>
    </w:p>
    <w:p>
      <w:pPr>
        <w:spacing w:after="0" w:line="169" w:lineRule="exact"/>
        <w:rPr>
          <w:rFonts w:ascii="Arial" w:cs="Arial" w:eastAsia="Arial" w:hAnsi="Arial"/>
          <w:sz w:val="17"/>
          <w:szCs w:val="17"/>
          <w:color w:val="auto"/>
        </w:rPr>
      </w:pPr>
    </w:p>
    <w:p>
      <w:pPr>
        <w:ind w:left="980" w:hanging="486"/>
        <w:spacing w:after="0" w:line="282" w:lineRule="auto"/>
        <w:tabs>
          <w:tab w:leader="none" w:pos="980"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 and Competition</w:t>
      </w:r>
      <w:r>
        <w:rPr>
          <w:rFonts w:ascii="Arial" w:cs="Arial" w:eastAsia="Arial" w:hAnsi="Arial"/>
          <w:sz w:val="18"/>
          <w:szCs w:val="18"/>
          <w:b w:val="1"/>
          <w:bCs w:val="1"/>
          <w:color w:val="auto"/>
        </w:rPr>
        <w:t>. See Section 6, particularly Section 6(c), for the effect of disclosure of confidential information or of competition with TI.</w:t>
      </w:r>
    </w:p>
    <w:p>
      <w:pPr>
        <w:spacing w:after="0" w:line="192" w:lineRule="exact"/>
        <w:rPr>
          <w:rFonts w:ascii="Arial" w:cs="Arial" w:eastAsia="Arial" w:hAnsi="Arial"/>
          <w:sz w:val="18"/>
          <w:szCs w:val="18"/>
          <w:b w:val="1"/>
          <w:bCs w:val="1"/>
          <w:color w:val="auto"/>
        </w:rPr>
      </w:pPr>
    </w:p>
    <w:p>
      <w:pPr>
        <w:ind w:left="500" w:hanging="492"/>
        <w:spacing w:after="0" w:line="342" w:lineRule="auto"/>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Continuing Employment</w:t>
      </w:r>
      <w:r>
        <w:rPr>
          <w:rFonts w:ascii="Arial" w:cs="Arial" w:eastAsia="Arial" w:hAnsi="Arial"/>
          <w:sz w:val="16"/>
          <w:szCs w:val="16"/>
          <w:color w:val="auto"/>
        </w:rPr>
        <w:t>. Your option will not be affected by any change of employment so long as you continue to be employed by TI. The option will not constitute or be evidence of any agreement or understanding, expressed or implied, on the part of TI to employ you for any specific period.</w:t>
      </w:r>
    </w:p>
    <w:p>
      <w:pPr>
        <w:spacing w:after="0" w:line="150" w:lineRule="exact"/>
        <w:rPr>
          <w:rFonts w:ascii="Arial" w:cs="Arial" w:eastAsia="Arial" w:hAnsi="Arial"/>
          <w:sz w:val="16"/>
          <w:szCs w:val="16"/>
          <w:color w:val="auto"/>
        </w:rPr>
      </w:pPr>
    </w:p>
    <w:p>
      <w:pPr>
        <w:ind w:left="500" w:hanging="492"/>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Your option is not transferable except by will or by the laws of descent and distribution, and during your lifetime may be exercised only by you.</w:t>
      </w:r>
    </w:p>
    <w:p>
      <w:pPr>
        <w:spacing w:after="0" w:line="197"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 Your option may be exercised by delivery of a written notice of exercise to the Secretary of the Company or the Secretary’s designee, specifying the number of shares for which you wish to exercise the option, and delivery of the full purchase price thereof, in a form approved by the Compensation Committee of the Board of Directors of the Company, to the Secretary or the Secretary’s designee, or in such other manner as the Committee may otherwise from time to time permit.</w:t>
      </w:r>
    </w:p>
    <w:p>
      <w:pPr>
        <w:spacing w:after="0" w:line="213"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Long-Term Incentive Plan</w:t>
      </w:r>
      <w:r>
        <w:rPr>
          <w:rFonts w:ascii="Arial" w:cs="Arial" w:eastAsia="Arial" w:hAnsi="Arial"/>
          <w:sz w:val="18"/>
          <w:szCs w:val="18"/>
          <w:color w:val="auto"/>
        </w:rPr>
        <w:t>. Your option is subject to all of the terms and conditions of the Texas Instruments 2009 Long-Term Incentive Plan (hereinafter “the Plan”). In the event of any conflict between such terms and conditions and those set forth herein, the terms of the Plan shall govern and be determinative. It is expressly intended that the definition of Change in Control contained in Section 9 shall supersede any definition of such term or similar term that may be contained in the Plan.</w:t>
      </w:r>
    </w:p>
    <w:p>
      <w:pPr>
        <w:spacing w:after="0" w:line="209" w:lineRule="exact"/>
        <w:rPr>
          <w:rFonts w:ascii="Arial" w:cs="Arial" w:eastAsia="Arial" w:hAnsi="Arial"/>
          <w:sz w:val="18"/>
          <w:szCs w:val="18"/>
          <w:color w:val="auto"/>
        </w:rPr>
      </w:pPr>
    </w:p>
    <w:p>
      <w:pPr>
        <w:ind w:left="500" w:hanging="492"/>
        <w:spacing w:after="0"/>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b w:val="1"/>
          <w:bCs w:val="1"/>
          <w:u w:val="single" w:color="auto"/>
          <w:color w:val="auto"/>
        </w:rPr>
        <w:t>Confidential Information and Competition</w:t>
      </w:r>
      <w:r>
        <w:rPr>
          <w:rFonts w:ascii="Arial" w:cs="Arial" w:eastAsia="Arial" w:hAnsi="Arial"/>
          <w:sz w:val="17"/>
          <w:szCs w:val="17"/>
          <w:color w:val="auto"/>
        </w:rPr>
        <w:t>.  By accepting your option, and in consideration for the option and for the Company’s obligations set</w:t>
      </w:r>
    </w:p>
    <w:p>
      <w:pPr>
        <w:sectPr>
          <w:pgSz w:w="11900" w:h="16838" w:orient="portrait"/>
          <w:cols w:equalWidth="0" w:num="1">
            <w:col w:w="11420"/>
          </w:cols>
          <w:pgMar w:left="240" w:top="121" w:right="239" w:bottom="0" w:gutter="0" w:footer="0" w:header="0"/>
        </w:sectPr>
      </w:pPr>
    </w:p>
    <w:bookmarkStart w:id="28" w:name="page29"/>
    <w:bookmarkEnd w:id="28"/>
    <w:p>
      <w:pPr>
        <w:ind w:left="492"/>
        <w:spacing w:after="0"/>
        <w:rPr>
          <w:sz w:val="20"/>
          <w:szCs w:val="20"/>
          <w:color w:val="auto"/>
        </w:rPr>
      </w:pPr>
      <w:r>
        <w:rPr>
          <w:rFonts w:ascii="Arial" w:cs="Arial" w:eastAsia="Arial" w:hAnsi="Arial"/>
          <w:sz w:val="18"/>
          <w:szCs w:val="18"/>
          <w:color w:val="auto"/>
        </w:rPr>
        <w:t>forth herein, you agree with the Company as follows:</w:t>
      </w:r>
    </w:p>
    <w:p>
      <w:pPr>
        <w:spacing w:after="0" w:line="252" w:lineRule="exact"/>
        <w:rPr>
          <w:sz w:val="20"/>
          <w:szCs w:val="20"/>
          <w:color w:val="auto"/>
        </w:rPr>
      </w:pPr>
    </w:p>
    <w:p>
      <w:pPr>
        <w:jc w:val="both"/>
        <w:ind w:left="972" w:hanging="486"/>
        <w:spacing w:after="0" w:line="259" w:lineRule="auto"/>
        <w:tabs>
          <w:tab w:leader="none" w:pos="972" w:val="left"/>
        </w:tabs>
        <w:numPr>
          <w:ilvl w:val="1"/>
          <w:numId w:val="18"/>
        </w:numPr>
        <w:rPr>
          <w:rFonts w:ascii="Arial" w:cs="Arial" w:eastAsia="Arial" w:hAnsi="Arial"/>
          <w:sz w:val="18"/>
          <w:szCs w:val="18"/>
          <w:color w:val="auto"/>
        </w:rPr>
      </w:pPr>
      <w:r>
        <w:rPr>
          <w:rFonts w:ascii="Arial" w:cs="Arial" w:eastAsia="Arial" w:hAnsi="Arial"/>
          <w:sz w:val="18"/>
          <w:szCs w:val="18"/>
          <w:color w:val="auto"/>
        </w:rPr>
        <w:t>You recognize and acknowledge that in the course of your employment with TI, you have obtained private or confidential information and proprietary data relating to TI, including but not limited to TI’s trade secrets (hereinafter "Confidential Information"). TI agrees that it will continue to provide you with access to its Confidential Information to the extent necessary for you to carry out the duties of your employment with TI.</w:t>
      </w:r>
    </w:p>
    <w:p>
      <w:pPr>
        <w:spacing w:after="0" w:line="213" w:lineRule="exact"/>
        <w:rPr>
          <w:rFonts w:ascii="Arial" w:cs="Arial" w:eastAsia="Arial" w:hAnsi="Arial"/>
          <w:sz w:val="18"/>
          <w:szCs w:val="18"/>
          <w:color w:val="auto"/>
        </w:rPr>
      </w:pPr>
    </w:p>
    <w:p>
      <w:pPr>
        <w:jc w:val="both"/>
        <w:ind w:left="972" w:hanging="486"/>
        <w:spacing w:after="0" w:line="257" w:lineRule="auto"/>
        <w:tabs>
          <w:tab w:leader="none" w:pos="972" w:val="left"/>
        </w:tabs>
        <w:numPr>
          <w:ilvl w:val="1"/>
          <w:numId w:val="18"/>
        </w:numPr>
        <w:rPr>
          <w:rFonts w:ascii="Arial" w:cs="Arial" w:eastAsia="Arial" w:hAnsi="Arial"/>
          <w:sz w:val="18"/>
          <w:szCs w:val="18"/>
          <w:color w:val="auto"/>
        </w:rPr>
      </w:pPr>
      <w:r>
        <w:rPr>
          <w:rFonts w:ascii="Arial" w:cs="Arial" w:eastAsia="Arial" w:hAnsi="Arial"/>
          <w:sz w:val="18"/>
          <w:szCs w:val="18"/>
          <w:color w:val="auto"/>
        </w:rPr>
        <w:t>You agree not to use or disclose to third parties, either directly or indirectly, Confidential Information at any time, except with the prior written consent of TI. Without intending to limit the remedies available to TI, you acknowledge that damages at law will be an insufficient remedy to TI if you violate the terms of this Section 6(b) and agree that TI may apply for and have injunctive relief in any court of competent jurisdiction specifically to enforce the terms of this paragraph upon the breach or threatened breach of any such terms or otherwise specifically to enforce such terms.</w:t>
      </w:r>
    </w:p>
    <w:p>
      <w:pPr>
        <w:spacing w:after="0" w:line="215" w:lineRule="exact"/>
        <w:rPr>
          <w:rFonts w:ascii="Arial" w:cs="Arial" w:eastAsia="Arial" w:hAnsi="Arial"/>
          <w:sz w:val="18"/>
          <w:szCs w:val="18"/>
          <w:color w:val="auto"/>
        </w:rPr>
      </w:pPr>
    </w:p>
    <w:p>
      <w:pPr>
        <w:jc w:val="both"/>
        <w:ind w:left="972" w:hanging="486"/>
        <w:spacing w:after="0" w:line="255" w:lineRule="auto"/>
        <w:tabs>
          <w:tab w:leader="none" w:pos="972" w:val="left"/>
        </w:tabs>
        <w:numPr>
          <w:ilvl w:val="1"/>
          <w:numId w:val="18"/>
        </w:numPr>
        <w:rPr>
          <w:rFonts w:ascii="Arial" w:cs="Arial" w:eastAsia="Arial" w:hAnsi="Arial"/>
          <w:sz w:val="18"/>
          <w:szCs w:val="18"/>
          <w:color w:val="auto"/>
        </w:rPr>
      </w:pPr>
      <w:r>
        <w:rPr>
          <w:rFonts w:ascii="Arial" w:cs="Arial" w:eastAsia="Arial" w:hAnsi="Arial"/>
          <w:sz w:val="18"/>
          <w:szCs w:val="18"/>
          <w:color w:val="auto"/>
        </w:rPr>
        <w:t>You agree that, if, during your employment and for a period of two years thereafter you engage in Competition (as defined in Section 9), either directly or indirectly, for your own benefit or on behalf of any other person or entity, or if, at any time, you use or disclose to third parties any Confidential Information without the written consent of the Company, then (i) the option will not be thereafter exercisable at any time, and (ii) you shall repay immediately to the Company any profit (spread between Option Price and market price of the Company’s common stock on the date of exercise) made on the option within three years prior to termination of your employment or any time after termination of your employment. Any amount payable to the Company pursuant to this provision may be reduced or waived as the Company, in its sole judgment, deems warranted by the circumstances.</w:t>
      </w:r>
    </w:p>
    <w:p>
      <w:pPr>
        <w:spacing w:after="0" w:line="216" w:lineRule="exact"/>
        <w:rPr>
          <w:rFonts w:ascii="Arial" w:cs="Arial" w:eastAsia="Arial" w:hAnsi="Arial"/>
          <w:sz w:val="18"/>
          <w:szCs w:val="18"/>
          <w:color w:val="auto"/>
        </w:rPr>
      </w:pPr>
    </w:p>
    <w:p>
      <w:pPr>
        <w:jc w:val="both"/>
        <w:ind w:left="972" w:hanging="486"/>
        <w:spacing w:after="0" w:line="259" w:lineRule="auto"/>
        <w:tabs>
          <w:tab w:leader="none" w:pos="972" w:val="left"/>
        </w:tabs>
        <w:numPr>
          <w:ilvl w:val="1"/>
          <w:numId w:val="18"/>
        </w:numPr>
        <w:rPr>
          <w:rFonts w:ascii="Arial" w:cs="Arial" w:eastAsia="Arial" w:hAnsi="Arial"/>
          <w:sz w:val="18"/>
          <w:szCs w:val="18"/>
          <w:color w:val="auto"/>
        </w:rPr>
      </w:pPr>
      <w:r>
        <w:rPr>
          <w:rFonts w:ascii="Arial" w:cs="Arial" w:eastAsia="Arial" w:hAnsi="Arial"/>
          <w:sz w:val="18"/>
          <w:szCs w:val="18"/>
          <w:color w:val="auto"/>
        </w:rPr>
        <w:t>You recognize and acknowledge that the provisions of this Section 6 relating to nondisclosure and noncompetition during and after employment are entered into by you in consideration of, and as a material inducement to, the agreements by the Company herein as well as an inducement for the Company to enter into this Option Agreement, and that, but for your agreement to the provisions of this Section 6, the Company would not have entered into this Agreement.</w:t>
      </w:r>
    </w:p>
    <w:p>
      <w:pPr>
        <w:spacing w:after="0" w:line="213" w:lineRule="exact"/>
        <w:rPr>
          <w:rFonts w:ascii="Arial" w:cs="Arial" w:eastAsia="Arial" w:hAnsi="Arial"/>
          <w:sz w:val="18"/>
          <w:szCs w:val="18"/>
          <w:color w:val="auto"/>
        </w:rPr>
      </w:pPr>
    </w:p>
    <w:p>
      <w:pPr>
        <w:jc w:val="both"/>
        <w:ind w:left="492" w:hanging="492"/>
        <w:spacing w:after="0" w:line="291" w:lineRule="auto"/>
        <w:tabs>
          <w:tab w:leader="none" w:pos="492"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Responsibility for Taxes</w:t>
      </w:r>
      <w:r>
        <w:rPr>
          <w:rFonts w:ascii="Arial" w:cs="Arial" w:eastAsia="Arial" w:hAnsi="Arial"/>
          <w:sz w:val="16"/>
          <w:szCs w:val="16"/>
          <w:color w:val="auto"/>
        </w:rPr>
        <w:t>. You acknowledge that the ultimate liability for income tax, social insurance or other tax-related withholding (hereinafter “Tax-Related Items”) in connection with this grant, its exercise or the subsequent sale of shares received thereunder is your responsibility, and that TI</w:t>
      </w:r>
    </w:p>
    <w:p>
      <w:pPr>
        <w:jc w:val="both"/>
        <w:ind w:left="492" w:hanging="6"/>
        <w:spacing w:after="0" w:line="252" w:lineRule="auto"/>
        <w:tabs>
          <w:tab w:leader="none" w:pos="756" w:val="left"/>
        </w:tabs>
        <w:numPr>
          <w:ilvl w:val="1"/>
          <w:numId w:val="19"/>
        </w:numPr>
        <w:rPr>
          <w:rFonts w:ascii="Arial" w:cs="Arial" w:eastAsia="Arial" w:hAnsi="Arial"/>
          <w:sz w:val="18"/>
          <w:szCs w:val="18"/>
          <w:color w:val="auto"/>
        </w:rPr>
      </w:pPr>
      <w:r>
        <w:rPr>
          <w:rFonts w:ascii="Arial" w:cs="Arial" w:eastAsia="Arial" w:hAnsi="Arial"/>
          <w:sz w:val="18"/>
          <w:szCs w:val="18"/>
          <w:color w:val="auto"/>
        </w:rPr>
        <w:t>makes no representations or undertakings with respect to the treatment for tax purposes of the grant or exercise of this option or sale of shares received thereunder, or any dividends on issued shares, and (b) does not commit to structure the grant to reduce your liability for Tax-Related Items. You authorize TI to withhold all applicable Tax-Related Items legally payable by you from your wages or other cash compensation paid to you by TI or from proceeds of the sale of the shares. If permissible under local law, TI may (a) sell or arrange for the sale of shares that you acquire to meet the withholding obligation for Tax-Related Items, and/or (b) withhold shares, provided that TI only withholds the number of shares necessary to satisfy the minimum withholding amount. Finally, you shall pay to TI any amount of Tax-Related Items that TI may be required to withhold that cannot be satisfied by the means described above.</w:t>
      </w:r>
    </w:p>
    <w:p>
      <w:pPr>
        <w:spacing w:after="0" w:line="220" w:lineRule="exact"/>
        <w:rPr>
          <w:rFonts w:ascii="Arial" w:cs="Arial" w:eastAsia="Arial" w:hAnsi="Arial"/>
          <w:sz w:val="18"/>
          <w:szCs w:val="18"/>
          <w:color w:val="auto"/>
        </w:rPr>
      </w:pPr>
    </w:p>
    <w:p>
      <w:pPr>
        <w:jc w:val="both"/>
        <w:ind w:left="492" w:hanging="492"/>
        <w:spacing w:after="0" w:line="290" w:lineRule="auto"/>
        <w:tabs>
          <w:tab w:leader="none" w:pos="492"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Nature of Grant</w:t>
      </w:r>
      <w:r>
        <w:rPr>
          <w:rFonts w:ascii="Arial" w:cs="Arial" w:eastAsia="Arial" w:hAnsi="Arial"/>
          <w:sz w:val="16"/>
          <w:szCs w:val="16"/>
          <w:color w:val="auto"/>
        </w:rPr>
        <w:t>. In accepting this grant, you acknowledge that: (a) the Plan is established voluntarily by the Company, it is discretionary in nature and it may be modified, amended, suspended or terminated by the Company at any time, as provided in the Plan; (b) all decisions with respect to future grants, if any, will be at the sole discretion of the Company; (c) the grant of your option is voluntary and occasional and does not create any contractual or other right to receive future grants of options, or benefits in lieu of options; (d) you are voluntarily participating in the Plan; (e) your option is an extraordinary item that does not constitute compensation for services rendered to TI; (f) your option is not part of normal or expected compensation or salary for any purposes, including, but not limited to, calculating any severance, termination, pension or retirement benefits or similar payments; (g) the option grant will not be interpreted to form an employment contract or relationship with TI; (h) the future value of the underlying shares is unknown and cannot be predicted with certainty; and (i) the value of any shares acquired upon exercise may increase or decrease in value.</w:t>
      </w:r>
    </w:p>
    <w:p>
      <w:pPr>
        <w:spacing w:after="0" w:line="193" w:lineRule="exact"/>
        <w:rPr>
          <w:rFonts w:ascii="Arial" w:cs="Arial" w:eastAsia="Arial" w:hAnsi="Arial"/>
          <w:sz w:val="16"/>
          <w:szCs w:val="16"/>
          <w:color w:val="auto"/>
        </w:rPr>
      </w:pPr>
    </w:p>
    <w:p>
      <w:pPr>
        <w:ind w:left="492" w:hanging="492"/>
        <w:spacing w:after="0"/>
        <w:tabs>
          <w:tab w:leader="none" w:pos="49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972" w:hanging="486"/>
        <w:spacing w:after="0" w:line="272" w:lineRule="auto"/>
        <w:tabs>
          <w:tab w:leader="none" w:pos="972"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i w:val="1"/>
          <w:iCs w:val="1"/>
          <w:color w:val="auto"/>
        </w:rPr>
        <w:t>Change in Control</w:t>
      </w:r>
      <w:r>
        <w:rPr>
          <w:rFonts w:ascii="Arial" w:cs="Arial" w:eastAsia="Arial" w:hAnsi="Arial"/>
          <w:sz w:val="17"/>
          <w:szCs w:val="17"/>
          <w:color w:val="auto"/>
        </w:rPr>
        <w:t>” means an event when (i) any Person, alone or together with its Affiliates and Associates or otherwise, shall become an Acquiring Person otherwise than pursuant to a transaction or agreement approved by the Board of Directors of the Company prior to the time the Acquiring Person became such, or (ii) a majority of the Board of Directors of the Company shall change within any 24-month period unless the election or the nomination for election by the Company's stockholders of each new director has been approved by a vote of at least a majority of the directors then still in office who were directors at the beginning of the period. For the purposes hereof, the terms Person, Affiliates, Associates and Acquiring Person shall have the meanings given to such terms in the Rights Agreement dated as of June 18, 1998, between the Company and Harris Trust and Savings Bank.</w:t>
      </w:r>
    </w:p>
    <w:p>
      <w:pPr>
        <w:spacing w:after="0" w:line="204" w:lineRule="exact"/>
        <w:rPr>
          <w:rFonts w:ascii="Arial" w:cs="Arial" w:eastAsia="Arial" w:hAnsi="Arial"/>
          <w:sz w:val="17"/>
          <w:szCs w:val="17"/>
          <w:color w:val="auto"/>
        </w:rPr>
      </w:pPr>
    </w:p>
    <w:p>
      <w:pPr>
        <w:ind w:left="972" w:hanging="486"/>
        <w:spacing w:after="0" w:line="277" w:lineRule="auto"/>
        <w:tabs>
          <w:tab w:leader="none" w:pos="972"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Company</w:t>
      </w:r>
      <w:r>
        <w:rPr>
          <w:rFonts w:ascii="Arial" w:cs="Arial" w:eastAsia="Arial" w:hAnsi="Arial"/>
          <w:sz w:val="18"/>
          <w:szCs w:val="18"/>
          <w:color w:val="auto"/>
        </w:rPr>
        <w:t>” means Texas Instruments Incorporated and the term “</w:t>
      </w:r>
      <w:r>
        <w:rPr>
          <w:rFonts w:ascii="Arial" w:cs="Arial" w:eastAsia="Arial" w:hAnsi="Arial"/>
          <w:sz w:val="18"/>
          <w:szCs w:val="18"/>
          <w:i w:val="1"/>
          <w:iCs w:val="1"/>
          <w:color w:val="auto"/>
        </w:rPr>
        <w:t>TI</w:t>
      </w:r>
      <w:r>
        <w:rPr>
          <w:rFonts w:ascii="Arial" w:cs="Arial" w:eastAsia="Arial" w:hAnsi="Arial"/>
          <w:sz w:val="18"/>
          <w:szCs w:val="18"/>
          <w:color w:val="auto"/>
        </w:rPr>
        <w:t>” means and includes Texas Instruments Incorporated and its subsidiaries.</w:t>
      </w:r>
    </w:p>
    <w:p>
      <w:pPr>
        <w:spacing w:after="0" w:line="193" w:lineRule="exact"/>
        <w:rPr>
          <w:rFonts w:ascii="Arial" w:cs="Arial" w:eastAsia="Arial" w:hAnsi="Arial"/>
          <w:sz w:val="18"/>
          <w:szCs w:val="18"/>
          <w:color w:val="auto"/>
        </w:rPr>
      </w:pPr>
    </w:p>
    <w:p>
      <w:pPr>
        <w:ind w:left="972" w:hanging="486"/>
        <w:spacing w:after="0"/>
        <w:tabs>
          <w:tab w:leader="none" w:pos="972"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The term “</w:t>
      </w:r>
      <w:r>
        <w:rPr>
          <w:rFonts w:ascii="Arial" w:cs="Arial" w:eastAsia="Arial" w:hAnsi="Arial"/>
          <w:sz w:val="18"/>
          <w:szCs w:val="18"/>
          <w:b w:val="1"/>
          <w:bCs w:val="1"/>
          <w:i w:val="1"/>
          <w:iCs w:val="1"/>
          <w:color w:val="auto"/>
        </w:rPr>
        <w:t>Competition</w:t>
      </w:r>
      <w:r>
        <w:rPr>
          <w:rFonts w:ascii="Arial" w:cs="Arial" w:eastAsia="Arial" w:hAnsi="Arial"/>
          <w:sz w:val="18"/>
          <w:szCs w:val="18"/>
          <w:b w:val="1"/>
          <w:bCs w:val="1"/>
          <w:color w:val="auto"/>
        </w:rPr>
        <w:t>” means:</w:t>
      </w:r>
    </w:p>
    <w:p>
      <w:pPr>
        <w:spacing w:after="0" w:line="256" w:lineRule="exact"/>
        <w:rPr>
          <w:rFonts w:ascii="Arial" w:cs="Arial" w:eastAsia="Arial" w:hAnsi="Arial"/>
          <w:sz w:val="18"/>
          <w:szCs w:val="18"/>
          <w:color w:val="auto"/>
        </w:rPr>
      </w:pPr>
    </w:p>
    <w:p>
      <w:pPr>
        <w:jc w:val="both"/>
        <w:ind w:left="1452" w:hanging="480"/>
        <w:spacing w:after="0" w:line="264" w:lineRule="auto"/>
        <w:tabs>
          <w:tab w:leader="none" w:pos="1452" w:val="left"/>
        </w:tabs>
        <w:numPr>
          <w:ilvl w:val="2"/>
          <w:numId w:val="19"/>
        </w:numPr>
        <w:rPr>
          <w:rFonts w:ascii="Arial" w:cs="Arial" w:eastAsia="Arial" w:hAnsi="Arial"/>
          <w:sz w:val="18"/>
          <w:szCs w:val="18"/>
          <w:color w:val="auto"/>
        </w:rPr>
      </w:pPr>
      <w:r>
        <w:rPr>
          <w:rFonts w:ascii="Arial" w:cs="Arial" w:eastAsia="Arial" w:hAnsi="Arial"/>
          <w:sz w:val="18"/>
          <w:szCs w:val="18"/>
          <w:color w:val="auto"/>
        </w:rPr>
        <w:t>engaging in any business activity similar to that in which you engaged during your last three years of employment with TI for any person or entity selling, marketing, designing or manufacturing products the same as, similar to, or that compete with products that TI sells or markets in any area that TI sells or markets such products;</w:t>
      </w:r>
    </w:p>
    <w:p>
      <w:pPr>
        <w:spacing w:after="0" w:line="208" w:lineRule="exact"/>
        <w:rPr>
          <w:rFonts w:ascii="Arial" w:cs="Arial" w:eastAsia="Arial" w:hAnsi="Arial"/>
          <w:sz w:val="18"/>
          <w:szCs w:val="18"/>
          <w:color w:val="auto"/>
        </w:rPr>
      </w:pPr>
    </w:p>
    <w:p>
      <w:pPr>
        <w:jc w:val="both"/>
        <w:ind w:left="1452" w:hanging="480"/>
        <w:spacing w:after="0" w:line="264" w:lineRule="auto"/>
        <w:tabs>
          <w:tab w:leader="none" w:pos="1452" w:val="left"/>
        </w:tabs>
        <w:numPr>
          <w:ilvl w:val="2"/>
          <w:numId w:val="19"/>
        </w:numPr>
        <w:rPr>
          <w:rFonts w:ascii="Arial" w:cs="Arial" w:eastAsia="Arial" w:hAnsi="Arial"/>
          <w:sz w:val="18"/>
          <w:szCs w:val="18"/>
          <w:color w:val="auto"/>
        </w:rPr>
      </w:pPr>
      <w:r>
        <w:rPr>
          <w:rFonts w:ascii="Arial" w:cs="Arial" w:eastAsia="Arial" w:hAnsi="Arial"/>
          <w:sz w:val="18"/>
          <w:szCs w:val="18"/>
          <w:color w:val="auto"/>
        </w:rPr>
        <w:t>engaging in the selling or marketing of any products that are the same as, similar to, or that compete with any products that you sold or marketed, or attempted to sell or market, during the last three years of your employment with TI in any area in which you sold or marketed, or attempted to sell or market, such products;</w:t>
      </w:r>
    </w:p>
    <w:p>
      <w:pPr>
        <w:spacing w:after="0" w:line="208" w:lineRule="exact"/>
        <w:rPr>
          <w:rFonts w:ascii="Arial" w:cs="Arial" w:eastAsia="Arial" w:hAnsi="Arial"/>
          <w:sz w:val="18"/>
          <w:szCs w:val="18"/>
          <w:color w:val="auto"/>
        </w:rPr>
      </w:pPr>
    </w:p>
    <w:p>
      <w:pPr>
        <w:jc w:val="both"/>
        <w:ind w:left="1452" w:hanging="480"/>
        <w:spacing w:after="0" w:line="264" w:lineRule="auto"/>
        <w:tabs>
          <w:tab w:leader="none" w:pos="1452" w:val="left"/>
        </w:tabs>
        <w:numPr>
          <w:ilvl w:val="2"/>
          <w:numId w:val="19"/>
        </w:numPr>
        <w:rPr>
          <w:rFonts w:ascii="Arial" w:cs="Arial" w:eastAsia="Arial" w:hAnsi="Arial"/>
          <w:sz w:val="18"/>
          <w:szCs w:val="18"/>
          <w:color w:val="auto"/>
        </w:rPr>
      </w:pPr>
      <w:r>
        <w:rPr>
          <w:rFonts w:ascii="Arial" w:cs="Arial" w:eastAsia="Arial" w:hAnsi="Arial"/>
          <w:sz w:val="18"/>
          <w:szCs w:val="18"/>
          <w:color w:val="auto"/>
        </w:rPr>
        <w:t>engaging in the manufacture or design of any products that are the same as, similar to or that compete with any products that you sold or marketed, or attempted to sell or market, or participated in the design or manufacture of, during the last three years of your employment with TI; or</w:t>
      </w:r>
    </w:p>
    <w:p>
      <w:pPr>
        <w:spacing w:after="0" w:line="208" w:lineRule="exact"/>
        <w:rPr>
          <w:rFonts w:ascii="Arial" w:cs="Arial" w:eastAsia="Arial" w:hAnsi="Arial"/>
          <w:sz w:val="18"/>
          <w:szCs w:val="18"/>
          <w:color w:val="auto"/>
        </w:rPr>
      </w:pPr>
    </w:p>
    <w:p>
      <w:pPr>
        <w:jc w:val="both"/>
        <w:ind w:left="1452" w:hanging="480"/>
        <w:spacing w:after="0" w:line="342" w:lineRule="auto"/>
        <w:tabs>
          <w:tab w:leader="none" w:pos="1452" w:val="left"/>
        </w:tabs>
        <w:numPr>
          <w:ilvl w:val="2"/>
          <w:numId w:val="19"/>
        </w:numPr>
        <w:rPr>
          <w:rFonts w:ascii="Arial" w:cs="Arial" w:eastAsia="Arial" w:hAnsi="Arial"/>
          <w:sz w:val="16"/>
          <w:szCs w:val="16"/>
          <w:color w:val="auto"/>
        </w:rPr>
      </w:pPr>
      <w:r>
        <w:rPr>
          <w:rFonts w:ascii="Arial" w:cs="Arial" w:eastAsia="Arial" w:hAnsi="Arial"/>
          <w:sz w:val="16"/>
          <w:szCs w:val="16"/>
          <w:color w:val="auto"/>
        </w:rPr>
        <w:t>engaging in the selling or marketing of any products that are the same as, similar to, or that compete with any products that you participated in the design or manufacture of during the last three years of your employment with TI in any area in which TI has sold or</w:t>
      </w:r>
    </w:p>
    <w:p>
      <w:pPr>
        <w:sectPr>
          <w:pgSz w:w="11900" w:h="16838" w:orient="portrait"/>
          <w:cols w:equalWidth="0" w:num="1">
            <w:col w:w="11412"/>
          </w:cols>
          <w:pgMar w:left="248" w:top="125" w:right="239" w:bottom="0" w:gutter="0" w:footer="0" w:header="0"/>
        </w:sectPr>
      </w:pPr>
    </w:p>
    <w:bookmarkStart w:id="29" w:name="page30"/>
    <w:bookmarkEnd w:id="29"/>
    <w:p>
      <w:pPr>
        <w:ind w:left="1460"/>
        <w:spacing w:after="0"/>
        <w:rPr>
          <w:sz w:val="20"/>
          <w:szCs w:val="20"/>
          <w:color w:val="auto"/>
        </w:rPr>
      </w:pPr>
      <w:r>
        <w:rPr>
          <w:rFonts w:ascii="Arial" w:cs="Arial" w:eastAsia="Arial" w:hAnsi="Arial"/>
          <w:sz w:val="18"/>
          <w:szCs w:val="18"/>
          <w:color w:val="auto"/>
        </w:rPr>
        <w:t>marketed, or attempted to sell or market, such products.</w:t>
      </w:r>
    </w:p>
    <w:p>
      <w:pPr>
        <w:spacing w:after="0" w:line="252" w:lineRule="exact"/>
        <w:rPr>
          <w:sz w:val="20"/>
          <w:szCs w:val="20"/>
          <w:color w:val="auto"/>
        </w:rPr>
      </w:pPr>
    </w:p>
    <w:p>
      <w:pPr>
        <w:ind w:left="980" w:hanging="486"/>
        <w:spacing w:after="0"/>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Option Date</w:t>
      </w:r>
      <w:r>
        <w:rPr>
          <w:rFonts w:ascii="Arial" w:cs="Arial" w:eastAsia="Arial" w:hAnsi="Arial"/>
          <w:sz w:val="18"/>
          <w:szCs w:val="18"/>
          <w:color w:val="auto"/>
        </w:rPr>
        <w:t>” means the effective date of grant of this option.</w:t>
      </w:r>
    </w:p>
    <w:p>
      <w:pPr>
        <w:spacing w:after="0" w:line="25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Texas Law</w:t>
      </w:r>
      <w:r>
        <w:rPr>
          <w:rFonts w:ascii="Arial" w:cs="Arial" w:eastAsia="Arial" w:hAnsi="Arial"/>
          <w:sz w:val="18"/>
          <w:szCs w:val="18"/>
          <w:color w:val="auto"/>
        </w:rPr>
        <w:t>. This agreement and specifically the provisions of Section 6 hereof shall be construed both as to validity and performance and enforced in accordance with the laws of the State of Texas without giving effect to the principles of conflict of laws thereof.</w:t>
      </w:r>
    </w:p>
    <w:p>
      <w:pPr>
        <w:spacing w:after="0" w:line="19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END</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By accepting this option agreement, I acknowledge I have read and I agree to be bound by all of the terms and conditions set forth above, including Section 6 relating to Confidential Information and Competition.</w:t>
      </w:r>
    </w:p>
    <w:p>
      <w:pPr>
        <w:sectPr>
          <w:pgSz w:w="11900" w:h="16838" w:orient="portrait"/>
          <w:cols w:equalWidth="0" w:num="1">
            <w:col w:w="11420"/>
          </w:cols>
          <w:pgMar w:left="240" w:top="125" w:right="239" w:bottom="1440" w:gutter="0" w:footer="0" w:header="0"/>
        </w:sectPr>
      </w:pPr>
    </w:p>
    <w:bookmarkStart w:id="30" w:name="page31"/>
    <w:bookmarkEnd w:id="30"/>
    <w:p>
      <w:pPr>
        <w:spacing w:after="0" w:line="4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10.3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RSU Form No.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LTIP</w:t>
      </w:r>
    </w:p>
    <w:p>
      <w:pPr>
        <w:spacing w:after="0" w:line="200" w:lineRule="exact"/>
        <w:rPr>
          <w:sz w:val="20"/>
          <w:szCs w:val="20"/>
          <w:color w:val="auto"/>
        </w:rPr>
      </w:pPr>
    </w:p>
    <w:p>
      <w:pPr>
        <w:spacing w:after="0" w:line="2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Your award of Restricted Stock Units (the “Award”) is subject to the following terms and conditions, your acceptance of which is required within 120 days of the Grant Date (as defined in Section 9 below). </w:t>
      </w:r>
      <w:r>
        <w:rPr>
          <w:rFonts w:ascii="Arial" w:cs="Arial" w:eastAsia="Arial" w:hAnsi="Arial"/>
          <w:sz w:val="18"/>
          <w:szCs w:val="18"/>
          <w:b w:val="1"/>
          <w:bCs w:val="1"/>
          <w:color w:val="auto"/>
        </w:rPr>
        <w:t>Failure to accept this Agreement by such date will result in termination of the Award without any</w:t>
      </w:r>
      <w:r>
        <w:rPr>
          <w:rFonts w:ascii="Arial" w:cs="Arial" w:eastAsia="Arial" w:hAnsi="Arial"/>
          <w:sz w:val="18"/>
          <w:szCs w:val="18"/>
          <w:color w:val="auto"/>
        </w:rPr>
        <w:t xml:space="preserve"> </w:t>
      </w:r>
      <w:r>
        <w:rPr>
          <w:rFonts w:ascii="Arial" w:cs="Arial" w:eastAsia="Arial" w:hAnsi="Arial"/>
          <w:sz w:val="18"/>
          <w:szCs w:val="18"/>
          <w:b w:val="1"/>
          <w:bCs w:val="1"/>
          <w:color w:val="auto"/>
        </w:rPr>
        <w:t>shares being issued.</w:t>
      </w:r>
    </w:p>
    <w:p>
      <w:pPr>
        <w:spacing w:after="0" w:line="208" w:lineRule="exact"/>
        <w:rPr>
          <w:sz w:val="20"/>
          <w:szCs w:val="20"/>
          <w:color w:val="auto"/>
        </w:rPr>
      </w:pPr>
    </w:p>
    <w:p>
      <w:pPr>
        <w:jc w:val="both"/>
        <w:ind w:left="340" w:hanging="233"/>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Share Issuance</w:t>
      </w:r>
      <w:r>
        <w:rPr>
          <w:rFonts w:ascii="Arial" w:cs="Arial" w:eastAsia="Arial" w:hAnsi="Arial"/>
          <w:sz w:val="18"/>
          <w:szCs w:val="18"/>
          <w:color w:val="auto"/>
        </w:rPr>
        <w:t>. Each Restricted Stock Unit represents the right to receive one share of common stock of Texas Instruments Incorporated (“the Company”). The shares covered by this Award will be issued in your name on, or as soon as practicable after, the date of vesting stated on your Employee Stock Grant Communication (“Vesting Date”), except as provided below in this Section 1:</w:t>
      </w:r>
    </w:p>
    <w:p>
      <w:pPr>
        <w:spacing w:after="0" w:line="208" w:lineRule="exact"/>
        <w:rPr>
          <w:rFonts w:ascii="Arial" w:cs="Arial" w:eastAsia="Arial" w:hAnsi="Arial"/>
          <w:sz w:val="18"/>
          <w:szCs w:val="18"/>
          <w:color w:val="auto"/>
        </w:rPr>
      </w:pPr>
    </w:p>
    <w:p>
      <w:pPr>
        <w:ind w:left="820" w:hanging="488"/>
        <w:spacing w:after="0" w:line="277" w:lineRule="auto"/>
        <w:tabs>
          <w:tab w:leader="none" w:pos="82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a Change in Control (as defined in Section 9) on or before the Vesting Date, the Vesting Date will be deemed to be the effective date of the Change in Control.</w:t>
      </w:r>
    </w:p>
    <w:p>
      <w:pPr>
        <w:spacing w:after="0" w:line="197" w:lineRule="exact"/>
        <w:rPr>
          <w:rFonts w:ascii="Arial" w:cs="Arial" w:eastAsia="Arial" w:hAnsi="Arial"/>
          <w:sz w:val="18"/>
          <w:szCs w:val="18"/>
          <w:color w:val="auto"/>
        </w:rPr>
      </w:pPr>
    </w:p>
    <w:p>
      <w:pPr>
        <w:ind w:left="820" w:hanging="488"/>
        <w:spacing w:after="0" w:line="277" w:lineRule="auto"/>
        <w:tabs>
          <w:tab w:leader="none" w:pos="82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Change in Employment Status</w:t>
      </w:r>
      <w:r>
        <w:rPr>
          <w:rFonts w:ascii="Arial" w:cs="Arial" w:eastAsia="Arial" w:hAnsi="Arial"/>
          <w:sz w:val="18"/>
          <w:szCs w:val="18"/>
          <w:color w:val="auto"/>
        </w:rPr>
        <w:t>. The effect of changes in your employment status with TI (as defined in Section 9) before the Vesting Date will be as follows:</w:t>
      </w:r>
    </w:p>
    <w:p>
      <w:pPr>
        <w:spacing w:after="0" w:line="197" w:lineRule="exact"/>
        <w:rPr>
          <w:rFonts w:ascii="Arial" w:cs="Arial" w:eastAsia="Arial" w:hAnsi="Arial"/>
          <w:sz w:val="18"/>
          <w:szCs w:val="18"/>
          <w:color w:val="auto"/>
        </w:rPr>
      </w:pPr>
    </w:p>
    <w:p>
      <w:pPr>
        <w:jc w:val="both"/>
        <w:ind w:left="1300" w:hanging="482"/>
        <w:spacing w:after="0" w:line="264" w:lineRule="auto"/>
        <w:tabs>
          <w:tab w:leader="none" w:pos="1300" w:val="left"/>
        </w:tabs>
        <w:numPr>
          <w:ilvl w:val="2"/>
          <w:numId w:val="22"/>
        </w:numPr>
        <w:rPr>
          <w:rFonts w:ascii="Arial" w:cs="Arial" w:eastAsia="Arial" w:hAnsi="Arial"/>
          <w:sz w:val="18"/>
          <w:szCs w:val="18"/>
          <w:color w:val="auto"/>
        </w:rPr>
      </w:pPr>
      <w:r>
        <w:rPr>
          <w:rFonts w:ascii="Arial" w:cs="Arial" w:eastAsia="Arial" w:hAnsi="Arial"/>
          <w:sz w:val="18"/>
          <w:szCs w:val="18"/>
          <w:u w:val="single" w:color="auto"/>
          <w:color w:val="auto"/>
        </w:rPr>
        <w:t>Termination due to death or permanent disability</w:t>
      </w:r>
      <w:r>
        <w:rPr>
          <w:rFonts w:ascii="Arial" w:cs="Arial" w:eastAsia="Arial" w:hAnsi="Arial"/>
          <w:sz w:val="18"/>
          <w:szCs w:val="18"/>
          <w:color w:val="auto"/>
        </w:rPr>
        <w:t>: The Award will continue to full term subject to the other terms and conditions of this Agreement, and shares will be issued to you or to your personal representatives, heirs, legatees or distributes, as applicable, at such times and in such number and manner as if you were still an employee of TI on the Vesting Date.</w:t>
      </w:r>
    </w:p>
    <w:p>
      <w:pPr>
        <w:spacing w:after="0" w:line="208" w:lineRule="exact"/>
        <w:rPr>
          <w:rFonts w:ascii="Arial" w:cs="Arial" w:eastAsia="Arial" w:hAnsi="Arial"/>
          <w:sz w:val="18"/>
          <w:szCs w:val="18"/>
          <w:color w:val="auto"/>
        </w:rPr>
      </w:pPr>
    </w:p>
    <w:p>
      <w:pPr>
        <w:jc w:val="both"/>
        <w:ind w:left="1300" w:hanging="482"/>
        <w:spacing w:after="0" w:line="257" w:lineRule="auto"/>
        <w:tabs>
          <w:tab w:leader="none" w:pos="1300" w:val="left"/>
        </w:tabs>
        <w:numPr>
          <w:ilvl w:val="2"/>
          <w:numId w:val="22"/>
        </w:numPr>
        <w:rPr>
          <w:rFonts w:ascii="Arial" w:cs="Arial" w:eastAsia="Arial" w:hAnsi="Arial"/>
          <w:sz w:val="18"/>
          <w:szCs w:val="18"/>
          <w:color w:val="auto"/>
        </w:rPr>
      </w:pPr>
      <w:r>
        <w:rPr>
          <w:rFonts w:ascii="Arial" w:cs="Arial" w:eastAsia="Arial" w:hAnsi="Arial"/>
          <w:sz w:val="18"/>
          <w:szCs w:val="18"/>
          <w:u w:val="single" w:color="auto"/>
          <w:color w:val="auto"/>
        </w:rPr>
        <w:t>Termination (except for cause) when you are retirement eligible (normal or early) either under the terms of the TI 401(k) or pension plan in your home country or the country in which you work, as applicable (regardless of whether you are a participant in such plan), or if there is no such plan, as may be set forth in the laws or regulations in your home country or the country in which you work, as applicable</w:t>
      </w:r>
      <w:r>
        <w:rPr>
          <w:rFonts w:ascii="Arial" w:cs="Arial" w:eastAsia="Arial" w:hAnsi="Arial"/>
          <w:sz w:val="18"/>
          <w:szCs w:val="18"/>
          <w:color w:val="auto"/>
        </w:rPr>
        <w:t>: The Award will continue to full term subject to the other terms and conditions of this Agreement, except that the number of shares issuable to you on the Vesting Date will be reduced pro rata as follows:</w:t>
      </w:r>
    </w:p>
    <w:p>
      <w:pPr>
        <w:spacing w:after="0" w:line="215" w:lineRule="exact"/>
        <w:rPr>
          <w:sz w:val="20"/>
          <w:szCs w:val="20"/>
          <w:color w:val="auto"/>
        </w:rPr>
      </w:pPr>
    </w:p>
    <w:p>
      <w:pPr>
        <w:jc w:val="both"/>
        <w:ind w:left="1620"/>
        <w:spacing w:after="0" w:line="257" w:lineRule="auto"/>
        <w:rPr>
          <w:sz w:val="20"/>
          <w:szCs w:val="20"/>
          <w:color w:val="auto"/>
        </w:rPr>
      </w:pPr>
      <w:r>
        <w:rPr>
          <w:rFonts w:ascii="Arial" w:cs="Arial" w:eastAsia="Arial" w:hAnsi="Arial"/>
          <w:sz w:val="18"/>
          <w:szCs w:val="18"/>
          <w:color w:val="auto"/>
        </w:rPr>
        <w:t>The number of shares will be the number specified for the Vesting Date on the Employee Stock Grant Communication, times a fraction equal to your Pre-Retirement Period (as defined in Section 9(e)) divided by the Vesting Period (as defined in Section 9(f)). If the number of shares calculated pursuant to the previous sentence includes a fraction of a share, the number will be rounded up to the next whole share. If your Award provides for more than one Vesting Date, this calculation will be done to determine the number of shares issuable on each Vesting Date.</w:t>
      </w:r>
    </w:p>
    <w:p>
      <w:pPr>
        <w:spacing w:after="0" w:line="215" w:lineRule="exact"/>
        <w:rPr>
          <w:sz w:val="20"/>
          <w:szCs w:val="20"/>
          <w:color w:val="auto"/>
        </w:rPr>
      </w:pPr>
    </w:p>
    <w:p>
      <w:pPr>
        <w:ind w:left="1300" w:hanging="482"/>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Termination under other circumstances</w:t>
      </w:r>
      <w:r>
        <w:rPr>
          <w:rFonts w:ascii="Arial" w:cs="Arial" w:eastAsia="Arial" w:hAnsi="Arial"/>
          <w:sz w:val="18"/>
          <w:szCs w:val="18"/>
          <w:color w:val="auto"/>
        </w:rPr>
        <w:t>: For any termination other than those specified in (i) or (ii) above, the Award will terminate and become void without any shares being issued, except as provided in (iv).</w:t>
      </w:r>
    </w:p>
    <w:p>
      <w:pPr>
        <w:spacing w:after="0" w:line="197" w:lineRule="exact"/>
        <w:rPr>
          <w:rFonts w:ascii="Arial" w:cs="Arial" w:eastAsia="Arial" w:hAnsi="Arial"/>
          <w:sz w:val="18"/>
          <w:szCs w:val="18"/>
          <w:color w:val="auto"/>
        </w:rPr>
      </w:pPr>
    </w:p>
    <w:p>
      <w:pPr>
        <w:ind w:left="1300" w:hanging="482"/>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your termination of employment (other than for cause) occurs within 30 days before the effective date of a Change in Control, then the Change in Control will be deemed to have occurred first and the provisions of Section 1(a) will apply.</w:t>
      </w:r>
    </w:p>
    <w:p>
      <w:pPr>
        <w:spacing w:after="0" w:line="197" w:lineRule="exact"/>
        <w:rPr>
          <w:rFonts w:ascii="Arial" w:cs="Arial" w:eastAsia="Arial" w:hAnsi="Arial"/>
          <w:sz w:val="18"/>
          <w:szCs w:val="18"/>
          <w:color w:val="auto"/>
        </w:rPr>
      </w:pPr>
    </w:p>
    <w:p>
      <w:pPr>
        <w:jc w:val="both"/>
        <w:ind w:left="1300" w:hanging="482"/>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Commencement of a Bridge to Retirement (as defined in Section 9(g)) even if you subsequently return to full- or part-time employment with TI</w:t>
      </w:r>
      <w:r>
        <w:rPr>
          <w:rFonts w:ascii="Arial" w:cs="Arial" w:eastAsia="Arial" w:hAnsi="Arial"/>
          <w:sz w:val="18"/>
          <w:szCs w:val="18"/>
          <w:color w:val="auto"/>
        </w:rPr>
        <w:t>: The Award will continue to full term subject to the other terms and conditions of this Agreement, except that the number of shares issuable to you on the Vesting Date will be reduced pro rata as follows:</w:t>
      </w:r>
    </w:p>
    <w:p>
      <w:pPr>
        <w:spacing w:after="0" w:line="208" w:lineRule="exact"/>
        <w:rPr>
          <w:sz w:val="20"/>
          <w:szCs w:val="20"/>
          <w:color w:val="auto"/>
        </w:rPr>
      </w:pPr>
    </w:p>
    <w:p>
      <w:pPr>
        <w:jc w:val="both"/>
        <w:ind w:left="1620"/>
        <w:spacing w:after="0" w:line="257" w:lineRule="auto"/>
        <w:rPr>
          <w:sz w:val="20"/>
          <w:szCs w:val="20"/>
          <w:color w:val="auto"/>
        </w:rPr>
      </w:pPr>
      <w:r>
        <w:rPr>
          <w:rFonts w:ascii="Arial" w:cs="Arial" w:eastAsia="Arial" w:hAnsi="Arial"/>
          <w:sz w:val="18"/>
          <w:szCs w:val="18"/>
          <w:color w:val="auto"/>
        </w:rPr>
        <w:t>The number of shares will be the number specified for the Vesting Date on the Employee Stock Grant Communication, times a fraction equal to your Pre-Bridge Period (as defined in Section 9(h)) divided by the Vesting Period (as defined in Section 9(f)). If the number of shares calculated pursuant to the previous sentence includes a fraction of a share, the number will be rounded up to the next whole share. If your Award provides for more than one Vesting Date, this calculation will be done to determine the number of shares to be issuable on each Vesting Date.</w:t>
      </w:r>
    </w:p>
    <w:p>
      <w:pPr>
        <w:spacing w:after="0" w:line="215" w:lineRule="exact"/>
        <w:rPr>
          <w:sz w:val="20"/>
          <w:szCs w:val="20"/>
          <w:color w:val="auto"/>
        </w:rPr>
      </w:pPr>
    </w:p>
    <w:p>
      <w:pPr>
        <w:jc w:val="both"/>
        <w:ind w:left="1620"/>
        <w:spacing w:after="0" w:line="264" w:lineRule="auto"/>
        <w:rPr>
          <w:sz w:val="20"/>
          <w:szCs w:val="20"/>
          <w:color w:val="auto"/>
        </w:rPr>
      </w:pPr>
      <w:r>
        <w:rPr>
          <w:rFonts w:ascii="Arial" w:cs="Arial" w:eastAsia="Arial" w:hAnsi="Arial"/>
          <w:sz w:val="18"/>
          <w:szCs w:val="18"/>
          <w:color w:val="auto"/>
        </w:rPr>
        <w:t>If you go on a Bridge to Retirement and subsequently terminate under the circumstances described in (i) or (ii) above, there is no further adjustment to the number of shares issuable under your Award, even if you have returned to full- or part-time employment before terminating.</w:t>
      </w:r>
    </w:p>
    <w:p>
      <w:pPr>
        <w:spacing w:after="0" w:line="208" w:lineRule="exact"/>
        <w:rPr>
          <w:sz w:val="20"/>
          <w:szCs w:val="20"/>
          <w:color w:val="auto"/>
        </w:rPr>
      </w:pPr>
    </w:p>
    <w:p>
      <w:pPr>
        <w:ind w:left="1300" w:hanging="482"/>
        <w:spacing w:after="0"/>
        <w:tabs>
          <w:tab w:leader="none" w:pos="1300" w:val="left"/>
        </w:tabs>
        <w:numPr>
          <w:ilvl w:val="2"/>
          <w:numId w:val="24"/>
        </w:numPr>
        <w:rPr>
          <w:rFonts w:ascii="Arial" w:cs="Arial" w:eastAsia="Arial" w:hAnsi="Arial"/>
          <w:sz w:val="17"/>
          <w:szCs w:val="17"/>
          <w:color w:val="auto"/>
        </w:rPr>
      </w:pPr>
      <w:r>
        <w:rPr>
          <w:rFonts w:ascii="Arial" w:cs="Arial" w:eastAsia="Arial" w:hAnsi="Arial"/>
          <w:sz w:val="17"/>
          <w:szCs w:val="17"/>
          <w:u w:val="single" w:color="auto"/>
          <w:color w:val="auto"/>
        </w:rPr>
        <w:t>Other changes in employment status</w:t>
      </w:r>
      <w:r>
        <w:rPr>
          <w:rFonts w:ascii="Arial" w:cs="Arial" w:eastAsia="Arial" w:hAnsi="Arial"/>
          <w:sz w:val="17"/>
          <w:szCs w:val="17"/>
          <w:color w:val="auto"/>
        </w:rPr>
        <w:t>: No changes in employment status other than those described above will affect the Award.</w:t>
      </w:r>
    </w:p>
    <w:p>
      <w:pPr>
        <w:spacing w:after="0" w:line="259" w:lineRule="exact"/>
        <w:rPr>
          <w:rFonts w:ascii="Arial" w:cs="Arial" w:eastAsia="Arial" w:hAnsi="Arial"/>
          <w:sz w:val="17"/>
          <w:szCs w:val="17"/>
          <w:color w:val="auto"/>
        </w:rPr>
      </w:pPr>
    </w:p>
    <w:p>
      <w:pPr>
        <w:ind w:left="820" w:hanging="488"/>
        <w:spacing w:after="0" w:line="282" w:lineRule="auto"/>
        <w:tabs>
          <w:tab w:leader="none" w:pos="820" w:val="left"/>
        </w:tabs>
        <w:numPr>
          <w:ilvl w:val="1"/>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 and Competition</w:t>
      </w:r>
      <w:r>
        <w:rPr>
          <w:rFonts w:ascii="Arial" w:cs="Arial" w:eastAsia="Arial" w:hAnsi="Arial"/>
          <w:sz w:val="18"/>
          <w:szCs w:val="18"/>
          <w:b w:val="1"/>
          <w:bCs w:val="1"/>
          <w:color w:val="auto"/>
        </w:rPr>
        <w:t>. See Section 6, particularly Section 6(c), for the effect of disclosure of confidential information or of competition with TI.</w:t>
      </w:r>
    </w:p>
    <w:p>
      <w:pPr>
        <w:spacing w:after="0" w:line="192" w:lineRule="exact"/>
        <w:rPr>
          <w:rFonts w:ascii="Arial" w:cs="Arial" w:eastAsia="Arial" w:hAnsi="Arial"/>
          <w:sz w:val="18"/>
          <w:szCs w:val="18"/>
          <w:b w:val="1"/>
          <w:bCs w:val="1"/>
          <w:color w:val="auto"/>
        </w:rPr>
      </w:pPr>
    </w:p>
    <w:p>
      <w:pPr>
        <w:jc w:val="both"/>
        <w:ind w:left="820" w:hanging="488"/>
        <w:spacing w:after="0" w:line="264"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Employee Stock Grant Communication</w:t>
      </w:r>
      <w:r>
        <w:rPr>
          <w:rFonts w:ascii="Arial" w:cs="Arial" w:eastAsia="Arial" w:hAnsi="Arial"/>
          <w:sz w:val="18"/>
          <w:szCs w:val="18"/>
          <w:color w:val="auto"/>
        </w:rPr>
        <w:t>. This Award was granted by the Compensation Committee of the Company’s Board of Directors (the “Committee”). In the event of a conflict between the Employee Stock Grant Communication and the records of the Committee, the latter shall govern and be determinative.</w:t>
      </w:r>
    </w:p>
    <w:p>
      <w:pPr>
        <w:spacing w:after="0" w:line="208" w:lineRule="exact"/>
        <w:rPr>
          <w:rFonts w:ascii="Arial" w:cs="Arial" w:eastAsia="Arial" w:hAnsi="Arial"/>
          <w:sz w:val="18"/>
          <w:szCs w:val="18"/>
          <w:color w:val="auto"/>
        </w:rPr>
      </w:pPr>
    </w:p>
    <w:p>
      <w:pPr>
        <w:jc w:val="both"/>
        <w:ind w:left="340" w:hanging="332"/>
        <w:spacing w:after="0" w:line="297"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Each year in which this Award is in effect, you will receive a payment equivalent to the cash dividends you would have received if the shares to which you are entitled under this Award, but not yet issued in your name, had already been issued to you (“Dividend Equivalents”); provided, however, that no payment will be made if your Award has terminated before the last dividend record date of the year for any reason other than vesting. The payment to which you are entitled under this paragraph will be made once each year on or as soon as practicable after the date of the last cash dividend payment in the year. The Dividend Equivalents will be calculated for the record dates on which this Award was in effect during the</w:t>
      </w:r>
    </w:p>
    <w:p>
      <w:pPr>
        <w:sectPr>
          <w:pgSz w:w="11900" w:h="16887" w:orient="portrait"/>
          <w:cols w:equalWidth="0" w:num="1">
            <w:col w:w="11420"/>
          </w:cols>
          <w:pgMar w:left="240" w:top="121" w:right="239" w:bottom="0" w:gutter="0" w:footer="0" w:header="0"/>
        </w:sectPr>
      </w:pPr>
    </w:p>
    <w:bookmarkStart w:id="31" w:name="page32"/>
    <w:bookmarkEnd w:id="31"/>
    <w:p>
      <w:pPr>
        <w:ind w:left="332"/>
        <w:spacing w:after="0" w:line="308" w:lineRule="auto"/>
        <w:rPr>
          <w:sz w:val="20"/>
          <w:szCs w:val="20"/>
          <w:color w:val="auto"/>
        </w:rPr>
      </w:pPr>
      <w:r>
        <w:rPr>
          <w:rFonts w:ascii="Arial" w:cs="Arial" w:eastAsia="Arial" w:hAnsi="Arial"/>
          <w:sz w:val="17"/>
          <w:szCs w:val="17"/>
          <w:color w:val="auto"/>
        </w:rPr>
        <w:t>year. If the number of shares to which you are entitled under this Award is reduced pursuant to Section 1(b)(ii) or (v), then your right to dividend equivalents will be correspondingly reduced with effect from the date of your retirement or commencement of a Bridge to Retirement, as applicable.</w:t>
      </w:r>
    </w:p>
    <w:p>
      <w:pPr>
        <w:spacing w:after="0" w:line="174" w:lineRule="exact"/>
        <w:rPr>
          <w:sz w:val="20"/>
          <w:szCs w:val="20"/>
          <w:color w:val="auto"/>
        </w:rPr>
      </w:pPr>
    </w:p>
    <w:p>
      <w:pPr>
        <w:ind w:left="332" w:right="20" w:hanging="332"/>
        <w:spacing w:after="0" w:line="277" w:lineRule="auto"/>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Continuing Employment</w:t>
      </w:r>
      <w:r>
        <w:rPr>
          <w:rFonts w:ascii="Arial" w:cs="Arial" w:eastAsia="Arial" w:hAnsi="Arial"/>
          <w:sz w:val="18"/>
          <w:szCs w:val="18"/>
          <w:color w:val="auto"/>
        </w:rPr>
        <w:t>. This Award will not constitute or be evidence of any agreement or understanding, expressed or implied, on the part of TI to employ you for any specific period.</w:t>
      </w:r>
    </w:p>
    <w:p>
      <w:pPr>
        <w:spacing w:after="0" w:line="197" w:lineRule="exact"/>
        <w:rPr>
          <w:rFonts w:ascii="Arial" w:cs="Arial" w:eastAsia="Arial" w:hAnsi="Arial"/>
          <w:sz w:val="18"/>
          <w:szCs w:val="18"/>
          <w:color w:val="auto"/>
        </w:rPr>
      </w:pPr>
    </w:p>
    <w:p>
      <w:pPr>
        <w:ind w:left="332" w:right="20" w:hanging="332"/>
        <w:spacing w:after="0" w:line="277" w:lineRule="auto"/>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Your Award is not transferable except by will or by the laws of descent and distribution. During your lifetime, the shares issuable hereunder may be issued only to you.</w:t>
      </w:r>
    </w:p>
    <w:p>
      <w:pPr>
        <w:spacing w:after="0" w:line="197" w:lineRule="exact"/>
        <w:rPr>
          <w:rFonts w:ascii="Arial" w:cs="Arial" w:eastAsia="Arial" w:hAnsi="Arial"/>
          <w:sz w:val="18"/>
          <w:szCs w:val="18"/>
          <w:color w:val="auto"/>
        </w:rPr>
      </w:pPr>
    </w:p>
    <w:p>
      <w:pPr>
        <w:jc w:val="both"/>
        <w:ind w:left="332" w:hanging="332"/>
        <w:spacing w:after="0" w:line="259" w:lineRule="auto"/>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Long-Term Incentive Plan</w:t>
      </w:r>
      <w:r>
        <w:rPr>
          <w:rFonts w:ascii="Arial" w:cs="Arial" w:eastAsia="Arial" w:hAnsi="Arial"/>
          <w:sz w:val="18"/>
          <w:szCs w:val="18"/>
          <w:color w:val="auto"/>
        </w:rPr>
        <w:t>. Your Award is subject to all of the terms and conditions of the Texas Instruments 2009 Long-Term Incentive Plan (“the Plan”). In the event of any conflict between such terms and conditions and those set forth herein, the terms of the Plan shall govern and be determinative. It is expressly intended that the definition of Change in Control contained in Section 9(a) shall supersede any definition of such term or similar term that may be contained in the Plan.</w:t>
      </w:r>
    </w:p>
    <w:p>
      <w:pPr>
        <w:spacing w:after="0" w:line="209" w:lineRule="exact"/>
        <w:rPr>
          <w:rFonts w:ascii="Arial" w:cs="Arial" w:eastAsia="Arial" w:hAnsi="Arial"/>
          <w:sz w:val="18"/>
          <w:szCs w:val="18"/>
          <w:color w:val="auto"/>
        </w:rPr>
      </w:pPr>
    </w:p>
    <w:p>
      <w:pPr>
        <w:ind w:left="332" w:hanging="332"/>
        <w:spacing w:after="0" w:line="282" w:lineRule="auto"/>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 and Competition</w:t>
      </w:r>
      <w:r>
        <w:rPr>
          <w:rFonts w:ascii="Arial" w:cs="Arial" w:eastAsia="Arial" w:hAnsi="Arial"/>
          <w:sz w:val="18"/>
          <w:szCs w:val="18"/>
          <w:color w:val="auto"/>
        </w:rPr>
        <w:t>. By accepting your Award, and in consideration for the Award and for the Company’s obligations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this Agreement, you agree with the Company as follows:</w:t>
      </w:r>
    </w:p>
    <w:p>
      <w:pPr>
        <w:spacing w:after="0" w:line="192" w:lineRule="exact"/>
        <w:rPr>
          <w:rFonts w:ascii="Arial" w:cs="Arial" w:eastAsia="Arial" w:hAnsi="Arial"/>
          <w:sz w:val="18"/>
          <w:szCs w:val="18"/>
          <w:color w:val="auto"/>
        </w:rPr>
      </w:pPr>
    </w:p>
    <w:p>
      <w:pPr>
        <w:jc w:val="both"/>
        <w:ind w:left="812" w:hanging="488"/>
        <w:spacing w:after="0" w:line="286" w:lineRule="auto"/>
        <w:tabs>
          <w:tab w:leader="none" w:pos="812" w:val="left"/>
        </w:tabs>
        <w:numPr>
          <w:ilvl w:val="1"/>
          <w:numId w:val="27"/>
        </w:numPr>
        <w:rPr>
          <w:rFonts w:ascii="Arial" w:cs="Arial" w:eastAsia="Arial" w:hAnsi="Arial"/>
          <w:sz w:val="17"/>
          <w:szCs w:val="17"/>
          <w:color w:val="auto"/>
        </w:rPr>
      </w:pPr>
      <w:r>
        <w:rPr>
          <w:rFonts w:ascii="Arial" w:cs="Arial" w:eastAsia="Arial" w:hAnsi="Arial"/>
          <w:sz w:val="17"/>
          <w:szCs w:val="17"/>
          <w:color w:val="auto"/>
        </w:rPr>
        <w:t>You recognize and acknowledge that in the course of your employment with TI, you have obtained private or confidential information and proprietary data relating to TI, including but not limited to TI’s trade secrets (“Confidential Information”). TI agrees that it will continue to provide you with access to its Confidential Information to the extent necessary for you to carry out the duties of your employment with TI.</w:t>
      </w:r>
    </w:p>
    <w:p>
      <w:pPr>
        <w:spacing w:after="0" w:line="192" w:lineRule="exact"/>
        <w:rPr>
          <w:rFonts w:ascii="Arial" w:cs="Arial" w:eastAsia="Arial" w:hAnsi="Arial"/>
          <w:sz w:val="17"/>
          <w:szCs w:val="17"/>
          <w:color w:val="auto"/>
        </w:rPr>
      </w:pPr>
    </w:p>
    <w:p>
      <w:pPr>
        <w:jc w:val="both"/>
        <w:ind w:left="812" w:hanging="488"/>
        <w:spacing w:after="0" w:line="257" w:lineRule="auto"/>
        <w:tabs>
          <w:tab w:leader="none" w:pos="812" w:val="left"/>
        </w:tabs>
        <w:numPr>
          <w:ilvl w:val="1"/>
          <w:numId w:val="27"/>
        </w:numPr>
        <w:rPr>
          <w:rFonts w:ascii="Arial" w:cs="Arial" w:eastAsia="Arial" w:hAnsi="Arial"/>
          <w:sz w:val="18"/>
          <w:szCs w:val="18"/>
          <w:color w:val="auto"/>
        </w:rPr>
      </w:pPr>
      <w:r>
        <w:rPr>
          <w:rFonts w:ascii="Arial" w:cs="Arial" w:eastAsia="Arial" w:hAnsi="Arial"/>
          <w:sz w:val="18"/>
          <w:szCs w:val="18"/>
          <w:color w:val="auto"/>
        </w:rPr>
        <w:t>You agree not to use or disclose to third parties, either directly or indirectly, Confidential Information at any time, except with the prior written consent of TI. Without intending to limit the remedies available to TI, you acknowledge that damages at law will be an insufficient remedy to TI if you violate the terms of this Section 6(b) and agree that TI may apply for and have injunctive relief in any court of competent jurisdiction specifically to enforce the terms of this paragraph upon the breach or threatened breach of any such terms or otherwise specifically to enforce such terms.</w:t>
      </w:r>
    </w:p>
    <w:p>
      <w:pPr>
        <w:spacing w:after="0" w:line="215" w:lineRule="exact"/>
        <w:rPr>
          <w:rFonts w:ascii="Arial" w:cs="Arial" w:eastAsia="Arial" w:hAnsi="Arial"/>
          <w:sz w:val="18"/>
          <w:szCs w:val="18"/>
          <w:color w:val="auto"/>
        </w:rPr>
      </w:pPr>
    </w:p>
    <w:p>
      <w:pPr>
        <w:jc w:val="both"/>
        <w:ind w:left="812" w:hanging="488"/>
        <w:spacing w:after="0" w:line="253" w:lineRule="auto"/>
        <w:tabs>
          <w:tab w:leader="none" w:pos="812" w:val="left"/>
        </w:tabs>
        <w:numPr>
          <w:ilvl w:val="1"/>
          <w:numId w:val="27"/>
        </w:numPr>
        <w:rPr>
          <w:rFonts w:ascii="Arial" w:cs="Arial" w:eastAsia="Arial" w:hAnsi="Arial"/>
          <w:sz w:val="18"/>
          <w:szCs w:val="18"/>
          <w:color w:val="auto"/>
        </w:rPr>
      </w:pPr>
      <w:r>
        <w:rPr>
          <w:rFonts w:ascii="Arial" w:cs="Arial" w:eastAsia="Arial" w:hAnsi="Arial"/>
          <w:sz w:val="18"/>
          <w:szCs w:val="18"/>
          <w:color w:val="auto"/>
        </w:rPr>
        <w:t>You agree that, if, during your employment and for a period of two years thereafter you engage in Competition (as defined in Section 9(c)), either directly or indirectly, for your own benefit or on behalf of any other person or entity, or, if at any time, you use or disclose to third parties any Confidential Information without the written consent of TI, then (i) the Company’s obligation to issue shares under this Award will terminate and become void, and (ii) you shall repay immediately to TI the Fair Market Value (as defined in Section 9(j) below) of any shares of stock issued to you (or immediately surrender to the Company the same number of shares of stock as were issued to you) under this Award within three years prior to termination of your employment or any time after termination of your employment. If your Award provides for more than one Vesting Date, then payment shall be made, or shares surrendered, with respect to each such Vesting Date. Any amount payable (or number of shares subject to surrender) to the Company pursuant to this provision may be reduced or waived as the Company, in its sole judgment, deems warranted by the circumstances.</w:t>
      </w:r>
    </w:p>
    <w:p>
      <w:pPr>
        <w:spacing w:after="0" w:line="224" w:lineRule="exact"/>
        <w:rPr>
          <w:rFonts w:ascii="Arial" w:cs="Arial" w:eastAsia="Arial" w:hAnsi="Arial"/>
          <w:sz w:val="18"/>
          <w:szCs w:val="18"/>
          <w:color w:val="auto"/>
        </w:rPr>
      </w:pPr>
    </w:p>
    <w:p>
      <w:pPr>
        <w:jc w:val="both"/>
        <w:ind w:left="812" w:hanging="488"/>
        <w:spacing w:after="0" w:line="264" w:lineRule="auto"/>
        <w:tabs>
          <w:tab w:leader="none" w:pos="812" w:val="left"/>
        </w:tabs>
        <w:numPr>
          <w:ilvl w:val="1"/>
          <w:numId w:val="27"/>
        </w:numPr>
        <w:rPr>
          <w:rFonts w:ascii="Arial" w:cs="Arial" w:eastAsia="Arial" w:hAnsi="Arial"/>
          <w:sz w:val="18"/>
          <w:szCs w:val="18"/>
          <w:color w:val="auto"/>
        </w:rPr>
      </w:pPr>
      <w:r>
        <w:rPr>
          <w:rFonts w:ascii="Arial" w:cs="Arial" w:eastAsia="Arial" w:hAnsi="Arial"/>
          <w:sz w:val="18"/>
          <w:szCs w:val="18"/>
          <w:color w:val="auto"/>
        </w:rPr>
        <w:t>You recognize and acknowledge that the provisions of this Section 6 are entered into by you in consideration of, and as a material inducement to, the agreements by the Company herein as well as an inducement for the Company to enter into this Agreement, and that, but for your agreement to the provisions of this Section 6, the Company would not have entered into this agreement.</w:t>
      </w:r>
    </w:p>
    <w:p>
      <w:pPr>
        <w:spacing w:after="0" w:line="208" w:lineRule="exact"/>
        <w:rPr>
          <w:rFonts w:ascii="Arial" w:cs="Arial" w:eastAsia="Arial" w:hAnsi="Arial"/>
          <w:sz w:val="18"/>
          <w:szCs w:val="18"/>
          <w:color w:val="auto"/>
        </w:rPr>
      </w:pPr>
    </w:p>
    <w:p>
      <w:pPr>
        <w:jc w:val="both"/>
        <w:ind w:left="332" w:hanging="332"/>
        <w:spacing w:after="0" w:line="284" w:lineRule="auto"/>
        <w:tabs>
          <w:tab w:leader="none" w:pos="332"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Responsibility for Taxes</w:t>
      </w:r>
      <w:r>
        <w:rPr>
          <w:rFonts w:ascii="Arial" w:cs="Arial" w:eastAsia="Arial" w:hAnsi="Arial"/>
          <w:sz w:val="16"/>
          <w:szCs w:val="16"/>
          <w:color w:val="auto"/>
        </w:rPr>
        <w:t>. You acknowledge that the ultimate liability for income tax, social insurance or other tax-related withholding (“Tax-Related Items”) in connection with this Award, the payment of Dividend Equivalents or the issuance of shares hereunder, or the subsequent sale of such shares is your responsibility, and that TI makes (a) no representations or undertakings with respect to the treatment for tax purposes of this Award, any shares or Dividend Equivalents received hereunder, the sale of such shares or any dividends paid on issued shares and (b) does not commit to structure the grant to reduce your liability for Tax-Related Items. You authorize TI to withhold all applicable Tax-Related Items legally payable by you from your wages or other cash compensation paid to you by TI, from Dividend Equivalents or from proceeds of the sale of the shares. If permissible under local law, TI may</w:t>
      </w:r>
    </w:p>
    <w:p>
      <w:pPr>
        <w:spacing w:after="0" w:line="4" w:lineRule="exact"/>
        <w:rPr>
          <w:rFonts w:ascii="Arial" w:cs="Arial" w:eastAsia="Arial" w:hAnsi="Arial"/>
          <w:sz w:val="16"/>
          <w:szCs w:val="16"/>
          <w:color w:val="auto"/>
        </w:rPr>
      </w:pPr>
    </w:p>
    <w:p>
      <w:pPr>
        <w:jc w:val="both"/>
        <w:ind w:left="332" w:hanging="8"/>
        <w:spacing w:after="0" w:line="255" w:lineRule="auto"/>
        <w:tabs>
          <w:tab w:leader="none" w:pos="584" w:val="left"/>
        </w:tabs>
        <w:numPr>
          <w:ilvl w:val="1"/>
          <w:numId w:val="27"/>
        </w:numPr>
        <w:rPr>
          <w:rFonts w:ascii="Arial" w:cs="Arial" w:eastAsia="Arial" w:hAnsi="Arial"/>
          <w:sz w:val="18"/>
          <w:szCs w:val="18"/>
          <w:color w:val="auto"/>
        </w:rPr>
      </w:pPr>
      <w:r>
        <w:rPr>
          <w:rFonts w:ascii="Arial" w:cs="Arial" w:eastAsia="Arial" w:hAnsi="Arial"/>
          <w:sz w:val="18"/>
          <w:szCs w:val="18"/>
          <w:color w:val="auto"/>
        </w:rPr>
        <w:t>sell or arrange for the sale of shares that you acquire to meet the withholding obligation for Tax-Related Items, and/or (b) withhold shares, provided that TI only withholds the number of shares necessary to satisfy the minimum withholding amount. Finally, you shall pay to TI any amount of Tax-Related Items that TI may be required to withhold that cannot be satisfied by the means described above.</w:t>
      </w:r>
    </w:p>
    <w:p>
      <w:pPr>
        <w:spacing w:after="0" w:line="217" w:lineRule="exact"/>
        <w:rPr>
          <w:rFonts w:ascii="Arial" w:cs="Arial" w:eastAsia="Arial" w:hAnsi="Arial"/>
          <w:sz w:val="18"/>
          <w:szCs w:val="18"/>
          <w:color w:val="auto"/>
        </w:rPr>
      </w:pPr>
    </w:p>
    <w:p>
      <w:pPr>
        <w:jc w:val="both"/>
        <w:ind w:left="332" w:hanging="332"/>
        <w:spacing w:after="0" w:line="271" w:lineRule="auto"/>
        <w:tabs>
          <w:tab w:leader="none" w:pos="332"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Nature of Grant</w:t>
      </w:r>
      <w:r>
        <w:rPr>
          <w:rFonts w:ascii="Arial" w:cs="Arial" w:eastAsia="Arial" w:hAnsi="Arial"/>
          <w:sz w:val="17"/>
          <w:szCs w:val="17"/>
          <w:color w:val="auto"/>
        </w:rPr>
        <w:t>. In accepting this Award, you acknowledge that: (a) the Plan is established voluntarily by the Company, it is discretionary in nature and it may be modified, amended, suspended or terminated by the Company at any time, as provided in the Plan; (b) all decisions with respect to future awards, if any, will be at the sole discretion of the Company; (c) the Award is voluntary and occasional and does not create any contractual or other right to receive future Awards, or benefits in lieu of Awards; (d) you are voluntarily participating in the Plan; (e) your Award is an extraordinary item that does not constitute compensation for services rendered to TI; (f) your Award is not part of normal or expected compensation or salary for any purposes, including, but not limited to, calculating any severance, termination, pension or retirement benefits or similar payments; (g) the Award will not be interpreted to form an employment contract or relationship with TI; (h) the future value of the underlying shares is unknown and cannot be predicted with certainty; and (i) if you receive shares, the value of such shares may increase or decrease in value.</w:t>
      </w:r>
    </w:p>
    <w:p>
      <w:pPr>
        <w:spacing w:after="0" w:line="205" w:lineRule="exact"/>
        <w:rPr>
          <w:rFonts w:ascii="Arial" w:cs="Arial" w:eastAsia="Arial" w:hAnsi="Arial"/>
          <w:sz w:val="17"/>
          <w:szCs w:val="17"/>
          <w:color w:val="auto"/>
        </w:rPr>
      </w:pPr>
    </w:p>
    <w:p>
      <w:pPr>
        <w:ind w:left="332" w:hanging="332"/>
        <w:spacing w:after="0"/>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812" w:hanging="488"/>
        <w:spacing w:after="0" w:line="270" w:lineRule="auto"/>
        <w:tabs>
          <w:tab w:leader="none" w:pos="812"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i w:val="1"/>
          <w:iCs w:val="1"/>
          <w:color w:val="auto"/>
        </w:rPr>
        <w:t>Change in Control</w:t>
      </w:r>
      <w:r>
        <w:rPr>
          <w:rFonts w:ascii="Arial" w:cs="Arial" w:eastAsia="Arial" w:hAnsi="Arial"/>
          <w:sz w:val="17"/>
          <w:szCs w:val="17"/>
          <w:color w:val="auto"/>
        </w:rPr>
        <w:t>” means an event when (i) any Person, alone or together with its Affiliates and Associates or otherwise, shall become an Acquiring Person otherwise than pursuant to a transaction or agreement approved by the Board of Directors of the Company prior to the time the Acquiring Person became such, or (ii) a majority of the Board of Directors of the Company shall change within any 24-month period unless the election or the nomination for election by the Company's stockholders of each new director has been approved by a vote of at least a majority of the directors then still in office who were directors at the beginning of the period. For the purposes hereof, the terms Person, Affiliates, Associates and Acquiring Person shall have the meanings given to such terms in the Rights Agreement dated as of June 18, 1998, between the Company and Harris Trust and Savings Bank. Notwithstanding the foregoing, if your Award is or becomes subject to Section 409A of the Internal Revenue Code, then “Change in Control” shall mean a change in control event as to the Company, as defined in Section 409A of the Internal Revenue Code and the regulations thereunder.</w:t>
      </w:r>
    </w:p>
    <w:p>
      <w:pPr>
        <w:spacing w:after="0" w:line="208" w:lineRule="exact"/>
        <w:rPr>
          <w:rFonts w:ascii="Arial" w:cs="Arial" w:eastAsia="Arial" w:hAnsi="Arial"/>
          <w:sz w:val="17"/>
          <w:szCs w:val="17"/>
          <w:color w:val="auto"/>
        </w:rPr>
      </w:pPr>
    </w:p>
    <w:p>
      <w:pPr>
        <w:ind w:left="812" w:hanging="488"/>
        <w:spacing w:after="0" w:line="277" w:lineRule="auto"/>
        <w:tabs>
          <w:tab w:leader="none" w:pos="812"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Company</w:t>
      </w:r>
      <w:r>
        <w:rPr>
          <w:rFonts w:ascii="Arial" w:cs="Arial" w:eastAsia="Arial" w:hAnsi="Arial"/>
          <w:sz w:val="18"/>
          <w:szCs w:val="18"/>
          <w:color w:val="auto"/>
        </w:rPr>
        <w:t>” means Texas Instruments Incorporated and the term “</w:t>
      </w:r>
      <w:r>
        <w:rPr>
          <w:rFonts w:ascii="Arial" w:cs="Arial" w:eastAsia="Arial" w:hAnsi="Arial"/>
          <w:sz w:val="18"/>
          <w:szCs w:val="18"/>
          <w:i w:val="1"/>
          <w:iCs w:val="1"/>
          <w:color w:val="auto"/>
        </w:rPr>
        <w:t>TI</w:t>
      </w:r>
      <w:r>
        <w:rPr>
          <w:rFonts w:ascii="Arial" w:cs="Arial" w:eastAsia="Arial" w:hAnsi="Arial"/>
          <w:sz w:val="18"/>
          <w:szCs w:val="18"/>
          <w:color w:val="auto"/>
        </w:rPr>
        <w:t>” means and includes Texas Instruments Incorporated and its subsidiaries.</w:t>
      </w:r>
    </w:p>
    <w:p>
      <w:pPr>
        <w:sectPr>
          <w:pgSz w:w="11900" w:h="16838" w:orient="portrait"/>
          <w:cols w:equalWidth="0" w:num="1">
            <w:col w:w="11412"/>
          </w:cols>
          <w:pgMar w:left="248" w:top="125" w:right="239" w:bottom="0" w:gutter="0" w:footer="0" w:header="0"/>
        </w:sectPr>
      </w:pPr>
    </w:p>
    <w:bookmarkStart w:id="32" w:name="page33"/>
    <w:bookmarkEnd w:id="32"/>
    <w:p>
      <w:pPr>
        <w:ind w:left="820" w:hanging="488"/>
        <w:spacing w:after="0"/>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b w:val="1"/>
          <w:bCs w:val="1"/>
          <w:color w:val="auto"/>
        </w:rPr>
        <w:t>The term “</w:t>
      </w:r>
      <w:r>
        <w:rPr>
          <w:rFonts w:ascii="Arial" w:cs="Arial" w:eastAsia="Arial" w:hAnsi="Arial"/>
          <w:sz w:val="18"/>
          <w:szCs w:val="18"/>
          <w:b w:val="1"/>
          <w:bCs w:val="1"/>
          <w:i w:val="1"/>
          <w:iCs w:val="1"/>
          <w:color w:val="auto"/>
        </w:rPr>
        <w:t>Competition</w:t>
      </w:r>
      <w:r>
        <w:rPr>
          <w:rFonts w:ascii="Arial" w:cs="Arial" w:eastAsia="Arial" w:hAnsi="Arial"/>
          <w:sz w:val="18"/>
          <w:szCs w:val="18"/>
          <w:b w:val="1"/>
          <w:bCs w:val="1"/>
          <w:color w:val="auto"/>
        </w:rPr>
        <w:t>” means:</w:t>
      </w:r>
    </w:p>
    <w:p>
      <w:pPr>
        <w:spacing w:after="0" w:line="256" w:lineRule="exact"/>
        <w:rPr>
          <w:rFonts w:ascii="Arial" w:cs="Arial" w:eastAsia="Arial" w:hAnsi="Arial"/>
          <w:sz w:val="18"/>
          <w:szCs w:val="18"/>
          <w:color w:val="auto"/>
        </w:rPr>
      </w:pPr>
    </w:p>
    <w:p>
      <w:pPr>
        <w:jc w:val="both"/>
        <w:ind w:left="1300" w:hanging="482"/>
        <w:spacing w:after="0" w:line="264" w:lineRule="auto"/>
        <w:tabs>
          <w:tab w:leader="none" w:pos="1300" w:val="left"/>
        </w:tabs>
        <w:numPr>
          <w:ilvl w:val="2"/>
          <w:numId w:val="28"/>
        </w:numPr>
        <w:rPr>
          <w:rFonts w:ascii="Arial" w:cs="Arial" w:eastAsia="Arial" w:hAnsi="Arial"/>
          <w:sz w:val="18"/>
          <w:szCs w:val="18"/>
          <w:color w:val="auto"/>
        </w:rPr>
      </w:pPr>
      <w:r>
        <w:rPr>
          <w:rFonts w:ascii="Arial" w:cs="Arial" w:eastAsia="Arial" w:hAnsi="Arial"/>
          <w:sz w:val="18"/>
          <w:szCs w:val="18"/>
          <w:color w:val="auto"/>
        </w:rPr>
        <w:t>engaging in any business activity similar to that in which you engaged during your last three years of employment with TI for any person or entity selling, marketing, designing or manufacturing products the same as, similar to, or that compete with products that TI sells or markets in any area that TI sells or markets such products;</w:t>
      </w:r>
    </w:p>
    <w:p>
      <w:pPr>
        <w:spacing w:after="0" w:line="208" w:lineRule="exact"/>
        <w:rPr>
          <w:rFonts w:ascii="Arial" w:cs="Arial" w:eastAsia="Arial" w:hAnsi="Arial"/>
          <w:sz w:val="18"/>
          <w:szCs w:val="18"/>
          <w:color w:val="auto"/>
        </w:rPr>
      </w:pPr>
    </w:p>
    <w:p>
      <w:pPr>
        <w:jc w:val="both"/>
        <w:ind w:left="1300" w:hanging="482"/>
        <w:spacing w:after="0" w:line="264" w:lineRule="auto"/>
        <w:tabs>
          <w:tab w:leader="none" w:pos="1300" w:val="left"/>
        </w:tabs>
        <w:numPr>
          <w:ilvl w:val="2"/>
          <w:numId w:val="28"/>
        </w:numPr>
        <w:rPr>
          <w:rFonts w:ascii="Arial" w:cs="Arial" w:eastAsia="Arial" w:hAnsi="Arial"/>
          <w:sz w:val="18"/>
          <w:szCs w:val="18"/>
          <w:color w:val="auto"/>
        </w:rPr>
      </w:pPr>
      <w:r>
        <w:rPr>
          <w:rFonts w:ascii="Arial" w:cs="Arial" w:eastAsia="Arial" w:hAnsi="Arial"/>
          <w:sz w:val="18"/>
          <w:szCs w:val="18"/>
          <w:color w:val="auto"/>
        </w:rPr>
        <w:t>engaging in the selling or marketing of any products that are the same as, similar to, or that compete with any products that you sold or marketed, or attempted to sell or market, during the last three years of your employment with TI in any area in which you sold or marketed, or attempted to sell or market, such products;</w:t>
      </w:r>
    </w:p>
    <w:p>
      <w:pPr>
        <w:spacing w:after="0" w:line="208" w:lineRule="exact"/>
        <w:rPr>
          <w:rFonts w:ascii="Arial" w:cs="Arial" w:eastAsia="Arial" w:hAnsi="Arial"/>
          <w:sz w:val="18"/>
          <w:szCs w:val="18"/>
          <w:color w:val="auto"/>
        </w:rPr>
      </w:pPr>
    </w:p>
    <w:p>
      <w:pPr>
        <w:jc w:val="both"/>
        <w:ind w:left="1300" w:hanging="482"/>
        <w:spacing w:after="0" w:line="264" w:lineRule="auto"/>
        <w:tabs>
          <w:tab w:leader="none" w:pos="1300" w:val="left"/>
        </w:tabs>
        <w:numPr>
          <w:ilvl w:val="2"/>
          <w:numId w:val="28"/>
        </w:numPr>
        <w:rPr>
          <w:rFonts w:ascii="Arial" w:cs="Arial" w:eastAsia="Arial" w:hAnsi="Arial"/>
          <w:sz w:val="18"/>
          <w:szCs w:val="18"/>
          <w:color w:val="auto"/>
        </w:rPr>
      </w:pPr>
      <w:r>
        <w:rPr>
          <w:rFonts w:ascii="Arial" w:cs="Arial" w:eastAsia="Arial" w:hAnsi="Arial"/>
          <w:sz w:val="18"/>
          <w:szCs w:val="18"/>
          <w:color w:val="auto"/>
        </w:rPr>
        <w:t>engaging in the manufacture or design of any products that are the same as, similar to or that compete with any products that you sold or marketed, or attempted to sell or market, or participated in the design or manufacture of, during the last three years of your employment with TI; or</w:t>
      </w:r>
    </w:p>
    <w:p>
      <w:pPr>
        <w:spacing w:after="0" w:line="208" w:lineRule="exact"/>
        <w:rPr>
          <w:rFonts w:ascii="Arial" w:cs="Arial" w:eastAsia="Arial" w:hAnsi="Arial"/>
          <w:sz w:val="18"/>
          <w:szCs w:val="18"/>
          <w:color w:val="auto"/>
        </w:rPr>
      </w:pPr>
    </w:p>
    <w:p>
      <w:pPr>
        <w:jc w:val="both"/>
        <w:ind w:left="1300" w:hanging="482"/>
        <w:spacing w:after="0" w:line="264" w:lineRule="auto"/>
        <w:tabs>
          <w:tab w:leader="none" w:pos="1300" w:val="left"/>
        </w:tabs>
        <w:numPr>
          <w:ilvl w:val="2"/>
          <w:numId w:val="28"/>
        </w:numPr>
        <w:rPr>
          <w:rFonts w:ascii="Arial" w:cs="Arial" w:eastAsia="Arial" w:hAnsi="Arial"/>
          <w:sz w:val="18"/>
          <w:szCs w:val="18"/>
          <w:color w:val="auto"/>
        </w:rPr>
      </w:pPr>
      <w:r>
        <w:rPr>
          <w:rFonts w:ascii="Arial" w:cs="Arial" w:eastAsia="Arial" w:hAnsi="Arial"/>
          <w:sz w:val="18"/>
          <w:szCs w:val="18"/>
          <w:color w:val="auto"/>
        </w:rPr>
        <w:t>engaging in the selling or marketing of any products that are the same as, similar to, or that compete with any products that you participated in the design or manufacture of during the last three years of your employment with TI in any area in which TI has sold or marketed, or attempted to sell or market, such products.</w:t>
      </w:r>
    </w:p>
    <w:p>
      <w:pPr>
        <w:spacing w:after="0" w:line="208" w:lineRule="exact"/>
        <w:rPr>
          <w:rFonts w:ascii="Arial" w:cs="Arial" w:eastAsia="Arial" w:hAnsi="Arial"/>
          <w:sz w:val="18"/>
          <w:szCs w:val="18"/>
          <w:color w:val="auto"/>
        </w:rPr>
      </w:pPr>
    </w:p>
    <w:p>
      <w:pPr>
        <w:ind w:left="820" w:hanging="488"/>
        <w:spacing w:after="0"/>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Grant Date</w:t>
      </w:r>
      <w:r>
        <w:rPr>
          <w:rFonts w:ascii="Arial" w:cs="Arial" w:eastAsia="Arial" w:hAnsi="Arial"/>
          <w:sz w:val="18"/>
          <w:szCs w:val="18"/>
          <w:color w:val="auto"/>
        </w:rPr>
        <w:t>” means the effective date of grant of this Award.</w:t>
      </w:r>
    </w:p>
    <w:p>
      <w:pPr>
        <w:spacing w:after="0" w:line="252" w:lineRule="exact"/>
        <w:rPr>
          <w:rFonts w:ascii="Arial" w:cs="Arial" w:eastAsia="Arial" w:hAnsi="Arial"/>
          <w:sz w:val="18"/>
          <w:szCs w:val="18"/>
          <w:color w:val="auto"/>
        </w:rPr>
      </w:pPr>
    </w:p>
    <w:p>
      <w:pPr>
        <w:jc w:val="both"/>
        <w:ind w:left="820" w:hanging="488"/>
        <w:spacing w:after="0" w:line="264"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Pre-Retirement Period</w:t>
      </w:r>
      <w:r>
        <w:rPr>
          <w:rFonts w:ascii="Arial" w:cs="Arial" w:eastAsia="Arial" w:hAnsi="Arial"/>
          <w:sz w:val="18"/>
          <w:szCs w:val="18"/>
          <w:color w:val="auto"/>
        </w:rPr>
        <w:t>” means the number of whole 365-day periods from (and including) the Grant Date through the earlier of (i) the day before your termination is effective or (ii) the day before the beginning of any Bridge to Retirement you have commenced after the Grant Date.</w:t>
      </w:r>
    </w:p>
    <w:p>
      <w:pPr>
        <w:spacing w:after="0" w:line="208" w:lineRule="exact"/>
        <w:rPr>
          <w:rFonts w:ascii="Arial" w:cs="Arial" w:eastAsia="Arial" w:hAnsi="Arial"/>
          <w:sz w:val="18"/>
          <w:szCs w:val="18"/>
          <w:color w:val="auto"/>
        </w:rPr>
      </w:pPr>
    </w:p>
    <w:p>
      <w:pPr>
        <w:ind w:left="820" w:hanging="488"/>
        <w:spacing w:after="0" w:line="277"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Vesting Period</w:t>
      </w:r>
      <w:r>
        <w:rPr>
          <w:rFonts w:ascii="Arial" w:cs="Arial" w:eastAsia="Arial" w:hAnsi="Arial"/>
          <w:sz w:val="18"/>
          <w:szCs w:val="18"/>
          <w:color w:val="auto"/>
        </w:rPr>
        <w:t>” means the number of whole 365-day periods from (and including) the Grant Date of the Award through the Vesting Date.</w:t>
      </w:r>
    </w:p>
    <w:p>
      <w:pPr>
        <w:spacing w:after="0" w:line="197" w:lineRule="exact"/>
        <w:rPr>
          <w:rFonts w:ascii="Arial" w:cs="Arial" w:eastAsia="Arial" w:hAnsi="Arial"/>
          <w:sz w:val="18"/>
          <w:szCs w:val="18"/>
          <w:color w:val="auto"/>
        </w:rPr>
      </w:pPr>
    </w:p>
    <w:p>
      <w:pPr>
        <w:ind w:left="820" w:hanging="488"/>
        <w:spacing w:after="0" w:line="277"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The term </w:t>
      </w:r>
      <w:r>
        <w:rPr>
          <w:rFonts w:ascii="Arial" w:cs="Arial" w:eastAsia="Arial" w:hAnsi="Arial"/>
          <w:sz w:val="18"/>
          <w:szCs w:val="18"/>
          <w:i w:val="1"/>
          <w:iCs w:val="1"/>
          <w:color w:val="auto"/>
        </w:rPr>
        <w:t>“Bridge to Retirement”</w:t>
      </w:r>
      <w:r>
        <w:rPr>
          <w:rFonts w:ascii="Arial" w:cs="Arial" w:eastAsia="Arial" w:hAnsi="Arial"/>
          <w:sz w:val="18"/>
          <w:szCs w:val="18"/>
          <w:color w:val="auto"/>
        </w:rPr>
        <w:t xml:space="preserve"> means an unpaid leave of absence that TI has granted you solely to enable you to qualify for retirement as described in Section 1(b)(ii).</w:t>
      </w:r>
    </w:p>
    <w:p>
      <w:pPr>
        <w:spacing w:after="0" w:line="197" w:lineRule="exact"/>
        <w:rPr>
          <w:rFonts w:ascii="Arial" w:cs="Arial" w:eastAsia="Arial" w:hAnsi="Arial"/>
          <w:sz w:val="18"/>
          <w:szCs w:val="18"/>
          <w:color w:val="auto"/>
        </w:rPr>
      </w:pPr>
    </w:p>
    <w:p>
      <w:pPr>
        <w:ind w:left="820" w:right="20" w:hanging="488"/>
        <w:spacing w:after="0" w:line="277"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Pre-Bridge Period</w:t>
      </w:r>
      <w:r>
        <w:rPr>
          <w:rFonts w:ascii="Arial" w:cs="Arial" w:eastAsia="Arial" w:hAnsi="Arial"/>
          <w:sz w:val="18"/>
          <w:szCs w:val="18"/>
          <w:color w:val="auto"/>
        </w:rPr>
        <w:t>” means the number of whole 365-day periods from (and including) the Grant Date of this Award through the day before you began your Bridge to Retirement.</w:t>
      </w:r>
    </w:p>
    <w:p>
      <w:pPr>
        <w:spacing w:after="0" w:line="197" w:lineRule="exact"/>
        <w:rPr>
          <w:rFonts w:ascii="Arial" w:cs="Arial" w:eastAsia="Arial" w:hAnsi="Arial"/>
          <w:sz w:val="18"/>
          <w:szCs w:val="18"/>
          <w:color w:val="auto"/>
        </w:rPr>
      </w:pPr>
    </w:p>
    <w:p>
      <w:pPr>
        <w:ind w:left="820" w:hanging="488"/>
        <w:spacing w:after="0" w:line="277"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Employee Stock Grant Communication</w:t>
      </w:r>
      <w:r>
        <w:rPr>
          <w:rFonts w:ascii="Arial" w:cs="Arial" w:eastAsia="Arial" w:hAnsi="Arial"/>
          <w:sz w:val="18"/>
          <w:szCs w:val="18"/>
          <w:color w:val="auto"/>
        </w:rPr>
        <w:t>” means the written communication from the Company to you stating the date(s) of vesting and number of shares under the Award.</w:t>
      </w:r>
    </w:p>
    <w:p>
      <w:pPr>
        <w:spacing w:after="0" w:line="197" w:lineRule="exact"/>
        <w:rPr>
          <w:rFonts w:ascii="Arial" w:cs="Arial" w:eastAsia="Arial" w:hAnsi="Arial"/>
          <w:sz w:val="18"/>
          <w:szCs w:val="18"/>
          <w:color w:val="auto"/>
        </w:rPr>
      </w:pPr>
    </w:p>
    <w:p>
      <w:pPr>
        <w:ind w:left="820" w:hanging="488"/>
        <w:spacing w:after="0"/>
        <w:tabs>
          <w:tab w:leader="none" w:pos="8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closing price of TI common stock on the New York Stock Exchange on the day before the Vesting Date.</w:t>
      </w:r>
    </w:p>
    <w:p>
      <w:pPr>
        <w:spacing w:after="0" w:line="275" w:lineRule="exact"/>
        <w:rPr>
          <w:rFonts w:ascii="Arial" w:cs="Arial" w:eastAsia="Arial" w:hAnsi="Arial"/>
          <w:sz w:val="16"/>
          <w:szCs w:val="16"/>
          <w:color w:val="auto"/>
        </w:rPr>
      </w:pPr>
    </w:p>
    <w:p>
      <w:pPr>
        <w:ind w:left="500" w:hanging="492"/>
        <w:spacing w:after="0" w:line="308"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Rights as Stockholder</w:t>
      </w:r>
      <w:r>
        <w:rPr>
          <w:rFonts w:ascii="Arial" w:cs="Arial" w:eastAsia="Arial" w:hAnsi="Arial"/>
          <w:sz w:val="17"/>
          <w:szCs w:val="17"/>
          <w:color w:val="auto"/>
        </w:rPr>
        <w:t>: You will not have any rights as a stockholder of the Company in respect of any shares of common stock of the Company issuable under this Award unless and until such shares are issued in your name and delivered to you in accordance with the provisions hereof.</w:t>
      </w:r>
    </w:p>
    <w:p>
      <w:pPr>
        <w:spacing w:after="0" w:line="173"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Texas Law</w:t>
      </w:r>
      <w:r>
        <w:rPr>
          <w:rFonts w:ascii="Arial" w:cs="Arial" w:eastAsia="Arial" w:hAnsi="Arial"/>
          <w:sz w:val="18"/>
          <w:szCs w:val="18"/>
          <w:color w:val="auto"/>
        </w:rPr>
        <w:t>. This agreement and specifically the provisions of Section 6 hereof shall be construed both as to validity and performance and enforced in accordance with the laws of the State of Texas without giving effect to the principles of conflict of laws thereof.</w:t>
      </w:r>
    </w:p>
    <w:p>
      <w:pPr>
        <w:spacing w:after="0" w:line="19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w:t>
      </w:r>
    </w:p>
    <w:p>
      <w:pPr>
        <w:spacing w:after="0" w:line="2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By accepting this Restricted Stock Unit Award Agreement, I acknowledge I have read and I agree to be bound by all of the terms and conditions set forth above, including Section 6 relating to Confidential Information and Competition.</w:t>
      </w:r>
    </w:p>
    <w:p>
      <w:pPr>
        <w:sectPr>
          <w:pgSz w:w="11900" w:h="16838" w:orient="portrait"/>
          <w:cols w:equalWidth="0" w:num="1">
            <w:col w:w="11420"/>
          </w:cols>
          <w:pgMar w:left="240" w:top="364"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52" w:lineRule="exact"/>
        <w:rPr>
          <w:sz w:val="20"/>
          <w:szCs w:val="20"/>
          <w:color w:val="auto"/>
        </w:rPr>
      </w:pPr>
    </w:p>
    <w:p>
      <w:pPr>
        <w:ind w:left="680" w:hanging="186"/>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52" w:lineRule="exact"/>
        <w:rPr>
          <w:rFonts w:ascii="Arial" w:cs="Arial" w:eastAsia="Arial" w:hAnsi="Arial"/>
          <w:sz w:val="18"/>
          <w:szCs w:val="18"/>
          <w:color w:val="auto"/>
        </w:rPr>
      </w:pPr>
    </w:p>
    <w:p>
      <w:pPr>
        <w:ind w:right="280" w:firstLine="494"/>
        <w:spacing w:after="0" w:line="342" w:lineRule="auto"/>
        <w:tabs>
          <w:tab w:leader="none" w:pos="666"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240" w:firstLine="494"/>
        <w:spacing w:after="0" w:line="277" w:lineRule="auto"/>
        <w:tabs>
          <w:tab w:leader="none" w:pos="666"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260" w:firstLine="494"/>
        <w:spacing w:after="0" w:line="264" w:lineRule="auto"/>
        <w:tabs>
          <w:tab w:leader="none" w:pos="66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ind w:left="500" w:right="20" w:hanging="6"/>
        <w:spacing w:after="0" w:line="264" w:lineRule="auto"/>
        <w:tabs>
          <w:tab w:leader="none" w:pos="68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500" w:right="400" w:hanging="6"/>
        <w:spacing w:after="0" w:line="264"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500" w:right="60" w:hanging="6"/>
        <w:spacing w:after="0" w:line="308" w:lineRule="auto"/>
        <w:tabs>
          <w:tab w:leader="none" w:pos="685" w:val="left"/>
        </w:tabs>
        <w:numPr>
          <w:ilvl w:val="0"/>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right="80" w:hanging="6"/>
        <w:spacing w:after="0" w:line="264"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sz w:val="20"/>
          <w:szCs w:val="20"/>
          <w:color w:val="auto"/>
        </w:rPr>
      </w:pPr>
    </w:p>
    <w:p>
      <w:pPr>
        <w:ind w:right="240" w:firstLine="494"/>
        <w:spacing w:after="0" w:line="308" w:lineRule="auto"/>
        <w:tabs>
          <w:tab w:leader="none" w:pos="66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4" w:lineRule="exact"/>
        <w:rPr>
          <w:sz w:val="20"/>
          <w:szCs w:val="20"/>
          <w:color w:val="auto"/>
        </w:rPr>
      </w:pPr>
    </w:p>
    <w:p>
      <w:pPr>
        <w:ind w:left="500" w:right="420" w:hanging="6"/>
        <w:spacing w:after="0" w:line="277" w:lineRule="auto"/>
        <w:tabs>
          <w:tab w:leader="none" w:pos="68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right="20" w:hanging="6"/>
        <w:spacing w:after="0" w:line="277"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2009</w:t>
      </w:r>
    </w:p>
    <w:p>
      <w:pPr>
        <w:spacing w:after="0" w:line="27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252" w:lineRule="exact"/>
        <w:rPr>
          <w:sz w:val="20"/>
          <w:szCs w:val="20"/>
          <w:color w:val="auto"/>
        </w:rPr>
      </w:pPr>
    </w:p>
    <w:p>
      <w:pPr>
        <w:ind w:left="680" w:hanging="186"/>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52" w:lineRule="exact"/>
        <w:rPr>
          <w:rFonts w:ascii="Arial" w:cs="Arial" w:eastAsia="Arial" w:hAnsi="Arial"/>
          <w:sz w:val="18"/>
          <w:szCs w:val="18"/>
          <w:color w:val="auto"/>
        </w:rPr>
      </w:pPr>
    </w:p>
    <w:p>
      <w:pPr>
        <w:ind w:right="280" w:firstLine="494"/>
        <w:spacing w:after="0" w:line="342" w:lineRule="auto"/>
        <w:tabs>
          <w:tab w:leader="none" w:pos="666"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240" w:firstLine="494"/>
        <w:spacing w:after="0" w:line="277" w:lineRule="auto"/>
        <w:tabs>
          <w:tab w:leader="none" w:pos="666"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260" w:firstLine="494"/>
        <w:spacing w:after="0" w:line="264" w:lineRule="auto"/>
        <w:tabs>
          <w:tab w:leader="none" w:pos="66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ind w:left="500" w:right="20" w:hanging="6"/>
        <w:spacing w:after="0" w:line="264" w:lineRule="auto"/>
        <w:tabs>
          <w:tab w:leader="none" w:pos="6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500" w:right="400" w:hanging="6"/>
        <w:spacing w:after="0" w:line="264" w:lineRule="auto"/>
        <w:tabs>
          <w:tab w:leader="none" w:pos="6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500" w:right="60" w:hanging="6"/>
        <w:spacing w:after="0" w:line="308" w:lineRule="auto"/>
        <w:tabs>
          <w:tab w:leader="none" w:pos="685" w:val="left"/>
        </w:tabs>
        <w:numPr>
          <w:ilvl w:val="0"/>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500" w:right="80" w:hanging="6"/>
        <w:spacing w:after="0" w:line="264" w:lineRule="auto"/>
        <w:tabs>
          <w:tab w:leader="none" w:pos="6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sz w:val="20"/>
          <w:szCs w:val="20"/>
          <w:color w:val="auto"/>
        </w:rPr>
      </w:pPr>
    </w:p>
    <w:p>
      <w:pPr>
        <w:ind w:right="240" w:firstLine="494"/>
        <w:spacing w:after="0" w:line="308" w:lineRule="auto"/>
        <w:tabs>
          <w:tab w:leader="none" w:pos="666"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4" w:lineRule="exact"/>
        <w:rPr>
          <w:sz w:val="20"/>
          <w:szCs w:val="20"/>
          <w:color w:val="auto"/>
        </w:rPr>
      </w:pPr>
    </w:p>
    <w:p>
      <w:pPr>
        <w:ind w:left="500" w:right="420" w:hanging="6"/>
        <w:spacing w:after="0" w:line="277" w:lineRule="auto"/>
        <w:tabs>
          <w:tab w:leader="none" w:pos="6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right="20" w:hanging="6"/>
        <w:spacing w:after="0" w:line="277"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2009</w:t>
      </w:r>
    </w:p>
    <w:p>
      <w:pPr>
        <w:spacing w:after="0" w:line="27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261" w:lineRule="exact"/>
        <w:rPr>
          <w:sz w:val="20"/>
          <w:szCs w:val="20"/>
          <w:color w:val="auto"/>
        </w:rPr>
      </w:pPr>
    </w:p>
    <w:p>
      <w:pPr>
        <w:ind w:left="500" w:right="180" w:hanging="6"/>
        <w:spacing w:after="0" w:line="342" w:lineRule="auto"/>
        <w:tabs>
          <w:tab w:leader="none" w:pos="71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2009, as filed with the Securities and Exchange Commission on the date hereof (the “Report”) fully complies with the requirements of Section 13(a) or 15(d) of the Securities Exchange Act of 1934; and</w:t>
      </w:r>
    </w:p>
    <w:p>
      <w:pPr>
        <w:spacing w:after="0" w:line="150" w:lineRule="exact"/>
        <w:rPr>
          <w:rFonts w:ascii="Arial" w:cs="Arial" w:eastAsia="Arial" w:hAnsi="Arial"/>
          <w:sz w:val="16"/>
          <w:szCs w:val="16"/>
          <w:color w:val="auto"/>
        </w:rPr>
      </w:pPr>
    </w:p>
    <w:p>
      <w:pPr>
        <w:ind w:right="280" w:firstLine="494"/>
        <w:spacing w:after="0" w:line="548" w:lineRule="auto"/>
        <w:tabs>
          <w:tab w:leader="none" w:pos="751"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April 29, 2009</w:t>
      </w:r>
    </w:p>
    <w:p>
      <w:pPr>
        <w:ind w:left="800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right="400" w:firstLine="486"/>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151" w:lineRule="exact"/>
        <w:rPr>
          <w:sz w:val="20"/>
          <w:szCs w:val="20"/>
          <w:color w:val="auto"/>
        </w:rPr>
      </w:pPr>
    </w:p>
    <w:p>
      <w:pPr>
        <w:ind w:left="500" w:right="180" w:hanging="6"/>
        <w:spacing w:after="0" w:line="342" w:lineRule="auto"/>
        <w:tabs>
          <w:tab w:leader="none" w:pos="71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March 31, 2009, as filed with the Securities and Exchange Commission on the date hereof (the “Report”) fully complies with the requirements of Section 13(a) or 15(d) of the Securities Exchange Act of 1934; and</w:t>
      </w:r>
    </w:p>
    <w:p>
      <w:pPr>
        <w:spacing w:after="0" w:line="150" w:lineRule="exact"/>
        <w:rPr>
          <w:rFonts w:ascii="Arial" w:cs="Arial" w:eastAsia="Arial" w:hAnsi="Arial"/>
          <w:sz w:val="16"/>
          <w:szCs w:val="16"/>
          <w:color w:val="auto"/>
        </w:rPr>
      </w:pPr>
    </w:p>
    <w:p>
      <w:pPr>
        <w:ind w:right="280" w:firstLine="494"/>
        <w:spacing w:after="0" w:line="548" w:lineRule="auto"/>
        <w:tabs>
          <w:tab w:leader="none" w:pos="75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April 29, 2009</w:t>
      </w:r>
    </w:p>
    <w:p>
      <w:pPr>
        <w:ind w:left="800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S"/>
      <w:numFmt w:val="bullet"/>
      <w:start w:val="1"/>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2"/>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decimal"/>
      <w:start w:val="3"/>
    </w:lvl>
  </w:abstractNum>
  <w:abstractNum w:abstractNumId="6">
    <w:nsid w:val="2D1D5AE9"/>
    <w:multiLevelType w:val="hybridMultilevel"/>
    <w:lvl w:ilvl="0">
      <w:lvlJc w:val="left"/>
      <w:lvlText w:val="%1."/>
      <w:numFmt w:val="decimal"/>
      <w:start w:val="4"/>
    </w:lvl>
  </w:abstractNum>
  <w:abstractNum w:abstractNumId="7">
    <w:nsid w:val="6763845E"/>
    <w:multiLevelType w:val="hybridMultilevel"/>
    <w:lvl w:ilvl="0">
      <w:lvlJc w:val="left"/>
      <w:lvlText w:val="%1."/>
      <w:numFmt w:val="decimal"/>
      <w:start w:val="6"/>
    </w:lvl>
  </w:abstractNum>
  <w:abstractNum w:abstractNumId="8">
    <w:nsid w:val="75A2A8D4"/>
    <w:multiLevelType w:val="hybridMultilevel"/>
    <w:lvl w:ilvl="0">
      <w:lvlJc w:val="left"/>
      <w:lvlText w:val="%1."/>
      <w:numFmt w:val="decimal"/>
      <w:start w:val="7"/>
    </w:lvl>
  </w:abstractNum>
  <w:abstractNum w:abstractNumId="9">
    <w:nsid w:val="8EDBDAB"/>
    <w:multiLevelType w:val="hybridMultilevel"/>
    <w:lvl w:ilvl="0">
      <w:lvlJc w:val="left"/>
      <w:lvlText w:val="%1."/>
      <w:numFmt w:val="decimal"/>
      <w:start w:val="8"/>
    </w:lvl>
  </w:abstractNum>
  <w:abstractNum w:abstractNumId="10">
    <w:nsid w:val="79838CB2"/>
    <w:multiLevelType w:val="hybridMultilevel"/>
    <w:lvl w:ilvl="0">
      <w:lvlJc w:val="left"/>
      <w:lvlText w:val="%1."/>
      <w:numFmt w:val="decimal"/>
      <w:start w:val="9"/>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lowerLetter"/>
      <w:start w:val="1"/>
    </w:lvl>
  </w:abstractNum>
  <w:abstractNum w:abstractNumId="15">
    <w:nsid w:val="71F3245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6">
    <w:nsid w:val="2CA8861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7">
    <w:nsid w:val="836C40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
    <w:nsid w:val="2901D8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9">
    <w:nsid w:val="3A95F874"/>
    <w:multiLevelType w:val="hybridMultilevel"/>
    <w:lvl w:ilvl="0">
      <w:lvlJc w:val="left"/>
      <w:lvlText w:val="%1"/>
      <w:numFmt w:val="decimal"/>
      <w:start w:val="1"/>
    </w:lvl>
    <w:lvl w:ilvl="1">
      <w:lvlJc w:val="left"/>
      <w:lvlText w:val="(%2)"/>
      <w:numFmt w:val="lowerLetter"/>
      <w:start w:val="4"/>
    </w:lvl>
  </w:abstractNum>
  <w:abstractNum w:abstractNumId="20">
    <w:nsid w:val="8138641"/>
    <w:multiLevelType w:val="hybridMultilevel"/>
    <w:lvl w:ilvl="0">
      <w:lvlJc w:val="left"/>
      <w:lvlText w:val="%1."/>
      <w:numFmt w:val="decimal"/>
      <w:start w:val="10"/>
    </w:lvl>
    <w:lvl w:ilvl="1">
      <w:lvlJc w:val="left"/>
      <w:lvlText w:val="%2"/>
      <w:numFmt w:val="lowerLetter"/>
      <w:start w:val="1"/>
    </w:lvl>
  </w:abstractNum>
  <w:abstractNum w:abstractNumId="21">
    <w:nsid w:val="1E7FF52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
    <w:nsid w:val="7C3DBD3D"/>
    <w:multiLevelType w:val="hybridMultilevel"/>
    <w:lvl w:ilvl="0">
      <w:lvlJc w:val="left"/>
      <w:lvlText w:val="(%1)"/>
      <w:numFmt w:val="lowerRoman"/>
      <w:start w:val="3"/>
    </w:lvl>
  </w:abstractNum>
  <w:abstractNum w:abstractNumId="23">
    <w:nsid w:val="737B8D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24">
    <w:nsid w:val="6CEAF08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5">
    <w:nsid w:val="22221A7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6">
    <w:nsid w:val="4516DDE9"/>
    <w:multiLevelType w:val="hybridMultilevel"/>
    <w:lvl w:ilvl="0">
      <w:lvlJc w:val="left"/>
      <w:lvlText w:val="%1."/>
      <w:numFmt w:val="decimal"/>
      <w:start w:val="3"/>
    </w:lvl>
    <w:lvl w:ilvl="1">
      <w:lvlJc w:val="left"/>
      <w:lvlText w:val="(%2)"/>
      <w:numFmt w:val="lowerLetter"/>
      <w:start w:val="1"/>
    </w:lvl>
  </w:abstractNum>
  <w:abstractNum w:abstractNumId="27">
    <w:nsid w:val="3006C83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8">
    <w:nsid w:val="614FD4A1"/>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decimal"/>
      <w:start w:val="5"/>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5"/>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lowerRoman"/>
      <w:start w:val="1"/>
    </w:lvl>
  </w:abstractNum>
  <w:abstractNum w:abstractNumId="38">
    <w:nsid w:val="5E884AD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2019-12-10T03:08:15Z</dcterms:created>
  <dcterms:modified xsi:type="dcterms:W3CDTF">2019-12-10T03:08:15Z</dcterms:modified>
</cp:coreProperties>
</file>