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88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66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07/21/2006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463"/>
          </w:cols>
          <w:pgMar w:left="240" w:top="226" w:right="139" w:bottom="661"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66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gridSpan w:val="3"/>
          </w:tcPr>
          <w:p>
            <w:pPr>
              <w:jc w:val="center"/>
              <w:ind w:left="6"/>
              <w:spacing w:after="0"/>
              <w:rPr>
                <w:sz w:val="20"/>
                <w:szCs w:val="20"/>
                <w:color w:val="auto"/>
              </w:rPr>
            </w:pPr>
            <w:r>
              <w:rPr>
                <w:rFonts w:ascii="Arial" w:cs="Arial" w:eastAsia="Arial" w:hAnsi="Arial"/>
                <w:sz w:val="18"/>
                <w:szCs w:val="18"/>
                <w:color w:val="0000FF"/>
                <w:w w:val="86"/>
              </w:rPr>
              <w:t>355,411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26"/>
              <w:spacing w:after="0"/>
              <w:rPr>
                <w:sz w:val="20"/>
                <w:szCs w:val="20"/>
                <w:color w:val="auto"/>
              </w:rPr>
            </w:pPr>
            <w:r>
              <w:rPr>
                <w:rFonts w:ascii="Arial" w:cs="Arial" w:eastAsia="Arial" w:hAnsi="Arial"/>
                <w:sz w:val="18"/>
                <w:szCs w:val="18"/>
                <w:color w:val="0000FF"/>
                <w:w w:val="84"/>
              </w:rPr>
              <w:t>4,821.81</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By Son</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8"/>
                <w:szCs w:val="18"/>
                <w:color w:val="0000FF"/>
                <w:w w:val="82"/>
              </w:rPr>
              <w:t>8,000</w:t>
            </w:r>
            <w:r>
              <w:rPr>
                <w:rFonts w:ascii="Arial" w:cs="Arial" w:eastAsia="Arial" w:hAnsi="Arial"/>
                <w:sz w:val="22"/>
                <w:szCs w:val="22"/>
                <w:color w:val="008000"/>
                <w:w w:val="82"/>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By Trust</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center"/>
              <w:ind w:left="26"/>
              <w:spacing w:after="0" w:line="217" w:lineRule="exact"/>
              <w:rPr>
                <w:sz w:val="20"/>
                <w:szCs w:val="20"/>
                <w:color w:val="auto"/>
              </w:rPr>
            </w:pPr>
            <w:r>
              <w:rPr>
                <w:rFonts w:ascii="Arial" w:cs="Arial" w:eastAsia="Arial" w:hAnsi="Arial"/>
                <w:sz w:val="18"/>
                <w:szCs w:val="18"/>
                <w:color w:val="0000FF"/>
                <w:w w:val="84"/>
              </w:rPr>
              <w:t>2,973.52</w:t>
            </w:r>
            <w:r>
              <w:rPr>
                <w:rFonts w:ascii="Arial" w:cs="Arial" w:eastAsia="Arial" w:hAnsi="Arial"/>
                <w:sz w:val="22"/>
                <w:szCs w:val="22"/>
                <w:color w:val="008000"/>
                <w:w w:val="84"/>
                <w:vertAlign w:val="superscript"/>
              </w:rPr>
              <w:t>(3)</w:t>
            </w:r>
          </w:p>
        </w:tc>
        <w:tc>
          <w:tcPr>
            <w:tcW w:w="28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tcPr>
          <w:p>
            <w:pPr>
              <w:jc w:val="center"/>
              <w:ind w:left="26"/>
              <w:spacing w:after="0" w:line="217" w:lineRule="exact"/>
              <w:rPr>
                <w:sz w:val="20"/>
                <w:szCs w:val="20"/>
                <w:color w:val="auto"/>
              </w:rPr>
            </w:pPr>
            <w:r>
              <w:rPr>
                <w:rFonts w:ascii="Arial" w:cs="Arial" w:eastAsia="Arial" w:hAnsi="Arial"/>
                <w:sz w:val="18"/>
                <w:szCs w:val="18"/>
                <w:color w:val="0000FF"/>
                <w:w w:val="84"/>
              </w:rPr>
              <w:t>455.78</w:t>
            </w:r>
            <w:r>
              <w:rPr>
                <w:rFonts w:ascii="Arial" w:cs="Arial" w:eastAsia="Arial" w:hAnsi="Arial"/>
                <w:sz w:val="22"/>
                <w:szCs w:val="22"/>
                <w:color w:val="008000"/>
                <w:w w:val="84"/>
                <w:vertAlign w:val="superscript"/>
              </w:rPr>
              <w:t>(4)</w:t>
            </w:r>
          </w:p>
        </w:tc>
        <w:tc>
          <w:tcPr>
            <w:tcW w:w="28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1</w:t>
            </w:r>
            <w:r>
              <w:rPr>
                <w:rFonts w:ascii="Arial" w:cs="Arial" w:eastAsia="Arial" w:hAnsi="Arial"/>
                <w:sz w:val="11"/>
                <w:szCs w:val="11"/>
                <w:color w:val="008000"/>
              </w:rPr>
              <w:t>(5)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07/21/2006</w:t>
            </w:r>
          </w:p>
        </w:tc>
        <w:tc>
          <w:tcPr>
            <w:tcW w:w="114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205.2</w:t>
            </w:r>
          </w:p>
        </w:tc>
        <w:tc>
          <w:tcPr>
            <w:tcW w:w="34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(6)</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5"/>
              <w:spacing w:after="0"/>
              <w:rPr>
                <w:sz w:val="20"/>
                <w:szCs w:val="20"/>
                <w:color w:val="auto"/>
              </w:rPr>
            </w:pPr>
            <w:r>
              <w:rPr>
                <w:rFonts w:ascii="Arial" w:cs="Arial" w:eastAsia="Arial" w:hAnsi="Arial"/>
                <w:sz w:val="18"/>
                <w:szCs w:val="18"/>
                <w:color w:val="0000FF"/>
                <w:w w:val="93"/>
              </w:rPr>
              <w:t>205.2</w:t>
            </w:r>
          </w:p>
        </w:tc>
        <w:tc>
          <w:tcPr>
            <w:tcW w:w="60" w:type="dxa"/>
            <w:vAlign w:val="bottom"/>
          </w:tcPr>
          <w:p>
            <w:pPr>
              <w:spacing w:after="0"/>
              <w:rPr>
                <w:sz w:val="16"/>
                <w:szCs w:val="16"/>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28.43</w:t>
            </w: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color w:val="0000FF"/>
              </w:rPr>
              <w:t>20,521.46</w:t>
            </w: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trustee. Beneficial ownership by reporting person disclaimed.</w:t>
      </w:r>
    </w:p>
    <w:p>
      <w:pPr>
        <w:spacing w:after="0" w:line="41" w:lineRule="exact"/>
        <w:rPr>
          <w:rFonts w:ascii="Arial" w:cs="Arial" w:eastAsia="Arial" w:hAnsi="Arial"/>
          <w:sz w:val="14"/>
          <w:szCs w:val="14"/>
          <w:color w:val="008000"/>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Security converts to common stock on a one-for-one basis.</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units credited under the Texas Instruments 2003 Director Compensation Plan, to be settled in common stock of the Issuer following the reporting person's termination of service as a director of the Issuer.</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07/25/2006</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6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2019-12-16T02:57:25Z</dcterms:created>
  <dcterms:modified xsi:type="dcterms:W3CDTF">2019-12-16T02:57:25Z</dcterms:modified>
</cp:coreProperties>
</file>