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52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001-03761</w:t>
            </w:r>
          </w:p>
        </w:tc>
        <w:tc>
          <w:tcPr>
            <w:tcW w:w="1700" w:type="dxa"/>
            <w:vAlign w:val="bottom"/>
          </w:tcPr>
          <w:p>
            <w:pPr>
              <w:jc w:val="center"/>
              <w:ind w:left="542"/>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tcPr>
          <w:p>
            <w:pPr>
              <w:jc w:val="center"/>
              <w:ind w:right="42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24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42"/>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tcPr>
          <w:p>
            <w:pPr>
              <w:jc w:val="center"/>
              <w:ind w:right="422"/>
              <w:spacing w:after="0"/>
              <w:rPr>
                <w:sz w:val="20"/>
                <w:szCs w:val="20"/>
                <w:color w:val="auto"/>
              </w:rPr>
            </w:pPr>
            <w:r>
              <w:rPr>
                <w:rFonts w:ascii="Arial" w:cs="Arial" w:eastAsia="Arial" w:hAnsi="Arial"/>
                <w:sz w:val="14"/>
                <w:szCs w:val="14"/>
                <w:b w:val="1"/>
                <w:bCs w:val="1"/>
                <w:color w:val="auto"/>
                <w:w w:val="92"/>
              </w:rPr>
              <w:t>of incorporation)</w:t>
            </w:r>
          </w:p>
        </w:tc>
        <w:tc>
          <w:tcPr>
            <w:tcW w:w="5240" w:type="dxa"/>
            <w:vAlign w:val="bottom"/>
          </w:tcPr>
          <w:p>
            <w:pPr>
              <w:jc w:val="center"/>
              <w:ind w:right="60"/>
              <w:spacing w:after="0"/>
              <w:rPr>
                <w:sz w:val="20"/>
                <w:szCs w:val="20"/>
                <w:color w:val="auto"/>
              </w:rPr>
            </w:pPr>
            <w:r>
              <w:rPr>
                <w:rFonts w:ascii="Arial" w:cs="Arial" w:eastAsia="Arial" w:hAnsi="Arial"/>
                <w:sz w:val="14"/>
                <w:szCs w:val="14"/>
                <w:b w:val="1"/>
                <w:bCs w:val="1"/>
                <w:color w:val="auto"/>
                <w:w w:val="97"/>
              </w:rPr>
              <w:t>file number)</w:t>
            </w:r>
          </w:p>
        </w:tc>
        <w:tc>
          <w:tcPr>
            <w:tcW w:w="1700" w:type="dxa"/>
            <w:vAlign w:val="bottom"/>
          </w:tcPr>
          <w:p>
            <w:pPr>
              <w:jc w:val="center"/>
              <w:ind w:left="542"/>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2140" w:type="dxa"/>
            <w:vAlign w:val="bottom"/>
          </w:tcPr>
          <w:p>
            <w:pPr>
              <w:spacing w:after="0"/>
              <w:rPr>
                <w:sz w:val="24"/>
                <w:szCs w:val="24"/>
                <w:color w:val="auto"/>
              </w:rPr>
            </w:pPr>
          </w:p>
        </w:tc>
        <w:tc>
          <w:tcPr>
            <w:tcW w:w="5240" w:type="dxa"/>
            <w:vAlign w:val="bottom"/>
          </w:tcPr>
          <w:p>
            <w:pPr>
              <w:jc w:val="center"/>
              <w:ind w:right="60"/>
              <w:spacing w:after="0"/>
              <w:rPr>
                <w:sz w:val="20"/>
                <w:szCs w:val="20"/>
                <w:color w:val="auto"/>
              </w:rPr>
            </w:pPr>
            <w:r>
              <w:rPr>
                <w:rFonts w:ascii="Arial" w:cs="Arial" w:eastAsia="Arial" w:hAnsi="Arial"/>
                <w:sz w:val="18"/>
                <w:szCs w:val="18"/>
                <w:b w:val="1"/>
                <w:bCs w:val="1"/>
                <w:color w:val="auto"/>
                <w:w w:val="97"/>
              </w:rPr>
              <w:t>12500 TI BOULEVARD</w:t>
            </w:r>
          </w:p>
        </w:tc>
        <w:tc>
          <w:tcPr>
            <w:tcW w:w="1700" w:type="dxa"/>
            <w:vAlign w:val="bottom"/>
          </w:tcPr>
          <w:p>
            <w:pPr>
              <w:spacing w:after="0"/>
              <w:rPr>
                <w:sz w:val="24"/>
                <w:szCs w:val="24"/>
                <w:color w:val="auto"/>
              </w:rPr>
            </w:pPr>
          </w:p>
        </w:tc>
      </w:tr>
      <w:tr>
        <w:trPr>
          <w:trHeight w:val="212"/>
        </w:trPr>
        <w:tc>
          <w:tcPr>
            <w:tcW w:w="2140" w:type="dxa"/>
            <w:vAlign w:val="bottom"/>
          </w:tcPr>
          <w:p>
            <w:pPr>
              <w:spacing w:after="0"/>
              <w:rPr>
                <w:sz w:val="18"/>
                <w:szCs w:val="18"/>
                <w:color w:val="auto"/>
              </w:rPr>
            </w:pPr>
          </w:p>
        </w:tc>
        <w:tc>
          <w:tcPr>
            <w:tcW w:w="5240" w:type="dxa"/>
            <w:vAlign w:val="bottom"/>
          </w:tcPr>
          <w:p>
            <w:pPr>
              <w:jc w:val="center"/>
              <w:ind w:right="80"/>
              <w:spacing w:after="0"/>
              <w:rPr>
                <w:sz w:val="20"/>
                <w:szCs w:val="20"/>
                <w:color w:val="auto"/>
              </w:rPr>
            </w:pPr>
            <w:r>
              <w:rPr>
                <w:rFonts w:ascii="Arial" w:cs="Arial" w:eastAsia="Arial" w:hAnsi="Arial"/>
                <w:sz w:val="18"/>
                <w:szCs w:val="18"/>
                <w:b w:val="1"/>
                <w:bCs w:val="1"/>
                <w:color w:val="auto"/>
                <w:w w:val="96"/>
              </w:rPr>
              <w:t>DALLAS, TEXAS 75243</w:t>
            </w:r>
          </w:p>
        </w:tc>
        <w:tc>
          <w:tcPr>
            <w:tcW w:w="1700" w:type="dxa"/>
            <w:vAlign w:val="bottom"/>
          </w:tcPr>
          <w:p>
            <w:pPr>
              <w:spacing w:after="0"/>
              <w:rPr>
                <w:sz w:val="18"/>
                <w:szCs w:val="18"/>
                <w:color w:val="auto"/>
              </w:rPr>
            </w:pPr>
          </w:p>
        </w:tc>
      </w:tr>
      <w:tr>
        <w:trPr>
          <w:trHeight w:val="186"/>
        </w:trPr>
        <w:tc>
          <w:tcPr>
            <w:tcW w:w="2140" w:type="dxa"/>
            <w:vAlign w:val="bottom"/>
          </w:tcPr>
          <w:p>
            <w:pPr>
              <w:spacing w:after="0"/>
              <w:rPr>
                <w:sz w:val="16"/>
                <w:szCs w:val="16"/>
                <w:color w:val="auto"/>
              </w:rPr>
            </w:pPr>
          </w:p>
        </w:tc>
        <w:tc>
          <w:tcPr>
            <w:tcW w:w="52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spacing w:after="0"/>
              <w:rPr>
                <w:sz w:val="16"/>
                <w:szCs w:val="16"/>
                <w:color w:val="auto"/>
              </w:rPr>
            </w:pPr>
          </w:p>
        </w:tc>
      </w:tr>
      <w:tr>
        <w:trPr>
          <w:trHeight w:val="378"/>
        </w:trPr>
        <w:tc>
          <w:tcPr>
            <w:tcW w:w="2140" w:type="dxa"/>
            <w:vAlign w:val="bottom"/>
          </w:tcPr>
          <w:p>
            <w:pPr>
              <w:spacing w:after="0"/>
              <w:rPr>
                <w:sz w:val="24"/>
                <w:szCs w:val="24"/>
                <w:color w:val="auto"/>
              </w:rPr>
            </w:pPr>
          </w:p>
        </w:tc>
        <w:tc>
          <w:tcPr>
            <w:tcW w:w="52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1479550</wp:posOffset>
            </wp:positionH>
            <wp:positionV relativeFrom="paragraph">
              <wp:posOffset>153670</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Registrant’s news release dated January 25, 2022, regarding its fourth-quarter and 2021 results of operations and financial condition is attached hereto as Exhibit 99.</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1"/>
              </w:rPr>
              <w:t>Designation</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28"/>
              <w:spacing w:after="0" w:line="135" w:lineRule="exact"/>
              <w:rPr>
                <w:sz w:val="20"/>
                <w:szCs w:val="20"/>
                <w:color w:val="auto"/>
              </w:rPr>
            </w:pPr>
            <w:r>
              <w:rPr>
                <w:rFonts w:ascii="Arial" w:cs="Arial" w:eastAsia="Arial" w:hAnsi="Arial"/>
                <w:sz w:val="14"/>
                <w:szCs w:val="14"/>
                <w:color w:val="auto"/>
              </w:rPr>
              <w:t>of Exhibit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48"/>
              <w:spacing w:after="0" w:line="135" w:lineRule="exact"/>
              <w:rPr>
                <w:sz w:val="20"/>
                <w:szCs w:val="20"/>
                <w:color w:val="auto"/>
              </w:rPr>
            </w:pPr>
            <w:r>
              <w:rPr>
                <w:rFonts w:ascii="Arial" w:cs="Arial" w:eastAsia="Arial" w:hAnsi="Arial"/>
                <w:sz w:val="14"/>
                <w:szCs w:val="14"/>
                <w:color w:val="auto"/>
                <w:w w:val="98"/>
              </w:rPr>
              <w:t>in this</w:t>
            </w:r>
          </w:p>
        </w:tc>
        <w:tc>
          <w:tcPr>
            <w:tcW w:w="1620" w:type="dxa"/>
            <w:vAlign w:val="bottom"/>
            <w:vMerge w:val="restart"/>
          </w:tcPr>
          <w:p>
            <w:pPr>
              <w:ind w:left="320"/>
              <w:spacing w:after="0"/>
              <w:rPr>
                <w:sz w:val="20"/>
                <w:szCs w:val="20"/>
                <w:color w:val="auto"/>
              </w:rPr>
            </w:pPr>
            <w:r>
              <w:rPr>
                <w:rFonts w:ascii="Arial" w:cs="Arial" w:eastAsia="Arial" w:hAnsi="Arial"/>
                <w:sz w:val="14"/>
                <w:szCs w:val="14"/>
                <w:color w:val="auto"/>
                <w:w w:val="97"/>
              </w:rPr>
              <w:t>Description of Exhibit</w:t>
            </w:r>
          </w:p>
        </w:tc>
        <w:tc>
          <w:tcPr>
            <w:tcW w:w="0" w:type="dxa"/>
            <w:vAlign w:val="bottom"/>
          </w:tcPr>
          <w:p>
            <w:pPr>
              <w:spacing w:after="0"/>
              <w:rPr>
                <w:sz w:val="1"/>
                <w:szCs w:val="1"/>
                <w:color w:val="auto"/>
              </w:rPr>
            </w:pPr>
          </w:p>
        </w:tc>
      </w:tr>
      <w:tr>
        <w:trPr>
          <w:trHeight w:val="182"/>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5"/>
              </w:rPr>
              <w:t>Report</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4445</wp:posOffset>
            </wp:positionV>
            <wp:extent cx="6129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56" w:lineRule="exact"/>
        <w:rPr>
          <w:sz w:val="20"/>
          <w:szCs w:val="20"/>
          <w:color w:val="auto"/>
        </w:rPr>
      </w:pPr>
    </w:p>
    <w:p>
      <w:pPr>
        <w:ind w:left="1600" w:hanging="1068"/>
        <w:spacing w:after="0"/>
        <w:tabs>
          <w:tab w:leader="none" w:pos="1600" w:val="left"/>
        </w:tabs>
        <w:numPr>
          <w:ilvl w:val="0"/>
          <w:numId w:val="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Dated January 25, 2022 (furnished pursuant to Item 2.02)</w:t>
            </w:r>
          </w:p>
        </w:tc>
      </w:tr>
      <w:tr>
        <w:trPr>
          <w:trHeight w:val="230"/>
        </w:trPr>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104</w:t>
            </w:r>
          </w:p>
        </w:tc>
        <w:tc>
          <w:tcPr>
            <w:tcW w:w="6200" w:type="dxa"/>
            <w:vAlign w:val="bottom"/>
          </w:tcPr>
          <w:p>
            <w:pPr>
              <w:ind w:left="42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320" w:type="dxa"/>
            <w:vAlign w:val="bottom"/>
            <w:gridSpan w:val="2"/>
          </w:tcPr>
          <w:p>
            <w:pPr>
              <w:ind w:left="22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January 25, 2022</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2021 and 2021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3:15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DALLAS (Jan. 25, 2022) – Texas Instruments Incorporated (TI) (Nasdaq: TXN) today reported fourth quarter revenue of $4.83 billion, net income of $2.14 billion and earnings per share of $2.27. Earnings per share included a 4-cent net cost that was not in the company's original guidance.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260" w:hanging="329"/>
        <w:spacing w:after="0" w:line="27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19% from the same quarter a year ago driven by strong demand in industrial and automotive markets. Analog revenue grew 20% and Embedded Processing grew 6% from the year-ago quarter.</w:t>
      </w:r>
    </w:p>
    <w:p>
      <w:pPr>
        <w:spacing w:after="0" w:line="170" w:lineRule="exact"/>
        <w:rPr>
          <w:rFonts w:ascii="Arial" w:cs="Arial" w:eastAsia="Arial" w:hAnsi="Arial"/>
          <w:sz w:val="18"/>
          <w:szCs w:val="18"/>
          <w:color w:val="auto"/>
        </w:rPr>
      </w:pPr>
    </w:p>
    <w:p>
      <w:pPr>
        <w:ind w:left="620" w:hanging="329"/>
        <w:spacing w:after="0" w:line="263"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$8.8 billion for the year again underscored the strength of our business model. Free cash flow for the year was $6.3 billion and 34% of revenue. This reflects the quality of our product portfolio, as well as the efficiency of our manufacturing strategy, including the benefit of 300-millimeter production.</w:t>
      </w:r>
    </w:p>
    <w:p>
      <w:pPr>
        <w:spacing w:after="0" w:line="183" w:lineRule="exact"/>
        <w:rPr>
          <w:rFonts w:ascii="Arial" w:cs="Arial" w:eastAsia="Arial" w:hAnsi="Arial"/>
          <w:sz w:val="18"/>
          <w:szCs w:val="18"/>
          <w:color w:val="auto"/>
        </w:rPr>
      </w:pPr>
    </w:p>
    <w:p>
      <w:pPr>
        <w:ind w:left="620" w:right="20" w:hanging="329"/>
        <w:spacing w:after="0" w:line="263"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returned $4.4 billion to owners in 2021 through dividends and stock repurchases. For the year, our dividend represented 62% of free cash flow, underscoring its sustainability. Together, our dividends and stock repurchases reflect our continued commitment to return all free cash flow to our owners.</w:t>
      </w:r>
    </w:p>
    <w:p>
      <w:pPr>
        <w:spacing w:after="0" w:line="170" w:lineRule="exact"/>
        <w:rPr>
          <w:rFonts w:ascii="Arial" w:cs="Arial" w:eastAsia="Arial" w:hAnsi="Arial"/>
          <w:sz w:val="18"/>
          <w:szCs w:val="18"/>
          <w:color w:val="auto"/>
        </w:rPr>
      </w:pPr>
    </w:p>
    <w:p>
      <w:pPr>
        <w:ind w:left="620" w:right="220" w:hanging="329"/>
        <w:spacing w:after="0" w:line="246"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$4.50 billion to $4.90 billion and earnings per share between $2.01 and $2.29. We expect our 2022 annual operating tax rate to be about 14%."</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5"/>
        </w:trPr>
        <w:tc>
          <w:tcPr>
            <w:tcW w:w="53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7"/>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Q4 2021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Q4 2020</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38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5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38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593"/>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5"/>
        </w:trPr>
        <w:tc>
          <w:tcPr>
            <w:tcW w:w="53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9"/>
              </w:rPr>
              <w:t>Trailing 12 Months</w:t>
            </w:r>
          </w:p>
        </w:tc>
        <w:tc>
          <w:tcPr>
            <w:tcW w:w="1440" w:type="dxa"/>
            <w:vAlign w:val="bottom"/>
            <w:tcBorders>
              <w:bottom w:val="single" w:sz="8" w:color="auto"/>
            </w:tcBorders>
          </w:tcPr>
          <w:p>
            <w:pPr>
              <w:spacing w:after="0"/>
              <w:rPr>
                <w:sz w:val="22"/>
                <w:szCs w:val="22"/>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Q4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Q4 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ind w:left="100"/>
              <w:spacing w:after="0"/>
              <w:rPr>
                <w:sz w:val="20"/>
                <w:szCs w:val="20"/>
                <w:color w:val="auto"/>
              </w:rPr>
            </w:pPr>
            <w:r>
              <w:rPr>
                <w:rFonts w:ascii="Arial" w:cs="Arial" w:eastAsia="Arial" w:hAnsi="Arial"/>
                <w:sz w:val="18"/>
                <w:szCs w:val="18"/>
                <w:color w:val="auto"/>
              </w:rPr>
              <w:t>Q4 2020</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8,756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38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9"/>
                <w:szCs w:val="19"/>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279 %</w:t>
            </w:r>
          </w:p>
        </w:tc>
      </w:tr>
      <w:tr>
        <w:trPr>
          <w:trHeight w:val="229"/>
        </w:trPr>
        <w:tc>
          <w:tcPr>
            <w:tcW w:w="5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6,294</w:t>
            </w:r>
          </w:p>
        </w:tc>
        <w:tc>
          <w:tcPr>
            <w:tcW w:w="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38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8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4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5"/>
        </w:trPr>
        <w:tc>
          <w:tcPr>
            <w:tcW w:w="53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3"/>
              </w:rPr>
              <w:t>Trailing 12 Months</w:t>
            </w:r>
          </w:p>
        </w:tc>
        <w:tc>
          <w:tcPr>
            <w:tcW w:w="1440" w:type="dxa"/>
            <w:vAlign w:val="bottom"/>
            <w:tcBorders>
              <w:bottom w:val="single" w:sz="8" w:color="auto"/>
            </w:tcBorders>
          </w:tcPr>
          <w:p>
            <w:pPr>
              <w:spacing w:after="0"/>
              <w:rPr>
                <w:sz w:val="22"/>
                <w:szCs w:val="22"/>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Q4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Q4 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Q4 2020</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3,886</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538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500" w:type="dxa"/>
            <w:vAlign w:val="bottom"/>
            <w:gridSpan w:val="9"/>
          </w:tcPr>
          <w:p>
            <w:pPr>
              <w:jc w:val="center"/>
              <w:ind w:left="267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120"/>
              <w:spacing w:after="0" w:line="202" w:lineRule="exact"/>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7"/>
                <w:szCs w:val="17"/>
                <w:color w:val="auto"/>
              </w:rPr>
            </w:pPr>
          </w:p>
        </w:tc>
        <w:tc>
          <w:tcPr>
            <w:tcW w:w="2440" w:type="dxa"/>
            <w:vAlign w:val="bottom"/>
            <w:gridSpan w:val="4"/>
          </w:tcPr>
          <w:p>
            <w:pPr>
              <w:jc w:val="right"/>
              <w:ind w:right="630"/>
              <w:spacing w:after="0" w:line="202"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(COR)</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debt expense</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2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00" w:type="dxa"/>
            <w:vAlign w:val="bottom"/>
          </w:tcPr>
          <w:p>
            <w:pPr>
              <w:spacing w:after="0"/>
              <w:rPr>
                <w:sz w:val="24"/>
                <w:szCs w:val="24"/>
                <w:color w:val="auto"/>
              </w:rPr>
            </w:pPr>
          </w:p>
        </w:tc>
        <w:tc>
          <w:tcPr>
            <w:tcW w:w="318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1"/>
              </w:rPr>
              <w:t>Supplemental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annual operating tax rate, which does not include discrete tax items, was 14% in both periods.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6"/>
        </w:trPr>
        <w:tc>
          <w:tcPr>
            <w:tcW w:w="5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Operating taxes (calculated using the estimated annual effective tax rate)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346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6"/>
              </w:rPr>
              <w:t>833</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0"/>
              </w:rPr>
              <w:t>(411)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6"/>
              </w:rPr>
              <w:t>422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RSUs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7"/>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2"/>
                <w:szCs w:val="22"/>
                <w:color w:val="auto"/>
              </w:rPr>
            </w:pPr>
          </w:p>
        </w:tc>
      </w:tr>
      <w:tr>
        <w:trPr>
          <w:trHeight w:val="223"/>
        </w:trPr>
        <w:tc>
          <w:tcPr>
            <w:tcW w:w="838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r>
      <w:tr>
        <w:trPr>
          <w:trHeight w:val="229"/>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3,461</w:t>
            </w:r>
          </w:p>
        </w:tc>
      </w:tr>
      <w:tr>
        <w:trPr>
          <w:trHeight w:val="22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($8) and ($11)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8480" w:type="dxa"/>
            <w:vAlign w:val="bottom"/>
            <w:gridSpan w:val="2"/>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23"/>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30"/>
        </w:trPr>
        <w:tc>
          <w:tcPr>
            <w:tcW w:w="8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5,781</w:t>
            </w:r>
          </w:p>
        </w:tc>
      </w:tr>
      <w:tr>
        <w:trPr>
          <w:trHeight w:val="22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23"/>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3,269</w:t>
            </w: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6,248</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w:t>
            </w:r>
          </w:p>
        </w:tc>
      </w:tr>
      <w:tr>
        <w:trPr>
          <w:trHeight w:val="20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22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r>
      <w:tr>
        <w:trPr>
          <w:trHeight w:val="230"/>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Shares: 2021 – 817; 2020 – 821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8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11"/>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89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8"/>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17"/>
                <w:szCs w:val="17"/>
                <w:color w:val="auto"/>
              </w:rPr>
            </w:pPr>
          </w:p>
        </w:tc>
        <w:tc>
          <w:tcPr>
            <w:tcW w:w="2580" w:type="dxa"/>
            <w:vAlign w:val="bottom"/>
            <w:gridSpan w:val="5"/>
          </w:tcPr>
          <w:p>
            <w:pPr>
              <w:ind w:left="120"/>
              <w:spacing w:after="0" w:line="202" w:lineRule="exact"/>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7"/>
                <w:szCs w:val="17"/>
                <w:color w:val="auto"/>
              </w:rPr>
            </w:pPr>
          </w:p>
        </w:tc>
        <w:tc>
          <w:tcPr>
            <w:tcW w:w="2440" w:type="dxa"/>
            <w:vAlign w:val="bottom"/>
            <w:gridSpan w:val="4"/>
          </w:tcPr>
          <w:p>
            <w:pPr>
              <w:jc w:val="right"/>
              <w:ind w:right="630"/>
              <w:spacing w:after="0" w:line="202"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29"/>
        </w:trPr>
        <w:tc>
          <w:tcPr>
            <w:tcW w:w="5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2,138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Amortization of capitalized software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Gains on sales of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asset sales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repurchases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Quarterly segment results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7"/>
        </w:trPr>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Q4 2021</w:t>
            </w:r>
          </w:p>
        </w:tc>
        <w:tc>
          <w:tcPr>
            <w:tcW w:w="2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Q4 2020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527"/>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Annual segment results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18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94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Years Ended</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5,490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14,461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34.3 %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2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74"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10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3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A3AFF"/>
        </w:rPr>
        <w:t>TI.com.</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2022-01-25T15:05:08Z</dcterms:created>
  <dcterms:modified xsi:type="dcterms:W3CDTF">2022-01-25T15:05:08Z</dcterms:modified>
</cp:coreProperties>
</file>