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7" w:lineRule="exact"/>
        <w:rPr>
          <w:sz w:val="24"/>
          <w:szCs w:val="24"/>
          <w:color w:val="auto"/>
        </w:rPr>
      </w:pPr>
    </w:p>
    <w:p>
      <w:pPr>
        <w:ind w:left="700" w:right="2340" w:hanging="665"/>
        <w:spacing w:after="0" w:line="282"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700" w:right="2260" w:hanging="665"/>
        <w:spacing w:after="0" w:line="282" w:lineRule="auto"/>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p>
      <w:pPr>
        <w:ind w:left="34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3521710</wp:posOffset>
            </wp:positionH>
            <wp:positionV relativeFrom="paragraph">
              <wp:posOffset>-10160</wp:posOffset>
            </wp:positionV>
            <wp:extent cx="157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(State of Incorporation)</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(I.R.S. Employer Identification No.)</w:t>
            </w:r>
          </w:p>
        </w:tc>
      </w:tr>
      <w:tr>
        <w:trPr>
          <w:trHeight w:val="54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960" w:type="dxa"/>
            <w:vAlign w:val="bottom"/>
          </w:tcPr>
          <w:p>
            <w:pPr>
              <w:jc w:val="center"/>
              <w:ind w:left="4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54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90"/>
              </w:rPr>
              <w:t>Common Stock, par value $1.00</w:t>
            </w:r>
          </w:p>
        </w:tc>
        <w:tc>
          <w:tcPr>
            <w:tcW w:w="5960" w:type="dxa"/>
            <w:vAlign w:val="bottom"/>
          </w:tcPr>
          <w:p>
            <w:pPr>
              <w:jc w:val="center"/>
              <w:ind w:left="410"/>
              <w:spacing w:after="0"/>
              <w:rPr>
                <w:sz w:val="20"/>
                <w:szCs w:val="20"/>
                <w:color w:val="auto"/>
              </w:rPr>
            </w:pPr>
            <w:r>
              <w:rPr>
                <w:rFonts w:ascii="Arial" w:cs="Arial" w:eastAsia="Arial" w:hAnsi="Arial"/>
                <w:sz w:val="18"/>
                <w:szCs w:val="18"/>
                <w:color w:val="auto"/>
                <w:w w:val="93"/>
              </w:rPr>
              <w:t>The NASDAQ Global Select Market</w:t>
            </w:r>
          </w:p>
        </w:tc>
      </w:tr>
    </w:tbl>
    <w:p>
      <w:pPr>
        <w:spacing w:after="0" w:line="200" w:lineRule="exact"/>
        <w:rPr>
          <w:sz w:val="24"/>
          <w:szCs w:val="24"/>
          <w:color w:val="auto"/>
        </w:rPr>
      </w:pPr>
    </w:p>
    <w:p>
      <w:pPr>
        <w:spacing w:after="0" w:line="254"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Insert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 w:name="page2"/>
    <w:bookmarkEnd w:id="1"/>
    <w:p>
      <w:pPr>
        <w:jc w:val="both"/>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476" w:right="279" w:bottom="1440" w:gutter="0" w:footer="0" w:header="0"/>
        </w:sectPr>
      </w:pPr>
    </w:p>
    <w:p>
      <w:pPr>
        <w:spacing w:after="0" w:line="3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4760" w:space="720"/>
            <w:col w:w="5900"/>
          </w:cols>
          <w:pgMar w:left="240" w:top="476" w:right="279" w:bottom="1440" w:gutter="0" w:footer="0" w:header="0"/>
          <w:type w:val="continuous"/>
        </w:sectPr>
      </w:pPr>
    </w:p>
    <w:p>
      <w:pPr>
        <w:spacing w:after="0" w:line="124" w:lineRule="exact"/>
        <w:rPr>
          <w:sz w:val="20"/>
          <w:szCs w:val="20"/>
          <w:color w:val="auto"/>
        </w:rPr>
      </w:pPr>
    </w:p>
    <w:p>
      <w:pPr>
        <w:ind w:left="6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760" w:space="720"/>
            <w:col w:w="5900"/>
          </w:cols>
          <w:pgMar w:left="240" w:top="476" w:right="2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$31,629,212,979 as of June 29, 2012.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1,104,787,389 (Number of shares of common stock outstanding as of January 31, 2013)</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Parts I, II and IV hereof incorporate information by reference to the Registrant's 2012 annual report to stockholders. Part III hereof incorporates information by reference to the Registrant's proxy statement for the 2013 annual meeting of stockholders.</w:t>
      </w:r>
    </w:p>
    <w:p>
      <w:pPr>
        <w:sectPr>
          <w:pgSz w:w="11900" w:h="16838" w:orient="portrait"/>
          <w:cols w:equalWidth="0" w:num="1">
            <w:col w:w="11380"/>
          </w:cols>
          <w:pgMar w:left="240" w:top="476" w:right="27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2012 as measured by revenue, according to preliminary estimates from an external source.</w:t>
      </w:r>
    </w:p>
    <w:p>
      <w:pPr>
        <w:spacing w:after="0" w:line="24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Financial information with respect to our segments and our operations outside the United States is contained in the note to the financial statements captioned “Segment and geographic area data” in TI's 2012 annual report to stockholders. It is incorporated herein by reference to such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Analog</w:t>
      </w:r>
    </w:p>
    <w:p>
      <w:pPr>
        <w:spacing w:after="0" w:line="229"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left="340" w:right="88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jc w:val="both"/>
        <w:ind w:left="340" w:right="420"/>
        <w:spacing w:after="0" w:line="312" w:lineRule="auto"/>
        <w:rPr>
          <w:sz w:val="20"/>
          <w:szCs w:val="20"/>
          <w:color w:val="auto"/>
        </w:rPr>
      </w:pPr>
      <w:r>
        <w:rPr>
          <w:rFonts w:ascii="Arial" w:cs="Arial" w:eastAsia="Arial" w:hAnsi="Arial"/>
          <w:sz w:val="16"/>
          <w:szCs w:val="16"/>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47"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64" w:right="319" w:bottom="1440" w:gutter="0" w:footer="0" w:header="0"/>
        </w:sectPr>
      </w:pPr>
    </w:p>
    <w:bookmarkStart w:id="3" w:name="page4"/>
    <w:bookmarkEnd w:id="3"/>
    <w:p>
      <w:pPr>
        <w:ind w:right="160"/>
        <w:spacing w:after="0" w:line="308" w:lineRule="auto"/>
        <w:rPr>
          <w:sz w:val="20"/>
          <w:szCs w:val="20"/>
          <w:color w:val="auto"/>
        </w:rPr>
      </w:pPr>
      <w:r>
        <w:rPr>
          <w:rFonts w:ascii="Arial" w:cs="Arial" w:eastAsia="Arial" w:hAnsi="Arial"/>
          <w:sz w:val="17"/>
          <w:szCs w:val="17"/>
          <w:color w:val="auto"/>
        </w:rPr>
        <w:t>(battery-powered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SVA products: These consist of products that we acquired through our purchase of National Semiconductor Corporation (National) in 2011. These include power management, data converter, interface and operational amplifier catalog analog products, nearly all of which are complementary to our other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2012. According to external sources, the worldwide market for embedded processors was about $17 billion in 2012. Our Embedded Processing segment's revenue in 2012 was about $2.0 billion. This was the number two position and represented about 12 percent of this fragmented market. We believe we are well positioned to increase our market share over time.</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application-specific Embedded Processing products used in communications infrastructure equipment and automotive applications.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jc w:val="both"/>
        <w:ind w:right="140"/>
        <w:spacing w:after="0" w:line="268" w:lineRule="auto"/>
        <w:rPr>
          <w:sz w:val="20"/>
          <w:szCs w:val="20"/>
          <w:color w:val="auto"/>
        </w:rPr>
      </w:pPr>
      <w:r>
        <w:rPr>
          <w:rFonts w:ascii="Arial" w:cs="Arial" w:eastAsia="Arial" w:hAnsi="Arial"/>
          <w:sz w:val="16"/>
          <w:szCs w:val="16"/>
          <w:color w:val="auto"/>
        </w:rPr>
        <w:t>During 2012, our Wireless products consisted of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connectivity products and baseband products. We concentrated our Wireless investments on OMAP applications processors and connectivity products for the smartphone and consumer tablet markets. Sales of Wireless products generated about $1.4 billion, or about 11 percent, of our revenue for 2012, of which OMAP and connectivity products represented about $1.1 billion. We had $0.3 billion in revenue from baseband products, a product line that we have previously announced we are exiting.</w:t>
      </w:r>
    </w:p>
    <w:p>
      <w:pPr>
        <w:spacing w:after="0" w:line="1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November 2012, we announced that we would restructure our Wireless business to focus investments on embedded markets with greater potential for sustainable growth. Specifically, we now focus our OMAP applications processors and connectivity products on embedded applications with long life cycles instead of on the smartphone and consumer tablet markets, where large customers are increasingly developing their own custom chips. These changes will result in lower resource and investment demands and, as we have previously announced, elimination of the Wireless segment.</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Embedded OMAP applications processors, which often use a standard operating system such as Android, Linux, QNX or Windows, are used in applications that are multi-function, need a graphically intensive user interface and often are connected to the Internet. Embedded connectivity products include low-power wireless network standards like Zigbee</w:t>
      </w:r>
      <w:r>
        <w:rPr>
          <w:rFonts w:ascii="Arial" w:cs="Arial" w:eastAsia="Arial" w:hAnsi="Arial"/>
          <w:sz w:val="24"/>
          <w:szCs w:val="24"/>
          <w:color w:val="auto"/>
          <w:vertAlign w:val="superscript"/>
        </w:rPr>
        <w:t>®</w:t>
      </w:r>
      <w:r>
        <w:rPr>
          <w:rFonts w:ascii="Arial" w:cs="Arial" w:eastAsia="Arial" w:hAnsi="Arial"/>
          <w:sz w:val="17"/>
          <w:szCs w:val="17"/>
          <w:color w:val="auto"/>
        </w:rPr>
        <w:t>, and other technologies such as Bluetooth</w:t>
      </w:r>
      <w:r>
        <w:rPr>
          <w:rFonts w:ascii="Arial" w:cs="Arial" w:eastAsia="Arial" w:hAnsi="Arial"/>
          <w:sz w:val="24"/>
          <w:szCs w:val="24"/>
          <w:color w:val="auto"/>
          <w:vertAlign w:val="superscript"/>
        </w:rPr>
        <w:t>®</w:t>
      </w:r>
      <w:r>
        <w:rPr>
          <w:rFonts w:ascii="Arial" w:cs="Arial" w:eastAsia="Arial" w:hAnsi="Arial"/>
          <w:sz w:val="17"/>
          <w:szCs w:val="17"/>
          <w:color w:val="auto"/>
        </w:rPr>
        <w:t>, WiFi, GPS and Near Field Communications. Both of these product lines have many of the same characteristics as those in our Embedded Processing segment and will be reported in that segment beginning with our first-quarter 2013 financial report. In 2012, sales of these products were about $150 million.</w:t>
      </w:r>
    </w:p>
    <w:p>
      <w:pPr>
        <w:spacing w:after="0" w:line="19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expect our revenue from OMAP and connectivity products sold into smartphone and consumer tablet applications to decline rapidly in 2013 and to substantially cease by the end of the year. We also expect baseband revenue to be essentially zero in 2013. Beginning with our first-quarter 2013 financial report, financial results for Wireless products for the smartphone and consumer tablet markets will be included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580" w:top="368" w:right="27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340"/>
        <w:spacing w:after="0" w:line="256" w:lineRule="auto"/>
        <w:rPr>
          <w:sz w:val="20"/>
          <w:szCs w:val="20"/>
          <w:color w:val="auto"/>
        </w:rPr>
      </w:pPr>
      <w:r>
        <w:rPr>
          <w:rFonts w:ascii="Arial" w:cs="Arial" w:eastAsia="Arial" w:hAnsi="Arial"/>
          <w:sz w:val="17"/>
          <w:szCs w:val="17"/>
          <w:color w:val="auto"/>
        </w:rPr>
        <w:t>Other includes revenue from our smaller product lines, such as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(primarily used in projectors to create high-definition images), custom semiconductors known as application-specific integrated circuits (ASICs) and calculators. It also includes royalties received for our patented technology that we license to other electronics companies and revenue from transitional supply agreements related to acquisitions and divestitures. Other generated about $2.5 billion, or about 19 percent of our revenue, in 2012. We also include in Other certain acquisition-related charges that are not used in evaluating results of and allocating resources to our Analog, Embedded Processing and Wireless segments. These charges include certain fair-value adjustments, restructuring charges, transaction expenses, acquisition-related retention bonuses and amortization of intangible assets. Other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lists the major end markets that used our products in 2012 and the approximate percentage of our 2012 product revenue that the market represented. The chart also lists the most frequent applications and our products used within these key markets.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End Market</w:t>
            </w:r>
          </w:p>
        </w:tc>
        <w:tc>
          <w:tcPr>
            <w:tcW w:w="6960" w:type="dxa"/>
            <w:vAlign w:val="bottom"/>
          </w:tcPr>
          <w:p>
            <w:pPr>
              <w:ind w:left="560"/>
              <w:spacing w:after="0"/>
              <w:rPr>
                <w:sz w:val="20"/>
                <w:szCs w:val="20"/>
                <w:color w:val="auto"/>
              </w:rPr>
            </w:pPr>
            <w:r>
              <w:rPr>
                <w:rFonts w:ascii="Arial" w:cs="Arial" w:eastAsia="Arial" w:hAnsi="Arial"/>
                <w:sz w:val="18"/>
                <w:szCs w:val="18"/>
                <w:b w:val="1"/>
                <w:bCs w:val="1"/>
                <w:color w:val="auto"/>
              </w:rPr>
              <w:t>Applications</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TI Products</w:t>
            </w:r>
          </w:p>
        </w:tc>
      </w:tr>
      <w:tr>
        <w:trPr>
          <w:trHeight w:val="27"/>
        </w:trPr>
        <w:tc>
          <w:tcPr>
            <w:tcW w:w="2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Communications</w:t>
            </w:r>
          </w:p>
        </w:tc>
        <w:tc>
          <w:tcPr>
            <w:tcW w:w="6960" w:type="dxa"/>
            <w:vAlign w:val="bottom"/>
          </w:tcPr>
          <w:p>
            <w:pPr>
              <w:ind w:left="520"/>
              <w:spacing w:after="0"/>
              <w:rPr>
                <w:sz w:val="20"/>
                <w:szCs w:val="20"/>
                <w:color w:val="auto"/>
              </w:rPr>
            </w:pPr>
            <w:r>
              <w:rPr>
                <w:rFonts w:ascii="Arial" w:cs="Arial" w:eastAsia="Arial" w:hAnsi="Arial"/>
                <w:sz w:val="18"/>
                <w:szCs w:val="18"/>
                <w:color w:val="auto"/>
              </w:rPr>
              <w:t>Phones and infrastructure equipment</w:t>
            </w:r>
          </w:p>
        </w:tc>
        <w:tc>
          <w:tcPr>
            <w:tcW w:w="2100" w:type="dxa"/>
            <w:vAlign w:val="bottom"/>
          </w:tcPr>
          <w:p>
            <w:pPr>
              <w:ind w:left="100"/>
              <w:spacing w:after="0"/>
              <w:rPr>
                <w:sz w:val="20"/>
                <w:szCs w:val="20"/>
                <w:color w:val="auto"/>
              </w:rPr>
            </w:pPr>
            <w:r>
              <w:rPr>
                <w:rFonts w:ascii="Arial" w:cs="Arial" w:eastAsia="Arial" w:hAnsi="Arial"/>
                <w:sz w:val="18"/>
                <w:szCs w:val="18"/>
                <w:color w:val="auto"/>
              </w:rPr>
              <w:t>Analog, Embedded</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(31% of product</w:t>
            </w:r>
          </w:p>
        </w:tc>
        <w:tc>
          <w:tcPr>
            <w:tcW w:w="6960" w:type="dxa"/>
            <w:vAlign w:val="bottom"/>
          </w:tcPr>
          <w:p>
            <w:pPr>
              <w:ind w:left="520"/>
              <w:spacing w:after="0"/>
              <w:rPr>
                <w:sz w:val="20"/>
                <w:szCs w:val="20"/>
                <w:color w:val="auto"/>
              </w:rPr>
            </w:pPr>
            <w:r>
              <w:rPr>
                <w:rFonts w:ascii="Arial" w:cs="Arial" w:eastAsia="Arial" w:hAnsi="Arial"/>
                <w:sz w:val="18"/>
                <w:szCs w:val="18"/>
                <w:color w:val="auto"/>
                <w:w w:val="99"/>
              </w:rPr>
              <w:t>Mobile connectivity solutions (including wireless LAN, global positioning systems,</w:t>
            </w:r>
          </w:p>
        </w:tc>
        <w:tc>
          <w:tcPr>
            <w:tcW w:w="2100" w:type="dxa"/>
            <w:vAlign w:val="bottom"/>
          </w:tcPr>
          <w:p>
            <w:pPr>
              <w:ind w:left="100"/>
              <w:spacing w:after="0"/>
              <w:rPr>
                <w:sz w:val="20"/>
                <w:szCs w:val="20"/>
                <w:color w:val="auto"/>
              </w:rPr>
            </w:pPr>
            <w:r>
              <w:rPr>
                <w:rFonts w:ascii="Arial" w:cs="Arial" w:eastAsia="Arial" w:hAnsi="Arial"/>
                <w:sz w:val="18"/>
                <w:szCs w:val="18"/>
                <w:color w:val="auto"/>
              </w:rPr>
              <w:t>Processing, Wireless,</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ind w:left="520"/>
              <w:spacing w:after="0" w:line="216" w:lineRule="exact"/>
              <w:rPr>
                <w:sz w:val="20"/>
                <w:szCs w:val="20"/>
                <w:color w:val="auto"/>
              </w:rPr>
            </w:pPr>
            <w:r>
              <w:rPr>
                <w:rFonts w:ascii="Arial" w:cs="Arial" w:eastAsia="Arial" w:hAnsi="Arial"/>
                <w:sz w:val="18"/>
                <w:szCs w:val="18"/>
                <w:color w:val="auto"/>
              </w:rPr>
              <w:t>Bluetooth</w:t>
            </w:r>
            <w:r>
              <w:rPr>
                <w:rFonts w:ascii="Arial" w:cs="Arial" w:eastAsia="Arial" w:hAnsi="Arial"/>
                <w:sz w:val="25"/>
                <w:szCs w:val="25"/>
                <w:color w:val="auto"/>
                <w:vertAlign w:val="superscript"/>
              </w:rPr>
              <w:t>®</w:t>
            </w:r>
            <w:r>
              <w:rPr>
                <w:rFonts w:ascii="Arial" w:cs="Arial" w:eastAsia="Arial" w:hAnsi="Arial"/>
                <w:sz w:val="18"/>
                <w:szCs w:val="18"/>
                <w:color w:val="auto"/>
              </w:rPr>
              <w:t>, NFC)</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30"/>
        </w:trPr>
        <w:tc>
          <w:tcPr>
            <w:tcW w:w="22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Video conferencing</w:t>
            </w:r>
          </w:p>
        </w:tc>
        <w:tc>
          <w:tcPr>
            <w:tcW w:w="2100" w:type="dxa"/>
            <w:vAlign w:val="bottom"/>
          </w:tcPr>
          <w:p>
            <w:pPr>
              <w:spacing w:after="0"/>
              <w:rPr>
                <w:sz w:val="20"/>
                <w:szCs w:val="20"/>
                <w:color w:val="auto"/>
              </w:rPr>
            </w:pPr>
          </w:p>
        </w:tc>
      </w:tr>
      <w:tr>
        <w:trPr>
          <w:trHeight w:val="256"/>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Computing</w:t>
            </w:r>
          </w:p>
        </w:tc>
        <w:tc>
          <w:tcPr>
            <w:tcW w:w="6960" w:type="dxa"/>
            <w:vAlign w:val="bottom"/>
          </w:tcPr>
          <w:p>
            <w:pPr>
              <w:ind w:left="520"/>
              <w:spacing w:after="0"/>
              <w:rPr>
                <w:sz w:val="20"/>
                <w:szCs w:val="20"/>
                <w:color w:val="auto"/>
              </w:rPr>
            </w:pPr>
            <w:r>
              <w:rPr>
                <w:rFonts w:ascii="Arial" w:cs="Arial" w:eastAsia="Arial" w:hAnsi="Arial"/>
                <w:sz w:val="18"/>
                <w:szCs w:val="18"/>
                <w:color w:val="auto"/>
              </w:rPr>
              <w:t>Printers</w:t>
            </w:r>
          </w:p>
        </w:tc>
        <w:tc>
          <w:tcPr>
            <w:tcW w:w="2100" w:type="dxa"/>
            <w:vAlign w:val="bottom"/>
          </w:tcPr>
          <w:p>
            <w:pPr>
              <w:ind w:left="100"/>
              <w:spacing w:after="0"/>
              <w:rPr>
                <w:sz w:val="20"/>
                <w:szCs w:val="20"/>
                <w:color w:val="auto"/>
              </w:rPr>
            </w:pPr>
            <w:r>
              <w:rPr>
                <w:rFonts w:ascii="Arial" w:cs="Arial" w:eastAsia="Arial" w:hAnsi="Arial"/>
                <w:sz w:val="18"/>
                <w:szCs w:val="18"/>
                <w:color w:val="auto"/>
              </w:rPr>
              <w:t>Analog, Embedded</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(25% of product</w:t>
            </w:r>
          </w:p>
        </w:tc>
        <w:tc>
          <w:tcPr>
            <w:tcW w:w="6960" w:type="dxa"/>
            <w:vAlign w:val="bottom"/>
          </w:tcPr>
          <w:p>
            <w:pPr>
              <w:ind w:left="520"/>
              <w:spacing w:after="0"/>
              <w:rPr>
                <w:sz w:val="20"/>
                <w:szCs w:val="20"/>
                <w:color w:val="auto"/>
              </w:rPr>
            </w:pPr>
            <w:r>
              <w:rPr>
                <w:rFonts w:ascii="Arial" w:cs="Arial" w:eastAsia="Arial" w:hAnsi="Arial"/>
                <w:sz w:val="18"/>
                <w:szCs w:val="18"/>
                <w:color w:val="auto"/>
              </w:rPr>
              <w:t>Hard disk drives</w:t>
            </w:r>
          </w:p>
        </w:tc>
        <w:tc>
          <w:tcPr>
            <w:tcW w:w="2100" w:type="dxa"/>
            <w:vAlign w:val="bottom"/>
          </w:tcPr>
          <w:p>
            <w:pPr>
              <w:ind w:left="100"/>
              <w:spacing w:after="0"/>
              <w:rPr>
                <w:sz w:val="20"/>
                <w:szCs w:val="20"/>
                <w:color w:val="auto"/>
              </w:rPr>
            </w:pPr>
            <w:r>
              <w:rPr>
                <w:rFonts w:ascii="Arial" w:cs="Arial" w:eastAsia="Arial" w:hAnsi="Arial"/>
                <w:sz w:val="18"/>
                <w:szCs w:val="18"/>
                <w:color w:val="auto"/>
              </w:rPr>
              <w:t>Processing, Wireless,</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ind w:left="520"/>
              <w:spacing w:after="0"/>
              <w:rPr>
                <w:sz w:val="20"/>
                <w:szCs w:val="20"/>
                <w:color w:val="auto"/>
              </w:rPr>
            </w:pPr>
            <w:r>
              <w:rPr>
                <w:rFonts w:ascii="Arial" w:cs="Arial" w:eastAsia="Arial" w:hAnsi="Arial"/>
                <w:sz w:val="18"/>
                <w:szCs w:val="18"/>
                <w:color w:val="auto"/>
              </w:rPr>
              <w:t>Monitors and projectors</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Notebooks, netbooks, desktop computers and servers</w:t>
            </w:r>
          </w:p>
        </w:tc>
        <w:tc>
          <w:tcPr>
            <w:tcW w:w="21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6960" w:type="dxa"/>
            <w:vAlign w:val="bottom"/>
          </w:tcPr>
          <w:p>
            <w:pPr>
              <w:ind w:left="560"/>
              <w:spacing w:after="0"/>
              <w:rPr>
                <w:sz w:val="20"/>
                <w:szCs w:val="20"/>
                <w:color w:val="auto"/>
              </w:rPr>
            </w:pPr>
            <w:r>
              <w:rPr>
                <w:rFonts w:ascii="Arial" w:cs="Arial" w:eastAsia="Arial" w:hAnsi="Arial"/>
                <w:sz w:val="18"/>
                <w:szCs w:val="18"/>
                <w:color w:val="auto"/>
              </w:rPr>
              <w:t>Tablets</w:t>
            </w:r>
          </w:p>
        </w:tc>
        <w:tc>
          <w:tcPr>
            <w:tcW w:w="2100" w:type="dxa"/>
            <w:vAlign w:val="bottom"/>
          </w:tcPr>
          <w:p>
            <w:pPr>
              <w:spacing w:after="0"/>
              <w:rPr>
                <w:sz w:val="20"/>
                <w:szCs w:val="20"/>
                <w:color w:val="auto"/>
              </w:rPr>
            </w:pPr>
          </w:p>
        </w:tc>
      </w:tr>
      <w:tr>
        <w:trPr>
          <w:trHeight w:val="256"/>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Industrial</w:t>
            </w:r>
          </w:p>
        </w:tc>
        <w:tc>
          <w:tcPr>
            <w:tcW w:w="6960" w:type="dxa"/>
            <w:vAlign w:val="bottom"/>
          </w:tcPr>
          <w:p>
            <w:pPr>
              <w:ind w:left="520"/>
              <w:spacing w:after="0"/>
              <w:rPr>
                <w:sz w:val="20"/>
                <w:szCs w:val="20"/>
                <w:color w:val="auto"/>
              </w:rPr>
            </w:pPr>
            <w:r>
              <w:rPr>
                <w:rFonts w:ascii="Arial" w:cs="Arial" w:eastAsia="Arial" w:hAnsi="Arial"/>
                <w:sz w:val="18"/>
                <w:szCs w:val="18"/>
                <w:color w:val="auto"/>
              </w:rPr>
              <w:t>Digital power controls:</w:t>
            </w:r>
          </w:p>
        </w:tc>
        <w:tc>
          <w:tcPr>
            <w:tcW w:w="2100" w:type="dxa"/>
            <w:vAlign w:val="bottom"/>
          </w:tcPr>
          <w:p>
            <w:pPr>
              <w:ind w:left="100"/>
              <w:spacing w:after="0"/>
              <w:rPr>
                <w:sz w:val="20"/>
                <w:szCs w:val="20"/>
                <w:color w:val="auto"/>
              </w:rPr>
            </w:pPr>
            <w:r>
              <w:rPr>
                <w:rFonts w:ascii="Arial" w:cs="Arial" w:eastAsia="Arial" w:hAnsi="Arial"/>
                <w:sz w:val="18"/>
                <w:szCs w:val="18"/>
                <w:color w:val="auto"/>
              </w:rPr>
              <w:t>Analog, Embedded</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(17% of product</w:t>
            </w:r>
          </w:p>
        </w:tc>
        <w:tc>
          <w:tcPr>
            <w:tcW w:w="6960" w:type="dxa"/>
            <w:vAlign w:val="bottom"/>
          </w:tcPr>
          <w:p>
            <w:pPr>
              <w:ind w:left="520"/>
              <w:spacing w:after="0"/>
              <w:rPr>
                <w:sz w:val="20"/>
                <w:szCs w:val="20"/>
                <w:color w:val="auto"/>
              </w:rPr>
            </w:pPr>
            <w:r>
              <w:rPr>
                <w:rFonts w:ascii="Arial" w:cs="Arial" w:eastAsia="Arial" w:hAnsi="Arial"/>
                <w:sz w:val="18"/>
                <w:szCs w:val="18"/>
                <w:color w:val="auto"/>
              </w:rPr>
              <w:t>Switch mode power supplies</w:t>
            </w:r>
          </w:p>
        </w:tc>
        <w:tc>
          <w:tcPr>
            <w:tcW w:w="2100" w:type="dxa"/>
            <w:vAlign w:val="bottom"/>
          </w:tcPr>
          <w:p>
            <w:pPr>
              <w:ind w:left="100"/>
              <w:spacing w:after="0"/>
              <w:rPr>
                <w:sz w:val="20"/>
                <w:szCs w:val="20"/>
                <w:color w:val="auto"/>
              </w:rPr>
            </w:pPr>
            <w:r>
              <w:rPr>
                <w:rFonts w:ascii="Arial" w:cs="Arial" w:eastAsia="Arial" w:hAnsi="Arial"/>
                <w:sz w:val="18"/>
                <w:szCs w:val="18"/>
                <w:color w:val="auto"/>
              </w:rPr>
              <w:t>Processing, Wireless,</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ind w:left="520"/>
              <w:spacing w:after="0"/>
              <w:rPr>
                <w:sz w:val="20"/>
                <w:szCs w:val="20"/>
                <w:color w:val="auto"/>
              </w:rPr>
            </w:pPr>
            <w:r>
              <w:rPr>
                <w:rFonts w:ascii="Arial" w:cs="Arial" w:eastAsia="Arial" w:hAnsi="Arial"/>
                <w:sz w:val="18"/>
                <w:szCs w:val="18"/>
                <w:color w:val="auto"/>
              </w:rPr>
              <w:t>Uninterruptible power supplies</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Motor controls: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Heating/ventilation/air conditioning</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Industrial control motor drives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Power tools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Copiers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Security:</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w w:val="93"/>
              </w:rPr>
              <w:t>Biometrics (fingerprint identification and authentication) Intelligent sensing (smoke and</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glass-breakage detection) Video analytics (surveillance)</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980"/>
              <w:spacing w:after="0"/>
              <w:rPr>
                <w:sz w:val="20"/>
                <w:szCs w:val="20"/>
                <w:color w:val="auto"/>
              </w:rPr>
            </w:pPr>
            <w:r>
              <w:rPr>
                <w:rFonts w:ascii="Arial" w:cs="Arial" w:eastAsia="Arial" w:hAnsi="Arial"/>
                <w:sz w:val="18"/>
                <w:szCs w:val="18"/>
                <w:color w:val="auto"/>
              </w:rPr>
              <w:t>Smart metering</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980"/>
              <w:spacing w:after="0"/>
              <w:rPr>
                <w:sz w:val="20"/>
                <w:szCs w:val="20"/>
                <w:color w:val="auto"/>
              </w:rPr>
            </w:pPr>
            <w:r>
              <w:rPr>
                <w:rFonts w:ascii="Arial" w:cs="Arial" w:eastAsia="Arial" w:hAnsi="Arial"/>
                <w:sz w:val="18"/>
                <w:szCs w:val="18"/>
                <w:color w:val="auto"/>
              </w:rPr>
              <w:t>Test and measurement</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Point of service/portable data terminals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Medical diagnostic and monitoring equipment</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980"/>
              <w:spacing w:after="0"/>
              <w:rPr>
                <w:sz w:val="20"/>
                <w:szCs w:val="20"/>
                <w:color w:val="auto"/>
              </w:rPr>
            </w:pPr>
            <w:r>
              <w:rPr>
                <w:rFonts w:ascii="Arial" w:cs="Arial" w:eastAsia="Arial" w:hAnsi="Arial"/>
                <w:sz w:val="18"/>
                <w:szCs w:val="18"/>
                <w:color w:val="auto"/>
              </w:rPr>
              <w:t>LED lighting</w:t>
            </w:r>
          </w:p>
        </w:tc>
        <w:tc>
          <w:tcPr>
            <w:tcW w:w="21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Factory automation</w:t>
            </w:r>
          </w:p>
        </w:tc>
        <w:tc>
          <w:tcPr>
            <w:tcW w:w="2100" w:type="dxa"/>
            <w:vAlign w:val="bottom"/>
          </w:tcPr>
          <w:p>
            <w:pPr>
              <w:spacing w:after="0"/>
              <w:rPr>
                <w:sz w:val="20"/>
                <w:szCs w:val="20"/>
                <w:color w:val="auto"/>
              </w:rPr>
            </w:pPr>
          </w:p>
        </w:tc>
      </w:tr>
      <w:tr>
        <w:trPr>
          <w:trHeight w:val="256"/>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Consumer Electronics</w:t>
            </w:r>
          </w:p>
        </w:tc>
        <w:tc>
          <w:tcPr>
            <w:tcW w:w="6960" w:type="dxa"/>
            <w:vAlign w:val="bottom"/>
          </w:tcPr>
          <w:p>
            <w:pPr>
              <w:ind w:left="520"/>
              <w:spacing w:after="0"/>
              <w:rPr>
                <w:sz w:val="20"/>
                <w:szCs w:val="20"/>
                <w:color w:val="auto"/>
              </w:rPr>
            </w:pPr>
            <w:r>
              <w:rPr>
                <w:rFonts w:ascii="Arial" w:cs="Arial" w:eastAsia="Arial" w:hAnsi="Arial"/>
                <w:sz w:val="18"/>
                <w:szCs w:val="18"/>
                <w:color w:val="auto"/>
              </w:rPr>
              <w:t>Digital cameras</w:t>
            </w:r>
          </w:p>
        </w:tc>
        <w:tc>
          <w:tcPr>
            <w:tcW w:w="2100" w:type="dxa"/>
            <w:vAlign w:val="bottom"/>
          </w:tcPr>
          <w:p>
            <w:pPr>
              <w:ind w:left="100"/>
              <w:spacing w:after="0"/>
              <w:rPr>
                <w:sz w:val="20"/>
                <w:szCs w:val="20"/>
                <w:color w:val="auto"/>
              </w:rPr>
            </w:pPr>
            <w:r>
              <w:rPr>
                <w:rFonts w:ascii="Arial" w:cs="Arial" w:eastAsia="Arial" w:hAnsi="Arial"/>
                <w:sz w:val="18"/>
                <w:szCs w:val="18"/>
                <w:color w:val="auto"/>
              </w:rPr>
              <w:t>Analog, Embedded</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(13% of product</w:t>
            </w:r>
          </w:p>
        </w:tc>
        <w:tc>
          <w:tcPr>
            <w:tcW w:w="6960" w:type="dxa"/>
            <w:vAlign w:val="bottom"/>
          </w:tcPr>
          <w:p>
            <w:pPr>
              <w:ind w:left="520"/>
              <w:spacing w:after="0"/>
              <w:rPr>
                <w:sz w:val="20"/>
                <w:szCs w:val="20"/>
                <w:color w:val="auto"/>
              </w:rPr>
            </w:pPr>
            <w:r>
              <w:rPr>
                <w:rFonts w:ascii="Arial" w:cs="Arial" w:eastAsia="Arial" w:hAnsi="Arial"/>
                <w:sz w:val="18"/>
                <w:szCs w:val="18"/>
                <w:color w:val="auto"/>
              </w:rPr>
              <w:t>Gaming</w:t>
            </w:r>
          </w:p>
        </w:tc>
        <w:tc>
          <w:tcPr>
            <w:tcW w:w="2100" w:type="dxa"/>
            <w:vAlign w:val="bottom"/>
          </w:tcPr>
          <w:p>
            <w:pPr>
              <w:ind w:left="100"/>
              <w:spacing w:after="0"/>
              <w:rPr>
                <w:sz w:val="20"/>
                <w:szCs w:val="20"/>
                <w:color w:val="auto"/>
              </w:rPr>
            </w:pPr>
            <w:r>
              <w:rPr>
                <w:rFonts w:ascii="Arial" w:cs="Arial" w:eastAsia="Arial" w:hAnsi="Arial"/>
                <w:sz w:val="18"/>
                <w:szCs w:val="18"/>
                <w:color w:val="auto"/>
              </w:rPr>
              <w:t>Processing, Wireless,</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ind w:left="520"/>
              <w:spacing w:after="0"/>
              <w:rPr>
                <w:sz w:val="20"/>
                <w:szCs w:val="20"/>
                <w:color w:val="auto"/>
              </w:rPr>
            </w:pPr>
            <w:r>
              <w:rPr>
                <w:rFonts w:ascii="Arial" w:cs="Arial" w:eastAsia="Arial" w:hAnsi="Arial"/>
                <w:sz w:val="18"/>
                <w:szCs w:val="18"/>
                <w:color w:val="auto"/>
              </w:rPr>
              <w:t>Home and portable audio/visual equipment</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Home appliances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Personal navigation devices</w:t>
            </w:r>
          </w:p>
        </w:tc>
        <w:tc>
          <w:tcPr>
            <w:tcW w:w="2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eBook readers</w:t>
            </w:r>
          </w:p>
        </w:tc>
        <w:tc>
          <w:tcPr>
            <w:tcW w:w="21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Pico projectors</w:t>
            </w:r>
          </w:p>
        </w:tc>
        <w:tc>
          <w:tcPr>
            <w:tcW w:w="2100" w:type="dxa"/>
            <w:vAlign w:val="bottom"/>
          </w:tcPr>
          <w:p>
            <w:pPr>
              <w:spacing w:after="0"/>
              <w:rPr>
                <w:sz w:val="20"/>
                <w:szCs w:val="20"/>
                <w:color w:val="auto"/>
              </w:rPr>
            </w:pPr>
          </w:p>
        </w:tc>
      </w:tr>
      <w:tr>
        <w:trPr>
          <w:trHeight w:val="256"/>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Automotive</w:t>
            </w:r>
          </w:p>
        </w:tc>
        <w:tc>
          <w:tcPr>
            <w:tcW w:w="6960" w:type="dxa"/>
            <w:vAlign w:val="bottom"/>
          </w:tcPr>
          <w:p>
            <w:pPr>
              <w:ind w:left="520"/>
              <w:spacing w:after="0"/>
              <w:rPr>
                <w:sz w:val="20"/>
                <w:szCs w:val="20"/>
                <w:color w:val="auto"/>
              </w:rPr>
            </w:pPr>
            <w:r>
              <w:rPr>
                <w:rFonts w:ascii="Arial" w:cs="Arial" w:eastAsia="Arial" w:hAnsi="Arial"/>
                <w:sz w:val="18"/>
                <w:szCs w:val="18"/>
                <w:color w:val="auto"/>
              </w:rPr>
              <w:t>Safety systems</w:t>
            </w:r>
          </w:p>
        </w:tc>
        <w:tc>
          <w:tcPr>
            <w:tcW w:w="2100" w:type="dxa"/>
            <w:vAlign w:val="bottom"/>
          </w:tcPr>
          <w:p>
            <w:pPr>
              <w:ind w:left="100"/>
              <w:spacing w:after="0"/>
              <w:rPr>
                <w:sz w:val="20"/>
                <w:szCs w:val="20"/>
                <w:color w:val="auto"/>
              </w:rPr>
            </w:pPr>
            <w:r>
              <w:rPr>
                <w:rFonts w:ascii="Arial" w:cs="Arial" w:eastAsia="Arial" w:hAnsi="Arial"/>
                <w:sz w:val="18"/>
                <w:szCs w:val="18"/>
                <w:color w:val="auto"/>
              </w:rPr>
              <w:t>Analog, Embedded</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(11% of product</w:t>
            </w:r>
          </w:p>
        </w:tc>
        <w:tc>
          <w:tcPr>
            <w:tcW w:w="6960" w:type="dxa"/>
            <w:vAlign w:val="bottom"/>
          </w:tcPr>
          <w:p>
            <w:pPr>
              <w:ind w:left="520"/>
              <w:spacing w:after="0"/>
              <w:rPr>
                <w:sz w:val="20"/>
                <w:szCs w:val="20"/>
                <w:color w:val="auto"/>
              </w:rPr>
            </w:pPr>
            <w:r>
              <w:rPr>
                <w:rFonts w:ascii="Arial" w:cs="Arial" w:eastAsia="Arial" w:hAnsi="Arial"/>
                <w:sz w:val="18"/>
                <w:szCs w:val="18"/>
                <w:color w:val="auto"/>
              </w:rPr>
              <w:t>Driver information/entertainment</w:t>
            </w:r>
          </w:p>
        </w:tc>
        <w:tc>
          <w:tcPr>
            <w:tcW w:w="2100" w:type="dxa"/>
            <w:vAlign w:val="bottom"/>
          </w:tcPr>
          <w:p>
            <w:pPr>
              <w:ind w:left="100"/>
              <w:spacing w:after="0"/>
              <w:rPr>
                <w:sz w:val="20"/>
                <w:szCs w:val="20"/>
                <w:color w:val="auto"/>
              </w:rPr>
            </w:pPr>
            <w:r>
              <w:rPr>
                <w:rFonts w:ascii="Arial" w:cs="Arial" w:eastAsia="Arial" w:hAnsi="Arial"/>
                <w:sz w:val="18"/>
                <w:szCs w:val="18"/>
                <w:color w:val="auto"/>
              </w:rPr>
              <w:t>Processing, Wireless,</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ind w:left="520"/>
              <w:spacing w:after="0"/>
              <w:rPr>
                <w:sz w:val="20"/>
                <w:szCs w:val="20"/>
                <w:color w:val="auto"/>
              </w:rPr>
            </w:pPr>
            <w:r>
              <w:rPr>
                <w:rFonts w:ascii="Arial" w:cs="Arial" w:eastAsia="Arial" w:hAnsi="Arial"/>
                <w:sz w:val="18"/>
                <w:szCs w:val="18"/>
                <w:color w:val="auto"/>
              </w:rPr>
              <w:t>Power train</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30"/>
        </w:trPr>
        <w:tc>
          <w:tcPr>
            <w:tcW w:w="22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Body systems</w:t>
            </w:r>
          </w:p>
        </w:tc>
        <w:tc>
          <w:tcPr>
            <w:tcW w:w="2100" w:type="dxa"/>
            <w:vAlign w:val="bottom"/>
          </w:tcPr>
          <w:p>
            <w:pPr>
              <w:spacing w:after="0"/>
              <w:rPr>
                <w:sz w:val="20"/>
                <w:szCs w:val="20"/>
                <w:color w:val="auto"/>
              </w:rPr>
            </w:pPr>
          </w:p>
        </w:tc>
      </w:tr>
      <w:tr>
        <w:trPr>
          <w:trHeight w:val="256"/>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Education</w:t>
            </w:r>
          </w:p>
        </w:tc>
        <w:tc>
          <w:tcPr>
            <w:tcW w:w="6960" w:type="dxa"/>
            <w:vAlign w:val="bottom"/>
          </w:tcPr>
          <w:p>
            <w:pPr>
              <w:ind w:left="520"/>
              <w:spacing w:after="0"/>
              <w:rPr>
                <w:sz w:val="20"/>
                <w:szCs w:val="20"/>
                <w:color w:val="auto"/>
              </w:rPr>
            </w:pPr>
            <w:r>
              <w:rPr>
                <w:rFonts w:ascii="Arial" w:cs="Arial" w:eastAsia="Arial" w:hAnsi="Arial"/>
                <w:sz w:val="18"/>
                <w:szCs w:val="18"/>
                <w:color w:val="auto"/>
              </w:rPr>
              <w:t>Handheld graphing and scientific calculators and peripheral hardware</w:t>
            </w:r>
          </w:p>
        </w:tc>
        <w:tc>
          <w:tcPr>
            <w:tcW w:w="210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(3% of product</w:t>
            </w:r>
          </w:p>
        </w:tc>
        <w:tc>
          <w:tcPr>
            <w:tcW w:w="6960" w:type="dxa"/>
            <w:vAlign w:val="bottom"/>
          </w:tcPr>
          <w:p>
            <w:pPr>
              <w:ind w:left="520"/>
              <w:spacing w:after="0"/>
              <w:rPr>
                <w:sz w:val="20"/>
                <w:szCs w:val="20"/>
                <w:color w:val="auto"/>
              </w:rPr>
            </w:pPr>
            <w:r>
              <w:rPr>
                <w:rFonts w:ascii="Arial" w:cs="Arial" w:eastAsia="Arial" w:hAnsi="Arial"/>
                <w:sz w:val="18"/>
                <w:szCs w:val="18"/>
                <w:color w:val="auto"/>
              </w:rPr>
              <w:t>Educational software</w:t>
            </w:r>
          </w:p>
        </w:tc>
        <w:tc>
          <w:tcPr>
            <w:tcW w:w="2100" w:type="dxa"/>
            <w:vAlign w:val="bottom"/>
          </w:tcPr>
          <w:p>
            <w:pPr>
              <w:spacing w:after="0"/>
              <w:rPr>
                <w:sz w:val="18"/>
                <w:szCs w:val="18"/>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revenue)</w:t>
            </w:r>
          </w:p>
        </w:tc>
        <w:tc>
          <w:tcPr>
            <w:tcW w:w="696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26" w:right="27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capacity. These are typically referred to as upturns and downturns in the semiconductor cycle. The semiconductor cycle is affected by the significant time and money required to build and maintain semiconductor manufacturing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and fourth quarters and stronger in the second and third quarters, as manufacturers prepare for the major holiday selling seasons. Calculator revenue is tied to the U.S. back-to-school season and is therefore at its highest in the second and third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each segment, we face significant global competition from numerous large and small companies, including both broad-based suppliers and niche suppliers. Our competitors also include emerging companies, particularly in Asia, that sell products into the same markets in which we operate. We believe that competitive performance in the semiconductor market generally depends on several factors, including the breadth of a company's product line, the strength and depth of the sales network, technological innovation, technical support, customer service, quality, reliability, price and scale.</w:t>
      </w:r>
    </w:p>
    <w:p>
      <w:pPr>
        <w:spacing w:after="0" w:line="171"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Our primary Analog competitors include Analog Devices, Inc.; Fairchild Semiconductor Corporation; Freescale Semiconductor, Inc.; Infineon Technologies AG; Intersil Corporation; Linear Technology Corporation; Maxim Integrated Products, Inc.; NXP Semiconductors N.V.; QUALCOMM Incorporated; Richtek Technology Corporation; and STMicroelectronics NV.</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and power characteristics. Primary competitors of our Embedded Processing segment include Atmel Corporation; Freescale Semiconductor, Inc.; Infineon Technologies AG; Microchip Technology, Inc.; NXP Semiconductors N.V.; Renesas Electronics Corporation; and STMicroelectronics NV.</w:t>
      </w:r>
    </w:p>
    <w:p>
      <w:pPr>
        <w:spacing w:after="0" w:line="15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primary competitive factors for our Wireless products are the ability to design and cost-effectively manufacture products, system-level knowledge about targeted end markets, software expertise, applications support and a product's performance and power characteristics. Primary Wireless competitors include Broadcom Corp.; CSR plc; Intel Corporation; Marvell Technology Group, Ltd.; NVIDIA Corporation; QUALCOMM Incorporated; and Samsung LSI.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Wireless products.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8" w:right="279" w:bottom="1440" w:gutter="0" w:footer="0" w:header="0"/>
        </w:sectPr>
      </w:pPr>
    </w:p>
    <w:bookmarkStart w:id="7" w:name="page8"/>
    <w:bookmarkEnd w:id="7"/>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In 2012, no single customer accounted for 10 percent or more of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34 countries worldwide and have expanded our sales networks in the emerging markets of China, India and Eastern Europe over the last few years. Distributors located around the world account for about 50 percent of our revenue. Our distributors maintain an inventory of our products and sell directly to a wide range of 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 In September 2011, we acquired National Semiconductor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$1.17 billion at December 31, 2012, and $1.39 billion at December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DLP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R&amp;D expense was $1.88 billion in 2012, compared with $1.72 billion in 2011 and $1.57 billion in 2010. Our primary areas of R&amp;D investment were Analog, Embedded Processing and Wireless products. As announced in November 2012, we are discontinuing future investments in Wireless OMAP processors and connectivity solutions for smartphones and consumer tablets.</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conduct most of our R&amp;D internally. However, we also closely engage with a wide range of third parties, including software suppliers, universities and select external industry consortia, and we collaborate with our foundry suppliers on semiconductor manufacturing technology.</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7120" w:type="dxa"/>
            <w:vAlign w:val="bottom"/>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color w:val="auto"/>
              </w:rPr>
              <w:t>Niels Anderskouv</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43</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Stephen A. Anderson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Brian T. Crutcher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40</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 Gregory Delagi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50</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David K. Heacock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Joseph F. Hubach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55</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Sami Kiriaki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Melendy E. Lovett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(President, Education Technology)</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P. March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55</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Robert K. Novak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47</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J. Ritchie</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56</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John J. Szczsponik, Jr.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Teresa L. West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Darla H. Whitaker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47</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486"/>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20" w:type="dxa"/>
            <w:vAlign w:val="bottom"/>
          </w:tcPr>
          <w:p>
            <w:pPr>
              <w:ind w:left="196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40"/>
          </w:cols>
          <w:pgMar w:left="240" w:top="368" w:right="319" w:bottom="1440" w:gutter="0" w:footer="0" w:header="0"/>
        </w:sectPr>
      </w:pPr>
    </w:p>
    <w:bookmarkStart w:id="9" w:name="page10"/>
    <w:bookmarkEnd w:id="9"/>
    <w:p>
      <w:pPr>
        <w:ind w:right="400"/>
        <w:spacing w:after="0" w:line="297"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All executive officers of the company have been employees of the company for more than five years. Mses. Lovett, West and Whitaker and Messrs. Delagi, Heacock, Hubach, March, Ritchie and Templeton have served as executive officers of the company for more than five years. Messrs. Anderson and Novak became executive officers of the company in 2008. Mr. Szczsponik became an executive officer of the company in 2009. Messrs. Crutcher and Kiriaki became executive officers of the company in 2010. Mr. Anderskouv became an executive officer of the company in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we had 34,151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300"/>
        <w:spacing w:after="0" w:line="342" w:lineRule="auto"/>
        <w:rPr>
          <w:sz w:val="20"/>
          <w:szCs w:val="20"/>
          <w:color w:val="auto"/>
        </w:rPr>
      </w:pPr>
      <w:r>
        <w:rPr>
          <w:rFonts w:ascii="Arial" w:cs="Arial" w:eastAsia="Arial" w:hAnsi="Arial"/>
          <w:sz w:val="16"/>
          <w:szCs w:val="16"/>
          <w:color w:val="auto"/>
        </w:rPr>
        <w:t>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93"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customer base includes companies in a wide range of end-user markets, but we generate a significant amount of revenue from sales to customers in the communications- and computer-related industries and from sales to industrial customers. Within these end-user markets,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Global Operations Subject Us to Risks Associated with Legal, Political, Economic or Other Changes.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facilities in more than 35 countries worldwide. About 90 percent of our revenue comes from shipments to locations outside the United States; in particular, shipments of products into China typically represent a large portion of our revenue. Operating internationally exposes us to changes in export controls and other laws or policies, as well as political and economic conditions, security risks, health conditions and possible disruptions in transportation, communications and information technology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have manufacturing, data and design facilities and other operations in locations subject to natural occurrences such as severe weather and geological events that could disrupt operations. In addition, our suppliers and customers have similar facilities and operations in such locations. A natural disaster that results in a prolonged disruption to our operations, or the operations of our customers or suppliers, may adversely affect our results and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processes and critical manufacturing equipment, and those of some of our customers and suppliers,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facilities in more than 35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2" w:name="page13"/>
    <w:bookmarkEnd w:id="12"/>
    <w:p>
      <w:pPr>
        <w:ind w:right="140"/>
        <w:spacing w:after="0" w:line="264" w:lineRule="auto"/>
        <w:rPr>
          <w:sz w:val="20"/>
          <w:szCs w:val="20"/>
          <w:color w:val="auto"/>
        </w:rPr>
      </w:pPr>
      <w:r>
        <w:rPr>
          <w:rFonts w:ascii="Arial" w:cs="Arial" w:eastAsia="Arial" w:hAnsi="Arial"/>
          <w:sz w:val="18"/>
          <w:szCs w:val="18"/>
          <w:color w:val="auto"/>
        </w:rPr>
        <w:t>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bank accounts, one or more multi-year revolving credit agreements, and a portfolio of investments to support the financing needs of the company. Our ability to fund our daily operations, invest in our business, make strategic acquisitions and service our debt obligations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65"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u w:val="single" w:color="auto"/>
          <w:color w:val="auto"/>
        </w:rPr>
        <w:t>Our Ability to Successfully Implement Business and Organizational Changes Could Affect Our Business Plans and Results of Operations.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of Our Information Technology Systems.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be subject to breaches of our information technology systems caused by computer viruses, unauthorized access, sabotage, vandalism or terrorism. Compromise of our information technology networks could result in unauthorized release of our, our customers' or our suppliers' confidential or proprietary information, cause a disruption to our manufacturing and other operations, or result in release of employee personal data, any of which could adversely affect our operating results and our reputation.</w:t>
      </w:r>
    </w:p>
    <w:p>
      <w:pPr>
        <w:spacing w:after="0" w:line="21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269"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580" w:type="dxa"/>
            <w:vAlign w:val="bottom"/>
            <w:gridSpan w:val="3"/>
            <w:vMerge w:val="restart"/>
          </w:tcPr>
          <w:p>
            <w:pPr>
              <w:jc w:val="center"/>
              <w:ind w:left="210"/>
              <w:spacing w:after="0"/>
              <w:rPr>
                <w:sz w:val="20"/>
                <w:szCs w:val="20"/>
                <w:color w:val="auto"/>
              </w:rPr>
            </w:pPr>
            <w:r>
              <w:rPr>
                <w:rFonts w:ascii="Arial" w:cs="Arial" w:eastAsia="Arial" w:hAnsi="Arial"/>
                <w:sz w:val="18"/>
                <w:szCs w:val="18"/>
                <w:b w:val="1"/>
                <w:bCs w:val="1"/>
                <w:color w:val="auto"/>
                <w:w w:val="91"/>
              </w:rPr>
              <w:t>Analog</w:t>
            </w: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Embedded</w:t>
            </w: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Wireless</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6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gridSpan w:val="2"/>
            <w:vMerge w:val="restart"/>
          </w:tcPr>
          <w:p>
            <w:pPr>
              <w:jc w:val="center"/>
              <w:ind w:right="700"/>
              <w:spacing w:after="0" w:line="196" w:lineRule="exact"/>
              <w:rPr>
                <w:sz w:val="20"/>
                <w:szCs w:val="20"/>
                <w:color w:val="auto"/>
              </w:rPr>
            </w:pPr>
            <w:r>
              <w:rPr>
                <w:rFonts w:ascii="Arial" w:cs="Arial" w:eastAsia="Arial" w:hAnsi="Arial"/>
                <w:sz w:val="18"/>
                <w:szCs w:val="18"/>
                <w:b w:val="1"/>
                <w:bCs w:val="1"/>
                <w:color w:val="auto"/>
                <w:w w:val="84"/>
              </w:rPr>
              <w:t>Processing</w:t>
            </w: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3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Dallas, Texas</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Sherman, Texas</w:t>
            </w:r>
          </w:p>
        </w:tc>
        <w:tc>
          <w:tcPr>
            <w:tcW w:w="66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Houston, Texas</w:t>
            </w:r>
            <w:r>
              <w:rPr>
                <w:rFonts w:ascii="Arial" w:cs="Arial" w:eastAsia="Arial" w:hAnsi="Arial"/>
                <w:sz w:val="25"/>
                <w:szCs w:val="25"/>
                <w:color w:val="auto"/>
                <w:vertAlign w:val="superscript"/>
              </w:rPr>
              <w:t>(3)</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Tucson, Arizona</w:t>
            </w:r>
            <w:r>
              <w:rPr>
                <w:rFonts w:ascii="Arial" w:cs="Arial" w:eastAsia="Arial" w:hAnsi="Arial"/>
                <w:sz w:val="25"/>
                <w:szCs w:val="25"/>
                <w:color w:val="auto"/>
                <w:vertAlign w:val="superscript"/>
              </w:rPr>
              <w:t>(1)</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Santa Clara, California</w:t>
            </w:r>
          </w:p>
        </w:tc>
        <w:tc>
          <w:tcPr>
            <w:tcW w:w="6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South Portland, Maine</w:t>
            </w:r>
          </w:p>
        </w:tc>
        <w:tc>
          <w:tcPr>
            <w:tcW w:w="66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Aguascalientes, Mexico</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Aizu, Japan</w:t>
            </w:r>
          </w:p>
        </w:tc>
        <w:tc>
          <w:tcPr>
            <w:tcW w:w="66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1"/>
                <w:szCs w:val="21"/>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Miho, Japan</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Hiji, Japan</w:t>
            </w:r>
            <w:r>
              <w:rPr>
                <w:rFonts w:ascii="Arial" w:cs="Arial" w:eastAsia="Arial" w:hAnsi="Arial"/>
                <w:sz w:val="25"/>
                <w:szCs w:val="25"/>
                <w:color w:val="auto"/>
                <w:vertAlign w:val="superscript"/>
              </w:rPr>
              <w:t>(2)(3)</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Tokyo, Japan</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Chengdu, China</w:t>
            </w:r>
            <w:r>
              <w:rPr>
                <w:rFonts w:ascii="Arial" w:cs="Arial" w:eastAsia="Arial" w:hAnsi="Arial"/>
                <w:sz w:val="25"/>
                <w:szCs w:val="25"/>
                <w:color w:val="auto"/>
                <w:vertAlign w:val="superscript"/>
              </w:rPr>
              <w:t>(2)</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Shanghai, China</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Bangalore, India</w:t>
            </w:r>
            <w:r>
              <w:rPr>
                <w:rFonts w:ascii="Arial" w:cs="Arial" w:eastAsia="Arial" w:hAnsi="Arial"/>
                <w:sz w:val="25"/>
                <w:szCs w:val="25"/>
                <w:color w:val="auto"/>
                <w:vertAlign w:val="superscript"/>
              </w:rPr>
              <w:t>(2)</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Kuala Lumpur, Malaysia</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Melaka, Malaysia</w:t>
            </w:r>
            <w:r>
              <w:rPr>
                <w:rFonts w:ascii="Arial" w:cs="Arial" w:eastAsia="Arial" w:hAnsi="Arial"/>
                <w:sz w:val="25"/>
                <w:szCs w:val="25"/>
                <w:color w:val="auto"/>
                <w:vertAlign w:val="superscript"/>
              </w:rPr>
              <w:t>(2)</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Baguio, Philippines</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27"/>
        </w:trPr>
        <w:tc>
          <w:tcPr>
            <w:tcW w:w="3060" w:type="dxa"/>
            <w:vAlign w:val="bottom"/>
          </w:tcPr>
          <w:p>
            <w:pPr>
              <w:ind w:left="40"/>
              <w:spacing w:after="0"/>
              <w:rPr>
                <w:sz w:val="20"/>
                <w:szCs w:val="20"/>
                <w:color w:val="auto"/>
              </w:rPr>
            </w:pPr>
            <w:r>
              <w:rPr>
                <w:rFonts w:ascii="Arial" w:cs="Arial" w:eastAsia="Arial" w:hAnsi="Arial"/>
                <w:sz w:val="18"/>
                <w:szCs w:val="18"/>
                <w:color w:val="auto"/>
              </w:rPr>
              <w:t>Pampanga (Clark), Philippines</w:t>
            </w:r>
            <w:r>
              <w:rPr>
                <w:rFonts w:ascii="Arial" w:cs="Arial" w:eastAsia="Arial" w:hAnsi="Arial"/>
                <w:sz w:val="25"/>
                <w:szCs w:val="25"/>
                <w:color w:val="auto"/>
                <w:vertAlign w:val="superscript"/>
              </w:rPr>
              <w:t>(2)</w:t>
            </w:r>
          </w:p>
        </w:tc>
        <w:tc>
          <w:tcPr>
            <w:tcW w:w="6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4"/>
                <w:szCs w:val="2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Taipei, Taiwan </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Freising, Germany</w:t>
            </w:r>
          </w:p>
        </w:tc>
        <w:tc>
          <w:tcPr>
            <w:tcW w:w="66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1"/>
                <w:szCs w:val="21"/>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Nice, France</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Greenock, Scotland</w:t>
            </w:r>
          </w:p>
        </w:tc>
        <w:tc>
          <w:tcPr>
            <w:tcW w:w="66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8" w:right="259" w:bottom="1163"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368" w:right="259" w:bottom="1163"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________</w:t>
      </w:r>
    </w:p>
    <w:p>
      <w:pPr>
        <w:ind w:left="500" w:hanging="492"/>
        <w:spacing w:after="0" w:line="199"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Leased.</w:t>
      </w:r>
    </w:p>
    <w:p>
      <w:pPr>
        <w:spacing w:after="0" w:line="99" w:lineRule="exact"/>
        <w:rPr>
          <w:rFonts w:ascii="Arial" w:cs="Arial" w:eastAsia="Arial" w:hAnsi="Arial"/>
          <w:sz w:val="25"/>
          <w:szCs w:val="25"/>
          <w:color w:val="auto"/>
          <w:vertAlign w:val="superscript"/>
        </w:rPr>
      </w:pPr>
    </w:p>
    <w:p>
      <w:pPr>
        <w:ind w:left="500" w:hanging="492"/>
        <w:spacing w:after="0" w:line="188"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Portions of the facilities are leased and owned. This may include land leases, particularly for our non-U.S. sites.</w:t>
      </w:r>
    </w:p>
    <w:p>
      <w:pPr>
        <w:spacing w:after="0" w:line="98" w:lineRule="exact"/>
        <w:rPr>
          <w:rFonts w:ascii="Arial" w:cs="Arial" w:eastAsia="Arial" w:hAnsi="Arial"/>
          <w:sz w:val="25"/>
          <w:szCs w:val="25"/>
          <w:color w:val="auto"/>
          <w:vertAlign w:val="superscript"/>
        </w:rPr>
      </w:pPr>
    </w:p>
    <w:p>
      <w:pPr>
        <w:ind w:left="500" w:hanging="492"/>
        <w:spacing w:after="0" w:line="188"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As we announced in January 2012, the Houston, Texas, and Hiji, Japan, manufacturing facilities will be closed in 2013.</w:t>
      </w:r>
    </w:p>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16.5 million square feet at December 31, 2012, of which approximately 0.8 million square feet were leased. Our facilities outside the United States contained approximately 11.1 million square feet at December 31, 2012, of which approximately 2.2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2012, we occupied substantially all of the space in our facilities.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5 years. We believe our current properties are suitable and adequate for both their intended purpose and our current and foreseeable future needs.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393"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 “Common stock prices and dividends” in our 2012 annual report to stockholders, and the information concerning the number of stockholders of record at December 31, 2012, contained under the caption “Summary of selected financial data” in such annual report are incorporated herein by reference to such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2012: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Total Number</w:t>
            </w: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of Shares</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Purchased as</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Part of</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040" w:type="dxa"/>
            <w:vAlign w:val="bottom"/>
          </w:tcPr>
          <w:p>
            <w:pPr>
              <w:spacing w:after="0"/>
              <w:rPr>
                <w:sz w:val="18"/>
                <w:szCs w:val="18"/>
                <w:color w:val="auto"/>
              </w:rPr>
            </w:pP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Publicly</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040" w:type="dxa"/>
            <w:vAlign w:val="bottom"/>
          </w:tcPr>
          <w:p>
            <w:pPr>
              <w:spacing w:after="0"/>
              <w:rPr>
                <w:sz w:val="18"/>
                <w:szCs w:val="18"/>
                <w:color w:val="auto"/>
              </w:rPr>
            </w:pP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Announced</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4040" w:type="dxa"/>
            <w:vAlign w:val="bottom"/>
          </w:tcPr>
          <w:p>
            <w:pPr>
              <w:spacing w:after="0"/>
              <w:rPr>
                <w:sz w:val="18"/>
                <w:szCs w:val="18"/>
                <w:color w:val="auto"/>
              </w:rPr>
            </w:pP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Price Paid</w:t>
            </w: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Plans or</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Period</w:t>
            </w: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2"/>
                <w:szCs w:val="22"/>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per Share</w:t>
            </w:r>
          </w:p>
        </w:tc>
        <w:tc>
          <w:tcPr>
            <w:tcW w:w="1860" w:type="dxa"/>
            <w:vAlign w:val="bottom"/>
          </w:tcPr>
          <w:p>
            <w:pPr>
              <w:jc w:val="center"/>
              <w:ind w:right="33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c>
          <w:tcPr>
            <w:tcW w:w="2000" w:type="dxa"/>
            <w:vAlign w:val="bottom"/>
          </w:tcPr>
          <w:p>
            <w:pPr>
              <w:jc w:val="center"/>
              <w:ind w:right="1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through October 31, 2012</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28.27</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2,653,100</w:t>
            </w:r>
          </w:p>
        </w:tc>
        <w:tc>
          <w:tcPr>
            <w:tcW w:w="2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$ 4.40 billion</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November 1 through November 30, 2012</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17,735,200</w:t>
            </w: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29.32</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17,735,200</w:t>
            </w:r>
          </w:p>
        </w:tc>
        <w:tc>
          <w:tcPr>
            <w:tcW w:w="2000" w:type="dxa"/>
            <w:vAlign w:val="bottom"/>
          </w:tcPr>
          <w:p>
            <w:pPr>
              <w:ind w:left="680"/>
              <w:spacing w:after="0"/>
              <w:rPr>
                <w:sz w:val="20"/>
                <w:szCs w:val="20"/>
                <w:color w:val="auto"/>
              </w:rPr>
            </w:pPr>
            <w:r>
              <w:rPr>
                <w:rFonts w:ascii="Arial" w:cs="Arial" w:eastAsia="Arial" w:hAnsi="Arial"/>
                <w:sz w:val="18"/>
                <w:szCs w:val="18"/>
                <w:color w:val="auto"/>
              </w:rPr>
              <w:t>$ 3.88 billion</w:t>
            </w:r>
          </w:p>
        </w:tc>
      </w:tr>
      <w:tr>
        <w:trPr>
          <w:trHeight w:val="27"/>
        </w:trPr>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through December 31, 2012</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169,700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29.73</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169,700</w:t>
            </w:r>
          </w:p>
        </w:tc>
        <w:tc>
          <w:tcPr>
            <w:tcW w:w="2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$ 3.87 billion</w:t>
            </w:r>
          </w:p>
        </w:tc>
      </w:tr>
      <w:tr>
        <w:trPr>
          <w:trHeight w:val="324"/>
        </w:trPr>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20,558,000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29.19</w:t>
            </w:r>
          </w:p>
        </w:tc>
        <w:tc>
          <w:tcPr>
            <w:tcW w:w="1860" w:type="dxa"/>
            <w:vAlign w:val="bottom"/>
            <w:shd w:val="clear" w:color="auto" w:fill="CCEEFF"/>
          </w:tcPr>
          <w:p>
            <w:pPr>
              <w:jc w:val="right"/>
              <w:ind w:right="210"/>
              <w:spacing w:after="0" w:line="270" w:lineRule="exact"/>
              <w:rPr>
                <w:sz w:val="20"/>
                <w:szCs w:val="20"/>
                <w:color w:val="auto"/>
              </w:rPr>
            </w:pPr>
            <w:r>
              <w:rPr>
                <w:rFonts w:ascii="Arial" w:cs="Arial" w:eastAsia="Arial" w:hAnsi="Arial"/>
                <w:sz w:val="18"/>
                <w:szCs w:val="18"/>
                <w:color w:val="auto"/>
              </w:rPr>
              <w:t xml:space="preserve">20,558,000  </w:t>
            </w:r>
            <w:r>
              <w:rPr>
                <w:rFonts w:ascii="Arial" w:cs="Arial" w:eastAsia="Arial" w:hAnsi="Arial"/>
                <w:sz w:val="25"/>
                <w:szCs w:val="25"/>
                <w:color w:val="auto"/>
                <w:vertAlign w:val="superscript"/>
              </w:rPr>
              <w:t>(2)</w:t>
            </w:r>
          </w:p>
        </w:tc>
        <w:tc>
          <w:tcPr>
            <w:tcW w:w="2000" w:type="dxa"/>
            <w:vAlign w:val="bottom"/>
            <w:shd w:val="clear" w:color="auto" w:fill="CCEEFF"/>
          </w:tcPr>
          <w:p>
            <w:pPr>
              <w:ind w:left="680"/>
              <w:spacing w:after="0" w:line="270" w:lineRule="exact"/>
              <w:rPr>
                <w:sz w:val="20"/>
                <w:szCs w:val="20"/>
                <w:color w:val="auto"/>
              </w:rPr>
            </w:pPr>
            <w:r>
              <w:rPr>
                <w:rFonts w:ascii="Arial" w:cs="Arial" w:eastAsia="Arial" w:hAnsi="Arial"/>
                <w:sz w:val="18"/>
                <w:szCs w:val="18"/>
                <w:color w:val="auto"/>
              </w:rPr>
              <w:t xml:space="preserve">$ 3.87 billion </w:t>
            </w:r>
            <w:r>
              <w:rPr>
                <w:rFonts w:ascii="Arial" w:cs="Arial" w:eastAsia="Arial" w:hAnsi="Arial"/>
                <w:sz w:val="25"/>
                <w:szCs w:val="25"/>
                <w:color w:val="auto"/>
                <w:vertAlign w:val="superscript"/>
              </w:rPr>
              <w:t>(3)</w:t>
            </w:r>
          </w:p>
        </w:tc>
      </w:tr>
      <w:tr>
        <w:trPr>
          <w:trHeight w:val="648"/>
        </w:trPr>
        <w:tc>
          <w:tcPr>
            <w:tcW w:w="4040" w:type="dxa"/>
            <w:vAlign w:val="bottom"/>
          </w:tcPr>
          <w:p>
            <w:pPr>
              <w:spacing w:after="0"/>
              <w:rPr>
                <w:sz w:val="20"/>
                <w:szCs w:val="20"/>
                <w:color w:val="auto"/>
              </w:rPr>
            </w:pPr>
            <w:r>
              <w:rPr>
                <w:rFonts w:ascii="Arial" w:cs="Arial" w:eastAsia="Arial" w:hAnsi="Arial"/>
                <w:sz w:val="18"/>
                <w:szCs w:val="18"/>
                <w:color w:val="auto"/>
              </w:rPr>
              <w:t>_______</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line="216" w:lineRule="auto"/>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38"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98" w:lineRule="exact"/>
        <w:rPr>
          <w:rFonts w:ascii="Arial" w:cs="Arial" w:eastAsia="Arial" w:hAnsi="Arial"/>
          <w:sz w:val="25"/>
          <w:szCs w:val="25"/>
          <w:color w:val="auto"/>
          <w:vertAlign w:val="superscript"/>
        </w:rPr>
      </w:pPr>
    </w:p>
    <w:p>
      <w:pPr>
        <w:ind w:left="500" w:right="400" w:hanging="492"/>
        <w:spacing w:after="0" w:line="214" w:lineRule="auto"/>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As of December 31, 2012, this amount consisted of the remaining portion of the $7.5 billion authorization announced on September 16, 2010. No expiration date was specified for these authorizations.</w:t>
      </w: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“Summary of selected financial data” for the years 2008 through 2012 in our 2012 annual report to stockholders, is incorporated herein by reference to such annual report.</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in our 2012 annual report to stockholders is incorporated herein by reference to such annual report.</w:t>
      </w:r>
    </w:p>
    <w:p>
      <w:pPr>
        <w:spacing w:after="0" w:line="19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contained under the caption “Quantitative and qualitative disclosures about market risk” in our 2012 annual report to stockholders is incorporated herein by reference to such annual report.</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consolidated financial statements of the company at December 31, 2012 and 2011, and for each of the three years in the period ended December 31, 2012, and the report thereon of the independent registered public accounting firm, on pages 1 through 40 of our 2012 annual report to stockholders, are incorporated herein by reference to such annual report.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“Quarterly financial data” in our 2012 annual report to stockholders is also incorporated herein by reference to such annual report.</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ectPr>
          <w:pgSz w:w="11900" w:h="16838" w:orient="portrait"/>
          <w:cols w:equalWidth="0" w:num="1">
            <w:col w:w="11380"/>
          </w:cols>
          <w:pgMar w:left="240" w:top="526"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526" w:right="279" w:bottom="1440" w:gutter="0" w:footer="0" w:header="0"/>
          <w:type w:val="continuous"/>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Management's assessment of our internal control over financial reporting is contained under the caption “Report by management on internal control over financial reporting” in our 2012 annual report to stockholders and is incorporated herein by reference to such annual report.</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contained under the caption “Report of independent registered public accounting firm on internal control over financial reporting” in our 2012 annual report to stockholders is incorporated herein by reference to such annual report.</w:t>
      </w:r>
    </w:p>
    <w:p>
      <w:pPr>
        <w:spacing w:after="0" w:line="200" w:lineRule="exact"/>
        <w:rPr>
          <w:sz w:val="20"/>
          <w:szCs w:val="20"/>
          <w:color w:val="auto"/>
        </w:rPr>
      </w:pPr>
    </w:p>
    <w:p>
      <w:pPr>
        <w:spacing w:after="0" w:line="21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60"/>
          </w:cols>
          <w:pgMar w:left="240" w:top="36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Executive Officers and Corporate Governance.</w:t>
      </w:r>
    </w:p>
    <w:p>
      <w:pPr>
        <w:spacing w:after="0" w:line="222" w:lineRule="exact"/>
        <w:rPr>
          <w:sz w:val="20"/>
          <w:szCs w:val="20"/>
          <w:color w:val="auto"/>
        </w:rPr>
      </w:pPr>
    </w:p>
    <w:p>
      <w:pPr>
        <w:sectPr>
          <w:pgSz w:w="11900" w:h="16838" w:orient="portrait"/>
          <w:cols w:equalWidth="0" w:num="2">
            <w:col w:w="1340" w:space="720"/>
            <w:col w:w="9300"/>
          </w:cols>
          <w:pgMar w:left="240" w:top="368" w:right="299" w:bottom="1440" w:gutter="0" w:footer="0" w:header="0"/>
          <w:type w:val="continuous"/>
        </w:sectPr>
      </w:pPr>
    </w:p>
    <w:p>
      <w:pPr>
        <w:spacing w:after="0" w:line="4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2013 annual meeting of stockholders, is incorporated herein by reference to such proxy statement.</w:t>
      </w:r>
    </w:p>
    <w:p>
      <w:pPr>
        <w:spacing w:after="0" w:line="12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2013 annual meeting of stockholders, is incorporated herein by reference to such proxy statement.</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2013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2013 annual meeting of stockholders is incorporated herein by reference to such proxy statement.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2013 annual meeting of stockholders is incorporated herein by reference to such proxy statement.</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68" w:right="299" w:bottom="1440" w:gutter="0" w:footer="0" w:header="0"/>
          <w:type w:val="continuous"/>
        </w:sectPr>
      </w:pPr>
    </w:p>
    <w:bookmarkStart w:id="17" w:name="page18"/>
    <w:bookmarkEnd w:id="17"/>
    <w:p>
      <w:pPr>
        <w:ind w:right="46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2013 annual meeting of stockholders is incorporated herein by reference to such proxy statement.</w:t>
      </w:r>
    </w:p>
    <w:p>
      <w:pPr>
        <w:spacing w:after="0" w:line="19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Available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for Future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to be Issued Upon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87"/>
              </w:rPr>
              <w:t>Exercise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Options,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Warrants and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securities reflected</w:t>
            </w:r>
          </w:p>
        </w:tc>
        <w:tc>
          <w:tcPr>
            <w:tcW w:w="0" w:type="dxa"/>
            <w:vAlign w:val="bottom"/>
          </w:tcPr>
          <w:p>
            <w:pPr>
              <w:spacing w:after="0"/>
              <w:rPr>
                <w:sz w:val="1"/>
                <w:szCs w:val="1"/>
                <w:color w:val="auto"/>
              </w:rPr>
            </w:pPr>
          </w:p>
        </w:tc>
      </w:tr>
      <w:tr>
        <w:trPr>
          <w:trHeight w:val="220"/>
        </w:trPr>
        <w:tc>
          <w:tcPr>
            <w:tcW w:w="5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Rights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380" w:type="dxa"/>
            <w:vAlign w:val="bottom"/>
          </w:tcPr>
          <w:p>
            <w:pPr>
              <w:spacing w:after="0"/>
              <w:rPr>
                <w:sz w:val="19"/>
                <w:szCs w:val="19"/>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color w:val="auto"/>
                <w:w w:val="90"/>
              </w:rPr>
              <w:t>(a)</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80" w:type="dxa"/>
            <w:vAlign w:val="bottom"/>
          </w:tcPr>
          <w:p>
            <w:pPr>
              <w:spacing w:after="0"/>
              <w:rPr>
                <w:sz w:val="20"/>
                <w:szCs w:val="20"/>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75,489,940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w:t>
            </w:r>
          </w:p>
        </w:tc>
        <w:tc>
          <w:tcPr>
            <w:tcW w:w="2000" w:type="dxa"/>
            <w:vAlign w:val="bottom"/>
            <w:shd w:val="clear" w:color="auto" w:fill="CCEEFF"/>
          </w:tcPr>
          <w:p>
            <w:pPr>
              <w:jc w:val="right"/>
              <w:ind w:right="90"/>
              <w:spacing w:after="0" w:line="270" w:lineRule="exact"/>
              <w:rPr>
                <w:sz w:val="20"/>
                <w:szCs w:val="20"/>
                <w:color w:val="auto"/>
              </w:rPr>
            </w:pPr>
            <w:r>
              <w:rPr>
                <w:rFonts w:ascii="Arial" w:cs="Arial" w:eastAsia="Arial" w:hAnsi="Arial"/>
                <w:sz w:val="18"/>
                <w:szCs w:val="18"/>
                <w:color w:val="auto"/>
              </w:rPr>
              <w:t xml:space="preserve">98,867,103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48,335,376</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27.61</w:t>
            </w:r>
          </w:p>
        </w:tc>
        <w:tc>
          <w:tcPr>
            <w:tcW w:w="38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123,825,316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8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98,867,103</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7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shares of TI common stock to be issued under the Texas Instruments 2009 Long-Term Incentive Plan and predecessor plans, the Texas Instruments 2009 Director Compensation Plan and the TI Employees 2005 Stock Purchase Plan. Also includes 1,672,923 shares of TI common stock to be issued upon settlement of outstanding awards granted under the National Semiconductor Corporation 2009 Incentive Award Plan, a plan approved by National stockholders. The company assumed the awards in connection with its acquisition of National.</w:t>
      </w:r>
    </w:p>
    <w:p>
      <w:pPr>
        <w:spacing w:after="0" w:line="2" w:lineRule="exact"/>
        <w:rPr>
          <w:rFonts w:ascii="Arial" w:cs="Arial" w:eastAsia="Arial" w:hAnsi="Arial"/>
          <w:sz w:val="17"/>
          <w:szCs w:val="17"/>
          <w:color w:val="auto"/>
        </w:rPr>
      </w:pPr>
    </w:p>
    <w:p>
      <w:pPr>
        <w:ind w:left="340" w:right="300" w:hanging="332"/>
        <w:spacing w:after="0" w:line="27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ind w:left="340" w:right="340" w:hanging="332"/>
        <w:spacing w:after="0" w:line="27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2009 Long-Term Incentive Plan, the Texas Instruments 2009 Director Compensation Plan and the TI Employees 2005 Stock Purchase Plan.</w:t>
      </w:r>
    </w:p>
    <w:p>
      <w:pPr>
        <w:ind w:left="340" w:hanging="332"/>
        <w:spacing w:after="0" w:line="27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shares to be issued under the Texas Instruments 2003 Long-Term Incentive Plan. This plan was replaced by the Texas Instruments 2009 Long-Term Incentive Plan, which was approved by stockholders, and no further grants may be made under it. 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(which was replaced by the stockholder-approved 2009 Director Compensation Plan), and no further grants may be made under them.</w:t>
      </w:r>
    </w:p>
    <w:p>
      <w:pPr>
        <w:spacing w:after="0" w:line="1" w:lineRule="exact"/>
        <w:rPr>
          <w:rFonts w:ascii="Arial" w:cs="Arial" w:eastAsia="Arial" w:hAnsi="Arial"/>
          <w:sz w:val="17"/>
          <w:szCs w:val="17"/>
          <w:color w:val="auto"/>
        </w:rPr>
      </w:pPr>
    </w:p>
    <w:p>
      <w:pPr>
        <w:ind w:left="340" w:right="460" w:hanging="318"/>
        <w:spacing w:after="0" w:line="264" w:lineRule="auto"/>
        <w:tabs>
          <w:tab w:leader="none" w:pos="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Includes 99,639,098 shares for issuance upon exercise of outstanding grants of options, 23,375,234 shares for issuance upon vesting of outstanding grants of restricted stock units, 681,951 shares for issuance under the TI Employees 2005 Stock Purchase Plan and 129,033 shares for issuance in settlement of directors' deferred compensation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2013 annual meeting of stockholders is incorporated herein by reference to such proxy statement.</w:t>
      </w:r>
    </w:p>
    <w:p>
      <w:pPr>
        <w:spacing w:after="0" w:line="36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2013 annual meeting of stockholders is incorporated herein by reference to such proxy statement.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2013 annual meeting of stockholders is incorporated herein by reference to such proxy statement.</w:t>
      </w:r>
    </w:p>
    <w:p>
      <w:pPr>
        <w:spacing w:after="0" w:line="19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2013 annual meeting of stockholders is incorporated herein by reference to such proxy statement.</w:t>
      </w:r>
    </w:p>
    <w:p>
      <w:pPr>
        <w:spacing w:after="0" w:line="12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3" w:lineRule="exact"/>
        <w:rPr>
          <w:sz w:val="20"/>
          <w:szCs w:val="20"/>
          <w:color w:val="auto"/>
        </w:rPr>
      </w:pPr>
    </w:p>
    <w:p>
      <w:pPr>
        <w:ind w:right="6440" w:firstLine="8"/>
        <w:spacing w:after="0" w:line="624"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1 and 2. Financial Statements and Financial Statement Schedules: The financial statements are listed in the index on page 29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3. Exhibits:</w:t>
            </w:r>
          </w:p>
        </w:tc>
        <w:tc>
          <w:tcPr>
            <w:tcW w:w="8660" w:type="dxa"/>
            <w:vAlign w:val="bottom"/>
          </w:tcPr>
          <w:p>
            <w:pPr>
              <w:spacing w:after="0"/>
              <w:rPr>
                <w:sz w:val="20"/>
                <w:szCs w:val="20"/>
                <w:color w:val="auto"/>
              </w:rPr>
            </w:pPr>
          </w:p>
        </w:tc>
      </w:tr>
      <w:tr>
        <w:trPr>
          <w:trHeight w:val="796"/>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2"/>
              </w:rPr>
              <w:t>Designation of</w:t>
            </w:r>
          </w:p>
        </w:tc>
        <w:tc>
          <w:tcPr>
            <w:tcW w:w="8660" w:type="dxa"/>
            <w:vAlign w:val="bottom"/>
          </w:tcPr>
          <w:p>
            <w:pPr>
              <w:spacing w:after="0"/>
              <w:rPr>
                <w:sz w:val="24"/>
                <w:szCs w:val="24"/>
                <w:color w:val="auto"/>
              </w:rPr>
            </w:pPr>
          </w:p>
        </w:tc>
      </w:tr>
      <w:tr>
        <w:trPr>
          <w:trHeight w:val="216"/>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8"/>
              </w:rPr>
              <w:t>Exhibit in</w:t>
            </w:r>
          </w:p>
        </w:tc>
        <w:tc>
          <w:tcPr>
            <w:tcW w:w="8660" w:type="dxa"/>
            <w:vAlign w:val="bottom"/>
          </w:tcPr>
          <w:p>
            <w:pPr>
              <w:spacing w:after="0"/>
              <w:rPr>
                <w:sz w:val="18"/>
                <w:szCs w:val="18"/>
                <w:color w:val="auto"/>
              </w:rPr>
            </w:pPr>
          </w:p>
        </w:tc>
      </w:tr>
      <w:tr>
        <w:trPr>
          <w:trHeight w:val="230"/>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1"/>
              </w:rPr>
              <w:t>this Report</w:t>
            </w:r>
          </w:p>
        </w:tc>
        <w:tc>
          <w:tcPr>
            <w:tcW w:w="8660" w:type="dxa"/>
            <w:vAlign w:val="bottom"/>
          </w:tcPr>
          <w:p>
            <w:pPr>
              <w:ind w:left="220"/>
              <w:spacing w:after="0"/>
              <w:rPr>
                <w:sz w:val="20"/>
                <w:szCs w:val="20"/>
                <w:color w:val="auto"/>
              </w:rPr>
            </w:pPr>
            <w:r>
              <w:rPr>
                <w:rFonts w:ascii="Arial" w:cs="Arial" w:eastAsia="Arial" w:hAnsi="Arial"/>
                <w:sz w:val="18"/>
                <w:szCs w:val="18"/>
                <w:color w:val="auto"/>
              </w:rPr>
              <w:t>Description of Exhibit</w:t>
            </w:r>
          </w:p>
        </w:tc>
      </w:tr>
      <w:tr>
        <w:trPr>
          <w:trHeight w:val="324"/>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3(a)</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Restated Certificate of Incorporation of the Registrant, dated April 18, 1985 (incorporated by reference to Exhibit</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3(a) of the Registrant's Annual Report on Form 10-K for the year ended 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3(b)</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16, 1987</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3(b)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3(c)</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21, 1988</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3(c)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3(d)</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18, 1996</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3(d)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84"/>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3(e)</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Certificate of Ownership merging Texas Instruments Automation Controls, Inc. into the Registrant, dated March 28,</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1988 (incorporated by reference to Exhibit 3(e)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3(f)</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Certificate of Elimination of Designations of Preferred Stock of the Registrant, dated March 18, 1994 (incorporated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by reference to Exhibit 3(f) of the Registrant's Annual Report on Form 10-K for the year ended 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3(g)</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Certificate of Ownership and Merger merging Tiburon Systems, Inc. into the Registrant, dated November 2, 1995</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3(g)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3(h)</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reference to Exhibit 3(h) of the Registrant's Annual Report on Form 10-K for the year ended 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3(i)</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Certificate of Designation relating to the Registrant's Participating Cumulative Preferred Stock, dated June 23, 1998</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(incorporated by reference to Exhibit 3(i)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3(j)</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Certificate of Elimination of Designation of Preferred Stock of the Registrant, dated June 18, 1998 (incorporated by</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reference to Exhibit 3(j) of the Registrant's Annual Report on Form 10-K for the year ended 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3(k)</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15, 1999 (incorporated by reference to Exhibit 3(k) of the Registrant's Annual Report on Form 10-K for the year</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ended December 31, 2011).</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3(l)</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23, 1999 (incorporated by reference to Exhibit 3(l) of the Registrant's Annual Report on Form 10-K for the year</w:t>
            </w:r>
          </w:p>
        </w:tc>
      </w:tr>
      <w:tr>
        <w:trPr>
          <w:trHeight w:val="230"/>
        </w:trPr>
        <w:tc>
          <w:tcPr>
            <w:tcW w:w="1700" w:type="dxa"/>
            <w:vAlign w:val="bottom"/>
            <w:shd w:val="clear" w:color="auto" w:fill="CCEEFF"/>
          </w:tcPr>
          <w:p>
            <w:pPr>
              <w:spacing w:after="0"/>
              <w:rPr>
                <w:sz w:val="20"/>
                <w:szCs w:val="20"/>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ended December 31, 2011).</w:t>
            </w:r>
          </w:p>
        </w:tc>
      </w:tr>
      <w:tr>
        <w:trPr>
          <w:trHeight w:val="27"/>
        </w:trPr>
        <w:tc>
          <w:tcPr>
            <w:tcW w:w="1700" w:type="dxa"/>
            <w:vAlign w:val="bottom"/>
            <w:shd w:val="clear" w:color="auto" w:fill="CCEEFF"/>
          </w:tcPr>
          <w:p>
            <w:pPr>
              <w:spacing w:after="0"/>
              <w:rPr>
                <w:sz w:val="2"/>
                <w:szCs w:val="2"/>
                <w:color w:val="auto"/>
              </w:rPr>
            </w:pPr>
          </w:p>
        </w:tc>
        <w:tc>
          <w:tcPr>
            <w:tcW w:w="8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360"/>
          </w:cols>
          <w:pgMar w:left="240" w:top="800" w:right="129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360"/>
          </w:cols>
          <w:pgMar w:left="240" w:top="800" w:right="129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2"/>
              </w:rPr>
              <w:t>Designation of</w:t>
            </w:r>
          </w:p>
        </w:tc>
        <w:tc>
          <w:tcPr>
            <w:tcW w:w="8680" w:type="dxa"/>
            <w:vAlign w:val="bottom"/>
          </w:tcPr>
          <w:p>
            <w:pPr>
              <w:spacing w:after="0"/>
              <w:rPr>
                <w:sz w:val="18"/>
                <w:szCs w:val="18"/>
                <w:color w:val="auto"/>
              </w:rPr>
            </w:pPr>
          </w:p>
        </w:tc>
      </w:tr>
      <w:tr>
        <w:trPr>
          <w:trHeight w:val="216"/>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8"/>
              </w:rPr>
              <w:t>Exhibit in</w:t>
            </w:r>
          </w:p>
        </w:tc>
        <w:tc>
          <w:tcPr>
            <w:tcW w:w="8680" w:type="dxa"/>
            <w:vAlign w:val="bottom"/>
          </w:tcPr>
          <w:p>
            <w:pPr>
              <w:spacing w:after="0"/>
              <w:rPr>
                <w:sz w:val="18"/>
                <w:szCs w:val="18"/>
                <w:color w:val="auto"/>
              </w:rPr>
            </w:pPr>
          </w:p>
        </w:tc>
      </w:tr>
      <w:tr>
        <w:trPr>
          <w:trHeight w:val="230"/>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1"/>
              </w:rPr>
              <w:t>this Report</w:t>
            </w:r>
          </w:p>
        </w:tc>
        <w:tc>
          <w:tcPr>
            <w:tcW w:w="8680" w:type="dxa"/>
            <w:vAlign w:val="bottom"/>
          </w:tcPr>
          <w:p>
            <w:pPr>
              <w:ind w:left="240"/>
              <w:spacing w:after="0"/>
              <w:rPr>
                <w:sz w:val="20"/>
                <w:szCs w:val="20"/>
                <w:color w:val="auto"/>
              </w:rPr>
            </w:pPr>
            <w:r>
              <w:rPr>
                <w:rFonts w:ascii="Arial" w:cs="Arial" w:eastAsia="Arial" w:hAnsi="Arial"/>
                <w:sz w:val="18"/>
                <w:szCs w:val="18"/>
                <w:color w:val="auto"/>
              </w:rPr>
              <w:t>Description of Exhibit</w:t>
            </w:r>
          </w:p>
        </w:tc>
      </w:tr>
      <w:tr>
        <w:trPr>
          <w:trHeight w:val="27"/>
        </w:trPr>
        <w:tc>
          <w:tcPr>
            <w:tcW w:w="168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3(m)</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17, 1999 (incorporated by reference to Exhibit 3(m) of the Registrant's Annual Report on Form 10-K for the year</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3(n)</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Certificate of Amendment to Restated Certificate of Incorporation, dated April 20, 2000 (incorporated by reference</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 Exhibit 3(n) of the Registrant's Annual Report on 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3(o)</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Certificate of Ownership and Merger merging Power Trends, Inc. with and into the Registrant, dated May 31, 2001</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(incorporated by reference to Exhibit 3(o) of the Registrant's Annual Report on Form 10-K for the year ended</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3(p)</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Certificate of Ownership and Merger merging Amati Communications Corporation with and into the Registrant,</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dated September 28, 2001 (incorporated by reference to Exhibit 3(p) of the Registrant's Annual Report on Form 10-</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3(q)</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Certificate of Ownership and Merger merging Texas Instruments San Diego Incorporated with and into the</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Registrant, dated August 27, 2002 (incorporated by reference to Exhibit 3(q) of the Registrant's Annual Report on</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3(r)</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Ownership and Merger merging Texas Instruments Burlington Incorporated with and into the</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Registrant, dated December 31, 2003 (incorporated by reference to Exhibit 3(r) of the Registrant's Annual Report on</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3(s)</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with and into the Registrant, dated October 31, 2004 (incorporated by reference to Exhibit 3(s) of the Registrant's</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3(t)</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Certificate of Elimination of Series B Participating Cumulative Preferred Stock (incorporated by reference to Exhibit</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 to the Registrant's Current Report on Form 8-K filed June 23, 2008).</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3(u)</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filed July 18, 2008).</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4(a)</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Underwriting Agreement (incorporated by reference to Exhibit 4.1 to the Registrant's Current Report on Form 8-K</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filed May 23,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4(b)</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Indenture (incorporated by reference to Exhibit 4.2 to the Registrant's Current Report on Form 8-K filed May 23,</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4(c)</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Officer's Certificate (incorporated by reference to Exhibit 4.3 to the Registrant's Current Report on Form 8-K filed</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May 23,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10(a)(i)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TI Deferred Compensation Plan (incorporated by reference to Exhibit 10(a) to the Registrant's Current Report on</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Form 8-K filed January 7, 2009).</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10(a)(ii)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Amendment No. 1 to the TI Deferred Compensation Plan (incorporated by reference to Exhibit 10(a)(ii) to the</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Registrant's Annual Report on Form 10-K for the year ended December 31, 2009).</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ectPr>
          <w:pgSz w:w="11900" w:h="16838" w:orient="portrait"/>
          <w:cols w:equalWidth="0" w:num="1">
            <w:col w:w="10360"/>
          </w:cols>
          <w:pgMar w:left="240" w:top="746" w:right="12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360"/>
          </w:cols>
          <w:pgMar w:left="240" w:top="746" w:right="129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2"/>
              </w:rPr>
              <w:t>Designation of</w:t>
            </w:r>
          </w:p>
        </w:tc>
        <w:tc>
          <w:tcPr>
            <w:tcW w:w="8680" w:type="dxa"/>
            <w:vAlign w:val="bottom"/>
          </w:tcPr>
          <w:p>
            <w:pPr>
              <w:spacing w:after="0"/>
              <w:rPr>
                <w:sz w:val="18"/>
                <w:szCs w:val="18"/>
                <w:color w:val="auto"/>
              </w:rPr>
            </w:pPr>
          </w:p>
        </w:tc>
      </w:tr>
      <w:tr>
        <w:trPr>
          <w:trHeight w:val="216"/>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8"/>
              </w:rPr>
              <w:t>Exhibit in</w:t>
            </w:r>
          </w:p>
        </w:tc>
        <w:tc>
          <w:tcPr>
            <w:tcW w:w="8680" w:type="dxa"/>
            <w:vAlign w:val="bottom"/>
          </w:tcPr>
          <w:p>
            <w:pPr>
              <w:spacing w:after="0"/>
              <w:rPr>
                <w:sz w:val="18"/>
                <w:szCs w:val="18"/>
                <w:color w:val="auto"/>
              </w:rPr>
            </w:pPr>
          </w:p>
        </w:tc>
      </w:tr>
      <w:tr>
        <w:trPr>
          <w:trHeight w:val="230"/>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1"/>
              </w:rPr>
              <w:t>this Report</w:t>
            </w:r>
          </w:p>
        </w:tc>
        <w:tc>
          <w:tcPr>
            <w:tcW w:w="8680" w:type="dxa"/>
            <w:vAlign w:val="bottom"/>
          </w:tcPr>
          <w:p>
            <w:pPr>
              <w:ind w:left="240"/>
              <w:spacing w:after="0"/>
              <w:rPr>
                <w:sz w:val="20"/>
                <w:szCs w:val="20"/>
                <w:color w:val="auto"/>
              </w:rPr>
            </w:pPr>
            <w:r>
              <w:rPr>
                <w:rFonts w:ascii="Arial" w:cs="Arial" w:eastAsia="Arial" w:hAnsi="Arial"/>
                <w:sz w:val="18"/>
                <w:szCs w:val="18"/>
                <w:color w:val="auto"/>
              </w:rPr>
              <w:t>Description of Exhibit</w:t>
            </w:r>
          </w:p>
        </w:tc>
      </w:tr>
      <w:tr>
        <w:trPr>
          <w:trHeight w:val="27"/>
        </w:trPr>
        <w:tc>
          <w:tcPr>
            <w:tcW w:w="168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10(a)(iii)</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Amendment No. 2 to the TI Deferred Compensation Plan (incorporated by reference to Exhibit 10.1 to the</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Registrant's Quarterly Report on Form 10-Q for the quarter ended September 30, 2012).</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10(b)(i)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TI Employees Non-Qualified Pension Plan (formerly named the TI Employees Supplemental Pension Plan), effective</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January 1, 1998 (incorporated by reference to Exhibit 10(b)(i) of the Registrant's Annual Report on Form 10-K for</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10(b)(ii)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First Amendment to TI Employees Non-Qualified Pension Plan (formerly named the TI Supplemental Pension Plan),</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effective January 1, 2000 (incorporated by reference to Exhibit 10(b)(ii) of the Registrant's Annual Report on Form</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10(b)(iii)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Second Amendment to TI Employees Non-Qualified Pension Plan (formerly named the TI Supplemental Pension</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Plan), dated June 21, 2002 (incorporated by reference to Exhibit 10(b)(iii) of the Registrant's Annual Report on Form</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8"/>
              </w:rPr>
              <w:t>10(b)(iv)</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Third Amendment to TI Employees Non-Qualified Pension Plan (formerly named the TI Supplemental Pension</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Plan), dated July 16, 2002 (incorporated by reference to Exhibit 10(b)(iv) of the Registrant's Annual Report on Form</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10(b)(v)</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Fourth Amendment to TI Employees Non-Qualified Pension Plan (formerly named the TI Supplemental Pension</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Plan), dated November 21, 2003 (incorporated by reference to Exhibit 10(b)(v) of the Registrant's Annual Report on</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Form 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8"/>
              </w:rPr>
              <w:t>10(b)(vi)</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TI Employees Non-Qualified Pension Plan II (incorporated by reference to Exhibit 10(b) to the Registrant's Current</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Report on Form 8-K filed January 7, 2009).</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10(c)</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Texas Instruments Long-Term Incentive Plan, adopted April 15, 1993 (incorporated by reference to Exhibit 10(c) of</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the Registrant's Annual Report on Form 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10(d)</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Texas Instruments 1996 Long-Term Incentive Plan, adopted April 18, 1996 (incorporated by reference to Exhibit</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10(d) of the Registrant's Annual Report on Form 10-K for the year ended December 31, 2011).</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10(e)</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Texas Instruments 2000 Long-Term Incentive Plan as amended October 16, 2008 (incorporated by reference to</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Exhibit 10(e) to the Registrant's Annual Report on Form 10-K for the year ended December 31, 2008).</w:t>
            </w:r>
            <w:r>
              <w:rPr>
                <w:rFonts w:ascii="Arial" w:cs="Arial" w:eastAsia="Arial" w:hAnsi="Arial"/>
                <w:sz w:val="25"/>
                <w:szCs w:val="25"/>
                <w:color w:val="auto"/>
                <w:vertAlign w:val="superscript"/>
              </w:rPr>
              <w:t>(a)</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7"/>
              </w:rPr>
              <w:t>10(f)</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Texas Instruments 2003 Long-Term Incentive Plan as amended October 16, 2008 (incorporated by reference to</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Exhibit 10(f) to the Registrant's Annual Report on Form 10-K for the year ended December 31, 2008).</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10(g)</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Texas Instruments Executive Officer Performance Plan as amended September 17, 2009 (incorporated by reference</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w w:val="94"/>
              </w:rPr>
              <w:t>to Exhibit 10.2 to the Registrant's Quarterly Report on Form 10-Q for the quarter ended September 30, 2009).</w:t>
            </w:r>
            <w:r>
              <w:rPr>
                <w:rFonts w:ascii="Arial" w:cs="Arial" w:eastAsia="Arial" w:hAnsi="Arial"/>
                <w:sz w:val="25"/>
                <w:szCs w:val="25"/>
                <w:color w:val="auto"/>
                <w:w w:val="94"/>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60"/>
          </w:cols>
          <w:pgMar w:left="240" w:top="746" w:right="1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2"/>
              </w:rPr>
              <w:t>Designation of</w:t>
            </w:r>
          </w:p>
        </w:tc>
        <w:tc>
          <w:tcPr>
            <w:tcW w:w="8680" w:type="dxa"/>
            <w:vAlign w:val="bottom"/>
          </w:tcPr>
          <w:p>
            <w:pPr>
              <w:spacing w:after="0"/>
              <w:rPr>
                <w:sz w:val="18"/>
                <w:szCs w:val="18"/>
                <w:color w:val="auto"/>
              </w:rPr>
            </w:pPr>
          </w:p>
        </w:tc>
      </w:tr>
      <w:tr>
        <w:trPr>
          <w:trHeight w:val="216"/>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8"/>
              </w:rPr>
              <w:t>Exhibit in</w:t>
            </w:r>
          </w:p>
        </w:tc>
        <w:tc>
          <w:tcPr>
            <w:tcW w:w="8680" w:type="dxa"/>
            <w:vAlign w:val="bottom"/>
          </w:tcPr>
          <w:p>
            <w:pPr>
              <w:spacing w:after="0"/>
              <w:rPr>
                <w:sz w:val="18"/>
                <w:szCs w:val="18"/>
                <w:color w:val="auto"/>
              </w:rPr>
            </w:pPr>
          </w:p>
        </w:tc>
      </w:tr>
      <w:tr>
        <w:trPr>
          <w:trHeight w:val="230"/>
        </w:trPr>
        <w:tc>
          <w:tcPr>
            <w:tcW w:w="1680" w:type="dxa"/>
            <w:vAlign w:val="bottom"/>
          </w:tcPr>
          <w:p>
            <w:pPr>
              <w:jc w:val="center"/>
              <w:ind w:left="110"/>
              <w:spacing w:after="0"/>
              <w:rPr>
                <w:sz w:val="20"/>
                <w:szCs w:val="20"/>
                <w:color w:val="auto"/>
              </w:rPr>
            </w:pPr>
            <w:r>
              <w:rPr>
                <w:rFonts w:ascii="Arial" w:cs="Arial" w:eastAsia="Arial" w:hAnsi="Arial"/>
                <w:sz w:val="18"/>
                <w:szCs w:val="18"/>
                <w:color w:val="auto"/>
                <w:w w:val="91"/>
              </w:rPr>
              <w:t>this Report</w:t>
            </w:r>
          </w:p>
        </w:tc>
        <w:tc>
          <w:tcPr>
            <w:tcW w:w="8680" w:type="dxa"/>
            <w:vAlign w:val="bottom"/>
          </w:tcPr>
          <w:p>
            <w:pPr>
              <w:ind w:left="240"/>
              <w:spacing w:after="0"/>
              <w:rPr>
                <w:sz w:val="20"/>
                <w:szCs w:val="20"/>
                <w:color w:val="auto"/>
              </w:rPr>
            </w:pPr>
            <w:r>
              <w:rPr>
                <w:rFonts w:ascii="Arial" w:cs="Arial" w:eastAsia="Arial" w:hAnsi="Arial"/>
                <w:sz w:val="18"/>
                <w:szCs w:val="18"/>
                <w:color w:val="auto"/>
              </w:rPr>
              <w:t>Description of Exhibit</w:t>
            </w:r>
          </w:p>
        </w:tc>
      </w:tr>
      <w:tr>
        <w:trPr>
          <w:trHeight w:val="27"/>
        </w:trPr>
        <w:tc>
          <w:tcPr>
            <w:tcW w:w="168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10(h)</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Texas Instruments Restricted Stock Unit Plan for Directors, as amended, dated April 16, 1998 (incorporated by</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reference to Exhibit 10(h) of the Registrant's Annual Report on 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10(i)</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Texas Instruments Directors Deferred Compensation Plan, as amended, dated April 16, 1998 (incorporated by</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reference to Exhibit 10(i) of the Registrant's Annual Report on Form 10-K for the year ended 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10(j)</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Texas Instruments Stock Option Plan for Non-Employee Directors, as amended, dated November 30, 2000</w:t>
            </w:r>
          </w:p>
        </w:tc>
      </w:tr>
      <w:tr>
        <w:trPr>
          <w:trHeight w:val="216"/>
        </w:trPr>
        <w:tc>
          <w:tcPr>
            <w:tcW w:w="1680" w:type="dxa"/>
            <w:vAlign w:val="bottom"/>
            <w:shd w:val="clear" w:color="auto" w:fill="CCEEFF"/>
          </w:tcPr>
          <w:p>
            <w:pPr>
              <w:spacing w:after="0"/>
              <w:rPr>
                <w:sz w:val="18"/>
                <w:szCs w:val="18"/>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(incorporated by reference to Exhibit 10(j) of the Registrant's Annual Report on Form 10-K for the year ended</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31, 2011).</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10(k)</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Texas Instruments 2003 Director Compensation Plan as amended October 16, 2008 (incorporated by reference to</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Exhibit 10(k) to the Registrant's Annual Report on Form 10-K for the year ended December 31, 2008).</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10(l)</w:t>
            </w: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Form of Stock Option Agreement for Executive Officers under the Texas Instruments 2009 Long-Term Incentive</w:t>
            </w:r>
          </w:p>
        </w:tc>
      </w:tr>
      <w:tr>
        <w:trPr>
          <w:trHeight w:val="257"/>
        </w:trPr>
        <w:tc>
          <w:tcPr>
            <w:tcW w:w="1680" w:type="dxa"/>
            <w:vAlign w:val="bottom"/>
            <w:shd w:val="clear" w:color="auto" w:fill="CCEEFF"/>
          </w:tcPr>
          <w:p>
            <w:pPr>
              <w:spacing w:after="0"/>
              <w:rPr>
                <w:sz w:val="22"/>
                <w:szCs w:val="22"/>
                <w:color w:val="auto"/>
              </w:rPr>
            </w:pPr>
          </w:p>
        </w:tc>
        <w:tc>
          <w:tcPr>
            <w:tcW w:w="8680" w:type="dxa"/>
            <w:vAlign w:val="bottom"/>
            <w:shd w:val="clear" w:color="auto" w:fill="CCEEFF"/>
          </w:tcPr>
          <w:p>
            <w:pPr>
              <w:ind w:left="200"/>
              <w:spacing w:after="0" w:line="258" w:lineRule="exact"/>
              <w:rPr>
                <w:sz w:val="20"/>
                <w:szCs w:val="20"/>
                <w:color w:val="auto"/>
              </w:rPr>
            </w:pPr>
            <w:r>
              <w:rPr>
                <w:rFonts w:ascii="Arial" w:cs="Arial" w:eastAsia="Arial" w:hAnsi="Arial"/>
                <w:sz w:val="29"/>
                <w:szCs w:val="29"/>
                <w:color w:val="auto"/>
                <w:vertAlign w:val="subscript"/>
              </w:rPr>
              <w:t>Plan.</w:t>
            </w:r>
            <w:r>
              <w:rPr>
                <w:rFonts w:ascii="Arial" w:cs="Arial" w:eastAsia="Arial" w:hAnsi="Arial"/>
                <w:sz w:val="11"/>
                <w:szCs w:val="11"/>
                <w:color w:val="auto"/>
              </w:rPr>
              <w:t>(a)(b)</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70"/>
        </w:trPr>
        <w:tc>
          <w:tcPr>
            <w:tcW w:w="1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10(m)</w:t>
            </w:r>
          </w:p>
        </w:tc>
        <w:tc>
          <w:tcPr>
            <w:tcW w:w="86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7"/>
              </w:rPr>
              <w:t>Form of Restricted Stock Unit Agreement under the Texas Instruments 2009 Long-Term Incentive Plan.</w:t>
            </w:r>
            <w:r>
              <w:rPr>
                <w:rFonts w:ascii="Arial" w:cs="Arial" w:eastAsia="Arial" w:hAnsi="Arial"/>
                <w:sz w:val="25"/>
                <w:szCs w:val="25"/>
                <w:color w:val="auto"/>
                <w:w w:val="97"/>
                <w:vertAlign w:val="superscript"/>
              </w:rPr>
              <w:t>(a)(b)</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10(n)</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Texas Instruments 2009 Long-Term Incentive Plan as amended September 17, 2009 (incorporated by reference to</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Exhibit 10.1 to the Registrant's Quarterly Report on Form 10-Q for the quarter ended September 30, 2009).</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10(o)</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Texas Instruments 2009 Director Compensation Plan as amended December 2, 2010 (incorporated by reference to</w:t>
            </w: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Exhibit 10 to the Registrant's Current Report on Form 8-K filed December 7, 2010).</w:t>
            </w:r>
          </w:p>
        </w:tc>
      </w:tr>
      <w:tr>
        <w:trPr>
          <w:trHeight w:val="297"/>
        </w:trPr>
        <w:tc>
          <w:tcPr>
            <w:tcW w:w="16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29"/>
        </w:trPr>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10(p)</w:t>
            </w: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Agreement and Plan of Merger (incorporated by reference to Exhibit 2.1 to the Registrant's Current Report on Form</w:t>
            </w:r>
          </w:p>
        </w:tc>
      </w:tr>
      <w:tr>
        <w:trPr>
          <w:trHeight w:val="230"/>
        </w:trPr>
        <w:tc>
          <w:tcPr>
            <w:tcW w:w="1680" w:type="dxa"/>
            <w:vAlign w:val="bottom"/>
            <w:shd w:val="clear" w:color="auto" w:fill="CCEEFF"/>
          </w:tcPr>
          <w:p>
            <w:pPr>
              <w:spacing w:after="0"/>
              <w:rPr>
                <w:sz w:val="20"/>
                <w:szCs w:val="20"/>
                <w:color w:val="auto"/>
              </w:rPr>
            </w:pPr>
          </w:p>
        </w:tc>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8-K filed April 4, 2011).</w:t>
            </w:r>
          </w:p>
        </w:tc>
      </w:tr>
      <w:tr>
        <w:trPr>
          <w:trHeight w:val="27"/>
        </w:trPr>
        <w:tc>
          <w:tcPr>
            <w:tcW w:w="1680" w:type="dxa"/>
            <w:vAlign w:val="bottom"/>
            <w:shd w:val="clear" w:color="auto" w:fill="CCEEFF"/>
          </w:tcPr>
          <w:p>
            <w:pPr>
              <w:spacing w:after="0"/>
              <w:rPr>
                <w:sz w:val="2"/>
                <w:szCs w:val="2"/>
                <w:color w:val="auto"/>
              </w:rPr>
            </w:pPr>
          </w:p>
        </w:tc>
        <w:tc>
          <w:tcPr>
            <w:tcW w:w="86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57796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290" w:lineRule="exact"/>
        <w:rPr>
          <w:sz w:val="20"/>
          <w:szCs w:val="20"/>
          <w:color w:val="auto"/>
        </w:rPr>
      </w:pPr>
    </w:p>
    <w:p>
      <w:pPr>
        <w:ind w:left="1880" w:hanging="1023"/>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(b)</w:t>
      </w:r>
    </w:p>
    <w:p>
      <w:pPr>
        <w:spacing w:after="0" w:line="279" w:lineRule="exact"/>
        <w:rPr>
          <w:rFonts w:ascii="Arial" w:cs="Arial" w:eastAsia="Arial" w:hAnsi="Arial"/>
          <w:sz w:val="18"/>
          <w:szCs w:val="18"/>
          <w:color w:val="auto"/>
        </w:rPr>
      </w:pPr>
    </w:p>
    <w:p>
      <w:pPr>
        <w:ind w:left="1880" w:hanging="1023"/>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Registrant's 2012 Annual Report to Stockholders incorporated by reference herein.</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57796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21</w:t>
            </w:r>
          </w:p>
        </w:tc>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List of Subsidiaries of the Registrant.</w:t>
            </w:r>
            <w:r>
              <w:rPr>
                <w:rFonts w:ascii="Arial" w:cs="Arial" w:eastAsia="Arial" w:hAnsi="Arial"/>
                <w:sz w:val="25"/>
                <w:szCs w:val="25"/>
                <w:color w:val="auto"/>
                <w:vertAlign w:val="superscript"/>
              </w:rPr>
              <w:t>(b)</w:t>
            </w:r>
          </w:p>
        </w:tc>
      </w:tr>
      <w:tr>
        <w:trPr>
          <w:trHeight w:val="297"/>
        </w:trPr>
        <w:tc>
          <w:tcPr>
            <w:tcW w:w="1520" w:type="dxa"/>
            <w:vAlign w:val="bottom"/>
          </w:tcPr>
          <w:p>
            <w:pPr>
              <w:spacing w:after="0"/>
              <w:rPr>
                <w:sz w:val="24"/>
                <w:szCs w:val="24"/>
                <w:color w:val="auto"/>
              </w:rPr>
            </w:pPr>
          </w:p>
        </w:tc>
        <w:tc>
          <w:tcPr>
            <w:tcW w:w="8840" w:type="dxa"/>
            <w:vAlign w:val="bottom"/>
            <w:gridSpan w:val="2"/>
          </w:tcPr>
          <w:p>
            <w:pPr>
              <w:spacing w:after="0"/>
              <w:rPr>
                <w:sz w:val="24"/>
                <w:szCs w:val="24"/>
                <w:color w:val="auto"/>
              </w:rPr>
            </w:pPr>
          </w:p>
        </w:tc>
      </w:tr>
      <w:tr>
        <w:trPr>
          <w:trHeight w:val="270"/>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23</w:t>
            </w:r>
          </w:p>
        </w:tc>
        <w:tc>
          <w:tcPr>
            <w:tcW w:w="88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Consent of Independent Registered Public Accounting Firm.</w:t>
            </w:r>
            <w:r>
              <w:rPr>
                <w:rFonts w:ascii="Arial" w:cs="Arial" w:eastAsia="Arial" w:hAnsi="Arial"/>
                <w:sz w:val="25"/>
                <w:szCs w:val="25"/>
                <w:color w:val="auto"/>
                <w:vertAlign w:val="superscript"/>
              </w:rPr>
              <w:t>(b)</w:t>
            </w:r>
          </w:p>
        </w:tc>
      </w:tr>
      <w:tr>
        <w:trPr>
          <w:trHeight w:val="297"/>
        </w:trPr>
        <w:tc>
          <w:tcPr>
            <w:tcW w:w="1520" w:type="dxa"/>
            <w:vAlign w:val="bottom"/>
          </w:tcPr>
          <w:p>
            <w:pPr>
              <w:spacing w:after="0"/>
              <w:rPr>
                <w:sz w:val="24"/>
                <w:szCs w:val="24"/>
                <w:color w:val="auto"/>
              </w:rPr>
            </w:pPr>
          </w:p>
        </w:tc>
        <w:tc>
          <w:tcPr>
            <w:tcW w:w="8840" w:type="dxa"/>
            <w:vAlign w:val="bottom"/>
            <w:gridSpan w:val="2"/>
          </w:tcPr>
          <w:p>
            <w:pPr>
              <w:spacing w:after="0"/>
              <w:rPr>
                <w:sz w:val="24"/>
                <w:szCs w:val="24"/>
                <w:color w:val="auto"/>
              </w:rPr>
            </w:pPr>
          </w:p>
        </w:tc>
      </w:tr>
      <w:tr>
        <w:trPr>
          <w:trHeight w:val="270"/>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31(a)</w:t>
            </w:r>
          </w:p>
        </w:tc>
        <w:tc>
          <w:tcPr>
            <w:tcW w:w="88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Rule 13a-14(a)/15(d)-14(a) Certification of Chief Executive Officer.</w:t>
            </w:r>
            <w:r>
              <w:rPr>
                <w:rFonts w:ascii="Arial" w:cs="Arial" w:eastAsia="Arial" w:hAnsi="Arial"/>
                <w:sz w:val="25"/>
                <w:szCs w:val="25"/>
                <w:color w:val="auto"/>
                <w:vertAlign w:val="superscript"/>
              </w:rPr>
              <w:t>(b)</w:t>
            </w:r>
          </w:p>
        </w:tc>
      </w:tr>
      <w:tr>
        <w:trPr>
          <w:trHeight w:val="297"/>
        </w:trPr>
        <w:tc>
          <w:tcPr>
            <w:tcW w:w="1520" w:type="dxa"/>
            <w:vAlign w:val="bottom"/>
          </w:tcPr>
          <w:p>
            <w:pPr>
              <w:spacing w:after="0"/>
              <w:rPr>
                <w:sz w:val="24"/>
                <w:szCs w:val="24"/>
                <w:color w:val="auto"/>
              </w:rPr>
            </w:pPr>
          </w:p>
        </w:tc>
        <w:tc>
          <w:tcPr>
            <w:tcW w:w="8840" w:type="dxa"/>
            <w:vAlign w:val="bottom"/>
            <w:gridSpan w:val="2"/>
          </w:tcPr>
          <w:p>
            <w:pPr>
              <w:spacing w:after="0"/>
              <w:rPr>
                <w:sz w:val="24"/>
                <w:szCs w:val="24"/>
                <w:color w:val="auto"/>
              </w:rPr>
            </w:pPr>
          </w:p>
        </w:tc>
      </w:tr>
      <w:tr>
        <w:trPr>
          <w:trHeight w:val="270"/>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31(b)</w:t>
            </w:r>
          </w:p>
        </w:tc>
        <w:tc>
          <w:tcPr>
            <w:tcW w:w="88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Rule 13a-14(a)/15(d)-14(a) Certification of Chief Financial Officer.</w:t>
            </w:r>
            <w:r>
              <w:rPr>
                <w:rFonts w:ascii="Arial" w:cs="Arial" w:eastAsia="Arial" w:hAnsi="Arial"/>
                <w:sz w:val="25"/>
                <w:szCs w:val="25"/>
                <w:color w:val="auto"/>
                <w:vertAlign w:val="superscript"/>
              </w:rPr>
              <w:t>(b)</w:t>
            </w:r>
          </w:p>
        </w:tc>
      </w:tr>
      <w:tr>
        <w:trPr>
          <w:trHeight w:val="297"/>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70"/>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32(a)</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Section 1350</w:t>
            </w:r>
          </w:p>
        </w:tc>
        <w:tc>
          <w:tcPr>
            <w:tcW w:w="7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Certification of Chief Executive Officer.</w:t>
            </w:r>
            <w:r>
              <w:rPr>
                <w:rFonts w:ascii="Arial" w:cs="Arial" w:eastAsia="Arial" w:hAnsi="Arial"/>
                <w:sz w:val="25"/>
                <w:szCs w:val="25"/>
                <w:color w:val="auto"/>
                <w:vertAlign w:val="superscript"/>
              </w:rPr>
              <w:t>(b)</w:t>
            </w:r>
          </w:p>
        </w:tc>
      </w:tr>
      <w:tr>
        <w:trPr>
          <w:trHeight w:val="297"/>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70"/>
        </w:trPr>
        <w:tc>
          <w:tcPr>
            <w:tcW w:w="15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32(b)</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Section 1350</w:t>
            </w:r>
          </w:p>
        </w:tc>
        <w:tc>
          <w:tcPr>
            <w:tcW w:w="7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Certification of Chief Financial Officer.</w:t>
            </w:r>
            <w:r>
              <w:rPr>
                <w:rFonts w:ascii="Arial" w:cs="Arial" w:eastAsia="Arial" w:hAnsi="Arial"/>
                <w:sz w:val="25"/>
                <w:szCs w:val="25"/>
                <w:color w:val="auto"/>
                <w:vertAlign w:val="superscript"/>
              </w:rPr>
              <w:t>(b)</w:t>
            </w:r>
          </w:p>
        </w:tc>
      </w:tr>
    </w:tbl>
    <w:p>
      <w:pPr>
        <w:spacing w:after="0" w:line="200" w:lineRule="exact"/>
        <w:rPr>
          <w:sz w:val="20"/>
          <w:szCs w:val="20"/>
          <w:color w:val="auto"/>
        </w:rPr>
      </w:pPr>
    </w:p>
    <w:p>
      <w:pPr>
        <w:sectPr>
          <w:pgSz w:w="11900" w:h="16838" w:orient="portrait"/>
          <w:cols w:equalWidth="0" w:num="1">
            <w:col w:w="10360"/>
          </w:cols>
          <w:pgMar w:left="240" w:top="746" w:right="129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360"/>
          </w:cols>
          <w:pgMar w:left="240" w:top="746" w:right="129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2"/>
              </w:rPr>
              <w:t>Designation of</w:t>
            </w:r>
          </w:p>
        </w:tc>
        <w:tc>
          <w:tcPr>
            <w:tcW w:w="8660" w:type="dxa"/>
            <w:vAlign w:val="bottom"/>
          </w:tcPr>
          <w:p>
            <w:pPr>
              <w:spacing w:after="0"/>
              <w:rPr>
                <w:sz w:val="18"/>
                <w:szCs w:val="18"/>
                <w:color w:val="auto"/>
              </w:rPr>
            </w:pPr>
          </w:p>
        </w:tc>
      </w:tr>
      <w:tr>
        <w:trPr>
          <w:trHeight w:val="216"/>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8"/>
              </w:rPr>
              <w:t>Exhibit in</w:t>
            </w:r>
          </w:p>
        </w:tc>
        <w:tc>
          <w:tcPr>
            <w:tcW w:w="8660" w:type="dxa"/>
            <w:vAlign w:val="bottom"/>
          </w:tcPr>
          <w:p>
            <w:pPr>
              <w:spacing w:after="0"/>
              <w:rPr>
                <w:sz w:val="18"/>
                <w:szCs w:val="18"/>
                <w:color w:val="auto"/>
              </w:rPr>
            </w:pPr>
          </w:p>
        </w:tc>
      </w:tr>
      <w:tr>
        <w:trPr>
          <w:trHeight w:val="230"/>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1"/>
              </w:rPr>
              <w:t>this Report</w:t>
            </w:r>
          </w:p>
        </w:tc>
        <w:tc>
          <w:tcPr>
            <w:tcW w:w="8660" w:type="dxa"/>
            <w:vAlign w:val="bottom"/>
          </w:tcPr>
          <w:p>
            <w:pPr>
              <w:ind w:left="220"/>
              <w:spacing w:after="0"/>
              <w:rPr>
                <w:sz w:val="20"/>
                <w:szCs w:val="20"/>
                <w:color w:val="auto"/>
              </w:rPr>
            </w:pPr>
            <w:r>
              <w:rPr>
                <w:rFonts w:ascii="Arial" w:cs="Arial" w:eastAsia="Arial" w:hAnsi="Arial"/>
                <w:sz w:val="18"/>
                <w:szCs w:val="18"/>
                <w:color w:val="auto"/>
              </w:rPr>
              <w:t>Description of Exhibit</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101.ins</w:t>
            </w: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Instance Document</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50"/>
        </w:trPr>
        <w:tc>
          <w:tcPr>
            <w:tcW w:w="17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8"/>
              </w:rPr>
              <w:t>101.sch</w:t>
            </w: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Schema</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50"/>
        </w:trPr>
        <w:tc>
          <w:tcPr>
            <w:tcW w:w="17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101.cal</w:t>
            </w: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Calculation Linkbase</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50"/>
        </w:trPr>
        <w:tc>
          <w:tcPr>
            <w:tcW w:w="17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101.Def</w:t>
            </w: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Definitions Document</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50"/>
        </w:trPr>
        <w:tc>
          <w:tcPr>
            <w:tcW w:w="17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101.lab</w:t>
            </w: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Labels Linkbase</w:t>
            </w:r>
          </w:p>
        </w:tc>
      </w:tr>
      <w:tr>
        <w:trPr>
          <w:trHeight w:val="297"/>
        </w:trPr>
        <w:tc>
          <w:tcPr>
            <w:tcW w:w="17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43"/>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101.pre</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Presentation Linkbase</w:t>
            </w:r>
          </w:p>
        </w:tc>
      </w:tr>
      <w:tr>
        <w:trPr>
          <w:trHeight w:val="27"/>
        </w:trPr>
        <w:tc>
          <w:tcPr>
            <w:tcW w:w="1700" w:type="dxa"/>
            <w:vAlign w:val="bottom"/>
            <w:shd w:val="clear" w:color="auto" w:fill="CCEEFF"/>
          </w:tcPr>
          <w:p>
            <w:pPr>
              <w:spacing w:after="0"/>
              <w:rPr>
                <w:sz w:val="2"/>
                <w:szCs w:val="2"/>
                <w:color w:val="auto"/>
              </w:rPr>
            </w:pPr>
          </w:p>
        </w:tc>
        <w:tc>
          <w:tcPr>
            <w:tcW w:w="86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240" w:hanging="218"/>
        <w:spacing w:after="0"/>
        <w:tabs>
          <w:tab w:leader="none" w:pos="2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Management compensation plans and arrangements.</w:t>
      </w:r>
    </w:p>
    <w:p>
      <w:pPr>
        <w:spacing w:after="0" w:line="1" w:lineRule="exact"/>
        <w:rPr>
          <w:rFonts w:ascii="Arial" w:cs="Arial" w:eastAsia="Arial" w:hAnsi="Arial"/>
          <w:sz w:val="25"/>
          <w:szCs w:val="25"/>
          <w:color w:val="auto"/>
          <w:vertAlign w:val="superscript"/>
        </w:rPr>
      </w:pPr>
    </w:p>
    <w:p>
      <w:pPr>
        <w:ind w:left="240" w:hanging="218"/>
        <w:spacing w:after="0" w:line="186" w:lineRule="auto"/>
        <w:tabs>
          <w:tab w:leader="none" w:pos="2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Filed herewith.</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360"/>
          </w:cols>
          <w:pgMar w:left="240" w:top="746" w:right="1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48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11" w:lineRule="exact"/>
        <w:rPr>
          <w:sz w:val="20"/>
          <w:szCs w:val="20"/>
          <w:color w:val="auto"/>
        </w:rPr>
      </w:pPr>
    </w:p>
    <w:p>
      <w:pPr>
        <w:ind w:left="660" w:right="640" w:hanging="328"/>
        <w:spacing w:after="0" w:line="271"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82" w:lineRule="exact"/>
        <w:rPr>
          <w:rFonts w:ascii="Arial" w:cs="Arial" w:eastAsia="Arial" w:hAnsi="Arial"/>
          <w:sz w:val="22"/>
          <w:szCs w:val="22"/>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584" w:right="419" w:bottom="1440" w:gutter="0" w:footer="0" w:header="0"/>
        </w:sectPr>
      </w:pPr>
    </w:p>
    <w:bookmarkStart w:id="25" w:name="page26"/>
    <w:bookmarkEnd w:id="25"/>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368" w:right="319" w:bottom="1440" w:gutter="0" w:footer="0" w:header="0"/>
        </w:sectPr>
      </w:pPr>
    </w:p>
    <w:bookmarkStart w:id="26" w:name="page27"/>
    <w:bookmarkEnd w:id="26"/>
    <w:p>
      <w:pPr>
        <w:jc w:val="center"/>
        <w:ind w:right="-37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53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0610" cy="17145"/>
                    </a:xfrm>
                    <a:prstGeom prst="rect">
                      <a:avLst/>
                    </a:prstGeom>
                    <a:noFill/>
                  </pic:spPr>
                </pic:pic>
              </a:graphicData>
            </a:graphic>
          </wp:anchor>
        </w:drawing>
      </w:r>
    </w:p>
    <w:p>
      <w:pPr>
        <w:spacing w:after="0" w:line="66"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240" w:top="368" w:right="599" w:bottom="1440" w:gutter="0" w:footer="0" w:header="0"/>
        </w:sectPr>
      </w:pPr>
    </w:p>
    <w:bookmarkStart w:id="27" w:name="page28"/>
    <w:bookmarkEnd w:id="27"/>
    <w:p>
      <w:pPr>
        <w:ind w:right="120"/>
        <w:spacing w:after="0" w:line="271" w:lineRule="auto"/>
        <w:rPr>
          <w:sz w:val="20"/>
          <w:szCs w:val="20"/>
          <w:color w:val="auto"/>
        </w:rPr>
      </w:pPr>
      <w:r>
        <w:rPr>
          <w:rFonts w:ascii="Arial" w:cs="Arial" w:eastAsia="Arial" w:hAnsi="Arial"/>
          <w:sz w:val="17"/>
          <w:szCs w:val="17"/>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2012,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21st day of February 2013.</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960" w:type="dxa"/>
            <w:vAlign w:val="bottom"/>
          </w:tcPr>
          <w:p>
            <w:pPr>
              <w:jc w:val="center"/>
              <w:spacing w:after="0"/>
              <w:rPr>
                <w:sz w:val="20"/>
                <w:szCs w:val="20"/>
                <w:color w:val="auto"/>
              </w:rPr>
            </w:pPr>
            <w:r>
              <w:rPr>
                <w:rFonts w:ascii="Arial" w:cs="Arial" w:eastAsia="Arial" w:hAnsi="Arial"/>
                <w:sz w:val="18"/>
                <w:szCs w:val="18"/>
                <w:color w:val="auto"/>
                <w:w w:val="89"/>
              </w:rPr>
              <w:t>/s/ Ralph W. Babb, Jr.</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3"/>
              </w:rPr>
              <w:t>Ralph W. Babb, Jr.</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5960" w:type="dxa"/>
            <w:vAlign w:val="bottom"/>
          </w:tcPr>
          <w:p>
            <w:pPr>
              <w:jc w:val="center"/>
              <w:spacing w:after="0"/>
              <w:rPr>
                <w:sz w:val="20"/>
                <w:szCs w:val="20"/>
                <w:color w:val="auto"/>
              </w:rPr>
            </w:pPr>
            <w:r>
              <w:rPr>
                <w:rFonts w:ascii="Arial" w:cs="Arial" w:eastAsia="Arial" w:hAnsi="Arial"/>
                <w:sz w:val="18"/>
                <w:szCs w:val="18"/>
                <w:color w:val="auto"/>
                <w:w w:val="97"/>
              </w:rPr>
              <w:t>/s/ Mark A. Blinn</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7"/>
              </w:rPr>
              <w:t>Mark A. Blinn</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93"/>
              </w:rPr>
              <w:t>/s/ Daniel A. Carp</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4"/>
              </w:rPr>
              <w:t>Daniel A. Carp</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90"/>
              </w:rPr>
              <w:t>/s/ Carrie S. Cox</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1"/>
              </w:rPr>
              <w:t>Carrie S. Cox</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88"/>
              </w:rPr>
              <w:t>/s/ Pamela H. Patsley</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0"/>
              </w:rPr>
              <w:t>Pamela H. Patsley</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5960" w:type="dxa"/>
            <w:vAlign w:val="bottom"/>
          </w:tcPr>
          <w:p>
            <w:pPr>
              <w:jc w:val="center"/>
              <w:spacing w:after="0"/>
              <w:rPr>
                <w:sz w:val="20"/>
                <w:szCs w:val="20"/>
                <w:color w:val="auto"/>
              </w:rPr>
            </w:pPr>
            <w:r>
              <w:rPr>
                <w:rFonts w:ascii="Arial" w:cs="Arial" w:eastAsia="Arial" w:hAnsi="Arial"/>
                <w:sz w:val="18"/>
                <w:szCs w:val="18"/>
                <w:color w:val="auto"/>
                <w:w w:val="89"/>
              </w:rPr>
              <w:t>/s/ Robert E. Sanchez</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1"/>
              </w:rPr>
              <w:t>Robert E. Sanchez</w:t>
            </w:r>
          </w:p>
        </w:tc>
        <w:tc>
          <w:tcPr>
            <w:tcW w:w="440" w:type="dxa"/>
            <w:vAlign w:val="bottom"/>
          </w:tcPr>
          <w:p>
            <w:pPr>
              <w:spacing w:after="0"/>
              <w:rPr>
                <w:sz w:val="20"/>
                <w:szCs w:val="20"/>
                <w:color w:val="auto"/>
              </w:rPr>
            </w:pP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960" w:type="dxa"/>
            <w:vAlign w:val="bottom"/>
          </w:tcPr>
          <w:p>
            <w:pPr>
              <w:jc w:val="center"/>
              <w:spacing w:after="0"/>
              <w:rPr>
                <w:sz w:val="20"/>
                <w:szCs w:val="20"/>
                <w:color w:val="auto"/>
              </w:rPr>
            </w:pPr>
            <w:r>
              <w:rPr>
                <w:rFonts w:ascii="Arial" w:cs="Arial" w:eastAsia="Arial" w:hAnsi="Arial"/>
                <w:sz w:val="18"/>
                <w:szCs w:val="18"/>
                <w:color w:val="auto"/>
                <w:w w:val="86"/>
              </w:rPr>
              <w:t>/s/ Wayne R. Sanders</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89"/>
              </w:rPr>
              <w:t>Wayne R. Sanders</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89"/>
              </w:rPr>
              <w:t>/s/ Ruth J. Simmons</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89"/>
              </w:rPr>
              <w:t>Ruth J. Simmons</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90"/>
              </w:rPr>
              <w:t>/s/ Richard K. Templeton</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1"/>
              </w:rPr>
              <w:t>Chairman of the Board; Director; President and Chief Executive</w:t>
            </w:r>
          </w:p>
        </w:tc>
        <w:tc>
          <w:tcPr>
            <w:tcW w:w="0" w:type="dxa"/>
            <w:vAlign w:val="bottom"/>
          </w:tcPr>
          <w:p>
            <w:pPr>
              <w:spacing w:after="0"/>
              <w:rPr>
                <w:sz w:val="1"/>
                <w:szCs w:val="1"/>
                <w:color w:val="auto"/>
              </w:rPr>
            </w:pPr>
          </w:p>
        </w:tc>
      </w:tr>
      <w:tr>
        <w:trPr>
          <w:trHeight w:val="215"/>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K. Templeton</w:t>
            </w:r>
          </w:p>
        </w:tc>
        <w:tc>
          <w:tcPr>
            <w:tcW w:w="44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92"/>
              </w:rPr>
              <w:t>/s/ Christine Todd Whitman</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2"/>
              </w:rPr>
              <w:t>Christine Todd Whitman</w:t>
            </w: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960" w:type="dxa"/>
            <w:vAlign w:val="bottom"/>
          </w:tcPr>
          <w:p>
            <w:pPr>
              <w:jc w:val="center"/>
              <w:spacing w:after="0"/>
              <w:rPr>
                <w:sz w:val="20"/>
                <w:szCs w:val="20"/>
                <w:color w:val="auto"/>
              </w:rPr>
            </w:pPr>
            <w:r>
              <w:rPr>
                <w:rFonts w:ascii="Arial" w:cs="Arial" w:eastAsia="Arial" w:hAnsi="Arial"/>
                <w:sz w:val="18"/>
                <w:szCs w:val="18"/>
                <w:color w:val="auto"/>
                <w:w w:val="91"/>
              </w:rPr>
              <w:t>/s/ Kevin P. March</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2"/>
              </w:rPr>
              <w:t>Senior Vice President; Chief Financial Officer; Chief Accounting</w:t>
            </w:r>
          </w:p>
        </w:tc>
        <w:tc>
          <w:tcPr>
            <w:tcW w:w="0" w:type="dxa"/>
            <w:vAlign w:val="bottom"/>
          </w:tcPr>
          <w:p>
            <w:pPr>
              <w:spacing w:after="0"/>
              <w:rPr>
                <w:sz w:val="1"/>
                <w:szCs w:val="1"/>
                <w:color w:val="auto"/>
              </w:rPr>
            </w:pPr>
          </w:p>
        </w:tc>
      </w:tr>
      <w:tr>
        <w:trPr>
          <w:trHeight w:val="215"/>
        </w:trPr>
        <w:tc>
          <w:tcPr>
            <w:tcW w:w="5960" w:type="dxa"/>
            <w:vAlign w:val="bottom"/>
          </w:tcPr>
          <w:p>
            <w:pPr>
              <w:jc w:val="center"/>
              <w:spacing w:after="0"/>
              <w:rPr>
                <w:sz w:val="20"/>
                <w:szCs w:val="20"/>
                <w:color w:val="auto"/>
              </w:rPr>
            </w:pPr>
            <w:r>
              <w:rPr>
                <w:rFonts w:ascii="Arial" w:cs="Arial" w:eastAsia="Arial" w:hAnsi="Arial"/>
                <w:sz w:val="18"/>
                <w:szCs w:val="18"/>
                <w:b w:val="1"/>
                <w:bCs w:val="1"/>
                <w:color w:val="auto"/>
                <w:w w:val="92"/>
              </w:rPr>
              <w:t>Kevin P. March</w:t>
            </w:r>
          </w:p>
        </w:tc>
        <w:tc>
          <w:tcPr>
            <w:tcW w:w="44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37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Page</w:t>
      </w:r>
    </w:p>
    <w:p>
      <w:pPr>
        <w:spacing w:after="0" w:line="2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Reference 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Portions of Annual</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6"/>
          <w:szCs w:val="16"/>
          <w:color w:val="auto"/>
        </w:rPr>
        <w:t>Report as Set Forth</w:t>
      </w:r>
    </w:p>
    <w:p>
      <w:pPr>
        <w:spacing w:after="0" w:line="32"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in 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22860</wp:posOffset>
            </wp:positionV>
            <wp:extent cx="9347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Information incorporated by reference to the Registrant's 2011 annual report to stockholders (items below included herein as Exhibit 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for each of the three years in the period ended December 31, 2012</w:t>
            </w:r>
          </w:p>
        </w:tc>
        <w:tc>
          <w:tcPr>
            <w:tcW w:w="25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79"/>
              </w:rPr>
              <w:t>1</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Comprehensive income for each of the three years in the period ended December 31, 2012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2</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sheets at December 31, 2012 and 2011</w:t>
            </w:r>
          </w:p>
        </w:tc>
        <w:tc>
          <w:tcPr>
            <w:tcW w:w="2520" w:type="dxa"/>
            <w:vAlign w:val="bottom"/>
            <w:tcBorders>
              <w:bottom w:val="single" w:sz="8" w:color="CCEEFF"/>
            </w:tcBorders>
            <w:shd w:val="clear" w:color="auto" w:fill="CCEEFF"/>
          </w:tcPr>
          <w:p>
            <w:pPr>
              <w:jc w:val="center"/>
              <w:ind w:left="950"/>
              <w:spacing w:after="0"/>
              <w:rPr>
                <w:sz w:val="20"/>
                <w:szCs w:val="20"/>
                <w:color w:val="auto"/>
              </w:rPr>
            </w:pPr>
            <w:r>
              <w:rPr>
                <w:rFonts w:ascii="Arial" w:cs="Arial" w:eastAsia="Arial" w:hAnsi="Arial"/>
                <w:sz w:val="18"/>
                <w:szCs w:val="18"/>
                <w:color w:val="auto"/>
                <w:w w:val="79"/>
              </w:rPr>
              <w:t>3</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Cash flows for each of the three years in the period ended December 31, 2012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4</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 equity for each of the three years in the period ended December 31, 2012</w:t>
            </w:r>
          </w:p>
        </w:tc>
        <w:tc>
          <w:tcPr>
            <w:tcW w:w="2520" w:type="dxa"/>
            <w:vAlign w:val="bottom"/>
            <w:tcBorders>
              <w:bottom w:val="single" w:sz="8" w:color="CCEEFF"/>
            </w:tcBorders>
            <w:shd w:val="clear" w:color="auto" w:fill="CCEEFF"/>
          </w:tcPr>
          <w:p>
            <w:pPr>
              <w:jc w:val="center"/>
              <w:ind w:left="950"/>
              <w:spacing w:after="0"/>
              <w:rPr>
                <w:sz w:val="20"/>
                <w:szCs w:val="20"/>
                <w:color w:val="auto"/>
              </w:rPr>
            </w:pPr>
            <w:r>
              <w:rPr>
                <w:rFonts w:ascii="Arial" w:cs="Arial" w:eastAsia="Arial" w:hAnsi="Arial"/>
                <w:sz w:val="18"/>
                <w:szCs w:val="18"/>
                <w:color w:val="auto"/>
                <w:w w:val="79"/>
              </w:rPr>
              <w:t>5</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Notes to financial statements</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6</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2520" w:type="dxa"/>
            <w:vAlign w:val="bottom"/>
            <w:tcBorders>
              <w:bottom w:val="single" w:sz="8" w:color="CCEEFF"/>
            </w:tcBorders>
            <w:shd w:val="clear" w:color="auto" w:fill="CCEEFF"/>
          </w:tcPr>
          <w:p>
            <w:pPr>
              <w:jc w:val="center"/>
              <w:ind w:left="970"/>
              <w:spacing w:after="0"/>
              <w:rPr>
                <w:sz w:val="20"/>
                <w:szCs w:val="20"/>
                <w:color w:val="auto"/>
              </w:rPr>
            </w:pPr>
            <w:r>
              <w:rPr>
                <w:rFonts w:ascii="Arial" w:cs="Arial" w:eastAsia="Arial" w:hAnsi="Arial"/>
                <w:sz w:val="18"/>
                <w:szCs w:val="18"/>
                <w:color w:val="auto"/>
                <w:w w:val="89"/>
              </w:rPr>
              <w:t>37</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Report by management on internal control over financial reporting</w:t>
            </w:r>
          </w:p>
        </w:tc>
        <w:tc>
          <w:tcPr>
            <w:tcW w:w="2520" w:type="dxa"/>
            <w:vAlign w:val="bottom"/>
          </w:tcPr>
          <w:p>
            <w:pPr>
              <w:jc w:val="center"/>
              <w:ind w:left="970"/>
              <w:spacing w:after="0"/>
              <w:rPr>
                <w:sz w:val="20"/>
                <w:szCs w:val="20"/>
                <w:color w:val="auto"/>
              </w:rPr>
            </w:pPr>
            <w:r>
              <w:rPr>
                <w:rFonts w:ascii="Arial" w:cs="Arial" w:eastAsia="Arial" w:hAnsi="Arial"/>
                <w:sz w:val="18"/>
                <w:szCs w:val="18"/>
                <w:color w:val="auto"/>
                <w:w w:val="89"/>
              </w:rPr>
              <w:t>38</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25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39</w:t>
            </w:r>
          </w:p>
        </w:tc>
      </w:tr>
      <w:tr>
        <w:trPr>
          <w:trHeight w:val="27"/>
        </w:trPr>
        <w:tc>
          <w:tcPr>
            <w:tcW w:w="89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10(l)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Form No. 2</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Your option is subject to the following terms and conditions, your acceptance of which is required before you can exercise the option. As used below, “TI,” “the Company” and “the Option Date” have the meanings specified in Section 9.</w:t>
      </w:r>
    </w:p>
    <w:p>
      <w:pPr>
        <w:spacing w:after="0" w:line="170" w:lineRule="exact"/>
        <w:rPr>
          <w:sz w:val="20"/>
          <w:szCs w:val="20"/>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On or after the first anniversary of the Option Date, during the balance of the option term, your option may be exercised and shares purchased at any time or times under the following conditions:</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Installment Table</w:t>
      </w:r>
      <w:r>
        <w:rPr>
          <w:rFonts w:ascii="Arial" w:cs="Arial" w:eastAsia="Arial" w:hAnsi="Arial"/>
          <w:sz w:val="18"/>
          <w:szCs w:val="18"/>
          <w:color w:val="auto"/>
        </w:rPr>
        <w:t>. Except as provided in Sections 1(b) and 1(c), the option will be exercisable through the tenth anniversary of the Option Date based on the following table.</w:t>
      </w:r>
    </w:p>
    <w:p>
      <w:pPr>
        <w:spacing w:after="0" w:line="33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4680" w:type="dxa"/>
            <w:vAlign w:val="bottom"/>
            <w:gridSpan w:val="2"/>
          </w:tcPr>
          <w:p>
            <w:pPr>
              <w:ind w:left="1760"/>
              <w:spacing w:after="0"/>
              <w:rPr>
                <w:sz w:val="20"/>
                <w:szCs w:val="20"/>
                <w:color w:val="auto"/>
              </w:rPr>
            </w:pPr>
            <w:r>
              <w:rPr>
                <w:rFonts w:ascii="Arial" w:cs="Arial" w:eastAsia="Arial" w:hAnsi="Arial"/>
                <w:sz w:val="18"/>
                <w:szCs w:val="18"/>
                <w:color w:val="auto"/>
              </w:rPr>
              <w:t>On or After</w:t>
            </w:r>
          </w:p>
        </w:tc>
        <w:tc>
          <w:tcPr>
            <w:tcW w:w="3220" w:type="dxa"/>
            <w:vAlign w:val="bottom"/>
          </w:tcPr>
          <w:p>
            <w:pPr>
              <w:ind w:left="900"/>
              <w:spacing w:after="0"/>
              <w:rPr>
                <w:sz w:val="20"/>
                <w:szCs w:val="20"/>
                <w:color w:val="auto"/>
              </w:rPr>
            </w:pPr>
            <w:r>
              <w:rPr>
                <w:rFonts w:ascii="Arial" w:cs="Arial" w:eastAsia="Arial" w:hAnsi="Arial"/>
                <w:sz w:val="18"/>
                <w:szCs w:val="18"/>
                <w:color w:val="auto"/>
              </w:rPr>
              <w:t>Percent Exercisable</w:t>
            </w:r>
          </w:p>
        </w:tc>
      </w:tr>
      <w:tr>
        <w:trPr>
          <w:trHeight w:val="27"/>
        </w:trPr>
        <w:tc>
          <w:tcPr>
            <w:tcW w:w="4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76"/>
        </w:trPr>
        <w:tc>
          <w:tcPr>
            <w:tcW w:w="4680" w:type="dxa"/>
            <w:vAlign w:val="bottom"/>
            <w:gridSpan w:val="2"/>
          </w:tcPr>
          <w:p>
            <w:pPr>
              <w:ind w:left="40"/>
              <w:spacing w:after="0" w:line="276"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anniversary of the Option Date</w:t>
            </w:r>
          </w:p>
        </w:tc>
        <w:tc>
          <w:tcPr>
            <w:tcW w:w="322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0"/>
        </w:trPr>
        <w:tc>
          <w:tcPr>
            <w:tcW w:w="46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anniversary of the Option Date</w:t>
            </w:r>
          </w:p>
        </w:tc>
        <w:tc>
          <w:tcPr>
            <w:tcW w:w="32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46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anniversary of the Option Date</w:t>
            </w:r>
          </w:p>
        </w:tc>
        <w:tc>
          <w:tcPr>
            <w:tcW w:w="3220" w:type="dxa"/>
            <w:vAlign w:val="bottom"/>
          </w:tcPr>
          <w:p>
            <w:pPr>
              <w:jc w:val="center"/>
              <w:spacing w:after="0"/>
              <w:rPr>
                <w:sz w:val="20"/>
                <w:szCs w:val="20"/>
                <w:color w:val="auto"/>
              </w:rPr>
            </w:pPr>
            <w:r>
              <w:rPr>
                <w:rFonts w:ascii="Arial" w:cs="Arial" w:eastAsia="Arial" w:hAnsi="Arial"/>
                <w:sz w:val="18"/>
                <w:szCs w:val="18"/>
                <w:color w:val="auto"/>
                <w:w w:val="94"/>
              </w:rPr>
              <w:t>75%</w:t>
            </w:r>
          </w:p>
        </w:tc>
      </w:tr>
      <w:tr>
        <w:trPr>
          <w:trHeight w:val="329"/>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the Option Date</w:t>
            </w: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30" w:lineRule="exact"/>
        <w:rPr>
          <w:sz w:val="20"/>
          <w:szCs w:val="20"/>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u w:val="single" w:color="auto"/>
          <w:color w:val="auto"/>
        </w:rPr>
        <w:t>ermination of Employment</w:t>
      </w:r>
      <w:r>
        <w:rPr>
          <w:rFonts w:ascii="Arial" w:cs="Arial" w:eastAsia="Arial" w:hAnsi="Arial"/>
          <w:sz w:val="18"/>
          <w:szCs w:val="18"/>
          <w:color w:val="auto"/>
        </w:rPr>
        <w:t>. The effect of termination of employment from TI is as follows:</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option will be canceled immediately upon termination.</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12"/>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option will continue to full term, becoming exercisable per the table in Section 1(a), and will be exercisable by your heirs.</w:t>
      </w:r>
    </w:p>
    <w:p>
      <w:pPr>
        <w:spacing w:after="0" w:line="236" w:lineRule="exact"/>
        <w:rPr>
          <w:rFonts w:ascii="Arial" w:cs="Arial" w:eastAsia="Arial" w:hAnsi="Arial"/>
          <w:sz w:val="17"/>
          <w:szCs w:val="17"/>
          <w:color w:val="auto"/>
        </w:rPr>
      </w:pPr>
    </w:p>
    <w:p>
      <w:pPr>
        <w:ind w:left="1460" w:hanging="480"/>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Permanent disability</w:t>
      </w:r>
      <w:r>
        <w:rPr>
          <w:rFonts w:ascii="Arial" w:cs="Arial" w:eastAsia="Arial" w:hAnsi="Arial"/>
          <w:sz w:val="18"/>
          <w:szCs w:val="18"/>
          <w:color w:val="auto"/>
        </w:rPr>
        <w:t>: The option will continue to full term, becoming exercisable per the table in Section 1(a).</w:t>
      </w:r>
    </w:p>
    <w:p>
      <w:pPr>
        <w:spacing w:after="0" w:line="225" w:lineRule="exact"/>
        <w:rPr>
          <w:rFonts w:ascii="Arial" w:cs="Arial" w:eastAsia="Arial" w:hAnsi="Arial"/>
          <w:sz w:val="18"/>
          <w:szCs w:val="18"/>
          <w:color w:val="auto"/>
        </w:rPr>
      </w:pPr>
    </w:p>
    <w:p>
      <w:pPr>
        <w:ind w:left="1460" w:hanging="480"/>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at least six months after the Option Date, when you are Retirement Eligible as defined in Section 9</w:t>
      </w:r>
      <w:r>
        <w:rPr>
          <w:rFonts w:ascii="Arial" w:cs="Arial" w:eastAsia="Arial" w:hAnsi="Arial"/>
          <w:sz w:val="18"/>
          <w:szCs w:val="18"/>
          <w:color w:val="auto"/>
        </w:rPr>
        <w:t>: The option will continue to full term, becoming exercisable per the table in Section 1(a).</w:t>
      </w:r>
    </w:p>
    <w:p>
      <w:pPr>
        <w:spacing w:after="0" w:line="170"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Involuntary Termination (as defined in Section 9) within 24 months after a Change in Control (as defined in Section 9)</w:t>
      </w:r>
      <w:r>
        <w:rPr>
          <w:rFonts w:ascii="Arial" w:cs="Arial" w:eastAsia="Arial" w:hAnsi="Arial"/>
          <w:sz w:val="18"/>
          <w:szCs w:val="18"/>
          <w:color w:val="auto"/>
        </w:rPr>
        <w:t>: The table in Section 1(a) and the other provisions of this Section 1(b) will not apply, and the option will become fully exercisable as of the date of your termination and continue to full term.</w:t>
      </w:r>
    </w:p>
    <w:p>
      <w:pPr>
        <w:spacing w:after="0" w:line="181" w:lineRule="exact"/>
        <w:rPr>
          <w:rFonts w:ascii="Arial" w:cs="Arial" w:eastAsia="Arial" w:hAnsi="Arial"/>
          <w:sz w:val="18"/>
          <w:szCs w:val="18"/>
          <w:color w:val="auto"/>
        </w:rPr>
      </w:pPr>
    </w:p>
    <w:p>
      <w:pPr>
        <w:ind w:left="1460" w:hanging="480"/>
        <w:spacing w:after="0"/>
        <w:tabs>
          <w:tab w:leader="none" w:pos="1460"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For any termination other than those specified above, the option will be exercisable for 30 days after the date of termination, only</w:t>
      </w:r>
    </w:p>
    <w:p>
      <w:pPr>
        <w:spacing w:after="0" w:line="46" w:lineRule="exact"/>
        <w:rPr>
          <w:rFonts w:ascii="Arial" w:cs="Arial" w:eastAsia="Arial" w:hAnsi="Arial"/>
          <w:sz w:val="16"/>
          <w:szCs w:val="16"/>
          <w:color w:val="auto"/>
        </w:rPr>
      </w:pPr>
    </w:p>
    <w:p>
      <w:pPr>
        <w:jc w:val="both"/>
        <w:ind w:left="1460" w:right="20"/>
        <w:spacing w:after="0" w:line="255" w:lineRule="auto"/>
        <w:rPr>
          <w:rFonts w:ascii="Arial" w:cs="Arial" w:eastAsia="Arial" w:hAnsi="Arial"/>
          <w:sz w:val="16"/>
          <w:szCs w:val="16"/>
          <w:color w:val="auto"/>
        </w:rPr>
      </w:pPr>
      <w:r>
        <w:rPr>
          <w:rFonts w:ascii="Arial" w:cs="Arial" w:eastAsia="Arial" w:hAnsi="Arial"/>
          <w:sz w:val="18"/>
          <w:szCs w:val="18"/>
          <w:color w:val="auto"/>
        </w:rPr>
        <w:t>to 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186" w:lineRule="exact"/>
        <w:rPr>
          <w:rFonts w:ascii="Arial" w:cs="Arial" w:eastAsia="Arial" w:hAnsi="Arial"/>
          <w:sz w:val="16"/>
          <w:szCs w:val="16"/>
          <w:color w:val="auto"/>
        </w:rPr>
      </w:pPr>
    </w:p>
    <w:p>
      <w:pPr>
        <w:ind w:left="980" w:hanging="486"/>
        <w:spacing w:after="0" w:line="282" w:lineRule="auto"/>
        <w:tabs>
          <w:tab w:leader="none" w:pos="98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Non-solicitation and Competition</w:t>
      </w:r>
      <w:r>
        <w:rPr>
          <w:rFonts w:ascii="Arial" w:cs="Arial" w:eastAsia="Arial" w:hAnsi="Arial"/>
          <w:sz w:val="18"/>
          <w:szCs w:val="18"/>
          <w:b w:val="1"/>
          <w:bCs w:val="1"/>
          <w:color w:val="auto"/>
        </w:rPr>
        <w:t>. See Section 6 for the effect of disclosure of confidential information, solicitation of TI employees or customers, or competition with TI.</w:t>
      </w:r>
    </w:p>
    <w:p>
      <w:pPr>
        <w:spacing w:after="0" w:line="165" w:lineRule="exact"/>
        <w:rPr>
          <w:rFonts w:ascii="Arial" w:cs="Arial" w:eastAsia="Arial" w:hAnsi="Arial"/>
          <w:sz w:val="18"/>
          <w:szCs w:val="18"/>
          <w:b w:val="1"/>
          <w:bCs w:val="1"/>
          <w:color w:val="auto"/>
        </w:rPr>
      </w:pPr>
    </w:p>
    <w:p>
      <w:pPr>
        <w:ind w:left="500" w:hanging="492"/>
        <w:spacing w:after="0" w:line="34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Continuing Employment</w:t>
      </w:r>
      <w:r>
        <w:rPr>
          <w:rFonts w:ascii="Arial" w:cs="Arial" w:eastAsia="Arial" w:hAnsi="Arial"/>
          <w:sz w:val="16"/>
          <w:szCs w:val="16"/>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30" w:name="page31"/>
    <w:bookmarkEnd w:id="30"/>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option is not transferable except by will or by the laws of descent and distribution, and during your lifetime may be exercised only by you.</w:t>
      </w:r>
    </w:p>
    <w:p>
      <w:pPr>
        <w:spacing w:after="0" w:line="17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186" w:lineRule="exact"/>
        <w:rPr>
          <w:rFonts w:ascii="Arial" w:cs="Arial" w:eastAsia="Arial" w:hAnsi="Arial"/>
          <w:sz w:val="18"/>
          <w:szCs w:val="18"/>
          <w:color w:val="auto"/>
        </w:rPr>
      </w:pPr>
    </w:p>
    <w:p>
      <w:pPr>
        <w:jc w:val="both"/>
        <w:ind w:left="500" w:hanging="478"/>
        <w:spacing w:after="0" w:line="264" w:lineRule="auto"/>
        <w:tabs>
          <w:tab w:leader="none" w:pos="5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option is subject to all of the terms and conditions of the Texas Instruments 2009 Long-Term Incentive Plan (hereinafter “the Plan”). In the event of any conflict between such terms and conditions and those set forth herein, the terms of the Plan shall govern and be determinative.</w:t>
      </w:r>
    </w:p>
    <w:p>
      <w:pPr>
        <w:spacing w:after="0" w:line="177" w:lineRule="exact"/>
        <w:rPr>
          <w:sz w:val="20"/>
          <w:szCs w:val="20"/>
          <w:color w:val="auto"/>
        </w:rPr>
      </w:pPr>
    </w:p>
    <w:p>
      <w:pPr>
        <w:ind w:left="500" w:right="20" w:hanging="492"/>
        <w:spacing w:after="0" w:line="282"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Non-solicitation, Competition and Recoupment Policy</w:t>
      </w:r>
      <w:r>
        <w:rPr>
          <w:rFonts w:ascii="Arial" w:cs="Arial" w:eastAsia="Arial" w:hAnsi="Arial"/>
          <w:sz w:val="18"/>
          <w:szCs w:val="18"/>
          <w:color w:val="auto"/>
        </w:rPr>
        <w:t>. By accepting your option, and in consideration for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the Company's obligations set forth herein, you agree with the Company as follows:</w:t>
      </w:r>
    </w:p>
    <w:p>
      <w:pPr>
        <w:spacing w:after="0" w:line="16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pacing w:after="0" w:line="186" w:lineRule="exact"/>
        <w:rPr>
          <w:rFonts w:ascii="Arial" w:cs="Arial" w:eastAsia="Arial" w:hAnsi="Arial"/>
          <w:sz w:val="18"/>
          <w:szCs w:val="18"/>
          <w:color w:val="auto"/>
        </w:rPr>
      </w:pPr>
    </w:p>
    <w:p>
      <w:pPr>
        <w:jc w:val="both"/>
        <w:ind w:left="980" w:right="20" w:hanging="486"/>
        <w:spacing w:after="0" w:line="31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You recognize and acknowledge that (i) TI manufactures, designs, sells and markets its products in global markets, (ii) TI's success depends to a significant degree on the skills of its employees and their knowledge of TI's customers and suppliers, many of which operate on a global basis, and (iii) much of the information that TI maintains regarding its products, employees, customers and suppliers is Confidential Information.</w:t>
      </w:r>
    </w:p>
    <w:p>
      <w:pPr>
        <w:spacing w:after="0" w:line="146" w:lineRule="exact"/>
        <w:rPr>
          <w:rFonts w:ascii="Arial" w:cs="Arial" w:eastAsia="Arial" w:hAnsi="Arial"/>
          <w:sz w:val="16"/>
          <w:szCs w:val="16"/>
          <w:color w:val="auto"/>
        </w:rPr>
      </w:pPr>
    </w:p>
    <w:p>
      <w:pPr>
        <w:jc w:val="both"/>
        <w:ind w:left="980" w:hanging="486"/>
        <w:spacing w:after="0" w:line="270"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You agree not to (i) use or disclose to any third party, either directly or indirectly, Confidential Information at any time, except as required in your work for TI or with the prior written consent of TI, or (ii) during the Non-solicitation Period (as defined in Section 9), either directly or indirectly solicit or recruit for your own benefit or for any other person or entity any TI employee to be an employee, director, officer, agent, consultant, partner or independent contractor without the prior written consent of TI, or (iii) during the Non-solicitation Period, either directly or indirectly solicit for your own benefit or for any other person or entity any TI customer to which you marketed or sold TI products during the last 2 years of your employment with TI, without the prior written consent of TI. Without intending to limit the remedies available to TI, you acknowledge that damages at law will be an insufficient remedy to TI if you violate the terms of this Section 6(c)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181" w:lineRule="exact"/>
        <w:rPr>
          <w:rFonts w:ascii="Arial" w:cs="Arial" w:eastAsia="Arial" w:hAnsi="Arial"/>
          <w:sz w:val="17"/>
          <w:szCs w:val="17"/>
          <w:color w:val="auto"/>
        </w:rPr>
      </w:pPr>
    </w:p>
    <w:p>
      <w:pPr>
        <w:jc w:val="both"/>
        <w:ind w:left="980" w:hanging="486"/>
        <w:spacing w:after="0" w:line="269"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You agree that if (i) during your employment by TI and for a period of two years thereafter you engage in Competition (as defined in Section 9), either directly or indirectly, for your own benefit or on behalf of any other person or entity, or (ii) at any time, you use or disclose, either directly or indirectly, to any third party any Confidential Information when not required to do so in your work for TI or without the prior written consent of TI, or (iii) during the Non-solicitation Period, you solicit or recruit, either directly or indirectly, without the prior written consent of TI, any TI employee to be an employee, director, officer, agent, consultant, partner or independent contractor for your own benefit or for any other person or entity, or (iv) during the Non-solicitation Period, you solicit, either directly or indirectly, without the prior written consent of TI, for your own benefit or for any other person or entity, any TI customer to which you marketed or sold TI products during the last 2 years of your employment with TI, then (x) the option shall not be thereafter exercisable at any time, and (y) you shall repay immediately to the Company any profit (spread between the Option Price (as defined in Section 9) and the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79" w:lineRule="exact"/>
        <w:rPr>
          <w:rFonts w:ascii="Arial" w:cs="Arial" w:eastAsia="Arial" w:hAnsi="Arial"/>
          <w:sz w:val="17"/>
          <w:szCs w:val="17"/>
          <w:color w:val="auto"/>
        </w:rPr>
      </w:pPr>
    </w:p>
    <w:p>
      <w:pPr>
        <w:ind w:left="740" w:hanging="246"/>
        <w:spacing w:after="0"/>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agree that this option is subject to the recoupment policy adopted by the Committee and in effect on the Option Date.</w:t>
      </w:r>
    </w:p>
    <w:p>
      <w:pPr>
        <w:spacing w:after="0" w:line="225"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acknowledge the reasonableness of the commitments and agreements in this Section 6, including their scope, duration and geographic coverage. You recognize and acknowledge that the provisions of this Section 6 are entered into by you in consideration of, and as a material inducement to, the agreements by the Company herein as well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1" w:name="page32"/>
    <w:bookmarkEnd w:id="31"/>
    <w:p>
      <w:pPr>
        <w:ind w:left="980"/>
        <w:spacing w:after="0" w:line="324" w:lineRule="auto"/>
        <w:rPr>
          <w:sz w:val="20"/>
          <w:szCs w:val="20"/>
          <w:color w:val="auto"/>
        </w:rPr>
      </w:pPr>
      <w:r>
        <w:rPr>
          <w:rFonts w:ascii="Arial" w:cs="Arial" w:eastAsia="Arial" w:hAnsi="Arial"/>
          <w:sz w:val="18"/>
          <w:szCs w:val="18"/>
          <w:color w:val="auto"/>
        </w:rPr>
        <w:t>an inducement for the Company to enter into this Agreement, and that, but for your agreement to the provisions of this Section 6, the Company would not have entered into this Agreement.</w:t>
      </w:r>
    </w:p>
    <w:p>
      <w:pPr>
        <w:spacing w:after="0" w:line="143" w:lineRule="exact"/>
        <w:rPr>
          <w:sz w:val="20"/>
          <w:szCs w:val="20"/>
          <w:color w:val="auto"/>
        </w:rPr>
      </w:pPr>
    </w:p>
    <w:p>
      <w:pPr>
        <w:jc w:val="both"/>
        <w:ind w:left="500" w:hanging="492"/>
        <w:spacing w:after="0" w:line="29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(hereinafter “Tax-Related Items”) in connection with this grant, its exercise or the subsequent sale of shares received thereunder is your responsibility, and that TI</w:t>
      </w:r>
    </w:p>
    <w:p>
      <w:pPr>
        <w:jc w:val="both"/>
        <w:ind w:left="500" w:hanging="6"/>
        <w:spacing w:after="0" w:line="252" w:lineRule="auto"/>
        <w:tabs>
          <w:tab w:leader="none" w:pos="7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makes no representations or undertakings with respect to the treatment for tax purposes of the grant or exercise of this option or sale of shares received thereunder, or any dividends on issued shares, and (b) does not commit to structure the grant to reduce your liability for Tax-Related Items.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193" w:lineRule="exact"/>
        <w:rPr>
          <w:rFonts w:ascii="Arial" w:cs="Arial" w:eastAsia="Arial" w:hAnsi="Arial"/>
          <w:sz w:val="18"/>
          <w:szCs w:val="18"/>
          <w:color w:val="auto"/>
        </w:rPr>
      </w:pPr>
    </w:p>
    <w:p>
      <w:pPr>
        <w:jc w:val="both"/>
        <w:ind w:left="500" w:hanging="492"/>
        <w:spacing w:after="0" w:line="290"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grant, you acknowledge that: (a) the Plan is established voluntarily by the Company, it is discretionary in nature and it may be modified, amended, suspended or terminated by the Company at any time, as provided in the Plan; (b) all decisions with respect to future grants, if any, will be at the sole discretion of the Company; (c) the grant of your option is voluntary and occasional and does not create any contractual or other right to receive future grants of options, or benefits in lieu of options; (d) you are voluntarily participating in the Plan; (e) your option is an extraordinary item that does not constitute compensation for services rendered to TI; (f) your option is not part of normal or expected compensation or salary for any purposes, including, but not limited to, calculating any severance, termination, pension or retirement benefits or similar payments; (g) the option grant will not be interpreted to form an employment contract or relationship with TI; (h) the future value of the underlying shares is unknown and cannot be predicted with certainty; and (i) the value of any shares acquired upon exercise may increase or decrease in value.</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in the Plan.</w:t>
      </w:r>
    </w:p>
    <w:p>
      <w:pPr>
        <w:spacing w:after="0" w:line="225"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(together with any successor) and its subsidiaries.</w:t>
      </w:r>
    </w:p>
    <w:p>
      <w:pPr>
        <w:spacing w:after="0" w:line="166" w:lineRule="exact"/>
        <w:rPr>
          <w:rFonts w:ascii="Arial" w:cs="Arial" w:eastAsia="Arial" w:hAnsi="Arial"/>
          <w:sz w:val="18"/>
          <w:szCs w:val="18"/>
          <w:color w:val="auto"/>
        </w:rPr>
      </w:pPr>
    </w:p>
    <w:p>
      <w:pPr>
        <w:ind w:left="980" w:hanging="486"/>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29"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w:t>
      </w:r>
    </w:p>
    <w:p>
      <w:pPr>
        <w:spacing w:after="0" w:line="181" w:lineRule="exact"/>
        <w:rPr>
          <w:rFonts w:ascii="Arial" w:cs="Arial" w:eastAsia="Arial" w:hAnsi="Arial"/>
          <w:sz w:val="18"/>
          <w:szCs w:val="18"/>
          <w:color w:val="auto"/>
        </w:rPr>
      </w:pPr>
    </w:p>
    <w:p>
      <w:pPr>
        <w:ind w:left="1460" w:right="20" w:hanging="480"/>
        <w:spacing w:after="0" w:line="277" w:lineRule="auto"/>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w:t>
      </w:r>
    </w:p>
    <w:p>
      <w:pPr>
        <w:spacing w:after="0" w:line="170"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181" w:lineRule="exact"/>
        <w:rPr>
          <w:rFonts w:ascii="Arial" w:cs="Arial" w:eastAsia="Arial" w:hAnsi="Arial"/>
          <w:sz w:val="18"/>
          <w:szCs w:val="18"/>
          <w:color w:val="auto"/>
        </w:rPr>
      </w:pPr>
    </w:p>
    <w:p>
      <w:pPr>
        <w:ind w:left="1460" w:right="20" w:hanging="480"/>
        <w:spacing w:after="0" w:line="277" w:lineRule="auto"/>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term “Involuntary Termination” has the meaning specified in the Plan.</w:t>
      </w:r>
    </w:p>
    <w:p>
      <w:pPr>
        <w:spacing w:after="0" w:line="221" w:lineRule="exact"/>
        <w:rPr>
          <w:rFonts w:ascii="Arial" w:cs="Arial" w:eastAsia="Arial" w:hAnsi="Arial"/>
          <w:sz w:val="18"/>
          <w:szCs w:val="18"/>
          <w:color w:val="auto"/>
        </w:rPr>
      </w:pPr>
    </w:p>
    <w:p>
      <w:pPr>
        <w:ind w:left="980" w:hanging="486"/>
        <w:spacing w:after="0" w:line="282"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Non-solicitation Period</w:t>
      </w:r>
      <w:r>
        <w:rPr>
          <w:rFonts w:ascii="Arial" w:cs="Arial" w:eastAsia="Arial" w:hAnsi="Arial"/>
          <w:sz w:val="18"/>
          <w:szCs w:val="18"/>
          <w:b w:val="1"/>
          <w:bCs w:val="1"/>
          <w:color w:val="auto"/>
        </w:rPr>
        <w:t xml:space="preserve">” means </w:t>
      </w:r>
      <w:r>
        <w:rPr>
          <w:rFonts w:ascii="Arial" w:cs="Arial" w:eastAsia="Arial" w:hAnsi="Arial"/>
          <w:sz w:val="18"/>
          <w:szCs w:val="18"/>
          <w:color w:val="auto"/>
        </w:rPr>
        <w:t>the period from the effective date of this Agreement until the second anniversary of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your employment with TI has terminated.</w:t>
      </w:r>
    </w:p>
    <w:p>
      <w:pPr>
        <w:spacing w:after="0" w:line="165" w:lineRule="exact"/>
        <w:rPr>
          <w:rFonts w:ascii="Arial" w:cs="Arial" w:eastAsia="Arial" w:hAnsi="Arial"/>
          <w:sz w:val="18"/>
          <w:szCs w:val="18"/>
          <w:color w:val="auto"/>
        </w:rPr>
      </w:pPr>
    </w:p>
    <w:p>
      <w:pPr>
        <w:ind w:left="980" w:hanging="486"/>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Option Date</w:t>
      </w:r>
      <w:r>
        <w:rPr>
          <w:rFonts w:ascii="Arial" w:cs="Arial" w:eastAsia="Arial" w:hAnsi="Arial"/>
          <w:sz w:val="18"/>
          <w:szCs w:val="18"/>
          <w:color w:val="auto"/>
        </w:rPr>
        <w:t>” means the effective date of grant of this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1" w:right="239" w:bottom="1440" w:gutter="0" w:footer="0" w:header="0"/>
        </w:sectPr>
      </w:pPr>
    </w:p>
    <w:bookmarkStart w:id="32" w:name="page33"/>
    <w:bookmarkEnd w:id="32"/>
    <w:p>
      <w:pPr>
        <w:ind w:left="740" w:hanging="246"/>
        <w:spacing w:after="0"/>
        <w:tabs>
          <w:tab w:leader="none" w:pos="7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Option Price</w:t>
      </w:r>
      <w:r>
        <w:rPr>
          <w:rFonts w:ascii="Arial" w:cs="Arial" w:eastAsia="Arial" w:hAnsi="Arial"/>
          <w:sz w:val="17"/>
          <w:szCs w:val="17"/>
          <w:color w:val="auto"/>
        </w:rPr>
        <w:t>” means the exercise price you paid for shares of the Company's company stock pursuant to the terms of this option.</w:t>
      </w:r>
    </w:p>
    <w:p>
      <w:pPr>
        <w:spacing w:after="0" w:line="23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Retirement Eligible</w:t>
      </w:r>
      <w:r>
        <w:rPr>
          <w:rFonts w:ascii="Arial" w:cs="Arial" w:eastAsia="Arial" w:hAnsi="Arial"/>
          <w:sz w:val="18"/>
          <w:szCs w:val="18"/>
          <w:color w:val="auto"/>
        </w:rPr>
        <w:t>” means (1) at least 55 years of age with at least 10 years of service (measured from your service date as shown on TI's global human resources database) as a TI employee or (2) at least 65 years of age.</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Agreement</w:t>
      </w:r>
      <w:r>
        <w:rPr>
          <w:rFonts w:ascii="Arial" w:cs="Arial" w:eastAsia="Arial" w:hAnsi="Arial"/>
          <w:sz w:val="18"/>
          <w:szCs w:val="18"/>
          <w:color w:val="auto"/>
        </w:rPr>
        <w:t>” means this option agreement.</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By accepting this Agreement, I acknowledge I have read and I agree to be bound by all of the terms and conditions set forth above, including Section 6 relating to Confidential Information, Non-solicitation, Competition and Recoupment Policy.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10(m)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Form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Your award of restricted stock units (the “Award”) is subject to the following terms and conditions, your acceptance of which is required within 120 days of the Grant Date (as defined in Section 12 below). </w:t>
      </w:r>
      <w:r>
        <w:rPr>
          <w:rFonts w:ascii="Arial" w:cs="Arial" w:eastAsia="Arial" w:hAnsi="Arial"/>
          <w:sz w:val="18"/>
          <w:szCs w:val="18"/>
          <w:b w:val="1"/>
          <w:bCs w:val="1"/>
          <w:color w:val="auto"/>
        </w:rPr>
        <w:t>Failure to accept this Agreement by such date will result in termination of the Award without any</w:t>
      </w:r>
      <w:r>
        <w:rPr>
          <w:rFonts w:ascii="Arial" w:cs="Arial" w:eastAsia="Arial" w:hAnsi="Arial"/>
          <w:sz w:val="18"/>
          <w:szCs w:val="18"/>
          <w:color w:val="auto"/>
        </w:rPr>
        <w:t xml:space="preserve"> </w:t>
      </w:r>
      <w:r>
        <w:rPr>
          <w:rFonts w:ascii="Arial" w:cs="Arial" w:eastAsia="Arial" w:hAnsi="Arial"/>
          <w:sz w:val="18"/>
          <w:szCs w:val="18"/>
          <w:b w:val="1"/>
          <w:bCs w:val="1"/>
          <w:color w:val="auto"/>
        </w:rPr>
        <w:t>shares being issued.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in this Agreement have the meaning stated in Section 12 except as otherwise specified.</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Share Issuance</w:t>
      </w:r>
      <w:r>
        <w:rPr>
          <w:rFonts w:ascii="Arial" w:cs="Arial" w:eastAsia="Arial" w:hAnsi="Arial"/>
          <w:sz w:val="18"/>
          <w:szCs w:val="18"/>
          <w:color w:val="auto"/>
        </w:rPr>
        <w:t>. Each restricted stock unit represents the right to receive one share of common stock of the Company. The shares covered by this Award will be issued in your name on, or as soon as practicable (but no later than 60 days) after, the date of vesting stated on your Employee Stock Grant Communication (“Vesting Date”), except as provided below.</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 in Employment Status</w:t>
      </w:r>
      <w:r>
        <w:rPr>
          <w:rFonts w:ascii="Arial" w:cs="Arial" w:eastAsia="Arial" w:hAnsi="Arial"/>
          <w:sz w:val="18"/>
          <w:szCs w:val="18"/>
          <w:color w:val="auto"/>
        </w:rPr>
        <w:t>. The effect of changes in your employment status with TI before the Vesting Date will be as follows:</w:t>
      </w:r>
    </w:p>
    <w:p>
      <w:pPr>
        <w:spacing w:after="0" w:line="225" w:lineRule="exact"/>
        <w:rPr>
          <w:rFonts w:ascii="Arial" w:cs="Arial" w:eastAsia="Arial" w:hAnsi="Arial"/>
          <w:sz w:val="18"/>
          <w:szCs w:val="18"/>
          <w:color w:val="auto"/>
        </w:rPr>
      </w:pPr>
    </w:p>
    <w:p>
      <w:pPr>
        <w:jc w:val="both"/>
        <w:ind w:left="880" w:hanging="575"/>
        <w:spacing w:after="0" w:line="264"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permanent disability</w:t>
      </w:r>
      <w:r>
        <w:rPr>
          <w:rFonts w:ascii="Arial" w:cs="Arial" w:eastAsia="Arial" w:hAnsi="Arial"/>
          <w:sz w:val="18"/>
          <w:szCs w:val="18"/>
          <w:color w:val="auto"/>
        </w:rPr>
        <w:t>: The Award will continue to full term subject to the other terms and conditions of this Agreement, and shares will be issued to you or to your personal representatives, heirs, legatees or distributees, as applicable, at such times and in such number and manner as if you were still an employee of TI on the Vesting Date.</w:t>
      </w:r>
    </w:p>
    <w:p>
      <w:pPr>
        <w:spacing w:after="0" w:line="181" w:lineRule="exact"/>
        <w:rPr>
          <w:rFonts w:ascii="Arial" w:cs="Arial" w:eastAsia="Arial" w:hAnsi="Arial"/>
          <w:sz w:val="18"/>
          <w:szCs w:val="18"/>
          <w:color w:val="auto"/>
        </w:rPr>
      </w:pPr>
    </w:p>
    <w:p>
      <w:pPr>
        <w:ind w:left="880" w:hanging="575"/>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at least 6 months after the Grant Date, when you are Retirement Eligible as defined in Section 12</w:t>
      </w:r>
      <w:r>
        <w:rPr>
          <w:rFonts w:ascii="Arial" w:cs="Arial" w:eastAsia="Arial" w:hAnsi="Arial"/>
          <w:sz w:val="18"/>
          <w:szCs w:val="18"/>
          <w:color w:val="auto"/>
        </w:rPr>
        <w:t>: The Award will continue to full term subject to the other terms and conditions of this Agreement.</w:t>
      </w:r>
    </w:p>
    <w:p>
      <w:pPr>
        <w:spacing w:after="0" w:line="170" w:lineRule="exact"/>
        <w:rPr>
          <w:rFonts w:ascii="Arial" w:cs="Arial" w:eastAsia="Arial" w:hAnsi="Arial"/>
          <w:sz w:val="18"/>
          <w:szCs w:val="18"/>
          <w:color w:val="auto"/>
        </w:rPr>
      </w:pPr>
    </w:p>
    <w:p>
      <w:pPr>
        <w:ind w:left="880" w:hanging="575"/>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Involuntary Termination after a Change in Control</w:t>
      </w:r>
      <w:r>
        <w:rPr>
          <w:rFonts w:ascii="Arial" w:cs="Arial" w:eastAsia="Arial" w:hAnsi="Arial"/>
          <w:sz w:val="18"/>
          <w:szCs w:val="18"/>
          <w:color w:val="auto"/>
        </w:rPr>
        <w:t>: If you experience an Involuntary Termination within 24 months after a Change in Control, then shares will be issued to you as described in Section 11(i) of the Plan.</w:t>
      </w:r>
    </w:p>
    <w:p>
      <w:pPr>
        <w:spacing w:after="0" w:line="170" w:lineRule="exact"/>
        <w:rPr>
          <w:rFonts w:ascii="Arial" w:cs="Arial" w:eastAsia="Arial" w:hAnsi="Arial"/>
          <w:sz w:val="18"/>
          <w:szCs w:val="18"/>
          <w:color w:val="auto"/>
        </w:rPr>
      </w:pPr>
    </w:p>
    <w:p>
      <w:pPr>
        <w:ind w:left="880" w:hanging="575"/>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under other circumstances</w:t>
      </w:r>
      <w:r>
        <w:rPr>
          <w:rFonts w:ascii="Arial" w:cs="Arial" w:eastAsia="Arial" w:hAnsi="Arial"/>
          <w:sz w:val="18"/>
          <w:szCs w:val="18"/>
          <w:color w:val="auto"/>
        </w:rPr>
        <w:t>: For any termination other than those described above in this Section 2, the Award will terminate and become void without any shares being issued.</w:t>
      </w:r>
    </w:p>
    <w:p>
      <w:pPr>
        <w:spacing w:after="0" w:line="170" w:lineRule="exact"/>
        <w:rPr>
          <w:rFonts w:ascii="Arial" w:cs="Arial" w:eastAsia="Arial" w:hAnsi="Arial"/>
          <w:sz w:val="18"/>
          <w:szCs w:val="18"/>
          <w:color w:val="auto"/>
        </w:rPr>
      </w:pPr>
    </w:p>
    <w:p>
      <w:pPr>
        <w:ind w:left="880" w:hanging="575"/>
        <w:spacing w:after="0"/>
        <w:tabs>
          <w:tab w:leader="none" w:pos="880"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Other changes in employment status</w:t>
      </w:r>
      <w:r>
        <w:rPr>
          <w:rFonts w:ascii="Arial" w:cs="Arial" w:eastAsia="Arial" w:hAnsi="Arial"/>
          <w:sz w:val="17"/>
          <w:szCs w:val="17"/>
          <w:color w:val="auto"/>
        </w:rPr>
        <w:t>: No changes in your employment status at TI other than those described above will affect the Award.</w:t>
      </w:r>
    </w:p>
    <w:p>
      <w:pPr>
        <w:spacing w:after="0" w:line="232" w:lineRule="exact"/>
        <w:rPr>
          <w:rFonts w:ascii="Arial" w:cs="Arial" w:eastAsia="Arial" w:hAnsi="Arial"/>
          <w:sz w:val="17"/>
          <w:szCs w:val="17"/>
          <w:color w:val="auto"/>
        </w:rPr>
      </w:pPr>
    </w:p>
    <w:p>
      <w:pPr>
        <w:ind w:left="340" w:right="20" w:hanging="332"/>
        <w:spacing w:after="0" w:line="282"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Non-solicitation and Competition</w:t>
      </w:r>
      <w:r>
        <w:rPr>
          <w:rFonts w:ascii="Arial" w:cs="Arial" w:eastAsia="Arial" w:hAnsi="Arial"/>
          <w:sz w:val="18"/>
          <w:szCs w:val="18"/>
          <w:b w:val="1"/>
          <w:bCs w:val="1"/>
          <w:color w:val="auto"/>
        </w:rPr>
        <w:t>. See Section 9 for the effect of disclosure of confidential information, solicitation of TI employees or customers, or competition with TI.</w:t>
      </w:r>
    </w:p>
    <w:p>
      <w:pPr>
        <w:spacing w:after="0" w:line="165" w:lineRule="exact"/>
        <w:rPr>
          <w:rFonts w:ascii="Arial" w:cs="Arial" w:eastAsia="Arial" w:hAnsi="Arial"/>
          <w:sz w:val="18"/>
          <w:szCs w:val="18"/>
          <w:b w:val="1"/>
          <w:bCs w:val="1"/>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Stock Grant Communication</w:t>
      </w:r>
      <w:r>
        <w:rPr>
          <w:rFonts w:ascii="Arial" w:cs="Arial" w:eastAsia="Arial" w:hAnsi="Arial"/>
          <w:sz w:val="18"/>
          <w:szCs w:val="18"/>
          <w:color w:val="auto"/>
        </w:rPr>
        <w:t>. This Award was granted by the Compensation Committee of the Company's Board of Directors (the “Committee”). In the event of a conflict between the Employee Stock Grant Communication and the records of the Committee, the latter shall govern and be determinative.</w:t>
      </w:r>
    </w:p>
    <w:p>
      <w:pPr>
        <w:spacing w:after="0" w:line="18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Each year in which this Award is in effect, you will receive a payment equivalent to the cash dividends you would have received if the shares to which you are entitled under this Award, but not yet issued in your name, had already been issued to you (“Dividend Equivalents”); provided, however, that no payment will be made if your Award has terminated before the last dividend record date of the year for any reason other than vesting. The payment to which you are entitled under this paragraph will be made once each year on or as soon as practicable after the date of the last cash dividend payment in the year (but in any event before year-end). The Dividend Equivalents will be calculated for the record dates on which this Award was in effect during the year.</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Continuing Employment</w:t>
      </w:r>
      <w:r>
        <w:rPr>
          <w:rFonts w:ascii="Arial" w:cs="Arial" w:eastAsia="Arial" w:hAnsi="Arial"/>
          <w:sz w:val="18"/>
          <w:szCs w:val="18"/>
          <w:color w:val="auto"/>
        </w:rPr>
        <w:t>. This Award will not constitute or be evidence of any agreement or understanding, expressed or implied, on the part of TI to employ you for any specific period.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Award is not transferable except by will or by the laws of descent and distribution. During your lifetime, the shares issuable hereunder may be issued only to you.</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34" w:name="page35"/>
    <w:bookmarkEnd w:id="34"/>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Award is subject to all of the terms and conditions of the Plan. In the event of any conflict between such terms and conditions and those set forth herein, the terms of the Plan shall govern and be determinative.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Non-solicitation, Competition and Recoupment Policy</w:t>
      </w:r>
      <w:r>
        <w:rPr>
          <w:rFonts w:ascii="Arial" w:cs="Arial" w:eastAsia="Arial" w:hAnsi="Arial"/>
          <w:sz w:val="18"/>
          <w:szCs w:val="18"/>
          <w:color w:val="auto"/>
        </w:rPr>
        <w:t>. By accepting your Award, and in consideration for the Award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Company's obligations set forth in this Agreement, you agree with the Company as follows:</w:t>
      </w:r>
    </w:p>
    <w:p>
      <w:pPr>
        <w:spacing w:after="0" w:line="165" w:lineRule="exact"/>
        <w:rPr>
          <w:rFonts w:ascii="Arial" w:cs="Arial" w:eastAsia="Arial" w:hAnsi="Arial"/>
          <w:sz w:val="18"/>
          <w:szCs w:val="18"/>
          <w:color w:val="auto"/>
        </w:rPr>
      </w:pPr>
    </w:p>
    <w:p>
      <w:pPr>
        <w:jc w:val="both"/>
        <w:ind w:left="820" w:hanging="488"/>
        <w:spacing w:after="0" w:line="286"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165" w:lineRule="exact"/>
        <w:rPr>
          <w:rFonts w:ascii="Arial" w:cs="Arial" w:eastAsia="Arial" w:hAnsi="Arial"/>
          <w:sz w:val="17"/>
          <w:szCs w:val="17"/>
          <w:color w:val="auto"/>
        </w:rPr>
      </w:pPr>
    </w:p>
    <w:p>
      <w:pPr>
        <w:jc w:val="both"/>
        <w:ind w:left="820" w:hanging="488"/>
        <w:spacing w:after="0" w:line="312" w:lineRule="auto"/>
        <w:tabs>
          <w:tab w:leader="none" w:pos="8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You recognize and acknowledge that (i) TI manufactures, designs, sells and markets its products in global markets, (ii) TI's success depends to a significant degree on the skills of its employees and their knowledge of TI's customers and suppliers, many of which operate on a global basis, and (iii) much of the information that TI maintains regarding its products, employees, customers and suppliers is Confidential Information.</w:t>
      </w:r>
    </w:p>
    <w:p>
      <w:pPr>
        <w:spacing w:after="0" w:line="146" w:lineRule="exact"/>
        <w:rPr>
          <w:rFonts w:ascii="Arial" w:cs="Arial" w:eastAsia="Arial" w:hAnsi="Arial"/>
          <w:sz w:val="16"/>
          <w:szCs w:val="16"/>
          <w:color w:val="auto"/>
        </w:rPr>
      </w:pPr>
    </w:p>
    <w:p>
      <w:pPr>
        <w:jc w:val="both"/>
        <w:ind w:left="820" w:hanging="488"/>
        <w:spacing w:after="0" w:line="270"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You agree not to (i) use or disclose to any third party, either directly or indirectly, Confidential Information at any time, except as required in your work for TI or with the prior written consent of TI, or (ii) during the Non-solicitation Period (as defined in Section 12), either directly or indirectly solicit or recruit for your own benefit or for any other person or entity any TI employee to be an employee, director, officer, agent, consultant, partner or independent contractor without the prior written consent of TI, or (iii) during the Non-solicitation Period, either directly or indirectly solicit for your own benefit or for any other person or entity any TI customer to which you marketed or sold TI products during the last two years of your employment with TI, without the prior written consent of TI. Without intending to limit the remedies available to TI, you acknowledge that damages at law will be an insufficient remedy to TI if you violate the terms of this Section 9(c)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181" w:lineRule="exact"/>
        <w:rPr>
          <w:rFonts w:ascii="Arial" w:cs="Arial" w:eastAsia="Arial" w:hAnsi="Arial"/>
          <w:sz w:val="17"/>
          <w:szCs w:val="17"/>
          <w:color w:val="auto"/>
        </w:rPr>
      </w:pPr>
    </w:p>
    <w:p>
      <w:pPr>
        <w:jc w:val="both"/>
        <w:ind w:left="820" w:hanging="488"/>
        <w:spacing w:after="0" w:line="269"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You agree that if (i) during your employment by TI and for a period of two years thereafter you engage in Competition (as defined in Section 12), either directly or indirectly, for your own benefit or on behalf of any other person or entity, or (ii) at any time you use or disclose, either directly or indirectly, to any third party any Confidential Information when not required to do so in your work for TI or without the prior written consent of TI, or (iii) during the Non-solicitation Period you solicit or recruit, either directly or indirectly, without the prior written consent of TI, any TI employee to be an employee, director, officer, agent, consultant, partner or independent contractor for your own benefit or for any other person or entity, or (iv) during the Non-solicitation Period, you solicit, either directly or indirectly, without the prior written consent of TI, for your own benefit or for any other person or entity, any TI customer to which you marketed or sold TI products during the last two years of your employment with TI, then (x) the Company's obligation to issue shares or pay Dividend Equivalents under this Award shall terminate and become void, and (y) you shall repay immediately to TI the Fair Market Value (as defined in Section 12 below) of any shares of stock that were issued to you, and any Dividend Equivalents that were paid to you, under this Award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79" w:lineRule="exact"/>
        <w:rPr>
          <w:rFonts w:ascii="Arial" w:cs="Arial" w:eastAsia="Arial" w:hAnsi="Arial"/>
          <w:sz w:val="17"/>
          <w:szCs w:val="17"/>
          <w:color w:val="auto"/>
        </w:rPr>
      </w:pPr>
    </w:p>
    <w:p>
      <w:pPr>
        <w:ind w:left="820" w:hanging="488"/>
        <w:spacing w:after="0" w:line="277"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addition, you agree that this Award is subject to the recoupment policy adopted by the Committee and in effect on the effective date of this Award.</w:t>
      </w:r>
    </w:p>
    <w:p>
      <w:pPr>
        <w:spacing w:after="0" w:line="170" w:lineRule="exact"/>
        <w:rPr>
          <w:rFonts w:ascii="Arial" w:cs="Arial" w:eastAsia="Arial" w:hAnsi="Arial"/>
          <w:sz w:val="18"/>
          <w:szCs w:val="18"/>
          <w:color w:val="auto"/>
        </w:rPr>
      </w:pPr>
    </w:p>
    <w:p>
      <w:pPr>
        <w:ind w:left="820" w:hanging="488"/>
        <w:spacing w:after="0" w:line="279" w:lineRule="auto"/>
        <w:tabs>
          <w:tab w:leader="none" w:pos="559" w:val="left"/>
        </w:tabs>
        <w:numPr>
          <w:ilvl w:val="1"/>
          <w:numId w:val="20"/>
        </w:numPr>
        <w:rPr>
          <w:rFonts w:ascii="Arial" w:cs="Arial" w:eastAsia="Arial" w:hAnsi="Arial"/>
          <w:sz w:val="17"/>
          <w:szCs w:val="17"/>
          <w:color w:val="auto"/>
        </w:rPr>
      </w:pPr>
      <w:r>
        <w:rPr>
          <w:rFonts w:ascii="Arial" w:cs="Arial" w:eastAsia="Arial" w:hAnsi="Arial"/>
          <w:sz w:val="17"/>
          <w:szCs w:val="17"/>
          <w:color w:val="auto"/>
        </w:rPr>
        <w:t>You acknowledge the reasonableness of the commitments and agreements in this Section 9, including their scope, duration and geographic coverage. You recognize and acknowledge that the provisions of this Section 9 are entered into by you in consideration of, and as a material inducement to, the agreements by the Company herein as well as an inducement for the Company to enter into this Agreement, and that, but for your agreement to the provisions of this Section 9, the Company would not have entered into this Agreement.</w:t>
      </w:r>
    </w:p>
    <w:p>
      <w:pPr>
        <w:spacing w:after="0" w:line="171"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You acknowledge that the ultimate liability for income tax, social insurance or other tax-related withholding (“Tax-Related Items”), including any taxes under Section 409A of the U.S. Internal Revenue Code, in connection with this Award, the payment of Dividend Equivalents or the issuance of shares hereunder, or the subsequent sale of such shares is your responsibility, and that TI makes (a) no representations or undertakings with respect to the treatment for tax purposes of this Award, any shares or Dividend Equivalents received hereunder, the sale of such shares or any dividends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35" w:name="page36"/>
    <w:bookmarkEnd w:id="35"/>
    <w:p>
      <w:pPr>
        <w:jc w:val="both"/>
        <w:ind w:left="340"/>
        <w:spacing w:after="0" w:line="302" w:lineRule="auto"/>
        <w:rPr>
          <w:sz w:val="20"/>
          <w:szCs w:val="20"/>
          <w:color w:val="auto"/>
        </w:rPr>
      </w:pPr>
      <w:r>
        <w:rPr>
          <w:rFonts w:ascii="Arial" w:cs="Arial" w:eastAsia="Arial" w:hAnsi="Arial"/>
          <w:sz w:val="18"/>
          <w:szCs w:val="18"/>
          <w:color w:val="auto"/>
        </w:rPr>
        <w:t>paid on issued shares and (b) does not commit to structure the grant to reduce your liability for Tax-Related Items. You authorize TI to withhold all applicable Tax-Related Items legally payable by you from your wages or other cash compensation paid to you by TI, from Dividend Equivalents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166" w:lineRule="exact"/>
        <w:rPr>
          <w:sz w:val="20"/>
          <w:szCs w:val="20"/>
          <w:color w:val="auto"/>
        </w:rPr>
      </w:pPr>
    </w:p>
    <w:p>
      <w:pPr>
        <w:ind w:left="340" w:hanging="332"/>
        <w:spacing w:after="0" w:line="271" w:lineRule="auto"/>
        <w:tabs>
          <w:tab w:leader="none" w:pos="27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 (e) 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 value of the underlying shares is unknown and cannot be predicted with certainty; and (i) if you receive shares, the value of such shares may increase or decrease in value.</w:t>
      </w:r>
    </w:p>
    <w:p>
      <w:pPr>
        <w:spacing w:after="0" w:line="178" w:lineRule="exact"/>
        <w:rPr>
          <w:rFonts w:ascii="Arial" w:cs="Arial" w:eastAsia="Arial" w:hAnsi="Arial"/>
          <w:sz w:val="17"/>
          <w:szCs w:val="17"/>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Agreement</w:t>
      </w:r>
      <w:r>
        <w:rPr>
          <w:rFonts w:ascii="Arial" w:cs="Arial" w:eastAsia="Arial" w:hAnsi="Arial"/>
          <w:sz w:val="18"/>
          <w:szCs w:val="18"/>
          <w:color w:val="auto"/>
        </w:rPr>
        <w:t>” means this Restricted Stock Unit Award Agreement.</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in the Plan.</w:t>
      </w:r>
    </w:p>
    <w:p>
      <w:pPr>
        <w:spacing w:after="0" w:line="225" w:lineRule="exact"/>
        <w:rPr>
          <w:rFonts w:ascii="Arial" w:cs="Arial" w:eastAsia="Arial" w:hAnsi="Arial"/>
          <w:sz w:val="18"/>
          <w:szCs w:val="18"/>
          <w:color w:val="auto"/>
        </w:rPr>
      </w:pPr>
    </w:p>
    <w:p>
      <w:pPr>
        <w:ind w:left="820" w:right="20" w:hanging="488"/>
        <w:spacing w:after="0" w:line="277"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(together with any successor) and its subsidiaries.</w:t>
      </w:r>
    </w:p>
    <w:p>
      <w:pPr>
        <w:spacing w:after="0" w:line="166" w:lineRule="exact"/>
        <w:rPr>
          <w:rFonts w:ascii="Arial" w:cs="Arial" w:eastAsia="Arial" w:hAnsi="Arial"/>
          <w:sz w:val="18"/>
          <w:szCs w:val="18"/>
          <w:color w:val="auto"/>
        </w:rPr>
      </w:pPr>
    </w:p>
    <w:p>
      <w:pPr>
        <w:ind w:left="820" w:hanging="488"/>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29"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w:t>
      </w:r>
    </w:p>
    <w:p>
      <w:pPr>
        <w:spacing w:after="0" w:line="181" w:lineRule="exact"/>
        <w:rPr>
          <w:rFonts w:ascii="Arial" w:cs="Arial" w:eastAsia="Arial" w:hAnsi="Arial"/>
          <w:sz w:val="18"/>
          <w:szCs w:val="18"/>
          <w:color w:val="auto"/>
        </w:rPr>
      </w:pPr>
    </w:p>
    <w:p>
      <w:pPr>
        <w:ind w:left="1300" w:right="20" w:hanging="482"/>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w:t>
      </w:r>
    </w:p>
    <w:p>
      <w:pPr>
        <w:spacing w:after="0" w:line="170"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181" w:lineRule="exact"/>
        <w:rPr>
          <w:rFonts w:ascii="Arial" w:cs="Arial" w:eastAsia="Arial" w:hAnsi="Arial"/>
          <w:sz w:val="18"/>
          <w:szCs w:val="18"/>
          <w:color w:val="auto"/>
        </w:rPr>
      </w:pPr>
    </w:p>
    <w:p>
      <w:pPr>
        <w:ind w:left="1300" w:hanging="482"/>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Grant Date</w:t>
      </w:r>
      <w:r>
        <w:rPr>
          <w:rFonts w:ascii="Arial" w:cs="Arial" w:eastAsia="Arial" w:hAnsi="Arial"/>
          <w:sz w:val="18"/>
          <w:szCs w:val="18"/>
          <w:color w:val="auto"/>
        </w:rPr>
        <w:t>” means the effective date of grant of this Award.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Involuntary Termination</w:t>
      </w:r>
      <w:r>
        <w:rPr>
          <w:rFonts w:ascii="Arial" w:cs="Arial" w:eastAsia="Arial" w:hAnsi="Arial"/>
          <w:sz w:val="18"/>
          <w:szCs w:val="18"/>
          <w:color w:val="auto"/>
        </w:rPr>
        <w:t>” has the meaning specified in the Plan.</w:t>
      </w:r>
    </w:p>
    <w:p>
      <w:pPr>
        <w:spacing w:after="0" w:line="221" w:lineRule="exact"/>
        <w:rPr>
          <w:rFonts w:ascii="Arial" w:cs="Arial" w:eastAsia="Arial" w:hAnsi="Arial"/>
          <w:sz w:val="18"/>
          <w:szCs w:val="18"/>
          <w:color w:val="auto"/>
        </w:rPr>
      </w:pPr>
    </w:p>
    <w:p>
      <w:pPr>
        <w:ind w:left="820" w:hanging="488"/>
        <w:spacing w:after="0" w:line="282"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Non-solicitation Period</w:t>
      </w:r>
      <w:r>
        <w:rPr>
          <w:rFonts w:ascii="Arial" w:cs="Arial" w:eastAsia="Arial" w:hAnsi="Arial"/>
          <w:sz w:val="18"/>
          <w:szCs w:val="18"/>
          <w:b w:val="1"/>
          <w:bCs w:val="1"/>
          <w:color w:val="auto"/>
        </w:rPr>
        <w:t xml:space="preserve">” means </w:t>
      </w:r>
      <w:r>
        <w:rPr>
          <w:rFonts w:ascii="Arial" w:cs="Arial" w:eastAsia="Arial" w:hAnsi="Arial"/>
          <w:sz w:val="18"/>
          <w:szCs w:val="18"/>
          <w:color w:val="auto"/>
        </w:rPr>
        <w:t>the period from the effective date of this Agreement until the second anniversary of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TI has terminated.</w:t>
      </w:r>
    </w:p>
    <w:p>
      <w:pPr>
        <w:spacing w:after="0" w:line="165" w:lineRule="exact"/>
        <w:rPr>
          <w:rFonts w:ascii="Arial" w:cs="Arial" w:eastAsia="Arial" w:hAnsi="Arial"/>
          <w:sz w:val="18"/>
          <w:szCs w:val="18"/>
          <w:color w:val="auto"/>
        </w:rPr>
      </w:pPr>
    </w:p>
    <w:p>
      <w:pPr>
        <w:ind w:left="580" w:hanging="248"/>
        <w:spacing w:after="0"/>
        <w:tabs>
          <w:tab w:leader="none" w:pos="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the Plan</w:t>
      </w:r>
      <w:r>
        <w:rPr>
          <w:rFonts w:ascii="Arial" w:cs="Arial" w:eastAsia="Arial" w:hAnsi="Arial"/>
          <w:sz w:val="18"/>
          <w:szCs w:val="18"/>
          <w:color w:val="auto"/>
        </w:rPr>
        <w:t>” means the Texas Instruments 2009 Long-Term Incentive Plan.</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Retirement Eligible</w:t>
      </w:r>
      <w:r>
        <w:rPr>
          <w:rFonts w:ascii="Arial" w:cs="Arial" w:eastAsia="Arial" w:hAnsi="Arial"/>
          <w:sz w:val="18"/>
          <w:szCs w:val="18"/>
          <w:color w:val="auto"/>
        </w:rPr>
        <w:t>” means (1) at least 55 years of age with at least 10 years of service (measured from your service date as shown on TI's global human resources database) as a TI employee or (2) at least 65 years of 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1" w:right="239" w:bottom="1440" w:gutter="0" w:footer="0" w:header="0"/>
        </w:sectPr>
      </w:pPr>
    </w:p>
    <w:bookmarkStart w:id="36" w:name="page37"/>
    <w:bookmarkEnd w:id="36"/>
    <w:p>
      <w:pPr>
        <w:ind w:left="820" w:hanging="488"/>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Employee Stock Grant Communication</w:t>
      </w:r>
      <w:r>
        <w:rPr>
          <w:rFonts w:ascii="Arial" w:cs="Arial" w:eastAsia="Arial" w:hAnsi="Arial"/>
          <w:sz w:val="18"/>
          <w:szCs w:val="18"/>
          <w:color w:val="auto"/>
        </w:rPr>
        <w:t>” means the written communication from the Company to you stating the date(s) of vesting and number of shares under the Award.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Fair Market Value</w:t>
      </w:r>
      <w:r>
        <w:rPr>
          <w:rFonts w:ascii="Arial" w:cs="Arial" w:eastAsia="Arial" w:hAnsi="Arial"/>
          <w:sz w:val="17"/>
          <w:szCs w:val="17"/>
          <w:color w:val="auto"/>
        </w:rPr>
        <w:t>” means the closing price of TI common stock on The NASDAQ Stock Market on the day before the Vesting Date.</w:t>
      </w:r>
    </w:p>
    <w:p>
      <w:pPr>
        <w:spacing w:after="0" w:line="236"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46" w:lineRule="exact"/>
        <w:rPr>
          <w:rFonts w:ascii="Arial" w:cs="Arial" w:eastAsia="Arial" w:hAnsi="Arial"/>
          <w:sz w:val="17"/>
          <w:szCs w:val="17"/>
          <w:color w:val="auto"/>
        </w:rPr>
      </w:pPr>
    </w:p>
    <w:p>
      <w:pPr>
        <w:ind w:left="500" w:hanging="492"/>
        <w:spacing w:after="0" w:line="277"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9 hereof shall be construed both as to validity and performance and enforced in accordance with the laws of the State of Texas without giving effect to the principles of conflict of laws thereof.</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28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2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By accepting this Restricted Stock Unit Award Agreement, I acknowledge I have read and I agree to be bound by all of the terms and conditions set forth above, including Section 9 relating to Confidential Information, Non-solicitation, Competition and Recoupment Policy.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Texas Instruments Incorporated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Computation of Ratio of Earnings to Fixed Charges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(Millions of dollars)</w:t>
      </w:r>
    </w:p>
    <w:p>
      <w:pPr>
        <w:sectPr>
          <w:pgSz w:w="11900" w:h="16838" w:orient="portrait"/>
          <w:cols w:equalWidth="0" w:num="1">
            <w:col w:w="11380"/>
          </w:cols>
          <w:pgMar w:left="28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347" w:lineRule="exact"/>
        <w:rPr>
          <w:sz w:val="20"/>
          <w:szCs w:val="20"/>
          <w:color w:val="auto"/>
        </w:rPr>
      </w:pPr>
    </w:p>
    <w:p>
      <w:pPr>
        <w:ind w:right="1900"/>
        <w:spacing w:after="0" w:line="313" w:lineRule="auto"/>
        <w:rPr>
          <w:sz w:val="20"/>
          <w:szCs w:val="20"/>
          <w:color w:val="auto"/>
        </w:rPr>
      </w:pPr>
      <w:r>
        <w:rPr>
          <w:rFonts w:ascii="Arial" w:cs="Arial" w:eastAsia="Arial" w:hAnsi="Arial"/>
          <w:sz w:val="18"/>
          <w:szCs w:val="18"/>
          <w:color w:val="auto"/>
        </w:rPr>
        <w:t>Income from continuing operations before income tax Equity method investments (gains) and losses Add:</w:t>
      </w:r>
    </w:p>
    <w:p>
      <w:pPr>
        <w:ind w:left="80"/>
        <w:spacing w:after="0"/>
        <w:rPr>
          <w:sz w:val="20"/>
          <w:szCs w:val="20"/>
          <w:color w:val="auto"/>
        </w:rPr>
      </w:pPr>
      <w:r>
        <w:rPr>
          <w:rFonts w:ascii="Arial" w:cs="Arial" w:eastAsia="Arial" w:hAnsi="Arial"/>
          <w:sz w:val="18"/>
          <w:szCs w:val="18"/>
          <w:color w:val="auto"/>
        </w:rPr>
        <w:t>Fixed charges (from below)</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capitalized interest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Distributed income from equity investees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earnings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347"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gross interest on debt (expensed) (a)</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Amortization of debt premium and debt issuance costs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Estimated interest element of rental and lease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2011</w:t>
            </w:r>
          </w:p>
        </w:tc>
        <w:tc>
          <w:tcPr>
            <w:tcW w:w="340" w:type="dxa"/>
            <w:vAlign w:val="bottom"/>
          </w:tcPr>
          <w:p>
            <w:pPr>
              <w:spacing w:after="0"/>
              <w:rPr>
                <w:sz w:val="17"/>
                <w:szCs w:val="17"/>
                <w:color w:val="auto"/>
              </w:rPr>
            </w:pP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2010</w:t>
            </w:r>
          </w:p>
        </w:tc>
        <w:tc>
          <w:tcPr>
            <w:tcW w:w="340" w:type="dxa"/>
            <w:vAlign w:val="bottom"/>
          </w:tcPr>
          <w:p>
            <w:pPr>
              <w:spacing w:after="0"/>
              <w:rPr>
                <w:sz w:val="17"/>
                <w:szCs w:val="17"/>
                <w:color w:val="auto"/>
              </w:rPr>
            </w:pP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w w:val="84"/>
              </w:rPr>
              <w:t>2009</w:t>
            </w:r>
          </w:p>
        </w:tc>
        <w:tc>
          <w:tcPr>
            <w:tcW w:w="360" w:type="dxa"/>
            <w:vAlign w:val="bottom"/>
          </w:tcPr>
          <w:p>
            <w:pPr>
              <w:spacing w:after="0"/>
              <w:rPr>
                <w:sz w:val="17"/>
                <w:szCs w:val="17"/>
                <w:color w:val="auto"/>
              </w:rPr>
            </w:pP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w w:val="84"/>
              </w:rPr>
              <w:t>2008</w:t>
            </w: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84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2,955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4,551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2,481</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r>
      <w:tr>
        <w:trPr>
          <w:trHeight w:val="540"/>
        </w:trPr>
        <w:tc>
          <w:tcPr>
            <w:tcW w:w="1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2,035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4,570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2,518</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06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-2837815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-2486660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-2143125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-1800225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-1457325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-1071245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-719455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-376555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-16510</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880"/>
          </w:cols>
          <w:pgMar w:left="280" w:top="584" w:right="239" w:bottom="1440" w:gutter="0" w:footer="0" w:header="0"/>
          <w:type w:val="continuous"/>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20.6</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55.9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304.8</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127.9</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r>
      <w:tr>
        <w:trPr>
          <w:trHeight w:val="20"/>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Capitalized interest was immaterial for 2012 and 2011.</w:t>
      </w:r>
    </w:p>
    <w:p>
      <w:pPr>
        <w:sectPr>
          <w:pgSz w:w="11900" w:h="16838" w:orient="portrait"/>
          <w:cols w:equalWidth="0" w:num="1">
            <w:col w:w="11380"/>
          </w:cols>
          <w:pgMar w:left="280" w:top="584"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Exhibit 13</w:t>
            </w:r>
          </w:p>
        </w:tc>
        <w:tc>
          <w:tcPr>
            <w:tcW w:w="0" w:type="dxa"/>
            <w:vAlign w:val="bottom"/>
          </w:tcPr>
          <w:p>
            <w:pPr>
              <w:spacing w:after="0"/>
              <w:rPr>
                <w:sz w:val="1"/>
                <w:szCs w:val="1"/>
                <w:color w:val="auto"/>
              </w:rPr>
            </w:pPr>
          </w:p>
        </w:tc>
      </w:tr>
      <w:tr>
        <w:trPr>
          <w:trHeight w:val="596"/>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12,825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6,474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2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2260" w:type="dxa"/>
            <w:vAlign w:val="bottom"/>
          </w:tcPr>
          <w:p>
            <w:pPr>
              <w:jc w:val="right"/>
              <w:ind w:right="14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Unrealized gains (losses), net of tax benefit (expense) of ($1), $1 and ($3)</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Reclassification of recognized transactions, net of tax benefit (expense) of $0, ($7) and $0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 net of tax benefit (expense) of $29, $65 and $61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6"/>
              </w:rPr>
              <w:t>Reclassification of recognized transactions, net of tax benefit (expense) of ($104), ($28) and</w:t>
            </w: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7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Adjustment, net of tax benefit (expense) of $1, $5 and ($1)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Reclassification of recognized transactions, net of tax benefit (expense) of $0, ($1) and $0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 instrument, net of tax benefit (expense) of $1, $1 and $0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($31) and ($19)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Shares issued: 2012 – 1,740,815,939; 2011 – 1,740,630,391</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treasury common stock at cost.</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Shares: 2012 – 632,636,970; 2011 – 601,131,631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40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26" w:right="239" w:bottom="408"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on sales of assets and divestiture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insurance recovery, asset sales and divestiture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2,564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and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6"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per-share amounts]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($.49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Dividends declared and paid ($.56 per share)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1,759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Dividends declared and paid ($.72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 stock issued for stock-based awards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27,205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right="5720" w:firstLine="8"/>
        <w:spacing w:after="0" w:line="261" w:lineRule="auto"/>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and practices </w:t>
      </w:r>
      <w:r>
        <w:rPr>
          <w:rFonts w:ascii="Arial" w:cs="Arial" w:eastAsia="Arial" w:hAnsi="Arial"/>
          <w:sz w:val="18"/>
          <w:szCs w:val="18"/>
          <w:u w:val="single" w:color="auto"/>
          <w:color w:val="auto"/>
        </w:rPr>
        <w:t>Business</w:t>
      </w:r>
    </w:p>
    <w:p>
      <w:pPr>
        <w:ind w:right="102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At Texas Instruments (TI), we design and make semiconductors that we sell to electronics designers and manufacturers all over the world. As of December 31, 2012, we have three reportable segments, which are established along major categories of products as follows:</w:t>
      </w:r>
    </w:p>
    <w:p>
      <w:pPr>
        <w:spacing w:after="0" w:line="161" w:lineRule="exact"/>
        <w:rPr>
          <w:rFonts w:ascii="Arial" w:cs="Arial" w:eastAsia="Arial" w:hAnsi="Arial"/>
          <w:sz w:val="18"/>
          <w:szCs w:val="18"/>
          <w:b w:val="1"/>
          <w:bCs w:val="1"/>
          <w:color w:val="auto"/>
        </w:rPr>
      </w:pPr>
    </w:p>
    <w:p>
      <w:pPr>
        <w:ind w:left="660" w:right="34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SVA consists of products that we acquired through our purchase of National Semiconductor Corporation (National) in 2011.</w:t>
      </w:r>
    </w:p>
    <w:p>
      <w:pPr>
        <w:ind w:left="660" w:right="620" w:hanging="328"/>
        <w:spacing w:after="0" w:line="250"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Embedded Processing – consists of digital signal processors (DSPs) and microcontrollers used in catalog, communications infrastructure and automotive applications; and</w:t>
      </w: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Wireless – consists of OMAP™ applications processors, connectivity products and baseband products.</w:t>
      </w:r>
    </w:p>
    <w:p>
      <w:pPr>
        <w:spacing w:after="0" w:line="211"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We report the results of our remaining business activities in Other. As previously announced, the Wireless segment will be eliminated due to the decision to wind down certain of its product lines. As a result, we will restructure our reportable segments beginning January 1, 2013, and we will report our first quarter of 2013 financial results accordingly. See Note 16 for additional information on our business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The basis of these financial statements is comparable for all periods presented herein.</w:t>
      </w:r>
    </w:p>
    <w:p>
      <w:pPr>
        <w:spacing w:after="0" w:line="184"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2012 presentation. The preparation of financial statements requires the use of estimates from which final results may vary.</w:t>
      </w:r>
    </w:p>
    <w:p>
      <w:pPr>
        <w:spacing w:after="0" w:line="18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On September 23, 2011, we completed the acquisition of National. We accounted for this transaction under Accounting Standards Codification (ASC) 805 - Business Combinations, and the consolidated financial statements include the balances and results of operations of National from the date of acquisition. See Note 2 for more detailed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recognize revenue from direct sales of our products to our customers, including shipping fees, when title and risk of loss pass to the customer, which usually occurs upon shipment or delivery, depending upon the terms of the sales order; when persuasive evidence of an arrangement exists; when sales amounts are fixed or determinable; and when collectability is reasonably assured. Revenue from sales of our products that are subject to inventory consignment agreements is recognized consistent with the principles discussed above, but delivery occurs when the customer pulls product from consignment inventory that we store at designated locations. Estimates of product returns for quality reasons and of price allowances (based on historical experience, product shipment analysis and customer contractual arrangements) are recorded when revenue is recognized. Allowances include volume-based incentives and special pricing arrangements. In addition, we record allowances for accounts receivable that we estimate may not be collected.</w:t>
      </w:r>
    </w:p>
    <w:p>
      <w:pPr>
        <w:spacing w:after="0" w:line="16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we use statistical percentages of revenue, determined quarterly, based upon recent historical adjustment trends. We also provide allowances for certain growth-based incentives.</w:t>
      </w:r>
    </w:p>
    <w:p>
      <w:pPr>
        <w:spacing w:after="0" w:line="178"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44" w:name="page45"/>
    <w:bookmarkEnd w:id="44"/>
    <w:p>
      <w:pPr>
        <w:ind w:firstLine="162"/>
        <w:spacing w:after="0" w:line="297" w:lineRule="auto"/>
        <w:rPr>
          <w:sz w:val="20"/>
          <w:szCs w:val="20"/>
          <w:color w:val="auto"/>
        </w:rPr>
      </w:pPr>
      <w:r>
        <w:rPr>
          <w:rFonts w:ascii="Arial" w:cs="Arial" w:eastAsia="Arial" w:hAnsi="Arial"/>
          <w:sz w:val="16"/>
          <w:szCs w:val="16"/>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include shipping and handling costs in COR.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$46 million in 2012, $43 million in 2011 and $44 million in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1,728</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1,728</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Potentially dilutive securities representing 52 million, 24 million and 66 million shares of common stock that were outstanding during 2012, 2011 and 2010, respectively, were excluded from the computation of diluted earnings per common share for these periods because their effect would have been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present investments on our balance sheets as cash equivalents, short-term investments or long-term investments. Specific details are as follows:</w:t>
      </w:r>
    </w:p>
    <w:p>
      <w:pPr>
        <w:spacing w:after="0" w:line="222" w:lineRule="exact"/>
        <w:rPr>
          <w:sz w:val="20"/>
          <w:szCs w:val="20"/>
          <w:color w:val="auto"/>
        </w:rPr>
      </w:pPr>
    </w:p>
    <w:p>
      <w:pPr>
        <w:ind w:left="660" w:right="100" w:hanging="328"/>
        <w:spacing w:after="0" w:line="26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Cash equivalents and short-term investments: </w:t>
      </w:r>
      <w:r>
        <w:rPr>
          <w:rFonts w:ascii="Arial" w:cs="Arial" w:eastAsia="Arial" w:hAnsi="Arial"/>
          <w:sz w:val="17"/>
          <w:szCs w:val="17"/>
          <w:color w:val="auto"/>
        </w:rPr>
        <w:t>We consider investments in debt securities with maturities of 90 days or less from the date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to be cash equivalents. We consider investments in debt securities with maturities beyond 90 days from the date of our investment as being available for use in current operations and include these investments in short-term investments. The primary objectives of our cash equivalent and short-term investment activities are to preserve capital and maintain liquidity while generating appropriate returns.</w:t>
      </w:r>
    </w:p>
    <w:p>
      <w:pPr>
        <w:spacing w:after="0" w:line="2"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Long-term investments consist of mutual funds, venture capital funds and non-marketable equity securities.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2012, this also included auction-rate securities.</w:t>
      </w:r>
    </w:p>
    <w:p>
      <w:pPr>
        <w:jc w:val="both"/>
        <w:ind w:left="660" w:right="50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available for sale, trading, or equity- or cost-method investments, which are more fully described in Note 9. We determine cost or amortized cost, as appropriate, on a specific identification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$169 million and $129 million as of December 31, 2012 and 2011, respectively.</w:t>
      </w:r>
    </w:p>
    <w:p>
      <w:pPr>
        <w:spacing w:after="0" w:line="190"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acquisition-related intangibles and other capitalized costs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Impairments of long-lived assets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tests as of October 1 for our reporting units. The test compares the fair value for each reporting unit to its associated carrying value including goodwill. See Note 10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remeasured at historic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issuance of variable-rate long-term debt in May 2011, as more fully described in Note 12, we entered into an interest rate swap designated as a hedge of the variability of cash flows related to interest payments. Gains and losses from changes in the fair value of the interest rate swap are credited or charged to Accumulated other comprehensive income (loss), net of taxes (AOCI).</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46" w:name="page47"/>
    <w:bookmarkEnd w:id="46"/>
    <w:p>
      <w:pPr>
        <w:ind w:right="220" w:firstLine="162"/>
        <w:spacing w:after="0" w:line="259" w:lineRule="auto"/>
        <w:rPr>
          <w:sz w:val="20"/>
          <w:szCs w:val="20"/>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the Financial Accounting Standards Board had issued several accounting standards that we have not yet been required to adopt.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 of these standards would have a material effect on our financial condition, results of operations or financial disclosures.</w:t>
      </w:r>
    </w:p>
    <w:p>
      <w:pPr>
        <w:spacing w:after="0" w:line="207" w:lineRule="exact"/>
        <w:rPr>
          <w:sz w:val="20"/>
          <w:szCs w:val="20"/>
          <w:color w:val="auto"/>
        </w:rPr>
      </w:pPr>
    </w:p>
    <w:p>
      <w:pPr>
        <w:ind w:right="9120" w:firstLine="8"/>
        <w:spacing w:after="0" w:line="276" w:lineRule="auto"/>
        <w:tabs>
          <w:tab w:leader="none" w:pos="1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Acquisition-related charges </w:t>
      </w:r>
      <w:r>
        <w:rPr>
          <w:rFonts w:ascii="Arial" w:cs="Arial" w:eastAsia="Arial" w:hAnsi="Arial"/>
          <w:sz w:val="17"/>
          <w:szCs w:val="17"/>
          <w:u w:val="single" w:color="auto"/>
          <w:color w:val="auto"/>
        </w:rPr>
        <w:t>National acquisition</w:t>
      </w:r>
    </w:p>
    <w:p>
      <w:pPr>
        <w:ind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September 23, 2011, we completed the acquisition of National by acquiring all issued and outstanding common shares in exchange for total consideration of $6.56 billion. We recognized $3.528 billion of goodwill, which was applied to the Analog segment. None of the goodwill related to the National acquisition was deductible for tax purposes.</w:t>
      </w:r>
    </w:p>
    <w:p>
      <w:pPr>
        <w:spacing w:after="0" w:line="19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incurred various costs as a result of the acquisition of National that are included in Other consistent with how management measures the performance of its segments. These total acquisition-related charges are as follows:</w:t>
      </w:r>
    </w:p>
    <w:p>
      <w:pPr>
        <w:spacing w:after="0" w:line="11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Distributor contract termination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 related</w:t>
            </w:r>
          </w:p>
        </w:tc>
        <w:tc>
          <w:tcPr>
            <w:tcW w:w="1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related</w:t>
            </w: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As recorded in COR</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Retention bonuses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Severance and other benefits:</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reductions announced at closing</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Change of control</w:t>
            </w:r>
          </w:p>
        </w:tc>
        <w:tc>
          <w:tcPr>
            <w:tcW w:w="1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and other costs</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As recorded in Acquisition charges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acquisition-related charges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7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7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At acquisition, we recognized costs associated with the adjustments to write up the value of acquired inventory and property, plant and equipment to fair value. These costs are in addition to the normal expensing of the acquired assets based on their carrying or book value prior to the acquisition. The total fair-value write-up of $96 million for the acquired inventory was expensed as that inventory was sold. The total fair-value write-up for the acquired property, plant and equipment was $436 million. In the fourth quarter of 2011, depreciation was $15 million. It continues at a declining rate and is no longer separately disclosed as an acquisition-related charge.</w:t>
      </w:r>
    </w:p>
    <w:p>
      <w:pPr>
        <w:spacing w:after="0" w:line="188"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10 for additional information.</w:t>
      </w:r>
    </w:p>
    <w:p>
      <w:pPr>
        <w:spacing w:after="0" w:line="17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47" w:name="page48"/>
    <w:bookmarkEnd w:id="47"/>
    <w:p>
      <w:pPr>
        <w:ind w:right="200" w:firstLine="162"/>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7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Severance and other benefits costs were for former National employees who were terminated after the closing date. These costs totaled $70 million for the year ended December 31, 2011, with $41 million in charges related to change of control provisions under existing employment agreements and $29 million in charges for announced employment reductions affecting about 350 jobs. All of these jobs were eliminated by the end of 2012 as a result of redundancies and cost efficiency measures, with approximately $16 million of additional expense recognized in 2012. Of the $86 million in cumulative charges recognized through December 31, 2012, $65 million was paid in 2012 and $14 million was paid in 2011.</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and other costs include various expenses incurred in connection with the National acquisition. In 2011, we also incurred bridge financing costs.</w:t>
      </w:r>
    </w:p>
    <w:p>
      <w:pPr>
        <w:spacing w:after="0" w:line="248"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In conformance with Accounting Standards Codification (ASC) 805 – Business Combinations, the following unaudited summaries of pro forma combined results of operation for the years ended December 31, 2011 and 2010, give effect to the acquisition as if it had been completed on January 1, 2010. These pro forma summaries do not reflect any operating efficiencies, cost savings or revenue enhancements that may be achieved by the combined companies. In addition, certain non-recurring expenses, such as restructuring charges and retention bonuses, are not reflected in the pro forma summaries. These pro forma summaries are presented for informational purposes only and are not indicative of what the actual results of operations would have been had the acquisition taken place as of that date, nor are they indicative of future consolidated results of operations.</w:t>
      </w:r>
    </w:p>
    <w:p>
      <w:pPr>
        <w:spacing w:after="0" w:line="120"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22860</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2010</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9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14,805</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2,438</w:t>
            </w: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acquisitions</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October 2010, we acquired our first semiconductor manufacturing site in China, located in the Chengdu High-tech Zone. This acquisition, which was recorded as a business combination, used net cash of $140 million. As contractually agreed, we made an additional payment of $35 million to the seller in October 2011.</w:t>
      </w:r>
    </w:p>
    <w:p>
      <w:pPr>
        <w:spacing w:after="0" w:line="19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August 2010, we completed the acquisition of two wafer fabs and equipment in Aizu-Wakamatsu, Japan, for net cash of $130 million. The acquisition of the fabs and related 200-millimeter equipment was recorded as a business combination for net cash of $59 million. We also settled a contractual arrangement with a third party for our benefit for net cash of $12 million, which was recorded as a charge in COR in Other. Additionally, we incurred acquisition-related costs of $1 million, which were recorded in SG&amp;A. This acquisition also included 300-millimeter production tools, which we recorded as a capital purchase for net cash of $58 million.</w:t>
      </w:r>
    </w:p>
    <w:p>
      <w:pPr>
        <w:spacing w:after="0" w:line="188"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results of operations for these acquisitions have been included in our financial statements from their respective acquisition dates. Operating results for transitional supply agreements are included in Other. Pro forma financial information for these acquisitions would not be materially different from amounts reported.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3. Restructuring charges/other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comprised of the following components:</w:t>
      </w:r>
    </w:p>
    <w:p>
      <w:pPr>
        <w:spacing w:after="0" w:line="153"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22860</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200" w:type="dxa"/>
            <w:vAlign w:val="bottom"/>
            <w:gridSpan w:val="4"/>
            <w:vMerge w:val="restart"/>
          </w:tcPr>
          <w:p>
            <w:pPr>
              <w:ind w:left="40"/>
              <w:spacing w:after="0"/>
              <w:rPr>
                <w:sz w:val="20"/>
                <w:szCs w:val="20"/>
                <w:color w:val="auto"/>
              </w:rPr>
            </w:pPr>
            <w:r>
              <w:rPr>
                <w:rFonts w:ascii="Arial" w:cs="Arial" w:eastAsia="Arial" w:hAnsi="Arial"/>
                <w:sz w:val="18"/>
                <w:szCs w:val="18"/>
                <w:color w:val="auto"/>
              </w:rPr>
              <w:t>Restructuring charges by action:</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3"/>
          </w:tcPr>
          <w:p>
            <w:pPr>
              <w:ind w:left="16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2012 Wireless action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2011 action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2008/2009 actions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8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Gain on transfer of Japan substitutional pension</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5"/>
              </w:rPr>
              <w:t>(144)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divested product line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recognized by segment are as follows:</w:t>
      </w:r>
    </w:p>
    <w:p>
      <w:pPr>
        <w:spacing w:after="0" w:line="16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Restructuring charges may consist of voluntary or involuntary severance-related charges, asset-related charges and other costs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91"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Restructuring activities associated with assets are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 Restructuring actions may be viewed as an impairment indicator requiring testing of the recoverability of intangible assets, including goodwill.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Wireless action</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November 2012, we announced an action concerning our Wireless business that, when complete, is expected to reduce annualized expenses by about $450 million and will focus our investments on embedded markets with greater potential for sustainable growth. About 1,700 jobs worldwide are expected to be eliminated. The total restructuring charges related to this action will be about $360 million, of which about $245 million will be for severance and related benefits. We recognized $351 million of these costs in the fourth quarter of 2012 consisting of: $245 million for severance and benefit costs and other non-cash items of $3 million of accelerated depreciation of the affected facilities' assets, $13 million for other exit costs and $90 million for the non-tax deductible impairment of goodwill. See Note 10 for additional information on the goodwill impairment charge. We estimate that this action will be substantially complete by the end of 2013. As of December 31, 2012, $4 million has been paid to terminated employees for severance and benefits related to this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2011 action</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Beginning in the fourth quarter of 2011, we recognized restructuring charges associated with the announced plans to close two older semiconductor manufacturing facilities in Hiji, Japan, and Houston, Texas, in 2013. Each facility employed about 500 people. The total charge for these closures is estimated at $215 million, of which $161 million has been recognized through December 31, 2012, consisting of: $113 million for severance and benefit costs, $23 million of accelerated depreciation of the facilities’ assets and $25 million for other exit costs. Of the estimated $215 million total cost, about $135 million will be for severance and related benefits, about $30 million will be for accelerated depreciation of facility assets and about $50 million will be for other exit costs. In 2012, $11 million was paid to terminated employees for severance and benefits related to this action.</w:t>
      </w:r>
    </w:p>
    <w:p>
      <w:pPr>
        <w:spacing w:after="0" w:line="17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restructuring action related to the acquisition of National is discussed in Note 2 and is reflected in Acquisition charges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2008/2009 actions</w:t>
      </w:r>
    </w:p>
    <w:p>
      <w:pPr>
        <w:spacing w:after="0" w:line="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20"/>
              <w:spacing w:after="0"/>
              <w:rPr>
                <w:sz w:val="20"/>
                <w:szCs w:val="20"/>
                <w:color w:val="auto"/>
              </w:rPr>
            </w:pPr>
            <w:r>
              <w:rPr>
                <w:rFonts w:ascii="Arial" w:cs="Arial" w:eastAsia="Arial" w:hAnsi="Arial"/>
                <w:sz w:val="18"/>
                <w:szCs w:val="18"/>
                <w:b w:val="1"/>
                <w:bCs w:val="1"/>
                <w:color w:val="auto"/>
              </w:rPr>
              <w:t>2012 Action</w:t>
            </w:r>
          </w:p>
        </w:tc>
        <w:tc>
          <w:tcPr>
            <w:tcW w:w="140" w:type="dxa"/>
            <w:vAlign w:val="bottom"/>
          </w:tcPr>
          <w:p>
            <w:pPr>
              <w:spacing w:after="0"/>
              <w:rPr>
                <w:sz w:val="20"/>
                <w:szCs w:val="20"/>
                <w:color w:val="auto"/>
              </w:rPr>
            </w:pPr>
          </w:p>
        </w:tc>
        <w:tc>
          <w:tcPr>
            <w:tcW w:w="2340" w:type="dxa"/>
            <w:vAlign w:val="bottom"/>
            <w:gridSpan w:val="5"/>
          </w:tcPr>
          <w:p>
            <w:pPr>
              <w:ind w:left="600"/>
              <w:spacing w:after="0"/>
              <w:rPr>
                <w:sz w:val="20"/>
                <w:szCs w:val="20"/>
                <w:color w:val="auto"/>
              </w:rPr>
            </w:pPr>
            <w:r>
              <w:rPr>
                <w:rFonts w:ascii="Arial" w:cs="Arial" w:eastAsia="Arial" w:hAnsi="Arial"/>
                <w:sz w:val="18"/>
                <w:szCs w:val="18"/>
                <w:b w:val="1"/>
                <w:bCs w:val="1"/>
                <w:color w:val="auto"/>
              </w:rPr>
              <w:t>2011 Action</w:t>
            </w:r>
          </w:p>
        </w:tc>
        <w:tc>
          <w:tcPr>
            <w:tcW w:w="14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2008/2009 Actions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and Benefits</w:t>
            </w: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December 31, 2009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accrual at December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31, 2010</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2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760" w:type="dxa"/>
            <w:vAlign w:val="bottom"/>
          </w:tcPr>
          <w:p>
            <w:pPr>
              <w:ind w:left="40"/>
              <w:spacing w:after="0"/>
              <w:rPr>
                <w:sz w:val="20"/>
                <w:szCs w:val="20"/>
                <w:color w:val="auto"/>
              </w:rPr>
            </w:pPr>
            <w:r>
              <w:rPr>
                <w:rFonts w:ascii="Arial" w:cs="Arial" w:eastAsia="Arial" w:hAnsi="Arial"/>
                <w:sz w:val="18"/>
                <w:szCs w:val="18"/>
                <w:color w:val="auto"/>
              </w:rPr>
              <w:t>Remaining accrual at December</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0"/>
              <w:spacing w:after="0"/>
              <w:rPr>
                <w:sz w:val="20"/>
                <w:szCs w:val="20"/>
                <w:color w:val="auto"/>
              </w:rPr>
            </w:pPr>
            <w:r>
              <w:rPr>
                <w:rFonts w:ascii="Arial" w:cs="Arial" w:eastAsia="Arial" w:hAnsi="Arial"/>
                <w:sz w:val="18"/>
                <w:szCs w:val="18"/>
                <w:color w:val="auto"/>
              </w:rPr>
              <w:t>31, 2011</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Remaining accrual at December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41"/>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31, 2012</w:t>
            </w:r>
          </w:p>
        </w:tc>
        <w:tc>
          <w:tcPr>
            <w:tcW w:w="1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(a) Reflects charges for goodwill impairment, stock-based compensation, impacts of postretirement benefit plans and accelerated depreciation.</w:t>
      </w:r>
    </w:p>
    <w:p>
      <w:pPr>
        <w:spacing w:after="0" w:line="22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transfer of Japan substitutional pension</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third quarter of 2012, we transferred the obligations and assets of the substitutional portion of our Japan pension program from the pension trust to the government of Japan, resulting in a net gain of $144 million. See Note 11 for additional details.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Gain on divested product line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2010, we divested a product line previously included in Other for $148 million and recognized a gain in operating profit of $144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Losses associated with the 2011 earthquake in Japan</w:t>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On March 11, 2011, a magnitude 9.0 earthquake struck near two of our three semiconductor manufacturing facilities in Japan. Our manufacturing site in Miho suffered substantial damage during the earthquake, our facility in Aizu experienced significantly less damage and our site in Hiji was undamaged. We maintain earthquake insurance policies in Japan for limited coverage for property damage and business interruption losses.</w:t>
      </w:r>
    </w:p>
    <w:p>
      <w:pPr>
        <w:spacing w:after="0" w:line="173"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In 2011, we incurred cumulative gross operating losses of $101 million related to the earthquake and associated events in Japan. These losses related to property damage, the underutilization expense we incurred from having our manufacturing assets only partially loaded and costs associated with recovery teams assembled from across the world. Gross operating losses do not comprehend any lost revenue.</w:t>
      </w:r>
    </w:p>
    <w:p>
      <w:pPr>
        <w:spacing w:after="0" w:line="181" w:lineRule="exact"/>
        <w:rPr>
          <w:sz w:val="20"/>
          <w:szCs w:val="20"/>
          <w:color w:val="auto"/>
        </w:rPr>
      </w:pPr>
    </w:p>
    <w:p>
      <w:pPr>
        <w:ind w:right="280" w:firstLine="162"/>
        <w:spacing w:after="0" w:line="342" w:lineRule="auto"/>
        <w:rPr>
          <w:sz w:val="20"/>
          <w:szCs w:val="20"/>
          <w:color w:val="auto"/>
        </w:rPr>
      </w:pPr>
      <w:r>
        <w:rPr>
          <w:rFonts w:ascii="Arial" w:cs="Arial" w:eastAsia="Arial" w:hAnsi="Arial"/>
          <w:sz w:val="16"/>
          <w:szCs w:val="16"/>
          <w:color w:val="auto"/>
        </w:rPr>
        <w:t>These losses have been offset by $36 million in cumulative insurance proceeds related to property damage claims ($23 million received in 2011 and $13 million for 2012). Almost all of these costs and proceeds are included in COR in our Consolidated statements of income and are recorded in Other.</w:t>
      </w:r>
    </w:p>
    <w:p>
      <w:pPr>
        <w:spacing w:after="0" w:line="124" w:lineRule="exact"/>
        <w:rPr>
          <w:sz w:val="20"/>
          <w:szCs w:val="20"/>
          <w:color w:val="auto"/>
        </w:rPr>
      </w:pPr>
    </w:p>
    <w:p>
      <w:pPr>
        <w:jc w:val="both"/>
        <w:ind w:right="340" w:firstLine="162"/>
        <w:spacing w:after="0" w:line="342" w:lineRule="auto"/>
        <w:rPr>
          <w:sz w:val="20"/>
          <w:szCs w:val="20"/>
          <w:color w:val="auto"/>
        </w:rPr>
      </w:pPr>
      <w:r>
        <w:rPr>
          <w:rFonts w:ascii="Arial" w:cs="Arial" w:eastAsia="Arial" w:hAnsi="Arial"/>
          <w:sz w:val="16"/>
          <w:szCs w:val="16"/>
          <w:color w:val="auto"/>
        </w:rPr>
        <w:t>In addition, we recognized $172 million in cumulative insurance proceeds through December 31, 2012, ($135 million received in 2012 and $37 million received in 2011) related to business interruption claims. These proceeds are recorded as revenue in our Consolidated statements of income and in Other.</w:t>
      </w:r>
    </w:p>
    <w:p>
      <w:pPr>
        <w:spacing w:after="0" w:line="124"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In the third quarter of 2012, we completed discussions with our insurers and their advisors, settling all associated claims against our policies. All claims related to these events have been settled and the proceeds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stock options outstanding to participants under various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ten-year term and vest ratably over four years. Our options generally continue to vest after the option recipient retires.</w:t>
      </w:r>
    </w:p>
    <w:p>
      <w:pPr>
        <w:spacing w:after="0" w:line="19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also have RSUs outstanding under the long-term incentive plans.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 Holders of most RSUs receive an annual cash payment equal to the dividends paid on our common stock.</w:t>
      </w:r>
    </w:p>
    <w:p>
      <w:pPr>
        <w:spacing w:after="0" w:line="147"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have options and RSUs outstanding to non-employee directors under various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167"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 expense recognized in:</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(COR)</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charges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These amounts include expense related to non-qualified stock options, RSUs and stock options offered under our employee stock purchase plan and are net of expected forfeitures.</w:t>
      </w:r>
    </w:p>
    <w:p>
      <w:pPr>
        <w:spacing w:after="0" w:line="17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RSUs generally vest four years after the date of grant. We recognize the related compensation costs on a straight-line basis over the vesting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methods and assumptions</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We account for all awards granted under our various stock-based compensation plans at fair value. We estimate the fair values for non-qualified stock options under long-term incentive and director compensation plans using the Black-Scholes option-pricing model with the following weighted average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assumptions used: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lives (in years)</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Risk-free interest rates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dividend yields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ten-year average. We believe the historical experience method is the best estimate of future exercise patterns currently available.</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per share of RSUs that we grant is determined based on the closing price of our common stock on the date of grant.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52" w:name="page53"/>
    <w:bookmarkEnd w:id="52"/>
    <w:p>
      <w:pPr>
        <w:ind w:right="220" w:firstLine="162"/>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during 2012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60" w:type="dxa"/>
            <w:vAlign w:val="bottom"/>
            <w:gridSpan w:val="5"/>
          </w:tcPr>
          <w:p>
            <w:pPr>
              <w:ind w:left="120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r>
      <w:tr>
        <w:trPr>
          <w:trHeight w:val="27"/>
        </w:trPr>
        <w:tc>
          <w:tcPr>
            <w:tcW w:w="44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4480" w:type="dxa"/>
            <w:vAlign w:val="bottom"/>
          </w:tcPr>
          <w:p>
            <w:pPr>
              <w:spacing w:after="0"/>
              <w:rPr>
                <w:sz w:val="20"/>
                <w:szCs w:val="20"/>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 Share</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Value per Share</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113,273,394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23,358,846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13,508,034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32.35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5,617,150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31.60</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Vested RSUs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(4,182,928)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Expired and forfeited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(4,732,514)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29.78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(1,417,834)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26.76</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(22,409,816)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2012</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99,639,098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27.73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23,375,234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25.91</w:t>
            </w:r>
          </w:p>
        </w:tc>
      </w:tr>
      <w:tr>
        <w:trPr>
          <w:trHeight w:val="20"/>
        </w:trPr>
        <w:tc>
          <w:tcPr>
            <w:tcW w:w="4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The weighted average grant date fair value of RSUs granted during the years 2012, 2011 and 2010 was $31.60, $33.20 and $23.47 per share, respectively. For the years ended December 31, 2012, 2011 and 2010, the total fair value of shares vested from RSU grants was $120 million, $155 million and $51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at December 31, 2012,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ind w:left="440"/>
              <w:spacing w:after="0"/>
              <w:rPr>
                <w:sz w:val="20"/>
                <w:szCs w:val="20"/>
                <w:color w:val="auto"/>
              </w:rPr>
            </w:pPr>
            <w:r>
              <w:rPr>
                <w:rFonts w:ascii="Arial" w:cs="Arial" w:eastAsia="Arial" w:hAnsi="Arial"/>
                <w:sz w:val="18"/>
                <w:szCs w:val="18"/>
                <w:b w:val="1"/>
                <w:bCs w:val="1"/>
                <w:color w:val="auto"/>
                <w:w w:val="92"/>
              </w:rPr>
              <w:t>Stock Options Outstanding</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 per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Exercise Price per</w:t>
            </w:r>
          </w:p>
        </w:tc>
      </w:tr>
      <w:tr>
        <w:trPr>
          <w:trHeight w:val="234"/>
        </w:trPr>
        <w:tc>
          <w:tcPr>
            <w:tcW w:w="380" w:type="dxa"/>
            <w:vAlign w:val="bottom"/>
          </w:tcPr>
          <w:p>
            <w:pPr>
              <w:spacing w:after="0"/>
              <w:rPr>
                <w:sz w:val="20"/>
                <w:szCs w:val="20"/>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9.56 to 10.00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9.56</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10.01 to 20.00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13,179,570</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15.32</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9,619,657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15.43</w:t>
            </w:r>
          </w:p>
        </w:tc>
      </w:tr>
      <w:tr>
        <w:trPr>
          <w:trHeight w:val="27"/>
        </w:trPr>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20.01 to 30.00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34,637,310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27,154,258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25.33</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30.01 to 38.40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51,817,336</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32.81</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31,755,628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32.59</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9.56 to 38.40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99,639,098</w:t>
            </w:r>
          </w:p>
        </w:tc>
        <w:tc>
          <w:tcPr>
            <w:tcW w:w="1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68,534,425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During the years ended December 31, 2012, 2011 and 2010, the aggregate intrinsic value (i.e., the difference in the closing market price and the exercise price paid by the optionee) of options exercised was $244 million, $231 million and $140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2012, about outstanding stock options that are vested and expected to vest, as well as stock options that are currently exercisable,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Outstanding Stock Options (Fully</w:t>
            </w:r>
          </w:p>
        </w:tc>
        <w:tc>
          <w:tcPr>
            <w:tcW w:w="1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Vested and Expected to Vest) (a)</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Exercisable</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Number of outstanding (shares)</w:t>
            </w:r>
          </w:p>
        </w:tc>
        <w:tc>
          <w:tcPr>
            <w:tcW w:w="3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96,121,395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68,534,425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contractual life (in years)</w:t>
            </w:r>
          </w:p>
        </w:tc>
        <w:tc>
          <w:tcPr>
            <w:tcW w:w="300" w:type="dxa"/>
            <w:vAlign w:val="bottom"/>
          </w:tcPr>
          <w:p>
            <w:pPr>
              <w:spacing w:after="0"/>
              <w:rPr>
                <w:sz w:val="21"/>
                <w:szCs w:val="21"/>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exercise price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Intrinsic value (millions of dollars)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r>
    </w:tbl>
    <w:p>
      <w:pPr>
        <w:spacing w:after="0" w:line="13" w:lineRule="exact"/>
        <w:rPr>
          <w:sz w:val="20"/>
          <w:szCs w:val="20"/>
          <w:color w:val="auto"/>
        </w:rPr>
      </w:pPr>
    </w:p>
    <w:p>
      <w:pPr>
        <w:ind w:left="660" w:right="140" w:hanging="328"/>
        <w:spacing w:after="0" w:line="277" w:lineRule="auto"/>
        <w:tabs>
          <w:tab w:leader="none" w:pos="5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4 million shares. Excluding the effects of expected forfeitures, the aggregate intrinsic value of stock options outstanding was $414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December 31, 2012, the total future compensation cost related to equity awards not yet recognized in the Consolidated statements of income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$460 million, consisting of $143 million related to unvested stock options and $317 million related to RSUs. The $460 million will be recognized as follows: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$205 million in 2013, $153 million in 2014, $94 million in 2015 and $8 million in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Options outstanding under the employee stock purchase plan at December 31, 2012, had an exercise price of $27.47 per share (85 percent of the fair market value of TI common stock on the date of automatic exercise). Of the total outstanding options, none were exercisable at year-end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Employee stock purchase plan transactions during 2012 were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1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Employee Stock</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2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Purchase Plan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2011</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2,931,354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25.64</w:t>
            </w:r>
          </w:p>
        </w:tc>
      </w:tr>
      <w:tr>
        <w:trPr>
          <w:trHeight w:val="27"/>
        </w:trPr>
        <w:tc>
          <w:tcPr>
            <w:tcW w:w="8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(2,829,498)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2012</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681,951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27.47</w:t>
            </w:r>
          </w:p>
        </w:tc>
      </w:tr>
      <w:tr>
        <w:trPr>
          <w:trHeight w:val="20"/>
        </w:trPr>
        <w:tc>
          <w:tcPr>
            <w:tcW w:w="8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The weighted average grant date fair value of options granted under the employee stock purchase plans during the years 2012, 2011 and 2010 was $4.52, $4.59 and $3.97 per share, respectively. During the years ended December 31, 2012, 2011 and 2010, the total intrinsic value of options exercised under these plans was $13 million, $10 million and $9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jc w:val="both"/>
        <w:ind w:right="600"/>
        <w:spacing w:after="0" w:line="255"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25,064,951 in 2012; 27,308,311 in 2011 and 19,077,274 in 2010; and previously unissued common shares of 180,955 in 2012; 390,438 in 2011 and 342,380 in 2010.</w:t>
      </w:r>
    </w:p>
    <w:p>
      <w:pPr>
        <w:spacing w:after="0" w:line="19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Upon vesting of RSUs, we issued treasury shares of 3,187,490 in 2012; 3,748,623 in 2011 and 1,392,790 in 2010, and previously unissued common shares of 4,593 in 2012; 73,852 in 2011, with none in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4"/>
          </w:tcPr>
          <w:p>
            <w:pPr>
              <w:ind w:left="1960"/>
              <w:spacing w:after="0"/>
              <w:rPr>
                <w:sz w:val="20"/>
                <w:szCs w:val="20"/>
                <w:color w:val="auto"/>
              </w:rPr>
            </w:pPr>
            <w:r>
              <w:rPr>
                <w:rFonts w:ascii="Arial" w:cs="Arial" w:eastAsia="Arial" w:hAnsi="Arial"/>
                <w:sz w:val="18"/>
                <w:szCs w:val="18"/>
                <w:b w:val="1"/>
                <w:bCs w:val="1"/>
                <w:color w:val="auto"/>
              </w:rPr>
              <w:t>As of December 31, 2012</w:t>
            </w: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Long-term Incentive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Director</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Employee Stock</w:t>
            </w:r>
          </w:p>
        </w:tc>
        <w:tc>
          <w:tcPr>
            <w:tcW w:w="1480" w:type="dxa"/>
            <w:vAlign w:val="bottom"/>
          </w:tcPr>
          <w:p>
            <w:pPr>
              <w:spacing w:after="0"/>
              <w:rPr>
                <w:sz w:val="18"/>
                <w:szCs w:val="18"/>
                <w:color w:val="auto"/>
              </w:rPr>
            </w:pP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Plan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Reserved for issuance (a)</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197,554,600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25,137,819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222,692,419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Shares to be issued upon exercise of outstanding options and RSUs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(123,143,365)</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(681,951)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(123,825,316)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Available for future grants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74,411,235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24,455,868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98,867,103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660" w:right="60" w:hanging="328"/>
        <w:spacing w:after="0" w:line="261" w:lineRule="auto"/>
        <w:tabs>
          <w:tab w:leader="none" w:pos="5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129,033 shares credited to directors’ deferred compensation accounts that settle in shares of TI common stock. These shares are not included as grants outstanding at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received from the exercise of options was $523 million in 2012, $690 million in 2011 and $407 million in 2010. The related net tax impact realized was $56 million, $45 million and $21 million (which includes excess tax benefits realized of $38 million, $31 million and $13 million) in 2012, 2011 and 2010,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Profit sharing plans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We recognized $96 million, $143 million and $279 million of profit sharing expense under the TI Employee Profit Sharing Plan in 2012, 2011 and 2010,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7.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28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State</w:t>
            </w:r>
          </w:p>
        </w:tc>
        <w:tc>
          <w:tcPr>
            <w:tcW w:w="2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84"/>
        </w:trPr>
        <w:tc>
          <w:tcPr>
            <w:tcW w:w="6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4"/>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at statutory rate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Non-U.S. effective tax rates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benefit for manufacturing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Impact of changes to uncertain tax positions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U.S. R&amp;D tax credit</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The total provision for 2012 in the reconciliation above includes $252 million of discrete tax benefits primarily for additional U.S. tax benefits for manufacturing related to the years 2000 through 2011.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related reserves</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loss and tax credit carryforwards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Postretirement benefit costs recognized in AOCI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intangibles and fair-value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retirement costs (defined benefit and retiree health care)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International earnings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60" w:type="dxa"/>
            <w:vAlign w:val="bottom"/>
            <w:gridSpan w:val="5"/>
          </w:tcPr>
          <w:p>
            <w:pPr>
              <w:spacing w:after="0"/>
              <w:rPr>
                <w:sz w:val="20"/>
                <w:szCs w:val="20"/>
                <w:color w:val="auto"/>
              </w:rPr>
            </w:pPr>
            <w:r>
              <w:rPr>
                <w:rFonts w:ascii="Arial" w:cs="Arial" w:eastAsia="Arial" w:hAnsi="Arial"/>
                <w:sz w:val="18"/>
                <w:szCs w:val="18"/>
                <w:color w:val="auto"/>
                <w:w w:val="94"/>
              </w:rPr>
              <w:t>The deferred income tax assets and liabilities based on tax jurisdictions are presented on the Consolidated balance sheets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make an ongoing assessment regarding the realization of U.S. and non-U.S. deferred tax assets. In 2012, we recognized a net increase of $43 million in our valuation allowance. This increase was due to valuation allowances on unutilized tax credits. While the net deferred tax assets of $2.16 billion at December 31, 2012, are not assured of realization, our assessment is that a valuation allowance is not required on this balance. This assessment is based on our evaluation of relevant criteria including the existence of deferred tax liabilities that can be used to absorb deferred tax assets, taxable income in prior carryback years and expectations for future taxable income.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U.S. and non-U.S. tax loss carryforwards of approximately $175 million, none of which will expire before the year 2023.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provision has been made for deferred taxes on undistributed earnings of non-U.S. subsidiaries to the extent that dividend</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payments from these subsidiaries are expected to result in additional tax liability. The remaining undistributed earnings (approximately $5.54 billion at December 31, 2012) have been indefinitely reinvested; therefore, no provision has been made for taxes due upon remittance of these earnings. The indefinitely reinvested earnings of our non-U.S. subsidiaries are primarily invested in tangible assets such as inventory and property, plant and equipment. Determination of the amount of unrecognized deferred income tax liability is not practical because of the complexities associated with its hypothetical calculation.</w:t>
      </w:r>
    </w:p>
    <w:p>
      <w:pPr>
        <w:spacing w:after="0" w:line="19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Cash payments made for income taxes, net of refunds, were $171 million, $902 million and $1.47 billion for the years ended December 31, 2012, 2011 and 2010,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total amounts of uncertain tax positions are summarized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the acquisition of National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Interest receivable (payable) as of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The liability for uncertain tax positions is a component of Deferred credits and other liabilities on our December 31, 2012, balance sheet. The interest receivable is a component of Other assets on our December 31, 2012, balance sheet.</w:t>
      </w:r>
    </w:p>
    <w:p>
      <w:pPr>
        <w:spacing w:after="0" w:line="170" w:lineRule="exact"/>
        <w:rPr>
          <w:sz w:val="20"/>
          <w:szCs w:val="20"/>
          <w:color w:val="auto"/>
        </w:rPr>
      </w:pPr>
    </w:p>
    <w:p>
      <w:pPr>
        <w:jc w:val="both"/>
        <w:ind w:right="120" w:firstLine="162"/>
        <w:spacing w:after="0" w:line="286" w:lineRule="auto"/>
        <w:rPr>
          <w:sz w:val="20"/>
          <w:szCs w:val="20"/>
          <w:color w:val="auto"/>
        </w:rPr>
      </w:pPr>
      <w:r>
        <w:rPr>
          <w:rFonts w:ascii="Arial" w:cs="Arial" w:eastAsia="Arial" w:hAnsi="Arial"/>
          <w:sz w:val="17"/>
          <w:szCs w:val="17"/>
          <w:color w:val="auto"/>
        </w:rPr>
        <w:t>Within the $184 million liability for uncertain tax positions as of December 31, 2012, are positions totaling $159 million that, if recognized, would impact the tax rate. If these tax liabilities are ultimately realized, $78 million of existing deferred tax assets would also be realized, primarily related to refunds from counterparty jurisdictions resulting from procedures for relief from double taxation. Regarding the $184 million liability:</w:t>
      </w:r>
    </w:p>
    <w:p>
      <w:pPr>
        <w:spacing w:after="0" w:line="166" w:lineRule="exact"/>
        <w:rPr>
          <w:sz w:val="20"/>
          <w:szCs w:val="20"/>
          <w:color w:val="auto"/>
        </w:rPr>
      </w:pPr>
    </w:p>
    <w:p>
      <w:pPr>
        <w:ind w:left="340" w:right="20" w:hanging="318"/>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About $60 million of the liability represents uncertain tax positions for tax years in jurisdictions in which audit assessments have not been made. The liability is primarily related to transfer pricing issues for which procedures for relief from double taxation will mitigate the tax rate impact of any difference between the actual tax assessments and our estimates. The increase in the liability for transfer pricing issues for the next 12 months is expected to be about $10 million.</w:t>
      </w:r>
    </w:p>
    <w:p>
      <w:pPr>
        <w:spacing w:after="0" w:line="186" w:lineRule="exact"/>
        <w:rPr>
          <w:rFonts w:ascii="Arial" w:cs="Arial" w:eastAsia="Arial" w:hAnsi="Arial"/>
          <w:sz w:val="18"/>
          <w:szCs w:val="18"/>
          <w:color w:val="auto"/>
        </w:rPr>
      </w:pPr>
    </w:p>
    <w:p>
      <w:pPr>
        <w:ind w:left="340" w:right="120" w:hanging="318"/>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About $30 million of the liability represents audit assessments subject to ongoing procedures for relief from double taxation. Settlement of the $30 million is subject to timely completion of the tax treaty processes and may be settled within the next 12 months. Settlement would not have a significant tax rate impact, as the tax rates of the counterparty jurisdictions are similar.</w:t>
      </w:r>
    </w:p>
    <w:p>
      <w:pPr>
        <w:spacing w:after="0" w:line="181" w:lineRule="exact"/>
        <w:rPr>
          <w:rFonts w:ascii="Arial" w:cs="Arial" w:eastAsia="Arial" w:hAnsi="Arial"/>
          <w:sz w:val="18"/>
          <w:szCs w:val="18"/>
          <w:color w:val="auto"/>
        </w:rPr>
      </w:pPr>
    </w:p>
    <w:p>
      <w:pPr>
        <w:ind w:left="340" w:right="180" w:hanging="318"/>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balance of the liability represents tax adjustments that are known and currently before the tax authorities or otherwise identified by the company as adjustments to filed returns. Settlement of these matters at the known amounts will not have any additional tax rate impact. Based on the expected settlement dates of various income tax examinations, the anticipated reduction in these uncertain tax positions during the next 12 months could range between about $30 million and $60 million.</w:t>
      </w:r>
    </w:p>
    <w:p>
      <w:pPr>
        <w:spacing w:after="0" w:line="18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Within the $210 million liability for uncertain tax positions as of December 31, 2011, are uncertain tax positions totaling $233 million that, if recognized, would impact the tax rate. If these tax liabilities are ultimately realized, $83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As of December 31, 2012, the statute of limitations remains open for U.S. federal tax returns for 2000 and following years. Audit activities related to our U.S. federal tax returns through 2008 have been completed except for certain pending tax treaty procedures for relief from double taxation. These procedures pertain to U.S. federal tax returns for the years 2003 through 2008. U.S. federal tax returns for National are currently under audit for tax years through fiscal year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57" w:name="page58"/>
    <w:bookmarkEnd w:id="57"/>
    <w:p>
      <w:pPr>
        <w:ind w:right="260" w:firstLine="162"/>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U.S., our subsidiaries are no longer subject to income tax audits for years before 2005.</w:t>
      </w:r>
    </w:p>
    <w:p>
      <w:pPr>
        <w:spacing w:after="0" w:line="166" w:lineRule="exact"/>
        <w:rPr>
          <w:sz w:val="20"/>
          <w:szCs w:val="20"/>
          <w:color w:val="auto"/>
        </w:rPr>
      </w:pPr>
    </w:p>
    <w:p>
      <w:pPr>
        <w:ind w:right="7760" w:firstLine="8"/>
        <w:spacing w:after="0" w:line="261" w:lineRule="auto"/>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concentration </w:t>
      </w:r>
      <w:r>
        <w:rPr>
          <w:rFonts w:ascii="Arial" w:cs="Arial" w:eastAsia="Arial" w:hAnsi="Arial"/>
          <w:sz w:val="18"/>
          <w:szCs w:val="18"/>
          <w:u w:val="single" w:color="auto"/>
          <w:color w:val="auto"/>
        </w:rPr>
        <w:t>Financial instruments</w:t>
      </w:r>
    </w:p>
    <w:p>
      <w:pPr>
        <w:ind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hold derivative financial instruments such as forward foreign currency exchange contracts and interest rate swaps, the fair value of which was not material as of December 31, 2012. Our forward foreign currency exchange contracts outstanding as of December 31, 2012, had a notional value of $305 million to hedge our non-U.S. dollar net balance sheet exposures, including $140 million to sell Japanese yen, $26 million to sell Chinese yuan and $26 million to sell British pound sterling.</w:t>
      </w:r>
    </w:p>
    <w:p>
      <w:pPr>
        <w:spacing w:after="0" w:line="190" w:lineRule="exact"/>
        <w:rPr>
          <w:sz w:val="20"/>
          <w:szCs w:val="20"/>
          <w:color w:val="auto"/>
        </w:rPr>
      </w:pPr>
    </w:p>
    <w:p>
      <w:pPr>
        <w:ind w:right="320" w:firstLine="162"/>
        <w:spacing w:after="0" w:line="302"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postretirement plan assets and deferred compensation liabilities are carried at fair value, which is described in Note 9.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9 for the definition of Level 2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concentration</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Financial instruments that could subject us to concentrations of credit risk are primarily cash, cash equivalents, short-term investments and accounts receivable. To manage our credit risk exposure, we place cash investments in investment-grade debt securities and limit the amount of credit exposure to any one issuer. We also limit counterparties on financial derivative contracts to financial institutions with investment-grade ratings.</w:t>
      </w:r>
    </w:p>
    <w:p>
      <w:pPr>
        <w:spacing w:after="0" w:line="173" w:lineRule="exact"/>
        <w:rPr>
          <w:sz w:val="20"/>
          <w:szCs w:val="20"/>
          <w:color w:val="auto"/>
        </w:rPr>
      </w:pPr>
    </w:p>
    <w:p>
      <w:pPr>
        <w:jc w:val="both"/>
        <w:ind w:right="440" w:firstLine="162"/>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Additions Charged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(Credited) to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Recoveries and</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Balance at</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Beginning of 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Operating Results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Write-offs, Net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End of Year</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23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420" w:firstLine="8"/>
        <w:spacing w:after="0" w:line="261" w:lineRule="auto"/>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spacing w:after="0"/>
        <w:rPr>
          <w:rFonts w:ascii="Arial" w:cs="Arial" w:eastAsia="Arial" w:hAnsi="Arial"/>
          <w:sz w:val="18"/>
          <w:szCs w:val="18"/>
          <w:b w:val="1"/>
          <w:bCs w:val="1"/>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2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jc w:val="both"/>
        <w:ind w:right="240" w:firstLine="162"/>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right="220" w:firstLine="162"/>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At December 31, 2012, we had no significant unrealized losses associated with our available-for-sale investments. We have determined that our remaining available-for-sale investments with unrealized losses are not other-than-temporarily impaired as we expect to recover the entire cost basis of these securities. We do not intend to sell these investments, nor do we expect to be required to sell these investments, before a recovery of the cost basis. We did not recognize any credit losses related to available-for-sale investments for the years ended December 31, 2012 and 2011. During the third quarter of 2012, we sold all of our remaining investments in auction-rate securities.</w:t>
      </w:r>
    </w:p>
    <w:p>
      <w:pPr>
        <w:spacing w:after="0" w:line="188"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For the years ended December 31, 2012, 2011 and 2010, the proceeds from sales, redemptions and maturities of short-term available-for-sale investments were $2.20 billion, $3.55 billion and $2.56 billion, respectively. Gross realized gains and losses from these sales were not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Due</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10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One to three years</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w:t>
            </w:r>
          </w:p>
        </w:tc>
      </w:tr>
    </w:tbl>
    <w:p>
      <w:pPr>
        <w:spacing w:after="0" w:line="229" w:lineRule="exact"/>
        <w:rPr>
          <w:sz w:val="20"/>
          <w:szCs w:val="20"/>
          <w:color w:val="auto"/>
        </w:rPr>
      </w:pPr>
    </w:p>
    <w:p>
      <w:pPr>
        <w:ind w:right="580" w:firstLine="162"/>
        <w:spacing w:after="0" w:line="342" w:lineRule="auto"/>
        <w:rPr>
          <w:sz w:val="20"/>
          <w:szCs w:val="20"/>
          <w:color w:val="auto"/>
        </w:rPr>
      </w:pPr>
      <w:r>
        <w:rPr>
          <w:rFonts w:ascii="Arial" w:cs="Arial" w:eastAsia="Arial" w:hAnsi="Arial"/>
          <w:sz w:val="16"/>
          <w:szCs w:val="16"/>
          <w:color w:val="auto"/>
        </w:rPr>
        <w:t>Gross realized gains and losses from sales of long-term investments were not significant for 2012, 2011 or 2010. Other-than-temporary declines and impairments in the values of these investments recognized in OI&amp;E were $7 million, $2 million and $1 million in 2012, 2011 and 2010,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71" w:lineRule="exact"/>
        <w:rPr>
          <w:sz w:val="20"/>
          <w:szCs w:val="20"/>
          <w:color w:val="auto"/>
        </w:rPr>
      </w:pPr>
    </w:p>
    <w:p>
      <w:pPr>
        <w:ind w:left="1220" w:right="2520" w:hanging="863"/>
        <w:spacing w:after="0" w:line="277" w:lineRule="auto"/>
        <w:tabs>
          <w:tab w:leader="none" w:pos="1200" w:val="left"/>
        </w:tabs>
        <w:rPr>
          <w:sz w:val="20"/>
          <w:szCs w:val="20"/>
          <w:color w:val="auto"/>
        </w:rPr>
      </w:pPr>
      <w:r>
        <w:rPr>
          <w:rFonts w:ascii="Arial" w:cs="Arial" w:eastAsia="Arial" w:hAnsi="Arial"/>
          <w:sz w:val="18"/>
          <w:szCs w:val="18"/>
          <w:color w:val="auto"/>
        </w:rPr>
        <w:t>Level 1 –</w:t>
        <w:tab/>
        <w:t>Uses unadjusted quoted prices that are available in active markets for identical assets or liabilities as of the reporting date.</w:t>
      </w:r>
    </w:p>
    <w:p>
      <w:pPr>
        <w:spacing w:after="0" w:line="8" w:lineRule="exact"/>
        <w:rPr>
          <w:sz w:val="20"/>
          <w:szCs w:val="20"/>
          <w:color w:val="auto"/>
        </w:rPr>
      </w:pPr>
    </w:p>
    <w:p>
      <w:pPr>
        <w:ind w:left="1220" w:right="2240" w:hanging="863"/>
        <w:spacing w:after="0" w:line="270" w:lineRule="auto"/>
        <w:tabs>
          <w:tab w:leader="none" w:pos="12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verifying these valuations for reasonableness relative to unadjusted quotes obtained from brokers or dealers based on observable prices for similar assets in active markets.</w:t>
      </w:r>
    </w:p>
    <w:p>
      <w:pPr>
        <w:spacing w:after="0" w:line="20" w:lineRule="exact"/>
        <w:rPr>
          <w:sz w:val="20"/>
          <w:szCs w:val="20"/>
          <w:color w:val="auto"/>
        </w:rPr>
      </w:pPr>
    </w:p>
    <w:p>
      <w:pPr>
        <w:ind w:left="1220" w:right="2360" w:hanging="863"/>
        <w:spacing w:after="0" w:line="264" w:lineRule="auto"/>
        <w:tabs>
          <w:tab w:leader="none" w:pos="1200" w:val="left"/>
        </w:tabs>
        <w:rPr>
          <w:sz w:val="20"/>
          <w:szCs w:val="20"/>
          <w:color w:val="auto"/>
        </w:rPr>
      </w:pPr>
      <w:r>
        <w:rPr>
          <w:rFonts w:ascii="Arial" w:cs="Arial" w:eastAsia="Arial" w:hAnsi="Arial"/>
          <w:sz w:val="18"/>
          <w:szCs w:val="18"/>
          <w:color w:val="auto"/>
        </w:rPr>
        <w:t>Level 3 –</w:t>
        <w:tab/>
        <w:t>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208" w:lineRule="exact"/>
        <w:rPr>
          <w:sz w:val="20"/>
          <w:szCs w:val="20"/>
          <w:color w:val="auto"/>
        </w:rPr>
      </w:pPr>
    </w:p>
    <w:p>
      <w:pPr>
        <w:ind w:right="60" w:firstLine="162"/>
        <w:spacing w:after="0" w:line="342" w:lineRule="auto"/>
        <w:rPr>
          <w:sz w:val="20"/>
          <w:szCs w:val="20"/>
          <w:color w:val="auto"/>
        </w:rPr>
      </w:pPr>
      <w:r>
        <w:rPr>
          <w:rFonts w:ascii="Arial" w:cs="Arial" w:eastAsia="Arial" w:hAnsi="Arial"/>
          <w:sz w:val="16"/>
          <w:szCs w:val="16"/>
          <w:color w:val="auto"/>
        </w:rPr>
        <w:t>The following are our assets and liabilities that were accounted for at fair value on a recurring basis as of December 31, 2012 and 2011. These tables do not include cash on hand, assets held by our postretirement plans, or assets and liabilities that are measured at historical cost or any basis other than fair value.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2012</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4"/>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68"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color w:val="auto"/>
        </w:rPr>
        <w:t>The following table summarizes the change in the fair values for Level 3 assets and liabilities for the years ended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7"/>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Auction-rate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8"/>
              </w:rPr>
              <w:t>Contingent</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80" w:type="dxa"/>
            <w:vAlign w:val="bottom"/>
            <w:gridSpan w:val="4"/>
          </w:tcPr>
          <w:p>
            <w:pPr>
              <w:ind w:left="40"/>
              <w:spacing w:after="0"/>
              <w:rPr>
                <w:sz w:val="20"/>
                <w:szCs w:val="20"/>
                <w:color w:val="auto"/>
              </w:rPr>
            </w:pPr>
            <w:r>
              <w:rPr>
                <w:rFonts w:ascii="Arial" w:cs="Arial" w:eastAsia="Arial" w:hAnsi="Arial"/>
                <w:sz w:val="18"/>
                <w:szCs w:val="18"/>
                <w:color w:val="auto"/>
                <w:w w:val="98"/>
              </w:rPr>
              <w:t>Change in fair value of contingent consideration – included in operating profit</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Redemptions and sales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Change in unrealized loss – included in AOCI</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Redemptions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Goodwill and acquisition-related intangibles</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0"/>
          </w:tcPr>
          <w:p>
            <w:pPr>
              <w:spacing w:after="0"/>
              <w:rPr>
                <w:sz w:val="20"/>
                <w:szCs w:val="20"/>
                <w:color w:val="auto"/>
              </w:rPr>
            </w:pPr>
            <w:r>
              <w:rPr>
                <w:rFonts w:ascii="Arial" w:cs="Arial" w:eastAsia="Arial" w:hAnsi="Arial"/>
                <w:sz w:val="18"/>
                <w:szCs w:val="18"/>
                <w:color w:val="auto"/>
                <w:w w:val="91"/>
              </w:rPr>
              <w:t>The following table summarizes the changes in goodwill by segment for the years ended December 31, 2012 and 2011.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00" w:type="dxa"/>
            <w:vAlign w:val="bottom"/>
          </w:tcPr>
          <w:p>
            <w:pPr>
              <w:spacing w:after="0"/>
              <w:rPr>
                <w:sz w:val="20"/>
                <w:szCs w:val="20"/>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Wireless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4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32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Additions from acquisitions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2011</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32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Goodwill, December 31, 2012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89"/>
              </w:rPr>
              <w:t>32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We performed our annual goodwill impairment test as of October 1, 2012, and determined the fair value of each of our reporting units was in excess of its carrying value. Determination of fair value was based upon management estimates and judgment, using unobservable inputs in discounted cash flow models to calculate the fair value of each reporting unit. These unobservable inputs are considered Level 3 measurements.</w:t>
      </w:r>
    </w:p>
    <w:p>
      <w:pPr>
        <w:spacing w:after="0" w:line="166"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In November 2012, as a result of unsuccessful efforts to divest certain product lines in the Wireless business and the subsequent decision to restructure and wind down those product lines, we reassessed the recoverability of the goodwill associated with the Wireless segment. We determined its fair value, using a discounted cash flow analysis, was less than the carrying amount and, therefore, performed the required second step of the impairment analysis to determine the amount of the impairment charge. We deducted the fair value of the Wireless segment from the total of the estimated fair values of the segment's identifiable assets and liabilities, including intangible assets with no carrying value. This calculation resulted in an implied negative fair value of goodwill. As a result, we recognized a non-cash, non-tax deductible impairment charge of $90 million for all the associated goodwill of this segment. We recognized this impairment in Restructuring charges/other in the Consolidated statements of income, as discussed in Note 3. There was no impairment of goodwill during 2011 or 2010.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61" w:name="page62"/>
    <w:bookmarkEnd w:id="61"/>
    <w:p>
      <w:pPr>
        <w:ind w:right="200" w:firstLine="162"/>
        <w:spacing w:after="0" w:line="264" w:lineRule="auto"/>
        <w:rPr>
          <w:sz w:val="20"/>
          <w:szCs w:val="20"/>
          <w:color w:val="auto"/>
        </w:rPr>
      </w:pPr>
      <w:r>
        <w:rPr>
          <w:rFonts w:ascii="Arial" w:cs="Arial" w:eastAsia="Arial" w:hAnsi="Arial"/>
          <w:sz w:val="18"/>
          <w:szCs w:val="18"/>
          <w:color w:val="auto"/>
        </w:rPr>
        <w:t>The addition to Analog goodwill in 2011 was from the National acquisition. We also recognized other intangible assets associated with this acquisition of $2.96 billion, primarily for developed technology and customer relationships. In 2012, we had no additional intangible assets from an acquisition. The components of acquisition-related intangible assets as of December 31, 2012 and 2011,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December 31, 2012</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Acquisition-related intangibles: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500" w:hanging="328"/>
        <w:spacing w:after="0" w:line="261" w:lineRule="auto"/>
        <w:tabs>
          <w:tab w:leader="none" w:pos="5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184"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Amortization of acquisition-related intangibles was $342 million, $111 million and $48 million for 2012, 2011 and 2010, respectively, primarily related to developed technology. Amortization expenses related to the National acquisition were $325 million and $87 million for 2012 and 2011, respectively. Future estimated amortization of acquisition-related intangibles for the years ended December 31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2014</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2016</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946</w:t>
            </w:r>
          </w:p>
        </w:tc>
      </w:tr>
    </w:tbl>
    <w:p>
      <w:pPr>
        <w:spacing w:after="0" w:line="225" w:lineRule="exact"/>
        <w:rPr>
          <w:sz w:val="20"/>
          <w:szCs w:val="20"/>
          <w:color w:val="auto"/>
        </w:rPr>
      </w:pPr>
    </w:p>
    <w:p>
      <w:pPr>
        <w:ind w:right="8980" w:firstLine="8"/>
        <w:spacing w:after="0" w:line="261" w:lineRule="auto"/>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Postretirement benefit plans </w:t>
      </w:r>
      <w:r>
        <w:rPr>
          <w:rFonts w:ascii="Arial" w:cs="Arial" w:eastAsia="Arial" w:hAnsi="Arial"/>
          <w:sz w:val="18"/>
          <w:szCs w:val="18"/>
          <w:u w:val="single" w:color="auto"/>
          <w:color w:val="auto"/>
        </w:rPr>
        <w:t>Plan descriptions</w:t>
      </w:r>
    </w:p>
    <w:p>
      <w:pPr>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various employee retirement plans including defined benefit, defined contribution and retiree health care benefit plans. For qualifying employees, we offer deferred compensation arrangements. As a part of the National acquisition, we assumed the assets and liabilities of its defined benefit plans, primarily those associated with the United Kingdom and Germany.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principal retirement plans in the U.S. are qualified and non-qualified defined benefit pension plans (all of which were closed to new participants after November 1997), a defined contribution plan and an enhanced defined contribution plan. The defined benefit pension plans include employees still accruing benefits as well as employees and participants who no longer accrue service-related benefits, but instead, may participate in the enhanced defined contribution plan.</w:t>
      </w:r>
    </w:p>
    <w:p>
      <w:pPr>
        <w:spacing w:after="0" w:line="190"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67"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color w:val="auto"/>
        </w:rPr>
        <w:t>At December 31, 2012 and 2011, as a result of employees’ elections, TI’s U.S. defined contribution plans held shares of TI common stock totaling 20 million shares and 22 million shares valued at $610 million and $639 million, respectively. Dividends paid on these shares for 2012 and 2011 were $16 million and $13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color w:val="auto"/>
        </w:rPr>
        <w:t>Our aggregate expense for the U.S. defined contribution plans was $70 million in 2012, $55 million in 2011 and $50 million in 2010.</w:t>
      </w:r>
    </w:p>
    <w:p>
      <w:pPr>
        <w:spacing w:after="0" w:line="225" w:lineRule="exact"/>
        <w:rPr>
          <w:sz w:val="20"/>
          <w:szCs w:val="20"/>
          <w:color w:val="auto"/>
        </w:rPr>
      </w:pPr>
    </w:p>
    <w:p>
      <w:pPr>
        <w:jc w:val="both"/>
        <w:ind w:right="40" w:firstLine="162"/>
        <w:spacing w:after="0" w:line="31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right="440" w:firstLine="162"/>
        <w:spacing w:after="0" w:line="308" w:lineRule="auto"/>
        <w:rPr>
          <w:sz w:val="20"/>
          <w:szCs w:val="20"/>
          <w:color w:val="auto"/>
        </w:rPr>
      </w:pPr>
      <w:r>
        <w:rPr>
          <w:rFonts w:ascii="Arial" w:cs="Arial" w:eastAsia="Arial" w:hAnsi="Arial"/>
          <w:sz w:val="17"/>
          <w:szCs w:val="17"/>
          <w:color w:val="auto"/>
        </w:rPr>
        <w:t>As of December 31, 2012 and 2011, as a result of employees’ elections, TI’s non-U.S. defined contribution plans held TI common stock valued at $13 million and $12 million, respectively. Dividends paid on these shares of TI common stock for 2012 and 2011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8"/>
          </w:tcPr>
          <w:p>
            <w:pPr>
              <w:ind w:left="400"/>
              <w:spacing w:after="0"/>
              <w:rPr>
                <w:sz w:val="20"/>
                <w:szCs w:val="20"/>
                <w:color w:val="auto"/>
              </w:rPr>
            </w:pPr>
            <w:r>
              <w:rPr>
                <w:rFonts w:ascii="Arial" w:cs="Arial" w:eastAsia="Arial" w:hAnsi="Arial"/>
                <w:sz w:val="18"/>
                <w:szCs w:val="18"/>
                <w:b w:val="1"/>
                <w:bCs w:val="1"/>
                <w:color w:val="auto"/>
              </w:rPr>
              <w:t>U.S. Defined Benefit</w:t>
            </w:r>
          </w:p>
        </w:tc>
        <w:tc>
          <w:tcPr>
            <w:tcW w:w="160" w:type="dxa"/>
            <w:vAlign w:val="bottom"/>
          </w:tcPr>
          <w:p>
            <w:pPr>
              <w:spacing w:after="0"/>
              <w:rPr>
                <w:sz w:val="20"/>
                <w:szCs w:val="20"/>
                <w:color w:val="auto"/>
              </w:rPr>
            </w:pPr>
          </w:p>
        </w:tc>
        <w:tc>
          <w:tcPr>
            <w:tcW w:w="2560" w:type="dxa"/>
            <w:vAlign w:val="bottom"/>
            <w:gridSpan w:val="8"/>
          </w:tcPr>
          <w:p>
            <w:pPr>
              <w:ind w:left="200"/>
              <w:spacing w:after="0"/>
              <w:rPr>
                <w:sz w:val="20"/>
                <w:szCs w:val="20"/>
                <w:color w:val="auto"/>
              </w:rPr>
            </w:pPr>
            <w:r>
              <w:rPr>
                <w:rFonts w:ascii="Arial" w:cs="Arial" w:eastAsia="Arial" w:hAnsi="Arial"/>
                <w:sz w:val="18"/>
                <w:szCs w:val="18"/>
                <w:b w:val="1"/>
                <w:bCs w:val="1"/>
                <w:color w:val="auto"/>
              </w:rPr>
              <w:t>U.S. Retiree Health Care</w:t>
            </w:r>
          </w:p>
        </w:tc>
        <w:tc>
          <w:tcPr>
            <w:tcW w:w="160" w:type="dxa"/>
            <w:vAlign w:val="bottom"/>
          </w:tcPr>
          <w:p>
            <w:pPr>
              <w:spacing w:after="0"/>
              <w:rPr>
                <w:sz w:val="20"/>
                <w:szCs w:val="20"/>
                <w:color w:val="auto"/>
              </w:rPr>
            </w:pPr>
          </w:p>
        </w:tc>
        <w:tc>
          <w:tcPr>
            <w:tcW w:w="24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8"/>
              </w:rPr>
              <w:t>Non-U.S. Defined Benefit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Settlement charges (a) (b)</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charges (credits)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Special termination benefit charges</w:t>
            </w:r>
          </w:p>
        </w:tc>
        <w:tc>
          <w:tcPr>
            <w:tcW w:w="1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(credits) (b)</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restructuring and non-restructuring-related settlement charges.</w:t>
      </w:r>
    </w:p>
    <w:p>
      <w:pPr>
        <w:spacing w:after="0" w:line="9" w:lineRule="exact"/>
        <w:rPr>
          <w:rFonts w:ascii="Arial" w:cs="Arial" w:eastAsia="Arial" w:hAnsi="Arial"/>
          <w:sz w:val="18"/>
          <w:szCs w:val="18"/>
          <w:color w:val="auto"/>
        </w:rPr>
      </w:pPr>
    </w:p>
    <w:p>
      <w:pPr>
        <w:ind w:left="660" w:hanging="328"/>
        <w:spacing w:after="0" w:line="254" w:lineRule="auto"/>
        <w:tabs>
          <w:tab w:leader="none" w:pos="5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Japan, we maintain employee pension fund plans (EPFs) pursuant to the Japanese Welfare Pension Insurance Law(JWPIL).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90"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During the third quarter of 2012, our EPF received final approval for such a separation and transferred the obligations and assets of its substitutional portion to the government of Japan. On a pre-tax basis, this resulted in a net gain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63" w:name="page64"/>
    <w:bookmarkEnd w:id="63"/>
    <w:p>
      <w:pPr>
        <w:ind w:left="660" w:right="60"/>
        <w:spacing w:after="0" w:line="259" w:lineRule="auto"/>
        <w:rPr>
          <w:sz w:val="20"/>
          <w:szCs w:val="20"/>
          <w:color w:val="auto"/>
        </w:rPr>
      </w:pPr>
      <w:r>
        <w:rPr>
          <w:rFonts w:ascii="Arial" w:cs="Arial" w:eastAsia="Arial" w:hAnsi="Arial"/>
          <w:sz w:val="18"/>
          <w:szCs w:val="18"/>
          <w:color w:val="auto"/>
        </w:rPr>
        <w:t>$144 million recorded in Restructuring charges/other on our Consolidated statements of income and included in Other. This net gain of $144 million consisted of two parts - a gain of $337 million, representing the difference between the fair values of the obligations settled ($533 million) and the assets transferred from the pension trust to the government of Japan ($196 million), offset by a settlement loss of $193 million related to the recognition of previously unrecognized actuarial losses included in AOCI.</w:t>
      </w:r>
    </w:p>
    <w:p>
      <w:pPr>
        <w:spacing w:after="0" w:line="18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the plan assets component of net periodic benefit cost is based upon a market-related value of assets. In accordance with U.S. GAAP, the market-related value of assets is adjusted by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U.S. Retiree</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100"/>
              <w:spacing w:after="0"/>
              <w:rPr>
                <w:sz w:val="20"/>
                <w:szCs w:val="20"/>
                <w:color w:val="auto"/>
              </w:rPr>
            </w:pPr>
            <w:r>
              <w:rPr>
                <w:rFonts w:ascii="Arial" w:cs="Arial" w:eastAsia="Arial" w:hAnsi="Arial"/>
                <w:sz w:val="18"/>
                <w:szCs w:val="18"/>
                <w:b w:val="1"/>
                <w:bCs w:val="1"/>
                <w:color w:val="auto"/>
              </w:rPr>
              <w:t>U.S. Defined Benefit</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Health Care</w:t>
            </w: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plan benefit obligation: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termination benefit charges (credits)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at end of year (BO)</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 (funding of qualified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7"/>
              </w:rPr>
              <w:t>Employer contributions (payments for non-qualified plans)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 (FVPA)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Amounts recognized on the balance sheet as of December 31,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243"/>
        <w:spacing w:after="0" w:line="259"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$100 million to our retirement benefit plans in 2013. The amounts shown for underfunded U.S. defined benefit plans were for non-qualified pension plans. Because contributions to those non-qualified plans are not tax deductible until the benefit is actually paid to the employee, we do not fund them. As of December 31, 2012 and 2011, the unfunded benefit obligations of those non-qualified plans were $61 million and $56 million, respectively.</w:t>
      </w:r>
    </w:p>
    <w:p>
      <w:pPr>
        <w:spacing w:after="0" w:line="187" w:lineRule="exact"/>
        <w:rPr>
          <w:sz w:val="20"/>
          <w:szCs w:val="20"/>
          <w:color w:val="auto"/>
        </w:rPr>
      </w:pPr>
    </w:p>
    <w:p>
      <w:pPr>
        <w:ind w:right="420" w:firstLine="243"/>
        <w:spacing w:after="0" w:line="264" w:lineRule="auto"/>
        <w:rPr>
          <w:sz w:val="20"/>
          <w:szCs w:val="20"/>
          <w:color w:val="auto"/>
        </w:rPr>
      </w:pPr>
      <w:r>
        <w:rPr>
          <w:rFonts w:ascii="Arial" w:cs="Arial" w:eastAsia="Arial" w:hAnsi="Arial"/>
          <w:sz w:val="18"/>
          <w:szCs w:val="18"/>
          <w:color w:val="auto"/>
        </w:rPr>
        <w:t>Accumulated benefit obligations, which represent the benefit obligations excluding the impact of future salary increases, were $1.01 billion and $875 million at year-end 2012 and 2011, respectively, for the U.S. defined benefit plans, and $2.23 billion and $2.54 billion at year-end 2012 and 2011,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2012 and 2011, are detailed below by plan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U.S. Retiree</w:t>
            </w:r>
          </w:p>
        </w:tc>
        <w:tc>
          <w:tcPr>
            <w:tcW w:w="14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Non-U.S.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b w:val="1"/>
                <w:bCs w:val="1"/>
                <w:color w:val="auto"/>
              </w:rPr>
              <w:t>U.S. Defined Benefit</w:t>
            </w:r>
          </w:p>
        </w:tc>
        <w:tc>
          <w:tcPr>
            <w:tcW w:w="120" w:type="dxa"/>
            <w:vAlign w:val="bottom"/>
          </w:tcPr>
          <w:p>
            <w:pPr>
              <w:spacing w:after="0"/>
              <w:rPr>
                <w:sz w:val="20"/>
                <w:szCs w:val="20"/>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Health Care</w:t>
            </w: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Defined Benefit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Prior</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Prior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AOCI balance, December 31, 2011, net of</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Changes in AOCI by category in 2012:</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Annual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Reclassification of recognized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Less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Total change to AOCI in 2012</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AOCI balance, December 31, 2012,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of 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2012, that are expected to be amortized into net periodic benefit cost over the next fiscal year are: $23 million and $1 million for the U.S. defined benefit plans; $11 million and $4 million for the U.S. retiree health care plan; and $39 million and ($4) million for the non-U.S. defined benefit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We report and measure the plan assets of our defined benefit pension and other postretirement plans at fair value. The tables below set forth the fair value of our plan assets as of December 31, 2012 and 2011, using the same three-level hierarchy of fair-value inputs described in Note 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In recent years, our investment policy has shifted toward a closer matching of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added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ind w:right="280" w:firstLine="162"/>
        <w:spacing w:after="0" w:line="286" w:lineRule="auto"/>
        <w:rPr>
          <w:sz w:val="20"/>
          <w:szCs w:val="20"/>
          <w:color w:val="auto"/>
        </w:rPr>
      </w:pPr>
      <w:r>
        <w:rPr>
          <w:rFonts w:ascii="Arial" w:cs="Arial" w:eastAsia="Arial" w:hAnsi="Arial"/>
          <w:sz w:val="17"/>
          <w:szCs w:val="17"/>
          <w:color w:val="auto"/>
        </w:rPr>
        <w:t>The only Level 3 assets in our worldwide benefit plans are certain private equity limited partnerships in our U.S. pension plan and diversified hedge and property funds in a non-U.S. pension plan. These investments are valued using inputs from the fund managers and internal models. The following table summarizes the change in the fair values for Level 3 plan assets for the years ending December 31, 2012 and 2011: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Level 3 Plan Assets</w:t>
            </w:r>
          </w:p>
        </w:tc>
      </w:tr>
      <w:tr>
        <w:trPr>
          <w:trHeight w:val="27"/>
        </w:trPr>
        <w:tc>
          <w:tcPr>
            <w:tcW w:w="79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7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U.S. Defined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79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Benefit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128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128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Redemptions</w:t>
            </w: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Unrealized gain</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26"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Assumptions and investment policies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U.S. Retiree</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0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Defined Benefit</w:t>
            </w: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Health Care</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4.89%</w:t>
            </w: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2.80%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2.89%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4.92%</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5.58%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4.86%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long-term rate of return on plan assets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Non-U.S. long-term rate of return on plan assets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3.83%</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4.17%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3.17%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Both the settlement approach and the yield curve approach produce a discount rate that recognizes each plan’s distinct liability characteristics. For countries that lack a sufficient corporate bond market, a government bond index adjusted for an appropriate risk premium is used to establish the discount rate.</w:t>
      </w:r>
    </w:p>
    <w:p>
      <w:pPr>
        <w:spacing w:after="0" w:line="18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Defined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 Retiree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Benefit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Health Care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Benefit</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25% - 60%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Fixed income securities and cash equivalents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40% - 75%</w:t>
            </w:r>
          </w:p>
        </w:tc>
      </w:tr>
    </w:tbl>
    <w:p>
      <w:pPr>
        <w:spacing w:after="0" w:line="229"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0"/>
              </w:rPr>
              <w:t>U.S. Defined</w:t>
            </w: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2"/>
              </w:rPr>
              <w:t>U.S. Retiree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Benefit</w:t>
            </w: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3"/>
              </w:rPr>
              <w:t>Health Care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Benefit</w:t>
            </w:r>
          </w:p>
        </w:tc>
      </w:tr>
      <w:tr>
        <w:trPr>
          <w:trHeight w:val="27"/>
        </w:trPr>
        <w:tc>
          <w:tcPr>
            <w:tcW w:w="33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center"/>
              <w:ind w:right="3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2012</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80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9"/>
              </w:rPr>
              <w:t>36%</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32%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63%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center"/>
              <w:ind w:right="350"/>
              <w:spacing w:after="0"/>
              <w:rPr>
                <w:sz w:val="20"/>
                <w:szCs w:val="20"/>
                <w:color w:val="auto"/>
              </w:rPr>
            </w:pPr>
            <w:r>
              <w:rPr>
                <w:rFonts w:ascii="Arial" w:cs="Arial" w:eastAsia="Arial" w:hAnsi="Arial"/>
                <w:sz w:val="18"/>
                <w:szCs w:val="18"/>
                <w:color w:val="auto"/>
                <w:w w:val="94"/>
              </w:rPr>
              <w:t>41%</w:t>
            </w:r>
          </w:p>
        </w:tc>
        <w:tc>
          <w:tcPr>
            <w:tcW w:w="10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58%</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66%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6%</w:t>
            </w:r>
          </w:p>
        </w:tc>
        <w:tc>
          <w:tcPr>
            <w:tcW w:w="16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2%</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The plans are slightly outside their target allocation ranges due to cash funding late in the year. None of the plan assets related to the defined benefit pension plans and retiree health care benefit plan are directly invested in TI common stock. As of December 31, 2012, we do not expect to return any of the plans’ assets to TI in the next 12 months.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shows the benefits we expect to pay to participants from the plans in the next ten years. Almost all of the payments will be made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plan assets and not from company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4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U.S. Defined</w:t>
            </w: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 Retiree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Medicare</w:t>
            </w: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Benefit</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 Care</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Subsidy</w:t>
            </w: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2018-2022</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535</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Assumed health care cost trend rates for the U.S. retiree health care plan at December 31 are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8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 for next year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Ultimate trend rate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in which ultimate trend rate is reached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8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plan at December 31, 2012, by $26 million or $22 million, respectively. The service cost and interest cost components of 2012 plan expense would have increased or decreased by $2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55" w:lineRule="exact"/>
        <w:rPr>
          <w:sz w:val="20"/>
          <w:szCs w:val="20"/>
          <w:color w:val="auto"/>
        </w:rPr>
      </w:pPr>
    </w:p>
    <w:p>
      <w:pPr>
        <w:ind w:right="340" w:firstLine="162"/>
        <w:spacing w:after="0" w:line="276" w:lineRule="auto"/>
        <w:rPr>
          <w:sz w:val="20"/>
          <w:szCs w:val="20"/>
          <w:color w:val="auto"/>
        </w:rPr>
      </w:pPr>
      <w:r>
        <w:rPr>
          <w:rFonts w:ascii="Arial" w:cs="Arial" w:eastAsia="Arial" w:hAnsi="Arial"/>
          <w:sz w:val="17"/>
          <w:szCs w:val="17"/>
          <w:color w:val="auto"/>
        </w:rPr>
        <w:t>As of December 31, 2012, our liability to participants of the deferred compensation plan was $139 million and is recorded in Deferred credits and other liabilities on our Consolidated balance sheets. This amount reflects the accumulated participant deferrals and earnings thereon as of that date. Except as described in the next paragraph, no assets are held in trust for the deferred compensation plan and so we remain liable to the participants. To serve as an economic hedge against changes in fair values of this liability, we invest in similar mutual funds that are recorded in Long-term investments. We record changes in the fair value of the liability and the related investment in SG&amp;A as discussed in Note 9.</w:t>
      </w:r>
    </w:p>
    <w:p>
      <w:pPr>
        <w:spacing w:after="0" w:line="173"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In connection with the National acquisition, we assumed its deferred compensation plan. As of December 31, 2012, this consisted of $35 million of obligations and matching assets held in a Rabbi trust. No further contributions will be made to this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69" w:name="page70"/>
    <w:bookmarkEnd w:id="69"/>
    <w:p>
      <w:pPr>
        <w:ind w:left="20" w:right="9360" w:hanging="12"/>
        <w:spacing w:after="0" w:line="293" w:lineRule="auto"/>
        <w:tabs>
          <w:tab w:leader="none" w:pos="27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b w:val="1"/>
          <w:bCs w:val="1"/>
          <w:color w:val="auto"/>
        </w:rPr>
      </w:pPr>
    </w:p>
    <w:p>
      <w:pPr>
        <w:ind w:left="20" w:right="42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We maintain a line of credit to support commercial paper borrowings, if any, and to provide additional liquidity through bank loans. As of December 31, 2012, we have a five-year variable-rate revolving credit facility from a consortium of investment-grade banks that allows us to borrow up to $2 billion through March 2017. The interest rate on borrowings under this credit facility, if drawn, is indexed to the applicable London Interbank Offered Rate (LIBOR). As of December 31, 2012, we have no commercial paper outstanding, having repaid $1 billion on a cumulative basis in 2012.</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debt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that are included in Other assets and are being amortized to Interest and debt expense over the term of the debt.</w:t>
      </w:r>
    </w:p>
    <w:p>
      <w:pPr>
        <w:spacing w:after="0" w:line="19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81"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We also have an interest rate swap agreement related to the $1 billion floating-rate debt due 2013. Under this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As of December 31, 2012, the fair value of the swap agreement is a $2 million liability. The net effect of this swap is to convert the $1 billion floating-rate debt to a fixed-rate obligation bearing a rate of 0.922 percent.</w:t>
      </w:r>
    </w:p>
    <w:p>
      <w:pPr>
        <w:spacing w:after="0" w:line="158"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At the acquisition date, we assumed $1 billion of outstanding National debt with a fair value of $1.105 billion. The excess of the fair value over the stated value is amortized as a reduction of Interest and debt expense over the term of the related debt. In 2012 and 2011, we amortized $26 million and $9 million, respectively. During 2012, we repaid $375 million of this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Total long-term debt outstanding as of December 31, 2012 and 2011 is as follows: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2012 at 6.15% (assumed with National acquisition)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Floating-rate notes due 2013 (swapped to a 0.922% fixed rate)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2013 at 0.875%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2014 at 1.375%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2015 at 0.45%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2016 at 2.375%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2019 at 1.65%</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Add net unamortized premium</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Interest and debt expense was $85 million in 2012 and $42 million in 2011. This was net of the amortization of the debt premium and other debt issuance costs. Cash payments for interest on long-term debt were $97 million in 2012 and $54 million in 2011. Capitalized interest was not material.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70" w:name="page71"/>
    <w:bookmarkEnd w:id="70"/>
    <w:p>
      <w:pPr>
        <w:ind w:right="8640" w:firstLine="8"/>
        <w:spacing w:after="0" w:line="261"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Operating leases</w:t>
      </w:r>
    </w:p>
    <w:p>
      <w:pPr>
        <w:ind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$124 million, $109 million and $100 million in 2012, 2011 and 2010,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Capitalized software licenses</w:t>
      </w:r>
    </w:p>
    <w:p>
      <w:pPr>
        <w:spacing w:after="0" w:line="23" w:lineRule="exact"/>
        <w:rPr>
          <w:sz w:val="20"/>
          <w:szCs w:val="20"/>
          <w:color w:val="auto"/>
        </w:rPr>
      </w:pPr>
    </w:p>
    <w:p>
      <w:pPr>
        <w:jc w:val="both"/>
        <w:ind w:right="280"/>
        <w:spacing w:after="0" w:line="323" w:lineRule="auto"/>
        <w:rPr>
          <w:sz w:val="20"/>
          <w:szCs w:val="20"/>
          <w:color w:val="auto"/>
        </w:rPr>
      </w:pPr>
      <w:r>
        <w:rPr>
          <w:rFonts w:ascii="Arial" w:cs="Arial" w:eastAsia="Arial" w:hAnsi="Arial"/>
          <w:sz w:val="16"/>
          <w:szCs w:val="16"/>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payments.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Some of our purchase commitments entered in the ordinary course of business provide for minimum payments. At December 31, 2012, we had committed to make the following minimum payments under our non-cancellable operating leases, capitalized software licenses and purchase commitments: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Capitalized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Software</w:t>
            </w:r>
          </w:p>
        </w:tc>
        <w:tc>
          <w:tcPr>
            <w:tcW w:w="16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Purchase</w:t>
            </w:r>
          </w:p>
        </w:tc>
      </w:t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Licenses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2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December 31, 2012, we believe future payments related to these indemnity obligations will not have a material effect on our financial condition,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71" w:name="page72"/>
    <w:bookmarkEnd w:id="71"/>
    <w:p>
      <w:pPr>
        <w:ind w:right="80" w:firstLine="162"/>
        <w:spacing w:after="0" w:line="264" w:lineRule="auto"/>
        <w:rPr>
          <w:sz w:val="20"/>
          <w:szCs w:val="20"/>
          <w:color w:val="auto"/>
        </w:rPr>
      </w:pPr>
      <w:r>
        <w:rPr>
          <w:rFonts w:ascii="Arial" w:cs="Arial" w:eastAsia="Arial" w:hAnsi="Arial"/>
          <w:sz w:val="18"/>
          <w:szCs w:val="18"/>
          <w:color w:val="auto"/>
        </w:rPr>
        <w:t>Treasury shares acquired in connection with the board-authorized stock repurchase program in 2012, 2011 and 2010 were 59,757,780 shares, 59,466,168 shares and 93,522,896 shares, respectively. As of December 31, 2012, $3.9 billion of stock repurchase authorizations remain, and no expiration date has been specified.</w:t>
      </w:r>
    </w:p>
    <w:p>
      <w:pPr>
        <w:spacing w:after="0" w:line="177" w:lineRule="exact"/>
        <w:rPr>
          <w:sz w:val="20"/>
          <w:szCs w:val="20"/>
          <w:color w:val="auto"/>
        </w:rPr>
      </w:pPr>
    </w:p>
    <w:p>
      <w:pPr>
        <w:ind w:right="8400" w:firstLine="8"/>
        <w:spacing w:after="0" w:line="347" w:lineRule="auto"/>
        <w:tabs>
          <w:tab w:leader="none" w:pos="27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Other income (expense) net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on investments</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interest (expense)</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(11)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7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660" w:right="280" w:hanging="328"/>
        <w:spacing w:after="0" w:line="292" w:lineRule="auto"/>
        <w:tabs>
          <w:tab w:leader="none" w:pos="5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lease income of approximately $15 million per year, primarily from the purchaser of a former business. As of December 31, 2012, the aggregate amount of non-cancellable future lease payments to be received from these leases is $66 million. These leases contain renewal options. Other also includes miscellaneous non-operational items such as realized gains and losses associated with former equity investments; gains and losses related to former businesses, including settlements in 2012 and 2011; gains and losses from currency exchange rate changes; and gains and losses from our derivative financial instruments, primarily forward foreign currency exchange contracts.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40" w:type="dxa"/>
            <w:vAlign w:val="bottom"/>
          </w:tcPr>
          <w:p>
            <w:pPr>
              <w:spacing w:after="0"/>
              <w:rPr>
                <w:sz w:val="24"/>
                <w:szCs w:val="2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Lives</w:t>
            </w:r>
          </w:p>
        </w:tc>
        <w:tc>
          <w:tcPr>
            <w:tcW w:w="280" w:type="dxa"/>
            <w:vAlign w:val="bottom"/>
          </w:tcPr>
          <w:p>
            <w:pPr>
              <w:spacing w:after="0"/>
              <w:rPr>
                <w:sz w:val="24"/>
                <w:szCs w:val="24"/>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6,891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Authorizations for property, plant and equipment expenditures in future years were $234 million at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3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incentive programs and allowances</w:t>
            </w:r>
          </w:p>
        </w:tc>
        <w:tc>
          <w:tcPr>
            <w:tcW w:w="44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Severance and related expenses</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217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other non-income taxes</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324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881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6"/>
              </w:rPr>
              <w:t>Accumulated other comprehensive income (loss), net of taxes</w:t>
            </w:r>
          </w:p>
        </w:tc>
        <w:tc>
          <w:tcPr>
            <w:tcW w:w="3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investments</w:t>
            </w:r>
          </w:p>
        </w:tc>
        <w:tc>
          <w:tcPr>
            <w:tcW w:w="44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Postretirement benefit plans:</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loss</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(780)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prior service credit</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 derivative</w:t>
            </w:r>
          </w:p>
        </w:tc>
        <w:tc>
          <w:tcPr>
            <w:tcW w:w="3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(699)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60" w:type="dxa"/>
            <w:vAlign w:val="bottom"/>
            <w:vMerge w:val="restart"/>
          </w:tcPr>
          <w:p>
            <w:pPr>
              <w:jc w:val="right"/>
              <w:ind w:right="2910"/>
              <w:spacing w:after="0"/>
              <w:rPr>
                <w:sz w:val="20"/>
                <w:szCs w:val="20"/>
                <w:color w:val="auto"/>
              </w:rPr>
            </w:pPr>
            <w:r>
              <w:rPr>
                <w:rFonts w:ascii="Arial" w:cs="Arial" w:eastAsia="Arial" w:hAnsi="Arial"/>
                <w:sz w:val="18"/>
                <w:szCs w:val="18"/>
                <w:color w:val="auto"/>
              </w:rPr>
              <w:t>34</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2" w:name="page73"/>
    <w:bookmarkEnd w:id="72"/>
    <w:p>
      <w:pPr>
        <w:ind w:right="8480" w:firstLine="8"/>
        <w:spacing w:after="0" w:line="261" w:lineRule="auto"/>
        <w:tabs>
          <w:tab w:leader="none" w:pos="27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area data </w:t>
      </w:r>
      <w:r>
        <w:rPr>
          <w:rFonts w:ascii="Arial" w:cs="Arial" w:eastAsia="Arial" w:hAnsi="Arial"/>
          <w:sz w:val="18"/>
          <w:szCs w:val="18"/>
          <w:u w:val="single" w:color="auto"/>
          <w:color w:val="auto"/>
        </w:rPr>
        <w:t>Reportable segments</w:t>
      </w:r>
    </w:p>
    <w:p>
      <w:pPr>
        <w:ind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information presented in our Notes to financial statements is based on our segment structure existing as of December 31, 2012. This structure is comprised of three reportable segments: Analog, Embedded Processing and Wireless. These reportable segments represent groups of similar products that are combined on the basis of similar design and development requirements, product characteristics, manufacturing processes and distribution channels. A summary of each reportable segment follows:</w:t>
      </w:r>
    </w:p>
    <w:p>
      <w:pPr>
        <w:spacing w:after="0" w:line="189" w:lineRule="exact"/>
        <w:rPr>
          <w:rFonts w:ascii="Arial" w:cs="Arial" w:eastAsia="Arial" w:hAnsi="Arial"/>
          <w:sz w:val="18"/>
          <w:szCs w:val="18"/>
          <w:b w:val="1"/>
          <w:bCs w:val="1"/>
          <w:color w:val="auto"/>
        </w:rPr>
      </w:pPr>
    </w:p>
    <w:p>
      <w:pPr>
        <w:jc w:val="both"/>
        <w:ind w:left="500" w:hanging="330"/>
        <w:spacing w:after="0" w:line="254" w:lineRule="auto"/>
        <w:tabs>
          <w:tab w:leader="none" w:pos="50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Analog semiconductors change real-world signals - such as sound, temperature, pressure or images - by conditioning them, amplifying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and often converting them to a stream of digital data that can be processed by other semiconductors, such as digital signal processors (DSPs). Analog semiconductors are also used to manage power in every electronic device, whether plugged into a wall or running off of a battery. Analog includes the following major product lines: HVAL, Power, HPA and SVA.</w:t>
      </w:r>
    </w:p>
    <w:p>
      <w:pPr>
        <w:spacing w:after="0" w:line="2" w:lineRule="exact"/>
        <w:rPr>
          <w:rFonts w:ascii="Arial" w:cs="Arial" w:eastAsia="Arial" w:hAnsi="Arial"/>
          <w:sz w:val="18"/>
          <w:szCs w:val="18"/>
          <w:i w:val="1"/>
          <w:iCs w:val="1"/>
          <w:color w:val="auto"/>
        </w:rPr>
      </w:pPr>
    </w:p>
    <w:p>
      <w:pPr>
        <w:jc w:val="both"/>
        <w:ind w:left="500" w:hanging="330"/>
        <w:spacing w:after="0" w:line="250" w:lineRule="auto"/>
        <w:tabs>
          <w:tab w:leader="none" w:pos="50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Our Embedded Processing products include our DSPs and microcontrollers. DSPs perform mathematical computations almost</w:t>
      </w:r>
      <w:r>
        <w:rPr>
          <w:rFonts w:ascii="Arial" w:cs="Arial" w:eastAsia="Arial" w:hAnsi="Arial"/>
          <w:sz w:val="18"/>
          <w:szCs w:val="18"/>
          <w:i w:val="1"/>
          <w:iCs w:val="1"/>
          <w:color w:val="auto"/>
        </w:rPr>
        <w:t xml:space="preserve"> </w:t>
      </w:r>
      <w:r>
        <w:rPr>
          <w:rFonts w:ascii="Arial" w:cs="Arial" w:eastAsia="Arial" w:hAnsi="Arial"/>
          <w:sz w:val="18"/>
          <w:szCs w:val="18"/>
          <w:color w:val="auto"/>
        </w:rPr>
        <w:t>instantaneously to process or improve digital data. Microcontrollers are designed to control a set of specific tasks for electronic equipment. We make and sell catalog Embedded Processing products used in many different applications and application-specific Embedded Processing products used in specific applications, such as communications infrastructure equipment and automotive.</w:t>
      </w:r>
    </w:p>
    <w:p>
      <w:pPr>
        <w:spacing w:after="0" w:line="1" w:lineRule="exact"/>
        <w:rPr>
          <w:rFonts w:ascii="Arial" w:cs="Arial" w:eastAsia="Arial" w:hAnsi="Arial"/>
          <w:sz w:val="18"/>
          <w:szCs w:val="18"/>
          <w:i w:val="1"/>
          <w:iCs w:val="1"/>
          <w:color w:val="auto"/>
        </w:rPr>
      </w:pPr>
    </w:p>
    <w:p>
      <w:pPr>
        <w:ind w:left="500" w:right="20" w:hanging="330"/>
        <w:spacing w:after="0" w:line="290" w:lineRule="auto"/>
        <w:tabs>
          <w:tab w:leader="none" w:pos="500" w:val="left"/>
        </w:tabs>
        <w:numPr>
          <w:ilvl w:val="1"/>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Wireless </w:t>
      </w:r>
      <w:r>
        <w:rPr>
          <w:rFonts w:ascii="Arial" w:cs="Arial" w:eastAsia="Arial" w:hAnsi="Arial"/>
          <w:sz w:val="17"/>
          <w:szCs w:val="17"/>
          <w:color w:val="auto"/>
        </w:rPr>
        <w:t>– Our Wireless products consist of OMAP applications processors, connectivity products and baseband products. We concentrated our</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investments on OMAP applications processors and connectivity products for the smartphone and consumer tablet markets.</w:t>
      </w:r>
    </w:p>
    <w:p>
      <w:pPr>
        <w:spacing w:after="0" w:line="162" w:lineRule="exact"/>
        <w:rPr>
          <w:sz w:val="20"/>
          <w:szCs w:val="20"/>
          <w:color w:val="auto"/>
        </w:rPr>
      </w:pPr>
    </w:p>
    <w:p>
      <w:pPr>
        <w:jc w:val="both"/>
        <w:ind w:left="500" w:firstLine="162"/>
        <w:spacing w:after="0" w:line="279" w:lineRule="auto"/>
        <w:rPr>
          <w:sz w:val="20"/>
          <w:szCs w:val="20"/>
          <w:color w:val="auto"/>
        </w:rPr>
      </w:pPr>
      <w:r>
        <w:rPr>
          <w:rFonts w:ascii="Arial" w:cs="Arial" w:eastAsia="Arial" w:hAnsi="Arial"/>
          <w:sz w:val="17"/>
          <w:szCs w:val="17"/>
          <w:color w:val="auto"/>
        </w:rPr>
        <w:t>As previously announced, the Wireless segment will be eliminated due to the decision to wind down certain of its product lines. As a result, we will restructure our reportable segments beginning January 1, 2013, and we will report our first quarter of 2013 financial results accordingly. Financial results for Wireless products for the smartphone and consumer tablet markets will be included in Other. Financial results for Wireless products that address embedded applications, a strategic focus for the company, will be reported in the Embedded Processing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Other includes other operating segments that neither meet the quantitative thresholds for individually reportable segments nor are they aggregated with other operating segments. These operating segments primarily include our smaller semiconductor product lines such as DLP® products (primarily used in projectors to create high-definition images), custom semiconductors known as application-specific integrated circuits (ASICs) and calculators.</w:t>
      </w:r>
    </w:p>
    <w:p>
      <w:pPr>
        <w:spacing w:after="0" w:line="173"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Other also includes royalties received for our patented technology that we license to other electronics companies and revenue from transitional supply agreements related to acquisitions and divestitures. Other may also include certain unallocated income and expenses such as gains and losses on sales of assets; sales tax refunds; and certain litigation costs, settlements or reserves. Except for these few unallocated items, we allocate all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Acquisition-related charges related to National are also recorded in Other in 2012 and 2011, as detailed in Note 2.</w:t>
      </w:r>
    </w:p>
    <w:p>
      <w:pPr>
        <w:spacing w:after="0" w:line="225"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Restructuring charges related to the 2011 announced action in Hiji, Japan, and Houston, Texas; losses and insurance proceeds associated with the 2011 earthquake in Japan; and the 2012 gain on the transfer of the Japan substitutional pension are also included in Other. In 2010, the gain related to a divestiture of a product line is included in Other. See Notes 3 and 4 for additional information.</w:t>
      </w:r>
    </w:p>
    <w:p>
      <w:pPr>
        <w:spacing w:after="0" w:line="181"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81"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Segment information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54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12,825</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2011</w:t>
            </w:r>
          </w:p>
        </w:tc>
        <w:tc>
          <w:tcPr>
            <w:tcW w:w="3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1,973</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2011</w:t>
            </w:r>
          </w:p>
        </w:tc>
        <w:tc>
          <w:tcPr>
            <w:tcW w:w="3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3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geographic area data include revenue, based on product shipment destination and royalty payor location, and property, plant and equipment, based on physical location: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Rest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Asia (a)</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Japan</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World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378"/>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(a)  Revenue from products shipped into China (including Hong Kong) was $5.38 billion in 2012, $5.83 billion in 2011 and $5.69 billion in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No customer accounts for 10 percent or more of 2012 revenue. Sales to the Nokia group of companies, including sales to indirect contract manufacturers, accounted for 13 percent and 19 percent of our 2011 and 2010 revenue, respectively. Revenue from sales to Nokia is reflected primarily in our Wireless segment.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5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2012 and 2011, and the related consolidated statements of income, comprehensive income, stockholders’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2012 and 2011, and the consolidated results of their operations and their cash flows for each of the three years in the period ended December 31, 2012, in conformity with U.S. generally accepted accounting principles.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2012, based on criteria established in Internal Control-Integrated Framework issued by the Committee of Sponsoring Organizations of the Treadway Commission and our report dated February 22, 2013,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102235</wp:posOffset>
            </wp:positionV>
            <wp:extent cx="169799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64"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229"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2012 that has materially affected, or is reasonably likely to materially affect, our internal control over financial reporting.</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2012. In making this assessment, we used the criteria set forth by the Committee of Sponsoring Organizations of the Treadway Commission (the COSO criteria) in Internal Control – Integrated Framework.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we believe that, as of December 31, 2012, our internal control over financial reporting is effective based on the COSO criteria.</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364"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2012,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2012,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2012 and 2011, and the related consolidated statements of income, comprehensive income, stockholders’ equity, and cash flows for each of the three years in the period ended December 31, 2012, and our report dated February 22, 2013,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127635</wp:posOffset>
            </wp:positionV>
            <wp:extent cx="1697990" cy="454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0" w:right="2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gridSpan w:val="8"/>
          </w:tcPr>
          <w:p>
            <w:pPr>
              <w:ind w:left="400"/>
              <w:spacing w:after="0"/>
              <w:rPr>
                <w:sz w:val="20"/>
                <w:szCs w:val="20"/>
                <w:color w:val="auto"/>
              </w:rPr>
            </w:pPr>
            <w:r>
              <w:rPr>
                <w:rFonts w:ascii="Arial" w:cs="Arial" w:eastAsia="Arial" w:hAnsi="Arial"/>
                <w:sz w:val="18"/>
                <w:szCs w:val="18"/>
                <w:b w:val="1"/>
                <w:bCs w:val="1"/>
                <w:color w:val="auto"/>
              </w:rPr>
              <w:t>For Years Ended December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Summary of selected financial data</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costs and expenses (a) (b)</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10,852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and debt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51"/>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1"/>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Average dilutive potential common shares outstanding during year, in</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1,146,035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1,171,364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w w:val="97"/>
              </w:rPr>
              <w:t>1,212,940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w w:val="97"/>
              </w:rPr>
              <w:t>1,268,533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1,321,250</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8890</wp:posOffset>
            </wp:positionV>
            <wp:extent cx="3902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 w:lineRule="exact"/>
        <w:rPr>
          <w:sz w:val="20"/>
          <w:szCs w:val="20"/>
          <w:color w:val="auto"/>
        </w:rPr>
      </w:pPr>
    </w:p>
    <w:p>
      <w:pPr>
        <w:ind w:left="580" w:hanging="248"/>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Acquisition-related charges of $471 million in 2012 and $426 million in 2011 associated with our 2011 acquisition of National.</w:t>
      </w:r>
    </w:p>
    <w:p>
      <w:pPr>
        <w:spacing w:after="0" w:line="23" w:lineRule="exact"/>
        <w:rPr>
          <w:rFonts w:ascii="Arial" w:cs="Arial" w:eastAsia="Arial" w:hAnsi="Arial"/>
          <w:sz w:val="18"/>
          <w:szCs w:val="18"/>
          <w:color w:val="auto"/>
        </w:rPr>
      </w:pPr>
    </w:p>
    <w:p>
      <w:pPr>
        <w:ind w:left="900" w:right="360" w:hanging="568"/>
        <w:spacing w:after="0" w:line="255" w:lineRule="auto"/>
        <w:tabs>
          <w:tab w:leader="none" w:pos="5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Restructuring charges/other of $264 million, $112 million, ($111) million, $212 million and $254 million in 2012, 2011, 2010, 2009 and 2008 respectively. The $264 million for 2012 includes a gain on the transfer of a Japan substitutional pension of $144 million, and the ($111) million for 2010 includes a $144 million gain from the divestiture of a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-563880</wp:posOffset>
            </wp:positionV>
            <wp:extent cx="3902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3,912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4,186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Number of:</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Stockholders of record</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18,128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25,107</w:t>
            </w:r>
          </w:p>
        </w:tc>
        <w:tc>
          <w:tcPr>
            <w:tcW w:w="0" w:type="dxa"/>
            <w:vAlign w:val="bottom"/>
          </w:tcPr>
          <w:p>
            <w:pPr>
              <w:spacing w:after="0"/>
              <w:rPr>
                <w:sz w:val="1"/>
                <w:szCs w:val="1"/>
                <w:color w:val="auto"/>
              </w:rPr>
            </w:pPr>
          </w:p>
        </w:tc>
      </w:tr>
      <w:tr>
        <w:trPr>
          <w:trHeight w:val="62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For Years Ended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 (Additions to property, plant and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20"/>
                <w:szCs w:val="20"/>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2012 as measured by revenue, according to preliminary estimates from an external source.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4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 (battery-powered devices, such as handheld consumer electronics, laptop computers and cordless power tools) and line-powered systems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364" w:right="31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(products that require an external electrical source, such as computers, digital TVs, wireless basestations and high-voltage industrial equipment).</w:t>
      </w:r>
    </w:p>
    <w:p>
      <w:pPr>
        <w:spacing w:after="0" w:line="23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SVA products: These consist of products that we acquired through our purchase of National Semiconductor Corporation (National) in 2011. These include power management, data converter, interface and operational amplifier catalog analog products, nearly all of which are complementary to our other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2012. According to external sources, the worldwide market for embedded processors was about $17 billion in 2012. Our Embedded Processing segment's revenue in 2012 was about $2.0 billion. This was the number two position and represented about 12 percent of this fragmented market. We believe we are well positioned to increase our market share over time.</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application-specific Embedded Processing products used in communications infrastructure equipment and automotive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jc w:val="both"/>
        <w:ind w:right="440"/>
        <w:spacing w:after="0" w:line="268" w:lineRule="auto"/>
        <w:rPr>
          <w:sz w:val="20"/>
          <w:szCs w:val="20"/>
          <w:color w:val="auto"/>
        </w:rPr>
      </w:pPr>
      <w:r>
        <w:rPr>
          <w:rFonts w:ascii="Arial" w:cs="Arial" w:eastAsia="Arial" w:hAnsi="Arial"/>
          <w:sz w:val="16"/>
          <w:szCs w:val="16"/>
          <w:color w:val="auto"/>
        </w:rPr>
        <w:t>During 2012, our Wireless products consisted of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connectivity products and baseband products. We concentrated our Wireless investments on OMAP applications processors and connectivity products for the smartphone and consumer tablet markets. Sales of Wireless products generated about $1.4 billion, or about 11 percent, of our revenue for 2012, of which OMAP and connectivity products represented about $1.1 billion. We had $0.3 billion in revenue from baseband products, a product line that we have previously announced we are exiting.</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November 2012, we announced that we would restructure our Wireless business to focus investments on embedded markets with greater potential for sustainable growth. Specifically, we now focus our OMAP applications processors and connectivity products on embedded applications with long life cycles instead of on the smartphone and consumer tablet markets, where large customers are increasingly developing their own custom chips. These changes will result in lower resource and investment demands and, as we have previously announced, elimination of the Wireless segment. As a result of the Wireless restructuring, we recorded a $351 million charge in the fourth quarter of 2012, of which $245 million was for severance and benefit costs and $106 million was for non-cash items, which includes a non-tax deductible goodwill impairment of $90 million. We expect about 1,700 jobs to be eliminated and about $450 million in annualized cost savings to be realized by the time this action is completed in 2013.</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Embedded OMAP applications processors, which often use a standard operating system such as Android, Linux, QNX or Windows, are used in applications that are multi-function, need a graphically intensive user interface and often are connected to the Internet. Embedded connectivity products include low-power wireless network standards like Zigbee</w:t>
      </w:r>
      <w:r>
        <w:rPr>
          <w:rFonts w:ascii="Arial" w:cs="Arial" w:eastAsia="Arial" w:hAnsi="Arial"/>
          <w:sz w:val="24"/>
          <w:szCs w:val="24"/>
          <w:color w:val="auto"/>
          <w:vertAlign w:val="superscript"/>
        </w:rPr>
        <w:t>®</w:t>
      </w:r>
      <w:r>
        <w:rPr>
          <w:rFonts w:ascii="Arial" w:cs="Arial" w:eastAsia="Arial" w:hAnsi="Arial"/>
          <w:sz w:val="17"/>
          <w:szCs w:val="17"/>
          <w:color w:val="auto"/>
        </w:rPr>
        <w:t>, and other technologies such as Bluetooth</w:t>
      </w:r>
      <w:r>
        <w:rPr>
          <w:rFonts w:ascii="Arial" w:cs="Arial" w:eastAsia="Arial" w:hAnsi="Arial"/>
          <w:sz w:val="24"/>
          <w:szCs w:val="24"/>
          <w:color w:val="auto"/>
          <w:vertAlign w:val="superscript"/>
        </w:rPr>
        <w:t>®</w:t>
      </w:r>
      <w:r>
        <w:rPr>
          <w:rFonts w:ascii="Arial" w:cs="Arial" w:eastAsia="Arial" w:hAnsi="Arial"/>
          <w:sz w:val="17"/>
          <w:szCs w:val="17"/>
          <w:color w:val="auto"/>
        </w:rPr>
        <w:t>, WiFi, GPS and Near Field Communications. Both of these product lines have many of the same characteristics as those in our Embedded Processing segment and will be reported in that segment beginning with our first-quarter 2013 financial report. In 2012, sales of these products were about $150 million.</w:t>
      </w:r>
    </w:p>
    <w:p>
      <w:pPr>
        <w:spacing w:after="0" w:line="19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expect our revenue from OMAP and connectivity products sold into smartphone and consumer tablet applications to decline rapidly in 2013 and to substantially cease by the end of the year. We also expect baseband revenue to be essentially zero in 2013. Beginning with our first-quarter 2013 financial report, financial results for Wireless products for the smartphone and consumer tablet markets will be included in Other.</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368"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Other includes revenue from our smaller product lines, such as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(primarily used in projectors to create high-definition images), custom semiconductors known as application-specific integrated circuits (ASICs) and calculators. It also includes royalties received for our patented technology that we license to other electronics companies and revenue from transitional supply agreements related to acquisitions and divestitures. Other generated about $2.5 billion, or about 19 percent of our revenue, in 2012. We also include in Other certain acquisition-related charges that are not used in evaluating results of and allocating resources to our Analog, Embedded Processing and Wireless segments. These charges include certain fair-value adjustments, restructuring charges, transaction expenses, acquisition-related retention bonuses and amortization of intangible assets. Other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Wireless products.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strengthening demand and/or insufficient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81" w:name="page82"/>
    <w:bookmarkEnd w:id="81"/>
    <w:p>
      <w:pPr>
        <w:ind w:right="60"/>
        <w:spacing w:after="0" w:line="264" w:lineRule="auto"/>
        <w:rPr>
          <w:sz w:val="20"/>
          <w:szCs w:val="20"/>
          <w:color w:val="auto"/>
        </w:rPr>
      </w:pPr>
      <w:r>
        <w:rPr>
          <w:rFonts w:ascii="Arial" w:cs="Arial" w:eastAsia="Arial" w:hAnsi="Arial"/>
          <w:sz w:val="18"/>
          <w:szCs w:val="18"/>
          <w:color w:val="auto"/>
        </w:rPr>
        <w:t>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and fourth quarters and stronger in the second and third quarters, as manufacturers prepare for the major holiday selling seasons. Calculator revenue is tied to the U.S. back-to-school season and is therefore at its highest in the second and third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information presented in this Management's discussion and analysis of financial condition and results of operations (MD&amp;A) is based on our segment structure as it existed as of December 31, 2012. Additionally, the MD&amp;A reflects our reclassification of certain amounts in the prior periods' financial statements to conform to the 2012 presentation. Throughout the following discussion of our results of operations, unless otherwise noted, changes in our revenue are attributable to changes in customer demand, which are evidenced by fluctuations in shipment volumes. New products tend not to have a significant impact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compared with 2011</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2012, we faced a weak demand environment, but our operations performed well and we strengthened our strategic position. We reached a milestone in 2012, with 70 percent of our revenue coming from our core businesses of Analog and Embedded Processing. Also during the year, we successfully integrated National into our operations and increased the diversity of our customer base, especially in the industrial sector. Despite lower revenue that resulted primarily from our exit from Wireless baseband products, we grew our free cash flow to almost $3 billion, or 23 percent of revenue. Our free cash flow was the result of more of our revenue coming from Analog and Embedded Processing, which offer solid growth and high margins and have low capital needs. We returned 90 percent of this free cash flow to stockholders through our continued share repurchases and higher dividend payments. Free cash flow will continue to benefit from our strategic purchases of manufacturing capacity during the past few years. (Free cash flow is a non-GAAP financial measure. For a reconciliation to GAAP and an explanation of the purpose for providing this non-GAAP measure, see the Non-GAAP financial information section after the Liquidity and capital resources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Years Ended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segment: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Analog</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6,998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Embedded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12,825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6,368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1,804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Restructuring charges/other</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 (OI&amp;E)</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51"/>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Percentage of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R&amp;D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earnings per share (EPS). The amount excluded was $31 million, $34 million and $44 million for the years ended December 31, 2012, 2011 and 2010,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2012 financial results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in 2012 was $12.82 billion, down $910 million, or 7 percent, from 2011 primarily due to a weak demand environment. Revenue from a full year's inclusion of SVA slightly more than offset lower revenue from Wireless baseband products.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Gross profit in 2012 was $6.37 billion, a decrease of $404 million, or 6 percent, from 2011. The decrease was primarily due to lower revenue. Gross profit margin in 2012 was 49.6 percent of revenue compared with 49.3 percent in 2011.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were $1.88 billion for R&amp;D and $1.80 billion for SG&amp;A. R&amp;D expense increased $162 million, or 9 percent, from 2011 primarily due to the inclusion of a full year of SVA. R&amp;D expense as a percent of revenue was 14.6 percent compared with 12.5 percent in 2011. SG&amp;A expense increased $166 million, or 10 percent, from 2011 due to the inclusion of a full year of SVA. SG&amp;A expense as a percent of revenue was 14.1 percent compared with 11.9 percent in 2011.</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Acquisition charges related to the National acquisition were $450 million in 2012 and $315 million in 2011. The increase was due to a full year of amortization of acquired intangible assets. See Notes 2 and 10 to the financial statements for details.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26" w:right="279" w:bottom="1440" w:gutter="0" w:footer="0" w:header="0"/>
        </w:sectPr>
      </w:pPr>
    </w:p>
    <w:bookmarkStart w:id="83" w:name="page84"/>
    <w:bookmarkEnd w:id="83"/>
    <w:p>
      <w:pPr>
        <w:ind w:right="100"/>
        <w:spacing w:after="0" w:line="264" w:lineRule="auto"/>
        <w:rPr>
          <w:sz w:val="20"/>
          <w:szCs w:val="20"/>
          <w:color w:val="auto"/>
        </w:rPr>
      </w:pPr>
      <w:r>
        <w:rPr>
          <w:rFonts w:ascii="Arial" w:cs="Arial" w:eastAsia="Arial" w:hAnsi="Arial"/>
          <w:sz w:val="18"/>
          <w:szCs w:val="18"/>
          <w:color w:val="auto"/>
        </w:rPr>
        <w:t>Restructuring charges/other were $264 million in 2012 and $112 million in 2011. The increase was primarily due to the restructuring action in the Wireless segment, partially offset by a $144 million gain we recognized from the transfer of the obligations and assets of a portion of our Japan pension program from the pension trust to the government of Japan. See Note 3 to the financial statements for details.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was $1.97 billion, or 15.4 percent of revenue, compared with $2.99 billion, or 21.8 percent of revenue, in 2011. The decrease was due to, in decreasing order, lower gross profit, higher operating expenses, higher restructuring charges and higher acquisition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OI&amp;E for 2012 was income of $47 million compared with $5 million for 2011. The increase was primarily due to tax-related interest income.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Interest and debt expense was $85 million compared with $42 million in the year-ago period. The increase over 2011 was primarily due to having debt outstanding for a full year in 2012 compared with about eight months in 2011. We issued debt in May 2011 and assumed debt in September 2011, both in connection with our acquisition of National. See Note 12 to the financial statements for details.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annual effective tax rate for 2012 was 22 percent. Taxes at this rate were reduced by discrete tax benefits of $252 million, resulting in a total tax provision for 2012 of $176 million compared with a total tax provision of $719 million for the prior year. The decrease in the total tax provision was due to the combination of lower income before income taxes and the impact of the discrete tax benefits. The decrease was partially offset by the impact of the expiration of the federal research tax credit at the end of 2011. The discrete tax benefits in 2012 were primarily due to additional U.S. tax benefits for manufacturing related to the years 2000 through 2011. The tax provision for 2012 did not include the January 2013 reinstatement of the federal research tax credit. The effect of the reinstatement of about $65 million for 2012 will be recorded as a discrete tax benefit in the first quarter of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7 to the financial statements for a reconciliation of effective tax rates to the statutory federal tax rate.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Net income was $1.76 billion, a decrease of $477 million, or 21 percent, from 2011. EPS for 2012 was $1.51 compared with $1.88 for 2011. The decline in EPS was due to lower net income. EPS benefitted $0.03 from 2011 due to a lower number of average shares outstanding as a result of our stock repurchase program.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4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53"/>
        </w:trPr>
        <w:tc>
          <w:tcPr>
            <w:tcW w:w="5600" w:type="dxa"/>
            <w:vAlign w:val="bottom"/>
            <w:gridSpan w:val="2"/>
          </w:tcPr>
          <w:p>
            <w:pPr>
              <w:spacing w:after="0"/>
              <w:rPr>
                <w:sz w:val="20"/>
                <w:szCs w:val="20"/>
                <w:color w:val="auto"/>
              </w:rPr>
            </w:pPr>
            <w:r>
              <w:rPr>
                <w:rFonts w:ascii="Arial" w:cs="Arial" w:eastAsia="Arial" w:hAnsi="Arial"/>
                <w:sz w:val="18"/>
                <w:szCs w:val="18"/>
                <w:color w:val="auto"/>
              </w:rPr>
              <w:t>A detailed discussion of our segment results appears below.</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6,998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6,375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156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1,650</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1,693</w:t>
            </w: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1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1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26.6%</w:t>
            </w:r>
          </w:p>
        </w:tc>
        <w:tc>
          <w:tcPr>
            <w:tcW w:w="148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Analog revenue increased $623 million, or 10 percent, from 2011 primarily due to the inclusion of a full year of SVA, and to a lesser extent, growth in Power Management. Partially offsetting the increase was lower revenue from High Performance Analog. Revenue from High Volume Analog &amp; Logic products was about even.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was $1.65 billion, or 23.6 percent of revenue. This was a decrease of $43 million, or 3 percent, compared with 2011 primarily due to higher operating expenses from the inclusion of a full year of SVA, partially offset by higher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4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4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2,110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66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166</w:t>
            </w:r>
          </w:p>
        </w:tc>
        <w:tc>
          <w:tcPr>
            <w:tcW w:w="3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368</w:t>
            </w:r>
          </w:p>
        </w:tc>
        <w:tc>
          <w:tcPr>
            <w:tcW w:w="146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4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profit % of revenue</w:t>
            </w:r>
          </w:p>
        </w:tc>
        <w:tc>
          <w:tcPr>
            <w:tcW w:w="26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1460" w:type="dxa"/>
            <w:vAlign w:val="bottom"/>
            <w:shd w:val="clear" w:color="auto" w:fill="CCEEFF"/>
          </w:tcPr>
          <w:p>
            <w:pPr>
              <w:spacing w:after="0"/>
              <w:rPr>
                <w:sz w:val="21"/>
                <w:szCs w:val="21"/>
                <w:color w:val="auto"/>
              </w:rPr>
            </w:pPr>
          </w:p>
        </w:tc>
      </w:tr>
      <w:tr>
        <w:trPr>
          <w:trHeight w:val="27"/>
        </w:trPr>
        <w:tc>
          <w:tcPr>
            <w:tcW w:w="46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Embedded Processing revenue decreased $139 million, or 7 percent, compared with 2011 due to lower revenue from products sold into communications infrastructure applications and, to a lesser extent, a less favorable mix of catalog products shipped. The decrease was partially offset by revenue from products sold into automotive applications.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profit was $166 million, or 8.4 percent of revenue. This was a decrease of $202 million, or 55 percent, compared with 2011 primarily due to lower gross profit.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4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Change</w:t>
            </w:r>
          </w:p>
        </w:tc>
      </w:tr>
      <w:tr>
        <w:trPr>
          <w:trHeight w:val="34"/>
        </w:trPr>
        <w:tc>
          <w:tcPr>
            <w:tcW w:w="4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1,357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2,518</w:t>
            </w:r>
          </w:p>
        </w:tc>
        <w:tc>
          <w:tcPr>
            <w:tcW w:w="14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3"/>
              </w:rPr>
              <w:t>-46 %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232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(525)</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412</w:t>
            </w:r>
          </w:p>
        </w:tc>
        <w:tc>
          <w:tcPr>
            <w:tcW w:w="1480" w:type="dxa"/>
            <w:vAlign w:val="bottom"/>
          </w:tcPr>
          <w:p>
            <w:pPr>
              <w:ind w:left="1040"/>
              <w:spacing w:after="0"/>
              <w:rPr>
                <w:sz w:val="20"/>
                <w:szCs w:val="20"/>
                <w:color w:val="auto"/>
              </w:rPr>
            </w:pPr>
            <w:r>
              <w:rPr>
                <w:rFonts w:ascii="Arial" w:cs="Arial" w:eastAsia="Arial" w:hAnsi="Arial"/>
                <w:sz w:val="18"/>
                <w:szCs w:val="18"/>
                <w:color w:val="auto"/>
              </w:rPr>
              <w:t>n/a</w:t>
            </w:r>
          </w:p>
        </w:tc>
      </w:tr>
      <w:tr>
        <w:trPr>
          <w:trHeight w:val="27"/>
        </w:trPr>
        <w:tc>
          <w:tcPr>
            <w:tcW w:w="4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(loss) % of revenue</w:t>
            </w:r>
          </w:p>
        </w:tc>
        <w:tc>
          <w:tcPr>
            <w:tcW w:w="2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16.4%</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3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351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 (loss)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Wireless revenue decreased $1.16 billion, or 46 percent, from 2011 primarily due to our planned exit from baseband products. Revenue from connectivity products, and to a lesser extent, OMAP applications processors also declined. Baseband revenue for 2012 was $294 million, a decrease of $810 million, or 73 percent, compared with 2011. We expect revenue from Wireless products for the smartphone and consumer tablet markets to wind down to essentially zero by the end of 2013.</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Wireless had an operating loss of $525 million for 2012, compared with operating profit of $412 million in 2011. The decrease was primarily due to lower revenue and associated gross profit, and to a lesser extent, restructuring charges.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4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34"/>
        </w:trPr>
        <w:tc>
          <w:tcPr>
            <w:tcW w:w="46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2,499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2,732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682</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519</w:t>
            </w:r>
          </w:p>
        </w:tc>
        <w:tc>
          <w:tcPr>
            <w:tcW w:w="14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19.0%</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5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(87)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112</w:t>
            </w:r>
          </w:p>
        </w:tc>
        <w:tc>
          <w:tcPr>
            <w:tcW w:w="14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2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450</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315</w:t>
            </w:r>
          </w:p>
        </w:tc>
        <w:tc>
          <w:tcPr>
            <w:tcW w:w="1480" w:type="dxa"/>
            <w:vAlign w:val="bottom"/>
            <w:shd w:val="clear" w:color="auto" w:fill="CCEEFF"/>
          </w:tcPr>
          <w:p>
            <w:pPr>
              <w:spacing w:after="0"/>
              <w:rPr>
                <w:sz w:val="21"/>
                <w:szCs w:val="21"/>
                <w:color w:val="auto"/>
              </w:rPr>
            </w:pPr>
          </w:p>
        </w:tc>
      </w:tr>
      <w:tr>
        <w:trPr>
          <w:trHeight w:val="27"/>
        </w:trPr>
        <w:tc>
          <w:tcPr>
            <w:tcW w:w="46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Revenue from Other was $2.50 billion in 2012. This was a decrease of $233 million, or 9 percent, from 2011 primarily due to the expiration of transitional supply agreements and, to a lesser extent, a less favorable mix of DLP products shipped. Revenue from calculators and royalties also declined. The decrease was partially offset by business interruption insurance proceeds resulting from the 2011 Japan earthquake and increased revenue from custom ASIC products.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profit for 2012 from Other was $682 million, or 27.3 percent of revenue. This was an increase of $163 million, or 31 percent, compared with 2011 due to lower restructuring charges, partially offset by higher acquisition charges. Included in Restructuring charges/other for 2012 was a $144 million gain from the Japan pension program change. The increase in acquisition charges was due to a full year of increased amortization expense for acquired intangible assets.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Prior results of operations - 2011 compared with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2011 revenue was $13.73 billion, net income was $2.24 billion and EPS was $1.88.</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2011 started strong, global economic uncertainty and the March 2011 earthquake in Japan impacted TI, our customers and our suppliers. Despite these challenges, we successfully completed the acquisition of National, we gained share in the Analog and Embedded Processing markets, and we continued to wind down our baseband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 in 2011 was $13.73 billion, down $231 million, or 2 percent, from 2010 due to lower revenue from Wireless baseband products.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Gross profit in 2011 was $6.77 billion, a decrease of $720 million, or 10 percent, from 2010. The decrease was primarily due to a combination of, in decreasing order, lower revenue, lower average levels of factory utilization as we reduced production in response to weaker demand, acquisition-related charges reflected in COR and inventory charges. Lower factory utilization decreased our gross profit by $175 million from 2010. Gross profit margin was 49.3 percent of revenue compared with 53.6 percent in 2010.</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expenses were $1.72 billion for R&amp;D and $1.64 billion for SG&amp;A. R&amp;D expense increased $145 million, or 9 percent, from 2010 due to the addition of a partial year of SVA and higher product development costs in our other major Analog product lines, Embedded Processing and Wireless. R&amp;D expense as a percent of revenue was 12.5 percent compared with 11.2 percent in 2010.</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SG&amp;A expense increased $119 million, or 8 percent, from 2010 primarily due to the addition of a partial year of SVA, and to a lesser extent, higher investments in sales and marketing in support of our other major Analog product lines, Embedded Processing and Wireless. SG&amp;A expense as a percent of revenue was 11.9 percent compared with 10.9 percent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$315 million in 2011. There were no acquisition charges in 2010.</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Restructuring charges/other of $112 million for 2011 were associated with the action initiated to close certain manufacturing facilities in Texas and Japan. Restructuring charges/other for 2010 included $33 million of restructuring charges associated with pension benefit settlements related to actions taken in 2009, offset by a gain of $144 million from the divestiture of a product line included in Other.</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Operating profit was $2.99 billion, or 21.8 percent of revenue, compared with $4.51 billion, or 32.3 percent of revenue, in 2010. The decrease was due to, in decreasing order, lower gross profit, higher total acquisition-related charges, higher operating expenses and a gain on the divestiture of a product line in 2010.</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OI&amp;E for 2011 was income of $5 million. This was $32 million lower than in 2010 due to an expense in 2011 associated with a settlement related to a divested business.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and debt expense was $42 million. This included interest and amortization of debt expense associated with our issuance of new debt in 2011 and the assumption of debt as a result of our acquisition of National.</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tax provision for 2011 was $719 million compared with $1.32 billion for the prior year. The decrease was primarily due to lower income before income taxes.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was $2.24 billion, a decrease of $992 million from 2010. EPS for 2011 was $1.88 compared with $2.62 for 2010. EPS benefited $0.07 from 2010 due to a lower number of average shares outstanding as a result of our stock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segment results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702"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6,375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5,979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1,693</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1,876</w:t>
            </w: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Analog revenue increased $396 million, or 7 percent, from 2010 primarily due to the inclusion of a partial year of SVA, and to a lesser extent, increased shipments of Power Management and High Volume Analog &amp; Logic products. Partially offsetting these increases was lower revenue from High Performance Analog due to normal price declines.</w:t>
      </w:r>
    </w:p>
    <w:p>
      <w:pPr>
        <w:spacing w:after="0" w:line="18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Operating profit was $1.69 billion, or 26.6 percent of revenue. This was a decrease of $183 million, or 10 percent, compared with 2010 due to higher operating expenses from the inclusion of a partial year of SVA and, to a lesser extent, lower gross profit resulting from lower factory utilization.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2,110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2,073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368</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491</w:t>
            </w: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23.7%</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Embedded Processing revenue increased $37 million, or 2 percent, compared with 2010 due to increased shipments of products sold into automotive and communications infrastructure applications. Partially offsetting these increases was lower revenue from catalog products resulting from a less favorable mix of catalog products shipped.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profit was $368 million, or 17.4 percent of revenue. This was a decrease of $123 million, or 25 percent, compared with 2010 primarily due to lower gross profit, and to a lesser extent, higher operating expenses. Lower gross profit was primarily due to lower factory utilization and the effect of the mix of products, which contributed about equally to the change.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2,518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2,978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412</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683</w:t>
            </w:r>
          </w:p>
        </w:tc>
        <w:tc>
          <w:tcPr>
            <w:tcW w:w="124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22.9%</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Wireless revenue decreased $460 million, or 15 percent, from 2010 due to decreased shipments of baseband products, and to a much lesser extent, connectivity products. Partially offsetting these decreases was growth in revenue from OMAP applications processors due to a more favorable mix of products shipped. Baseband revenue for 2011 was $1.10 billion, a decrease of $609 million, or 36 percent, compared with 2010.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1" w:right="239" w:bottom="1440" w:gutter="0" w:footer="0" w:header="0"/>
        </w:sectPr>
      </w:pPr>
    </w:p>
    <w:bookmarkStart w:id="87" w:name="page88"/>
    <w:bookmarkEnd w:id="87"/>
    <w:p>
      <w:pPr>
        <w:ind w:right="20"/>
        <w:spacing w:after="0" w:line="277" w:lineRule="auto"/>
        <w:rPr>
          <w:sz w:val="20"/>
          <w:szCs w:val="20"/>
          <w:color w:val="auto"/>
        </w:rPr>
      </w:pPr>
      <w:r>
        <w:rPr>
          <w:rFonts w:ascii="Arial" w:cs="Arial" w:eastAsia="Arial" w:hAnsi="Arial"/>
          <w:sz w:val="18"/>
          <w:szCs w:val="18"/>
          <w:color w:val="auto"/>
        </w:rPr>
        <w:t>Operating profit was $412 million, or 16.4 percent of revenue. This was a decrease of $271 million, or 40 percent, compared with 2010 primarily due to lower revenue and associated gross profit.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2,732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2,936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519</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1,464</w:t>
            </w: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49.9%</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2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2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315</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 from Other was $2.73 billion in 2011. This was a decrease of $204 million, or 7 percent, from 2010 primarily due to decreased shipments across most areas.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Operating profit for 2011 from Other was $519 million, or 19.0 percent of revenue. This was a decrease of $945 million, or 65 percent, compared with 2010 due to charges associated with the National acquisition; the absence of a gain on divestiture; lower revenue and associated gross profit; restructuring charges related to the action initiated in 2011 to close certain manufacturing facilities in Texas and Japan; and the net losses associated with the Japan earthquake.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2012, total cash (Cash and cash equivalents plus Short-term investments) was $3.96 billion, an increase of $1.03 billion from the end of 2011.</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 were $1.23 billion at the end of 2012. This was a decrease of $315 million compared with the end of 2011. The decrease in accounts receivable was due to lower revenue in December 2012 than in December 2011. Days sales outstanding were 37 at the end of 2012 compared with 41 at the end of 2011.</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Inventory was $1.76 billion at the end of 2012. This was a decrease of $31 million from the end of 2011. Days of inventory at the end of 2012 were 103 compared with 86 at the end of 2011. Our days of inventory increased in order to support higher customer service levels.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revolving credit facilities. Cash flow from operations for 2012 was $3.41 billion, an increase of $158 million from the prior year due to an increase in cash provided by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had $1.416 billion of Cash and cash equivalents and $2.549 billion of Short-term investments as of December 31, 2012.</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a variable-rate revolving credit facility with a consortium of investment-grade banks that allows us to borrow up to $2 billion until March 2017. This credit facility also serves as support for the issuance of commercial paper. As of December 31, 2012, we had no commercial paper outstanding.</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2012, investing activities used $1.04 billion. This compares with $6.17 billion used in 2011 primarily for the National acquisition, net of cash acquired. See Note 2 to the financial statements for details. For 2012, capital expenditures (Additions to property, plant and equipment) were $495 million compared with $816 million in 2011. Capital expenditures in 2012 were primarily for semiconductor manufacturing equipment. We used cash of $604 million to make net purchases of short-term investments in 2012 compared with $98 million in 2011.</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2012, financing activities used net cash of $1.95 billion and provided $2.59 billion in 2011. In 2012, we received proceeds of $1.49 billion from the issuance of fixed-rate long-term debt (net of original issuance discount). This compares with proceeds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88" w:name="page89"/>
    <w:bookmarkEnd w:id="88"/>
    <w:p>
      <w:pPr>
        <w:spacing w:after="0" w:line="270" w:lineRule="auto"/>
        <w:rPr>
          <w:sz w:val="20"/>
          <w:szCs w:val="20"/>
          <w:color w:val="auto"/>
        </w:rPr>
      </w:pPr>
      <w:r>
        <w:rPr>
          <w:rFonts w:ascii="Arial" w:cs="Arial" w:eastAsia="Arial" w:hAnsi="Arial"/>
          <w:sz w:val="17"/>
          <w:szCs w:val="17"/>
          <w:color w:val="auto"/>
        </w:rPr>
        <w:t>in 2011 of $3.50 billion we received from the issuance of fixed- and variable-rate long-term debt (net of the original issuance discount) and $1.20 billion from the issuance of commercial paper. The 2011 issuance of long-term debt was used in the National acquisition. The commercial paper was issued for general corporate purposes and to maintain cash balances at desired levels. See Note 12 to the financial statements for additional details. We used $1.38 billion to repay debt and commercial paper in 2012 compared with $200 million used to repay commercial paper in 2011. Dividends paid in 2012 of $819 million compared with $644 million in 2011, reflecting increases in the dividend rate in each year. In September 2012, we announced a 24 percent increase in our quarterly cash dividend. The quarterly dividend increased from $0.17 to $0.21 per share, resulting in an annualized dividend payment of $0.84 per share. We used $1.80 billion to repurchase 59.8 million shares of our common stock in 2012 compared with $1.97 billion used to repurchase 59.5 million shares in 2011. Employee exercises of stock options are also reflected in cash from financing activities. In 2012, these exercises provided cash proceeds of $523 million compared with $690 million in 2011.</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MD&amp;A includes a discussion of free cash flow, a measure that was not prepared in accordance with generally accepted accounting principles in the United States (non-GAAP measure). We provide this measure to give investors insight into the company's liquidity and cash-generating capability and the amount of its cash available to return to investors. It is supplemental to the comparable GAAP measure.</w:t>
      </w:r>
    </w:p>
    <w:p>
      <w:pPr>
        <w:spacing w:after="0" w:line="18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Free cash flow was calculated by subtracting capital expenditures (Additions to property, plant and equipment) from Cash flows from operating activities. The components of this calculation are included in the table below.</w:t>
      </w:r>
    </w:p>
    <w:p>
      <w:pPr>
        <w:spacing w:after="0" w:line="329"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29"/>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Less capital expenditures (Additions to property, plant and</w:t>
            </w:r>
          </w:p>
        </w:tc>
        <w:tc>
          <w:tcPr>
            <w:tcW w:w="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Long-term contractual obligations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94"/>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w w:val="89"/>
              </w:rPr>
              <w:t>Payments Due by Period</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2014/2015</w:t>
            </w:r>
          </w:p>
        </w:tc>
        <w:tc>
          <w:tcPr>
            <w:tcW w:w="4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2016/2017</w:t>
            </w:r>
          </w:p>
        </w:tc>
        <w:tc>
          <w:tcPr>
            <w:tcW w:w="32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Thereafter</w:t>
            </w:r>
          </w:p>
        </w:tc>
        <w:tc>
          <w:tcPr>
            <w:tcW w:w="4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lease obligations (b)</w:t>
            </w: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406</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 obligations (c)</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Purchase obligations (d)</w:t>
            </w: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206</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(f)</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918</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6,469</w:t>
            </w:r>
          </w:p>
        </w:tc>
      </w:tr>
    </w:tbl>
    <w:p>
      <w:pPr>
        <w:spacing w:after="0" w:line="229" w:lineRule="exact"/>
        <w:rPr>
          <w:sz w:val="20"/>
          <w:szCs w:val="20"/>
          <w:color w:val="auto"/>
        </w:rPr>
      </w:pPr>
    </w:p>
    <w:p>
      <w:pPr>
        <w:ind w:left="340" w:right="120" w:hanging="33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debt obligations include amounts classified as the current portion of long-term debt, i.e., obligations that will be retired within 12 months. The related interest payments are not included.</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purchases of industrial gases under contracts accounted for as an operating lease.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contractual arrangements with suppliers where there is a fixed non-cancellable payment schedule or minimum payments due with a reduced delivery schedule. Excluded from the table are cancellable arrangements. However,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89" w:name="page90"/>
    <w:bookmarkEnd w:id="89"/>
    <w:p>
      <w:pPr>
        <w:ind w:left="340" w:right="420"/>
        <w:spacing w:after="0" w:line="324" w:lineRule="auto"/>
        <w:rPr>
          <w:sz w:val="20"/>
          <w:szCs w:val="20"/>
          <w:color w:val="auto"/>
        </w:rPr>
      </w:pPr>
      <w:r>
        <w:rPr>
          <w:rFonts w:ascii="Arial" w:cs="Arial" w:eastAsia="Arial" w:hAnsi="Arial"/>
          <w:sz w:val="18"/>
          <w:szCs w:val="18"/>
          <w:color w:val="auto"/>
        </w:rPr>
        <w:t>depending on when certain purchase arrangements may be cancelled, an additional $10 million of cancellation penalties may be required to be paid, which are not reflected in the table.</w:t>
      </w:r>
    </w:p>
    <w:p>
      <w:pPr>
        <w:spacing w:after="0" w:line="14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2012.</w:t>
      </w:r>
    </w:p>
    <w:p>
      <w:pPr>
        <w:spacing w:after="0" w:line="225" w:lineRule="exact"/>
        <w:rPr>
          <w:rFonts w:ascii="Arial" w:cs="Arial" w:eastAsia="Arial" w:hAnsi="Arial"/>
          <w:sz w:val="18"/>
          <w:szCs w:val="18"/>
          <w:color w:val="auto"/>
        </w:rPr>
      </w:pPr>
    </w:p>
    <w:p>
      <w:pPr>
        <w:ind w:left="340" w:right="200" w:hanging="332"/>
        <w:spacing w:after="0" w:line="276" w:lineRule="auto"/>
        <w:tabs>
          <w:tab w:leader="none" w:pos="241"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Excluded from the table are $184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$100 million in 2013, but funding projections beyond 2013 are not practical to estimate due to the rules affecting tax-deductible contributions and the impact from the plans' asset performance, interest rates and potential U.S. and non-U.S. legislation.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Revenue from sales of our products, including sales to our distributors, is recognized upon shipment or delivery, depending upon the terms of the sales order, provided that persuasive evidence of a sales arrangement exists, title and risk of loss have transferred to the customer, the sales amounts are fixed or determinable, and collection of the revenue is reasonably assured. Revenue from sales of our products that are subject to inventory consignment agreements is recognized when the customer or distributor pulls product from consignment inventory that we store at designated locations.</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reduce revenue based on estimates of future credits to be granted to customers. Credits include volume-based incentives, other special pricing arrangements and product returns due to quality issues. Our estimates of future credits are based on historical experience, analysis of product shipments and contractual arrangements with customers and distributors.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2012, about 50 percent of our revenue was generated from sales of our products to distributors. We recognize distributor revenue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or other incentives designed to maximize growth opportunities.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 About 40 percent of our distributor revenue is generated from sales of consigned inventory, and we expect this proportion to grow over time. The allowances we record against this revenue are not material.</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95" w:right="259" w:bottom="1440" w:gutter="0" w:footer="0" w:header="0"/>
        </w:sectPr>
      </w:pPr>
    </w:p>
    <w:bookmarkStart w:id="90" w:name="page91"/>
    <w:bookmarkEnd w:id="90"/>
    <w:p>
      <w:pPr>
        <w:spacing w:after="0" w:line="291" w:lineRule="auto"/>
        <w:rPr>
          <w:sz w:val="20"/>
          <w:szCs w:val="20"/>
          <w:color w:val="auto"/>
        </w:rPr>
      </w:pPr>
      <w:r>
        <w:rPr>
          <w:rFonts w:ascii="Arial" w:cs="Arial" w:eastAsia="Arial" w:hAnsi="Arial"/>
          <w:sz w:val="16"/>
          <w:szCs w:val="16"/>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in tax law enacted during the year could affect these estimates. Retroactive changes in tax law enacted subsequent to the end of a reporting period are reflected in the period of enactment as a discrete tax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acquisition-related intangibles and goodwill</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review acquisition-related intangible assets for impairment when certain indicators suggest the carrying amount may not be recoverable. Factors considered include the underperformance of an asset compared with expectations and shortened useful lives due to planned changes in the use of the assets. Recoverability is determined by comparing the carrying amount of the assets to estimated future undiscounted cash flows. If future undiscounted cash flows are less than the carrying amount, an impairment charge would be recognized for the excess of the carrying amount over fair value, determined by utilizing a discounted cash flow technique. Additionally, in the case of intangible assets that will continue to be used in future periods, a shortened useful life may be utilized if appropriate, resulting in accelerated amortization based upon the expected net realizable value of the asset at the date the asset will no longer be utilized.</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review goodwill for impairment annually, or more frequently if certain impairment indicators arise, such as significant changes in business climate, operating performance or competition, or upon the disposition of a significant portion of a reporting unit. A significant amount of judgment is involved in determining if an indicator of impairment has occurred between annual test dates. This impairment review compares the fair value for each reporting unit containing goodwill to its carrying value. Determining the fair value of a reporting unit involves the use of significant estimates and assumptions, including projected future cash flows, discount rates based on weighted average cost of capital and future economic and market conditions. We base our fair-value estimates on assumptions we believe to be reasonable.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 amounts for future periods may differ from estimates used in impairment testing.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w:t>
      </w:r>
    </w:p>
    <w:p>
      <w:pPr>
        <w:spacing w:after="0" w:line="13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measurement of the fair values of assets acquired and liabilities assumed requires considerable judgment. Although independent appraisals may be used to assist in the determination of the fair values of certain assets and liabilities, those determinations are usually based on significant estimates provided by management, such as forecasted revenue or profit. In determining the fair value of intangible assets, an income approach is generally used and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for the semiconductor industry. These cash flow projections are based on management's estimates of economic and market conditions including revenue growth rates, operating margins, capital expenditures and working capital requirements.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368" w:right="279" w:bottom="1440" w:gutter="0" w:footer="0" w:header="0"/>
        </w:sectPr>
      </w:pPr>
    </w:p>
    <w:bookmarkStart w:id="91" w:name="page92"/>
    <w:bookmarkEnd w:id="91"/>
    <w:p>
      <w:pPr>
        <w:spacing w:after="0" w:line="297" w:lineRule="auto"/>
        <w:rPr>
          <w:sz w:val="20"/>
          <w:szCs w:val="20"/>
          <w:color w:val="auto"/>
        </w:rPr>
      </w:pPr>
      <w:r>
        <w:rPr>
          <w:rFonts w:ascii="Arial" w:cs="Arial" w:eastAsia="Arial" w:hAnsi="Arial"/>
          <w:sz w:val="16"/>
          <w:szCs w:val="16"/>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retrospective basis as of the acquisition date, with the corresponding offset to goodwill. Upon the conclusion of the measurement period, any subsequent adjustments will be recorded to our Consolidated statements of income. The measurement period for the National acquisition concluded on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the Financial Accounting Standards Board had issued several accounting standards that we have not yet been required to adopt.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these standards would have a material effect on our financial condition, results of operations or financial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the financial statements for a discussion of our commitments and contingencies.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risk</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U.S. dollar is the functional currency for financial reporting. We use forward currency exchange contracts to reduce the earnings impact exchange rate fluctuations may have on our non-U.S. dollar net balance sheet exposures. For example, at year-end 2012, we had forward currency exchange contracts outstanding with a notional value of $305 million to hedge net balance sheet exposures (including $140 million to sell Japanese yen, $26 million to sell Chinese yuan and $26 million to sell British pound sterling). Similar hedging activities existed at year-end 2011.</w:t>
      </w:r>
    </w:p>
    <w:p>
      <w:pPr>
        <w:spacing w:after="0" w:line="17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2012 balances and currency exchange rates, a hypothetical 10 percent plus or minus fluctuation in non-U.S. currency exchange rates would result in a pre-tax currency exchange gain or loss of approximately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 and an associated interest rate swap.</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2012, a hypothetical 100 basis point increase in interest rates would decrease the fair value of our investments in cash equivalents and short-term investments by $13 million and decrease the fair value of our long-term debt and the associated interest rate swap by $140 million. Because interest rates on our long-term debt are fixed or have been swapped to fixed rates, changes in interest rates would not affect the cash flows associated with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2012 include the following:</w:t>
      </w:r>
    </w:p>
    <w:p>
      <w:pPr>
        <w:spacing w:after="0" w:line="225" w:lineRule="exact"/>
        <w:rPr>
          <w:sz w:val="20"/>
          <w:szCs w:val="20"/>
          <w:color w:val="auto"/>
        </w:rPr>
      </w:pPr>
    </w:p>
    <w:p>
      <w:pPr>
        <w:ind w:left="66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368" w:right="319" w:bottom="1440" w:gutter="0" w:footer="0" w:header="0"/>
        </w:sectPr>
      </w:pPr>
    </w:p>
    <w:bookmarkStart w:id="92" w:name="page93"/>
    <w:bookmarkEnd w:id="92"/>
    <w:p>
      <w:pPr>
        <w:jc w:val="both"/>
        <w:spacing w:after="0" w:line="264" w:lineRule="auto"/>
        <w:rPr>
          <w:sz w:val="20"/>
          <w:szCs w:val="20"/>
          <w:color w:val="auto"/>
        </w:rPr>
      </w:pPr>
      <w:r>
        <w:rPr>
          <w:rFonts w:ascii="Arial" w:cs="Arial" w:eastAsia="Arial" w:hAnsi="Arial"/>
          <w:sz w:val="18"/>
          <w:szCs w:val="18"/>
          <w:color w:val="auto"/>
        </w:rPr>
        <w:t>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9 to the financial statements for details of equity and other long-term investments.</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368"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8"/>
              </w:rPr>
              <w:t>Quarter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2nd</w:t>
            </w:r>
          </w:p>
        </w:tc>
        <w:tc>
          <w:tcPr>
            <w:tcW w:w="380" w:type="dxa"/>
            <w:vAlign w:val="bottom"/>
          </w:tcPr>
          <w:p>
            <w:pPr>
              <w:spacing w:after="0"/>
              <w:rPr>
                <w:sz w:val="20"/>
                <w:szCs w:val="2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3rd</w:t>
            </w:r>
          </w:p>
        </w:tc>
        <w:tc>
          <w:tcPr>
            <w:tcW w:w="320" w:type="dxa"/>
            <w:vAlign w:val="bottom"/>
          </w:tcPr>
          <w:p>
            <w:pPr>
              <w:spacing w:after="0"/>
              <w:rPr>
                <w:sz w:val="20"/>
                <w:szCs w:val="20"/>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4th</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1,651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1,445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30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0.23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8"/>
              </w:rPr>
              <w:t>Quarter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2nd</w:t>
            </w:r>
          </w:p>
        </w:tc>
        <w:tc>
          <w:tcPr>
            <w:tcW w:w="380" w:type="dxa"/>
            <w:vAlign w:val="bottom"/>
          </w:tcPr>
          <w:p>
            <w:pPr>
              <w:spacing w:after="0"/>
              <w:rPr>
                <w:sz w:val="20"/>
                <w:szCs w:val="2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3rd</w:t>
            </w:r>
          </w:p>
        </w:tc>
        <w:tc>
          <w:tcPr>
            <w:tcW w:w="320" w:type="dxa"/>
            <w:vAlign w:val="bottom"/>
          </w:tcPr>
          <w:p>
            <w:pPr>
              <w:spacing w:after="0"/>
              <w:rPr>
                <w:sz w:val="20"/>
                <w:szCs w:val="20"/>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4th</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30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8"/>
              </w:rPr>
              <w:t>Quarter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2nd</w:t>
            </w:r>
          </w:p>
        </w:tc>
        <w:tc>
          <w:tcPr>
            <w:tcW w:w="380" w:type="dxa"/>
            <w:vAlign w:val="bottom"/>
          </w:tcPr>
          <w:p>
            <w:pPr>
              <w:spacing w:after="0"/>
              <w:rPr>
                <w:sz w:val="20"/>
                <w:szCs w:val="2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3rd</w:t>
            </w:r>
          </w:p>
        </w:tc>
        <w:tc>
          <w:tcPr>
            <w:tcW w:w="320" w:type="dxa"/>
            <w:vAlign w:val="bottom"/>
          </w:tcPr>
          <w:p>
            <w:pPr>
              <w:spacing w:after="0"/>
              <w:rPr>
                <w:sz w:val="20"/>
                <w:szCs w:val="20"/>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4th</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Acquisition-related charges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Recorded as Cost of revenue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Recorded as Acquisition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charges/other (b)</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567"/>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Quarter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1st</w:t>
            </w:r>
          </w:p>
        </w:tc>
        <w:tc>
          <w:tcPr>
            <w:tcW w:w="3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2nd</w:t>
            </w:r>
          </w:p>
        </w:tc>
        <w:tc>
          <w:tcPr>
            <w:tcW w:w="380" w:type="dxa"/>
            <w:vAlign w:val="bottom"/>
          </w:tcPr>
          <w:p>
            <w:pPr>
              <w:spacing w:after="0"/>
              <w:rPr>
                <w:sz w:val="20"/>
                <w:szCs w:val="20"/>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3rd</w:t>
            </w:r>
          </w:p>
        </w:tc>
        <w:tc>
          <w:tcPr>
            <w:tcW w:w="320" w:type="dxa"/>
            <w:vAlign w:val="bottom"/>
          </w:tcPr>
          <w:p>
            <w:pPr>
              <w:spacing w:after="0"/>
              <w:rPr>
                <w:sz w:val="20"/>
                <w:szCs w:val="20"/>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87"/>
              </w:rPr>
              <w:t>4th</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Recorded as Cost of revenue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Recorded as Acquisition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Restructuring charges/other (b)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3 to the financial statements for additional information.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 common stock is listed on The NASDAQ Global Select Market. The table below shows the high and low closing prices of TI common stock as reported by Bloomberg L.P. and the dividends paid per common share for each quarter during the past two years.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
        </w:trPr>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1st</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2nd</w:t>
            </w:r>
          </w:p>
        </w:tc>
        <w:tc>
          <w:tcPr>
            <w:tcW w:w="480" w:type="dxa"/>
            <w:vAlign w:val="bottom"/>
          </w:tcPr>
          <w:p>
            <w:pPr>
              <w:spacing w:after="0"/>
              <w:rPr>
                <w:sz w:val="21"/>
                <w:szCs w:val="21"/>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rPr>
              <w:t>3rd</w:t>
            </w:r>
          </w:p>
        </w:tc>
        <w:tc>
          <w:tcPr>
            <w:tcW w:w="420" w:type="dxa"/>
            <w:vAlign w:val="bottom"/>
          </w:tcPr>
          <w:p>
            <w:pPr>
              <w:spacing w:after="0"/>
              <w:rPr>
                <w:sz w:val="21"/>
                <w:szCs w:val="21"/>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r>
      <w:tr>
        <w:trPr>
          <w:trHeight w:val="34"/>
        </w:trPr>
        <w:tc>
          <w:tcPr>
            <w:tcW w:w="20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Stock prices:</w:t>
            </w:r>
          </w:p>
        </w:tc>
        <w:tc>
          <w:tcPr>
            <w:tcW w:w="20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High</w:t>
            </w: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34.24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r>
      <w:tr>
        <w:trPr>
          <w:trHeight w:val="243"/>
        </w:trPr>
        <w:tc>
          <w:tcPr>
            <w:tcW w:w="2020" w:type="dxa"/>
            <w:vAlign w:val="bottom"/>
          </w:tcPr>
          <w:p>
            <w:pPr>
              <w:spacing w:after="0"/>
              <w:rPr>
                <w:sz w:val="21"/>
                <w:szCs w:val="21"/>
                <w:color w:val="auto"/>
              </w:rPr>
            </w:pPr>
          </w:p>
        </w:tc>
        <w:tc>
          <w:tcPr>
            <w:tcW w:w="2040" w:type="dxa"/>
            <w:vAlign w:val="bottom"/>
          </w:tcPr>
          <w:p>
            <w:pPr>
              <w:ind w:left="80"/>
              <w:spacing w:after="0"/>
              <w:rPr>
                <w:sz w:val="20"/>
                <w:szCs w:val="20"/>
                <w:color w:val="auto"/>
              </w:rPr>
            </w:pPr>
            <w:r>
              <w:rPr>
                <w:rFonts w:ascii="Arial" w:cs="Arial" w:eastAsia="Arial" w:hAnsi="Arial"/>
                <w:sz w:val="18"/>
                <w:szCs w:val="18"/>
                <w:b w:val="1"/>
                <w:bCs w:val="1"/>
                <w:color w:val="auto"/>
              </w:rPr>
              <w:t>Low</w:t>
            </w:r>
          </w:p>
        </w:tc>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29.24</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26.55</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26.06</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27.00</w:t>
            </w:r>
          </w:p>
        </w:tc>
      </w:tr>
      <w:tr>
        <w:trPr>
          <w:trHeight w:val="27"/>
        </w:trPr>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c>
          <w:tcPr>
            <w:tcW w:w="2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High</w:t>
            </w: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36.71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r>
      <w:tr>
        <w:trPr>
          <w:trHeight w:val="243"/>
        </w:trPr>
        <w:tc>
          <w:tcPr>
            <w:tcW w:w="2020" w:type="dxa"/>
            <w:vAlign w:val="bottom"/>
          </w:tcPr>
          <w:p>
            <w:pPr>
              <w:spacing w:after="0"/>
              <w:rPr>
                <w:sz w:val="21"/>
                <w:szCs w:val="21"/>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Low</w:t>
            </w:r>
          </w:p>
        </w:tc>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32.25</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24.34</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26.08</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0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r>
      <w:tr>
        <w:trPr>
          <w:trHeight w:val="243"/>
        </w:trPr>
        <w:tc>
          <w:tcPr>
            <w:tcW w:w="202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2040" w:type="dxa"/>
            <w:vAlign w:val="bottom"/>
          </w:tcPr>
          <w:p>
            <w:pPr>
              <w:spacing w:after="0"/>
              <w:rPr>
                <w:sz w:val="21"/>
                <w:szCs w:val="21"/>
                <w:color w:val="auto"/>
              </w:rPr>
            </w:pPr>
          </w:p>
        </w:tc>
        <w:tc>
          <w:tcPr>
            <w:tcW w:w="2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486"/>
        </w:trPr>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the Registrant as of December 31, 2012.</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3300" w:type="dxa"/>
            <w:vAlign w:val="bottom"/>
            <w:gridSpan w:val="3"/>
          </w:tcPr>
          <w:p>
            <w:pPr>
              <w:ind w:left="1740"/>
              <w:spacing w:after="0"/>
              <w:rPr>
                <w:sz w:val="20"/>
                <w:szCs w:val="20"/>
                <w:color w:val="auto"/>
              </w:rPr>
            </w:pPr>
            <w:r>
              <w:rPr>
                <w:rFonts w:ascii="Arial" w:cs="Arial" w:eastAsia="Arial" w:hAnsi="Arial"/>
                <w:sz w:val="18"/>
                <w:szCs w:val="18"/>
                <w:b w:val="1"/>
                <w:bCs w:val="1"/>
                <w:color w:val="auto"/>
              </w:rPr>
              <w:t>Where Organized</w:t>
            </w:r>
          </w:p>
        </w:tc>
      </w:tr>
      <w:tr>
        <w:trPr>
          <w:trHeight w:val="574"/>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ActSolar, Inc.</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24"/>
                <w:szCs w:val="24"/>
                <w:color w:val="auto"/>
              </w:rPr>
            </w:pP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Hawaii</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Electronica NSC de Mexico, S.A. de C.V.</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Maryland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Luminary Micro India Private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India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(Far East)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(I.C.)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Israel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Germany AG</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Hong Kong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Hong Kong Sales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Investments II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Investments,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Japan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Japan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Malaysia LLC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Management Shanghai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Manufacturer Singapore Pte.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Manufacturing Hong Kong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(Pte)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Services Malaysia Sdn Bhd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(Suzhou) Ltd.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Technology Sdn. Bhd.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Semicondutores da America do Sul Ltda.</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Brazil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Semicondutores do Brasil Ltda.</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Brazil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Natsem India Designs Private Limited</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India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330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4" w:right="239" w:bottom="1440" w:gutter="0" w:footer="0" w:header="0"/>
          <w:type w:val="continuous"/>
        </w:sectPr>
      </w:pPr>
    </w:p>
    <w:bookmarkStart w:id="96" w:name="page97"/>
    <w:bookmarkEnd w:id="96"/>
    <w:p>
      <w:pPr>
        <w:spacing w:after="0"/>
        <w:tabs>
          <w:tab w:leader="none" w:pos="7860" w:val="left"/>
        </w:tabs>
        <w:rPr>
          <w:sz w:val="20"/>
          <w:szCs w:val="20"/>
          <w:color w:val="auto"/>
        </w:rPr>
      </w:pPr>
      <w:r>
        <w:rPr>
          <w:rFonts w:ascii="Arial" w:cs="Arial" w:eastAsia="Arial" w:hAnsi="Arial"/>
          <w:sz w:val="18"/>
          <w:szCs w:val="18"/>
          <w:color w:val="auto"/>
        </w:rPr>
        <w:t>Texas Instruments AB</w:t>
      </w:r>
      <w:r>
        <w:rPr>
          <w:sz w:val="20"/>
          <w:szCs w:val="20"/>
          <w:color w:val="auto"/>
        </w:rPr>
        <w:tab/>
      </w:r>
      <w:r>
        <w:rPr>
          <w:rFonts w:ascii="Arial" w:cs="Arial" w:eastAsia="Arial" w:hAnsi="Arial"/>
          <w:sz w:val="16"/>
          <w:szCs w:val="16"/>
          <w:color w:val="auto"/>
        </w:rPr>
        <w:t>Sweden</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Asia Limited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Austin Incorporated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Australia Pty Limited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Belgium S.A.</w:t>
      </w:r>
      <w:r>
        <w:rPr>
          <w:sz w:val="20"/>
          <w:szCs w:val="20"/>
          <w:color w:val="auto"/>
        </w:rPr>
        <w:tab/>
      </w:r>
      <w:r>
        <w:rPr>
          <w:rFonts w:ascii="Arial" w:cs="Arial" w:eastAsia="Arial" w:hAnsi="Arial"/>
          <w:sz w:val="17"/>
          <w:szCs w:val="17"/>
          <w:color w:val="auto"/>
        </w:rPr>
        <w:t>Belgium</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Business Expansion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Canada Limited</w:t>
      </w:r>
      <w:r>
        <w:rPr>
          <w:sz w:val="20"/>
          <w:szCs w:val="20"/>
          <w:color w:val="auto"/>
        </w:rPr>
        <w:tab/>
      </w:r>
      <w:r>
        <w:rPr>
          <w:rFonts w:ascii="Arial" w:cs="Arial" w:eastAsia="Arial" w:hAnsi="Arial"/>
          <w:sz w:val="15"/>
          <w:szCs w:val="15"/>
          <w:color w:val="auto"/>
        </w:rPr>
        <w:t>Canada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China Incorporated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China Trading Limited</w:t>
      </w:r>
      <w:r>
        <w:rPr>
          <w:sz w:val="20"/>
          <w:szCs w:val="20"/>
          <w:color w:val="auto"/>
        </w:rPr>
        <w:tab/>
      </w:r>
      <w:r>
        <w:rPr>
          <w:rFonts w:ascii="Arial" w:cs="Arial" w:eastAsia="Arial" w:hAnsi="Arial"/>
          <w:sz w:val="17"/>
          <w:szCs w:val="17"/>
          <w:color w:val="auto"/>
        </w:rPr>
        <w:t>Hong Kong</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(Cork) Limited</w:t>
      </w:r>
      <w:r>
        <w:rPr>
          <w:sz w:val="20"/>
          <w:szCs w:val="20"/>
          <w:color w:val="auto"/>
        </w:rPr>
        <w:tab/>
      </w:r>
      <w:r>
        <w:rPr>
          <w:rFonts w:ascii="Arial" w:cs="Arial" w:eastAsia="Arial" w:hAnsi="Arial"/>
          <w:sz w:val="17"/>
          <w:szCs w:val="17"/>
          <w:color w:val="auto"/>
        </w:rPr>
        <w:t>Ireland</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CZ, s.r.o.</w:t>
      </w:r>
      <w:r>
        <w:rPr>
          <w:sz w:val="20"/>
          <w:szCs w:val="20"/>
          <w:color w:val="auto"/>
        </w:rPr>
        <w:tab/>
      </w:r>
      <w:r>
        <w:rPr>
          <w:rFonts w:ascii="Arial" w:cs="Arial" w:eastAsia="Arial" w:hAnsi="Arial"/>
          <w:sz w:val="16"/>
          <w:szCs w:val="16"/>
          <w:color w:val="auto"/>
        </w:rPr>
        <w:t>Czech Republic</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de Mexico, S. de R.L.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Denmark A/S</w:t>
      </w:r>
      <w:r>
        <w:rPr>
          <w:sz w:val="20"/>
          <w:szCs w:val="20"/>
          <w:color w:val="auto"/>
        </w:rPr>
        <w:tab/>
      </w:r>
      <w:r>
        <w:rPr>
          <w:rFonts w:ascii="Arial" w:cs="Arial" w:eastAsia="Arial" w:hAnsi="Arial"/>
          <w:sz w:val="16"/>
          <w:szCs w:val="16"/>
          <w:color w:val="auto"/>
        </w:rPr>
        <w:t>Denmark</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Deutschland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Electronics Malaysia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Espana, S.A.</w:t>
      </w:r>
      <w:r>
        <w:rPr>
          <w:sz w:val="20"/>
          <w:szCs w:val="20"/>
          <w:color w:val="auto"/>
        </w:rPr>
        <w:tab/>
      </w:r>
      <w:r>
        <w:rPr>
          <w:rFonts w:ascii="Arial" w:cs="Arial" w:eastAsia="Arial" w:hAnsi="Arial"/>
          <w:sz w:val="16"/>
          <w:szCs w:val="16"/>
          <w:color w:val="auto"/>
        </w:rPr>
        <w:t>Spain</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Estonia Oü</w:t>
      </w:r>
      <w:r>
        <w:rPr>
          <w:sz w:val="20"/>
          <w:szCs w:val="20"/>
          <w:color w:val="auto"/>
        </w:rPr>
        <w:tab/>
      </w:r>
      <w:r>
        <w:rPr>
          <w:rFonts w:ascii="Arial" w:cs="Arial" w:eastAsia="Arial" w:hAnsi="Arial"/>
          <w:sz w:val="16"/>
          <w:szCs w:val="16"/>
          <w:color w:val="auto"/>
        </w:rPr>
        <w:t>Estonia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Finland Oy</w:t>
      </w:r>
      <w:r>
        <w:rPr>
          <w:sz w:val="20"/>
          <w:szCs w:val="20"/>
          <w:color w:val="auto"/>
        </w:rPr>
        <w:tab/>
      </w:r>
      <w:r>
        <w:rPr>
          <w:rFonts w:ascii="Arial" w:cs="Arial" w:eastAsia="Arial" w:hAnsi="Arial"/>
          <w:sz w:val="17"/>
          <w:szCs w:val="17"/>
          <w:color w:val="auto"/>
        </w:rPr>
        <w:t>Finland</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Foreign Sales Corporation</w:t>
      </w:r>
      <w:r>
        <w:rPr>
          <w:sz w:val="20"/>
          <w:szCs w:val="20"/>
          <w:color w:val="auto"/>
        </w:rPr>
        <w:tab/>
      </w:r>
      <w:r>
        <w:rPr>
          <w:rFonts w:ascii="Arial" w:cs="Arial" w:eastAsia="Arial" w:hAnsi="Arial"/>
          <w:sz w:val="15"/>
          <w:szCs w:val="15"/>
          <w:color w:val="auto"/>
        </w:rPr>
        <w:t>Barbados</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France S.A.</w:t>
      </w:r>
      <w:r>
        <w:rPr>
          <w:sz w:val="20"/>
          <w:szCs w:val="20"/>
          <w:color w:val="auto"/>
        </w:rPr>
        <w:tab/>
      </w:r>
      <w:r>
        <w:rPr>
          <w:rFonts w:ascii="Arial" w:cs="Arial" w:eastAsia="Arial" w:hAnsi="Arial"/>
          <w:sz w:val="16"/>
          <w:szCs w:val="16"/>
          <w:color w:val="auto"/>
        </w:rPr>
        <w:t>France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Gesellschaft m.b.H.</w:t>
      </w:r>
      <w:r>
        <w:rPr>
          <w:sz w:val="20"/>
          <w:szCs w:val="20"/>
          <w:color w:val="auto"/>
        </w:rPr>
        <w:tab/>
      </w:r>
      <w:r>
        <w:rPr>
          <w:rFonts w:ascii="Arial" w:cs="Arial" w:eastAsia="Arial" w:hAnsi="Arial"/>
          <w:sz w:val="17"/>
          <w:szCs w:val="17"/>
          <w:color w:val="auto"/>
        </w:rPr>
        <w:t>Austria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Holland B.V.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Hong Kong Limited</w:t>
      </w:r>
      <w:r>
        <w:rPr>
          <w:sz w:val="20"/>
          <w:szCs w:val="20"/>
          <w:color w:val="auto"/>
        </w:rPr>
        <w:tab/>
      </w:r>
      <w:r>
        <w:rPr>
          <w:rFonts w:ascii="Arial" w:cs="Arial" w:eastAsia="Arial" w:hAnsi="Arial"/>
          <w:sz w:val="17"/>
          <w:szCs w:val="17"/>
          <w:color w:val="auto"/>
        </w:rPr>
        <w:t>Hong Kong</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(India) Private Limited</w:t>
      </w:r>
      <w:r>
        <w:rPr>
          <w:sz w:val="20"/>
          <w:szCs w:val="20"/>
          <w:color w:val="auto"/>
        </w:rPr>
        <w:tab/>
      </w:r>
      <w:r>
        <w:rPr>
          <w:rFonts w:ascii="Arial" w:cs="Arial" w:eastAsia="Arial" w:hAnsi="Arial"/>
          <w:sz w:val="17"/>
          <w:szCs w:val="17"/>
          <w:color w:val="auto"/>
        </w:rPr>
        <w:t>India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International Capital Corporation</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International Holding Company S.à r.l.</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International Management Company S.à r.l.</w:t>
      </w:r>
      <w:r>
        <w:rPr>
          <w:sz w:val="20"/>
          <w:szCs w:val="20"/>
          <w:color w:val="auto"/>
        </w:rPr>
        <w:tab/>
      </w:r>
      <w:r>
        <w:rPr>
          <w:rFonts w:ascii="Arial" w:cs="Arial" w:eastAsia="Arial" w:hAnsi="Arial"/>
          <w:sz w:val="16"/>
          <w:szCs w:val="16"/>
          <w:color w:val="auto"/>
        </w:rPr>
        <w:t>Luxembourg</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International Trade Corporation</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International (U.S.A.)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(Ireland) Limited</w:t>
      </w:r>
      <w:r>
        <w:rPr>
          <w:sz w:val="20"/>
          <w:szCs w:val="20"/>
          <w:color w:val="auto"/>
        </w:rPr>
        <w:tab/>
      </w:r>
      <w:r>
        <w:rPr>
          <w:rFonts w:ascii="Arial" w:cs="Arial" w:eastAsia="Arial" w:hAnsi="Arial"/>
          <w:sz w:val="17"/>
          <w:szCs w:val="17"/>
          <w:color w:val="auto"/>
        </w:rPr>
        <w:t>Ireland</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Israel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Israel Medical (2009) Ltd.</w:t>
      </w:r>
      <w:r>
        <w:rPr>
          <w:sz w:val="20"/>
          <w:szCs w:val="20"/>
          <w:color w:val="auto"/>
        </w:rPr>
        <w:tab/>
      </w:r>
      <w:r>
        <w:rPr>
          <w:rFonts w:ascii="Arial" w:cs="Arial" w:eastAsia="Arial" w:hAnsi="Arial"/>
          <w:sz w:val="16"/>
          <w:szCs w:val="16"/>
          <w:color w:val="auto"/>
        </w:rPr>
        <w:t>Israel</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Italia S.r.l.</w:t>
      </w:r>
      <w:r>
        <w:rPr>
          <w:sz w:val="20"/>
          <w:szCs w:val="20"/>
          <w:color w:val="auto"/>
        </w:rPr>
        <w:tab/>
      </w:r>
      <w:r>
        <w:rPr>
          <w:rFonts w:ascii="Arial" w:cs="Arial" w:eastAsia="Arial" w:hAnsi="Arial"/>
          <w:sz w:val="18"/>
          <w:szCs w:val="18"/>
          <w:color w:val="auto"/>
        </w:rPr>
        <w:t>Italy</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Japan Limited</w:t>
      </w:r>
      <w:r>
        <w:rPr>
          <w:sz w:val="20"/>
          <w:szCs w:val="20"/>
          <w:color w:val="auto"/>
        </w:rPr>
        <w:tab/>
      </w:r>
      <w:r>
        <w:rPr>
          <w:rFonts w:ascii="Arial" w:cs="Arial" w:eastAsia="Arial" w:hAnsi="Arial"/>
          <w:sz w:val="15"/>
          <w:szCs w:val="15"/>
          <w:color w:val="auto"/>
        </w:rPr>
        <w:t>Japan</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Japan Semiconductor Limited</w:t>
      </w:r>
      <w:r>
        <w:rPr>
          <w:sz w:val="20"/>
          <w:szCs w:val="20"/>
          <w:color w:val="auto"/>
        </w:rPr>
        <w:tab/>
      </w:r>
      <w:r>
        <w:rPr>
          <w:rFonts w:ascii="Arial" w:cs="Arial" w:eastAsia="Arial" w:hAnsi="Arial"/>
          <w:sz w:val="15"/>
          <w:szCs w:val="15"/>
          <w:color w:val="auto"/>
        </w:rPr>
        <w:t>Japan</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Korea Limited</w:t>
      </w:r>
      <w:r>
        <w:rPr>
          <w:sz w:val="20"/>
          <w:szCs w:val="20"/>
          <w:color w:val="auto"/>
        </w:rPr>
        <w:tab/>
      </w:r>
      <w:r>
        <w:rPr>
          <w:rFonts w:ascii="Arial" w:cs="Arial" w:eastAsia="Arial" w:hAnsi="Arial"/>
          <w:sz w:val="16"/>
          <w:szCs w:val="16"/>
          <w:color w:val="auto"/>
        </w:rPr>
        <w:t>Korea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Lehigh Valley Incorporated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Low Power Wireless San Diego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Malaysia Sdn. Bhd.</w:t>
      </w:r>
      <w:r>
        <w:rPr>
          <w:sz w:val="20"/>
          <w:szCs w:val="20"/>
          <w:color w:val="auto"/>
        </w:rPr>
        <w:tab/>
      </w:r>
      <w:r>
        <w:rPr>
          <w:rFonts w:ascii="Arial" w:cs="Arial" w:eastAsia="Arial" w:hAnsi="Arial"/>
          <w:sz w:val="16"/>
          <w:szCs w:val="16"/>
          <w:color w:val="auto"/>
        </w:rPr>
        <w:t>Malaysia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Marketing &amp; Finance GmbH &amp; Co. KG</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Melbourne Incorporated</w:t>
      </w:r>
      <w:r>
        <w:rPr>
          <w:sz w:val="20"/>
          <w:szCs w:val="20"/>
          <w:color w:val="auto"/>
        </w:rPr>
        <w:tab/>
      </w:r>
      <w:r>
        <w:rPr>
          <w:rFonts w:ascii="Arial" w:cs="Arial" w:eastAsia="Arial" w:hAnsi="Arial"/>
          <w:sz w:val="17"/>
          <w:szCs w:val="17"/>
          <w:color w:val="auto"/>
        </w:rPr>
        <w:t>Florida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Northern Virginia Incorporated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Norway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Palo Alto Incorporated</w:t>
      </w:r>
      <w:r>
        <w:rPr>
          <w:sz w:val="20"/>
          <w:szCs w:val="20"/>
          <w:color w:val="auto"/>
        </w:rPr>
        <w:tab/>
      </w:r>
      <w:r>
        <w:rPr>
          <w:rFonts w:ascii="Arial" w:cs="Arial" w:eastAsia="Arial" w:hAnsi="Arial"/>
          <w:sz w:val="17"/>
          <w:szCs w:val="17"/>
          <w:color w:val="auto"/>
        </w:rPr>
        <w:t>California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(Philippines)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Richardson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Santa Rosa Incorporated</w:t>
      </w:r>
      <w:r>
        <w:rPr>
          <w:sz w:val="20"/>
          <w:szCs w:val="20"/>
          <w:color w:val="auto"/>
        </w:rPr>
        <w:tab/>
      </w:r>
      <w:r>
        <w:rPr>
          <w:rFonts w:ascii="Arial" w:cs="Arial" w:eastAsia="Arial" w:hAnsi="Arial"/>
          <w:sz w:val="17"/>
          <w:szCs w:val="17"/>
          <w:color w:val="auto"/>
        </w:rPr>
        <w:t>California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Semiconductor Manufacturing (Chengdu) Co., Ltd.</w:t>
      </w:r>
      <w:r>
        <w:rPr>
          <w:sz w:val="20"/>
          <w:szCs w:val="20"/>
          <w:color w:val="auto"/>
        </w:rPr>
        <w:tab/>
      </w:r>
      <w:r>
        <w:rPr>
          <w:rFonts w:ascii="Arial" w:cs="Arial" w:eastAsia="Arial" w:hAnsi="Arial"/>
          <w:sz w:val="16"/>
          <w:szCs w:val="16"/>
          <w:color w:val="auto"/>
        </w:rPr>
        <w:t>China</w:t>
      </w:r>
    </w:p>
    <w:p>
      <w:pPr>
        <w:spacing w:after="0" w:line="6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Texas Instruments Semiconductor Technologies (Shanghai) Co., Ltd.</w:t>
      </w:r>
      <w:r>
        <w:rPr>
          <w:sz w:val="20"/>
          <w:szCs w:val="20"/>
          <w:color w:val="auto"/>
        </w:rPr>
        <w:tab/>
      </w:r>
      <w:r>
        <w:rPr>
          <w:rFonts w:ascii="Arial" w:cs="Arial" w:eastAsia="Arial" w:hAnsi="Arial"/>
          <w:sz w:val="16"/>
          <w:szCs w:val="16"/>
          <w:color w:val="auto"/>
        </w:rPr>
        <w:t>China</w:t>
      </w:r>
    </w:p>
    <w:p>
      <w:pPr>
        <w:sectPr>
          <w:pgSz w:w="11900" w:h="16838" w:orient="portrait"/>
          <w:cols w:equalWidth="0" w:num="1">
            <w:col w:w="9799"/>
          </w:cols>
          <w:pgMar w:left="660" w:top="746" w:right="1440" w:bottom="1440" w:gutter="0" w:footer="0" w:header="0"/>
        </w:sect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799"/>
          </w:cols>
          <w:pgMar w:left="660" w:top="746"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color w:val="auto"/>
        </w:rPr>
        <w:t>Texas Instruments Semiconductores e Tecnologias Ltda.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(U.K.)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(U.K.) Pension Trust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 Verwaltungs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200" w:lineRule="exact"/>
        <w:rPr>
          <w:sz w:val="20"/>
          <w:szCs w:val="20"/>
          <w:color w:val="auto"/>
        </w:rPr>
      </w:pPr>
    </w:p>
    <w:p>
      <w:pPr>
        <w:sectPr>
          <w:pgSz w:w="11900" w:h="16838" w:orient="portrait"/>
          <w:cols w:equalWidth="0" w:num="2">
            <w:col w:w="7160" w:space="720"/>
            <w:col w:w="1919"/>
          </w:cols>
          <w:pgMar w:left="660" w:top="7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99"/>
          </w:cols>
          <w:pgMar w:left="660" w:top="746" w:right="1440"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this Annual Report on Form 10-K of Texas Instruments Incorporated of our reports dated February 22, 2013, with respect to the consolidated financial statements of Texas Instruments Incorporated and the effectiveness of internal control over financial reporting of Texas Instruments Incorporated, included in the 2012 Annual Report to Stockholders of Texas Instruments Incorporated.</w:t>
      </w:r>
    </w:p>
    <w:p>
      <w:pPr>
        <w:spacing w:after="0" w:line="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also consent to the incorporation by reference in the following registration statements, and in the related prospectuses thereto, of our reports dated February 22, 2013,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2012: Registration Statements (Forms S-8) No. 333-158933, No. 333-158934, No. 33-42172, No. 33-54615, No. 33-61154, No. 333-07127 (as amended), No. 333-41913, No. 333-41919, No. 333-31321 (as amended), No. 333-31323, No. 333-48389, No. 333-44662, No. 333-107759, No. 333-107760, No. 333-107761, No. 333-127021, and No. 333-177235; Registration Statement (Form S-3) No. 333-165045; and Registration Statements (Forms S-4) No. 333-89433 (as amended), No. 333-87199, No. 333-80157 (as amended), and No. 333-41030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ectPr>
          <w:pgSz w:w="11900" w:h="16838" w:orient="portrait"/>
          <w:cols w:equalWidth="0" w:num="1">
            <w:col w:w="11420"/>
          </w:cols>
          <w:pgMar w:left="240" w:top="58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460" w:hanging="43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387"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460" w:hanging="43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171"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56" w:lineRule="exact"/>
        <w:rPr>
          <w:sz w:val="20"/>
          <w:szCs w:val="20"/>
          <w:color w:val="auto"/>
        </w:rPr>
      </w:pPr>
    </w:p>
    <w:p>
      <w:pPr>
        <w:ind w:right="100" w:firstLine="440"/>
        <w:spacing w:after="0" w:line="342" w:lineRule="auto"/>
        <w:tabs>
          <w:tab w:leader="none" w:pos="6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right="320" w:firstLine="440"/>
        <w:spacing w:after="0" w:line="449" w:lineRule="auto"/>
        <w:tabs>
          <w:tab w:leader="none" w:pos="6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22, 2013</w:t>
      </w:r>
    </w:p>
    <w:p>
      <w:pPr>
        <w:spacing w:after="0" w:line="200" w:lineRule="exact"/>
        <w:rPr>
          <w:sz w:val="20"/>
          <w:szCs w:val="20"/>
          <w:color w:val="auto"/>
        </w:rPr>
      </w:pPr>
    </w:p>
    <w:p>
      <w:pPr>
        <w:spacing w:after="0" w:line="295"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9" w:lineRule="exact"/>
        <w:rPr>
          <w:sz w:val="20"/>
          <w:szCs w:val="20"/>
          <w:color w:val="auto"/>
        </w:rPr>
      </w:pPr>
    </w:p>
    <w:p>
      <w:pPr>
        <w:ind w:right="100" w:firstLine="440"/>
        <w:spacing w:after="0" w:line="342" w:lineRule="auto"/>
        <w:tabs>
          <w:tab w:leader="none" w:pos="6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2013</w:t>
      </w:r>
    </w:p>
    <w:p>
      <w:pPr>
        <w:spacing w:after="0" w:line="200" w:lineRule="exact"/>
        <w:rPr>
          <w:sz w:val="20"/>
          <w:szCs w:val="20"/>
          <w:color w:val="auto"/>
        </w:rPr>
      </w:pPr>
    </w:p>
    <w:p>
      <w:pPr>
        <w:spacing w:after="0" w:line="349"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lvl w:ilvl="1">
      <w:lvlJc w:val="left"/>
      <w:lvlText w:val="(%2)"/>
      <w:numFmt w:val="decimal"/>
      <w:start w:val="5"/>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decimal"/>
      <w:start w:val="12"/>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lvl w:ilvl="1">
      <w:lvlJc w:val="left"/>
      <w:lvlText w:val="(%2)"/>
      <w:numFmt w:val="lowerLetter"/>
      <w:start w:val="1"/>
    </w:lvl>
  </w:abstractNum>
  <w:abstractNum w:abstractNumId="11">
    <w:nsid w:val="813864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
    <w:nsid w:val="7C3DBD3D"/>
    <w:multiLevelType w:val="hybridMultilevel"/>
    <w:lvl w:ilvl="0">
      <w:lvlJc w:val="left"/>
      <w:lvlText w:val="%1."/>
      <w:numFmt w:val="decimal"/>
      <w:start w:val="3"/>
    </w:lvl>
    <w:lvl w:ilvl="1">
      <w:lvlJc w:val="left"/>
      <w:lvlText w:val="%2."/>
      <w:numFmt w:val="decimal"/>
      <w:start w:val="5"/>
    </w:lvl>
  </w:abstractNum>
  <w:abstractNum w:abstractNumId="14">
    <w:nsid w:val="737B8DDC"/>
    <w:multiLevelType w:val="hybridMultilevel"/>
    <w:lvl w:ilvl="0">
      <w:lvlJc w:val="left"/>
      <w:lvlText w:val="%1."/>
      <w:numFmt w:val="decimal"/>
      <w:start w:val="6"/>
    </w:lvl>
    <w:lvl w:ilvl="1">
      <w:lvlJc w:val="left"/>
      <w:lvlText w:val="(%2)"/>
      <w:numFmt w:val="lowerLetter"/>
      <w:start w:val="1"/>
    </w:lvl>
  </w:abstractNum>
  <w:abstractNum w:abstractNumId="15">
    <w:nsid w:val="6CEAF08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22221A70"/>
    <w:multiLevelType w:val="hybridMultilevel"/>
    <w:lvl w:ilvl="0">
      <w:lvlJc w:val="left"/>
      <w:lvlText w:val="%1"/>
      <w:numFmt w:val="decimal"/>
      <w:start w:val="1"/>
    </w:lvl>
    <w:lvl w:ilvl="1">
      <w:lvlJc w:val="left"/>
      <w:lvlText w:val="(%2)"/>
      <w:numFmt w:val="lowerLetter"/>
      <w:start w:val="7"/>
    </w:lvl>
  </w:abstractNum>
  <w:abstractNum w:abstractNumId="17">
    <w:nsid w:val="4516DDE9"/>
    <w:multiLevelType w:val="hybridMultilevel"/>
    <w:lvl w:ilvl="0">
      <w:lvlJc w:val="left"/>
      <w:lvlText w:val="%1."/>
      <w:numFmt w:val="decimal"/>
      <w:start w:val="10"/>
    </w:lvl>
    <w:lvl w:ilvl="1">
      <w:lvlJc w:val="left"/>
      <w:lvlText w:val="%2"/>
      <w:numFmt w:val="lowerLetter"/>
      <w:start w:val="1"/>
    </w:lvl>
  </w:abstractNum>
  <w:abstractNum w:abstractNumId="18">
    <w:nsid w:val="3006C83E"/>
    <w:multiLevelType w:val="hybridMultilevel"/>
    <w:lvl w:ilvl="0">
      <w:lvlJc w:val="left"/>
      <w:lvlText w:val="%1."/>
      <w:numFmt w:val="decimal"/>
      <w:start w:val="1"/>
    </w:lvl>
    <w:lvl w:ilvl="1">
      <w:lvlJc w:val="left"/>
      <w:lvlText w:val="(%2)"/>
      <w:numFmt w:val="lowerLetter"/>
      <w:start w:val="1"/>
    </w:lvl>
  </w:abstractNum>
  <w:abstractNum w:abstractNumId="19">
    <w:nsid w:val="614FD4A1"/>
    <w:multiLevelType w:val="hybridMultilevel"/>
    <w:lvl w:ilvl="0">
      <w:lvlJc w:val="left"/>
      <w:lvlText w:val="%1."/>
      <w:numFmt w:val="decimal"/>
      <w:start w:val="8"/>
    </w:lvl>
    <w:lvl w:ilvl="1">
      <w:lvlJc w:val="left"/>
      <w:lvlText w:val="(%2)"/>
      <w:numFmt w:val="lowerLetter"/>
      <w:start w:val="1"/>
    </w:lvl>
  </w:abstractNum>
  <w:abstractNum w:abstractNumId="20">
    <w:nsid w:val="419AC24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
    <w:nsid w:val="5577F8E1"/>
    <w:multiLevelType w:val="hybridMultilevel"/>
    <w:lvl w:ilvl="0">
      <w:lvlJc w:val="left"/>
      <w:lvlText w:val="%1"/>
      <w:numFmt w:val="decimal"/>
      <w:start w:val="1"/>
    </w:lvl>
    <w:lvl w:ilvl="1">
      <w:lvlJc w:val="left"/>
      <w:lvlText w:val="(%2)"/>
      <w:numFmt w:val="lowerLetter"/>
      <w:start w:val="10"/>
    </w:lvl>
  </w:abstractNum>
  <w:abstractNum w:abstractNumId="22">
    <w:nsid w:val="440BADFC"/>
    <w:multiLevelType w:val="hybridMultilevel"/>
    <w:lvl w:ilvl="0">
      <w:lvlJc w:val="left"/>
      <w:lvlText w:val="%1."/>
      <w:numFmt w:val="decimal"/>
      <w:start w:val="13"/>
    </w:lvl>
    <w:lvl w:ilvl="1">
      <w:lvlJc w:val="left"/>
      <w:lvlText w:val="%2"/>
      <w:numFmt w:val="lowerLetter"/>
      <w:start w:val="1"/>
    </w:lvl>
  </w:abstractNum>
  <w:abstractNum w:abstractNumId="23">
    <w:nsid w:val="5072367"/>
    <w:multiLevelType w:val="hybridMultilevel"/>
    <w:lvl w:ilvl="0">
      <w:lvlJc w:val="left"/>
      <w:lvlText w:val="%1."/>
      <w:numFmt w:val="decimal"/>
      <w:start w:val="1"/>
    </w:lvl>
    <w:lvl w:ilvl="1">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2"/>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8"/>
    </w:lvl>
  </w:abstractNum>
  <w:abstractNum w:abstractNumId="30">
    <w:nsid w:val="51EAD36B"/>
    <w:multiLevelType w:val="hybridMultilevel"/>
    <w:lvl w:ilvl="0">
      <w:lvlJc w:val="left"/>
      <w:lvlText w:val="%1."/>
      <w:numFmt w:val="decimal"/>
      <w:start w:val="9"/>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decimal"/>
      <w:start w:val="12"/>
    </w:lvl>
  </w:abstractNum>
  <w:abstractNum w:abstractNumId="35">
    <w:nsid w:val="70A64E2A"/>
    <w:multiLevelType w:val="hybridMultilevel"/>
    <w:lvl w:ilvl="0">
      <w:lvlJc w:val="left"/>
      <w:lvlText w:val="%1."/>
      <w:numFmt w:val="decimal"/>
      <w:start w:val="13"/>
    </w:lvl>
  </w:abstractNum>
  <w:abstractNum w:abstractNumId="36">
    <w:nsid w:val="6A2342EC"/>
    <w:multiLevelType w:val="hybridMultilevel"/>
    <w:lvl w:ilvl="0">
      <w:lvlJc w:val="left"/>
      <w:lvlText w:val="%1."/>
      <w:numFmt w:val="decimal"/>
      <w:start w:val="15"/>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6"/>
    </w:lvl>
    <w:lvl w:ilvl="1">
      <w:lvlJc w:val="left"/>
      <w:lvlText w:val="•"/>
      <w:numFmt w:val="bullet"/>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5"/>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2019-12-05T16:02:31Z</dcterms:created>
  <dcterms:modified xsi:type="dcterms:W3CDTF">2019-12-05T16:02:31Z</dcterms:modified>
</cp:coreProperties>
</file>