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10)*</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2007</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6" w:lineRule="exact"/>
        <w:rPr>
          <w:rFonts w:ascii="Courier New" w:cs="Courier New" w:eastAsia="Courier New" w:hAnsi="Courier New"/>
          <w:sz w:val="18"/>
          <w:szCs w:val="18"/>
          <w:color w:val="auto"/>
        </w:rPr>
      </w:pPr>
    </w:p>
    <w:p>
      <w:pPr>
        <w:ind w:left="540" w:right="241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NONE PLEASE NOTE: Capital Research and Management Company (CRMC) manages assets subject to reporting on Schedule 13G through two investment divisions, Capital Research Global Investors (CRGI) and Capital World Investors (CWI). CRGI and CWI make independent investment and proxy voting decisions, and therefore have begun filing separate ownership reports on Schedule 13G reflecting December 31, 2007 holdings in lieu of CRMC filing. As CRMC is no longer subject to a reporting requirement, it is filing reports indicating 0% ownership to close out its holdings and will cease making future filings as an entity. Note that CRGI and/or CWI may not have made filings for certain securities held as of December 31, 2007 because</w:t>
      </w:r>
    </w:p>
    <w:p>
      <w:pPr>
        <w:spacing w:after="0" w:line="189" w:lineRule="exact"/>
        <w:rPr>
          <w:sz w:val="20"/>
          <w:szCs w:val="20"/>
          <w:color w:val="auto"/>
        </w:rPr>
      </w:pPr>
    </w:p>
    <w:p>
      <w:pPr>
        <w:ind w:left="540" w:right="3159"/>
        <w:spacing w:after="0" w:line="235" w:lineRule="auto"/>
        <w:rPr>
          <w:sz w:val="20"/>
          <w:szCs w:val="20"/>
          <w:color w:val="auto"/>
        </w:rPr>
      </w:pPr>
      <w:r>
        <w:rPr>
          <w:rFonts w:ascii="Courier New" w:cs="Courier New" w:eastAsia="Courier New" w:hAnsi="Courier New"/>
          <w:sz w:val="18"/>
          <w:szCs w:val="18"/>
          <w:color w:val="auto"/>
        </w:rPr>
        <w:t>one or both divisions did not have a reporting obligation with respect to such securities.</w:t>
      </w:r>
    </w:p>
    <w:p>
      <w:pPr>
        <w:spacing w:after="0" w:line="6"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See explanation in Row 9</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2 of 5</w:t>
      </w:r>
    </w:p>
    <w:p>
      <w:pPr>
        <w:spacing w:after="0" w:line="207" w:lineRule="exact"/>
        <w:rPr>
          <w:sz w:val="20"/>
          <w:szCs w:val="20"/>
          <w:color w:val="auto"/>
        </w:rPr>
      </w:pPr>
    </w:p>
    <w:p>
      <w:pPr>
        <w:ind w:left="540" w:right="5159" w:hanging="427"/>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14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5</w:t>
      </w:r>
    </w:p>
    <w:p>
      <w:pPr>
        <w:spacing w:after="0" w:line="200" w:lineRule="exact"/>
        <w:rPr>
          <w:sz w:val="20"/>
          <w:szCs w:val="20"/>
          <w:color w:val="auto"/>
        </w:rPr>
      </w:pPr>
    </w:p>
    <w:p>
      <w:pPr>
        <w:sectPr>
          <w:pgSz w:w="11900" w:h="16838" w:orient="portrait"/>
          <w:cols w:equalWidth="0" w:num="2">
            <w:col w:w="6020" w:space="720"/>
            <w:col w:w="3479"/>
          </w:cols>
          <w:pgMar w:left="240" w:top="1440" w:right="1440" w:bottom="0" w:gutter="0" w:footer="0" w:header="0"/>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10</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40"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479" w:hanging="535"/>
        <w:spacing w:after="0" w:line="235" w:lineRule="auto"/>
        <w:tabs>
          <w:tab w:leader="none" w:pos="170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ectPr>
          <w:pgSz w:w="11900" w:h="16838" w:orient="portrait"/>
          <w:cols w:equalWidth="0" w:num="1">
            <w:col w:w="10219"/>
          </w:cols>
          <w:pgMar w:left="240" w:top="1440" w:right="1440" w:bottom="0" w:gutter="0" w:footer="0" w:header="0"/>
          <w:type w:val="continuous"/>
        </w:sectPr>
      </w:pPr>
    </w:p>
    <w:bookmarkStart w:id="3" w:name="page4"/>
    <w:bookmarkEnd w:id="3"/>
    <w:p>
      <w:pPr>
        <w:ind w:left="740" w:right="2839" w:firstLine="5"/>
        <w:spacing w:after="0" w:line="470" w:lineRule="auto"/>
        <w:tabs>
          <w:tab w:leader="none" w:pos="147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page 2</w:t>
      </w:r>
    </w:p>
    <w:p>
      <w:pPr>
        <w:spacing w:after="0" w:line="12"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5</w:t>
      </w:r>
    </w:p>
    <w:p>
      <w:pPr>
        <w:spacing w:after="0" w:line="207"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13, 2008</w:t>
      </w:r>
    </w:p>
    <w:p>
      <w:pPr>
        <w:spacing w:after="0" w:line="200" w:lineRule="exact"/>
        <w:rPr>
          <w:sz w:val="20"/>
          <w:szCs w:val="20"/>
          <w:color w:val="auto"/>
        </w:rPr>
      </w:pPr>
    </w:p>
    <w:p>
      <w:pPr>
        <w:sectPr>
          <w:pgSz w:w="11900" w:h="16838" w:orient="portrait"/>
          <w:cols w:equalWidth="0" w:num="2">
            <w:col w:w="1720" w:space="720"/>
            <w:col w:w="7779"/>
          </w:cols>
          <w:pgMar w:left="240" w:top="142"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238" w:lineRule="auto"/>
        <w:rPr>
          <w:sz w:val="20"/>
          <w:szCs w:val="20"/>
          <w:color w:val="auto"/>
        </w:rPr>
      </w:pPr>
      <w:r>
        <w:rPr>
          <w:rFonts w:ascii="Courier New" w:cs="Courier New" w:eastAsia="Courier New" w:hAnsi="Courier New"/>
          <w:sz w:val="18"/>
          <w:szCs w:val="18"/>
          <w:color w:val="auto"/>
        </w:rPr>
        <w:t>Paul G. Haaga, Jr. - Vice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pacing w:after="0" w:line="200" w:lineRule="exact"/>
        <w:rPr>
          <w:sz w:val="20"/>
          <w:szCs w:val="20"/>
          <w:color w:val="auto"/>
        </w:rPr>
      </w:pPr>
    </w:p>
    <w:p>
      <w:pPr>
        <w:sectPr>
          <w:pgSz w:w="11900" w:h="16838" w:orient="portrait"/>
          <w:cols w:equalWidth="0" w:num="2">
            <w:col w:w="2000" w:space="440"/>
            <w:col w:w="7779"/>
          </w:cols>
          <w:pgMar w:left="240" w:top="14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Michele Y. Yang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Michele Y. Yang</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42" w:right="1440" w:bottom="1440" w:gutter="0" w:footer="0" w:header="0"/>
          <w:type w:val="continuous"/>
        </w:sectPr>
      </w:pPr>
    </w:p>
    <w:p>
      <w:pPr>
        <w:spacing w:after="0" w:line="7"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21, 2007 included as an Exhibit to Schedule 13G filed with the Securities and Exchange Commission by Capital Research and Management Company on January 10, 2008 with respect to Lowes Companies,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5"/>
      <w:numFmt w:val="bullet"/>
      <w:start w:val="1"/>
    </w:lvl>
  </w:abstractNum>
  <w:abstractNum w:abstractNumId="6">
    <w:nsid w:val="216231B"/>
    <w:multiLevelType w:val="hybridMultilevel"/>
    <w:lvl w:ilvl="0">
      <w:lvlJc w:val="left"/>
      <w:lvlText w:val="8"/>
      <w:numFmt w:val="bullet"/>
      <w:start w:val="1"/>
    </w:lvl>
  </w:abstractNum>
  <w:abstractNum w:abstractNumId="7">
    <w:nsid w:val="1F16E9E8"/>
    <w:multiLevelType w:val="hybridMultilevel"/>
    <w:lvl w:ilvl="0">
      <w:lvlJc w:val="left"/>
      <w:lvlText w:val="9"/>
      <w:numFmt w:val="bullet"/>
      <w:start w:val="1"/>
    </w:lvl>
  </w:abstractNum>
  <w:abstractNum w:abstractNumId="8">
    <w:nsid w:val="1190CDE7"/>
    <w:multiLevelType w:val="hybridMultilevel"/>
    <w:lvl w:ilvl="0">
      <w:lvlJc w:val="left"/>
      <w:lvlText w:val="%1"/>
      <w:numFmt w:val="decimal"/>
      <w:start w:val="10"/>
    </w:lvl>
  </w:abstractNum>
  <w:abstractNum w:abstractNumId="9">
    <w:nsid w:val="66EF438D"/>
    <w:multiLevelType w:val="hybridMultilevel"/>
    <w:lvl w:ilvl="0">
      <w:lvlJc w:val="left"/>
      <w:lvlText w:val="%1"/>
      <w:numFmt w:val="decimal"/>
      <w:start w:val="12"/>
    </w:lvl>
  </w:abstractNum>
  <w:abstractNum w:abstractNumId="10">
    <w:nsid w:val="140E0F76"/>
    <w:multiLevelType w:val="hybridMultilevel"/>
    <w:lvl w:ilvl="0">
      <w:lvlJc w:val="left"/>
      <w:lvlText w:val="(%1)"/>
      <w:numFmt w:val="lowerLetter"/>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2019-12-11T14:12:51Z</dcterms:created>
  <dcterms:modified xsi:type="dcterms:W3CDTF">2019-12-11T14:12:51Z</dcterms:modified>
</cp:coreProperties>
</file>