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7"/>
          <w:szCs w:val="17"/>
          <w:color w:val="auto"/>
        </w:rPr>
        <w:t>SCHEDULE 14A</w:t>
      </w:r>
    </w:p>
    <w:p>
      <w:pPr>
        <w:spacing w:after="0" w:line="219" w:lineRule="exact"/>
        <w:rPr>
          <w:sz w:val="24"/>
          <w:szCs w:val="24"/>
          <w:color w:val="auto"/>
        </w:rPr>
      </w:pPr>
    </w:p>
    <w:p>
      <w:pPr>
        <w:jc w:val="center"/>
        <w:ind w:right="-459"/>
        <w:spacing w:after="0"/>
        <w:rPr>
          <w:sz w:val="20"/>
          <w:szCs w:val="20"/>
          <w:color w:val="auto"/>
        </w:rPr>
      </w:pPr>
      <w:r>
        <w:rPr>
          <w:rFonts w:ascii="Arial" w:cs="Arial" w:eastAsia="Arial" w:hAnsi="Arial"/>
          <w:sz w:val="17"/>
          <w:szCs w:val="17"/>
          <w:color w:val="auto"/>
        </w:rPr>
        <w:t>(Rule 14a-101)</w:t>
      </w:r>
    </w:p>
    <w:p>
      <w:pPr>
        <w:spacing w:after="0" w:line="219"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INFORMATION REQUIRED IN PROXY STATEMENT</w:t>
      </w:r>
    </w:p>
    <w:p>
      <w:pPr>
        <w:spacing w:after="0" w:line="230" w:lineRule="exact"/>
        <w:rPr>
          <w:sz w:val="24"/>
          <w:szCs w:val="24"/>
          <w:color w:val="auto"/>
        </w:rPr>
      </w:pPr>
    </w:p>
    <w:p>
      <w:pPr>
        <w:jc w:val="center"/>
        <w:ind w:right="-459"/>
        <w:spacing w:after="0"/>
        <w:rPr>
          <w:sz w:val="20"/>
          <w:szCs w:val="20"/>
          <w:color w:val="auto"/>
        </w:rPr>
      </w:pPr>
      <w:r>
        <w:rPr>
          <w:rFonts w:ascii="Arial" w:cs="Arial" w:eastAsia="Arial" w:hAnsi="Arial"/>
          <w:sz w:val="17"/>
          <w:szCs w:val="17"/>
          <w:color w:val="auto"/>
        </w:rPr>
        <w:t>SCHEDULE 14A INFORMATION</w:t>
      </w:r>
    </w:p>
    <w:p>
      <w:pPr>
        <w:spacing w:after="0" w:line="219" w:lineRule="exact"/>
        <w:rPr>
          <w:sz w:val="24"/>
          <w:szCs w:val="24"/>
          <w:color w:val="auto"/>
        </w:rPr>
      </w:pPr>
    </w:p>
    <w:p>
      <w:pPr>
        <w:jc w:val="center"/>
        <w:ind w:right="-459"/>
        <w:spacing w:after="0"/>
        <w:rPr>
          <w:sz w:val="20"/>
          <w:szCs w:val="20"/>
          <w:color w:val="auto"/>
        </w:rPr>
      </w:pPr>
      <w:r>
        <w:rPr>
          <w:rFonts w:ascii="Arial" w:cs="Arial" w:eastAsia="Arial" w:hAnsi="Arial"/>
          <w:sz w:val="17"/>
          <w:szCs w:val="17"/>
          <w:color w:val="auto"/>
        </w:rPr>
        <w:t>Proxy Statement Pursuant to Section 14(a) of the</w:t>
      </w:r>
    </w:p>
    <w:p>
      <w:pPr>
        <w:spacing w:after="0" w:line="19" w:lineRule="exact"/>
        <w:rPr>
          <w:sz w:val="24"/>
          <w:szCs w:val="24"/>
          <w:color w:val="auto"/>
        </w:rPr>
      </w:pPr>
    </w:p>
    <w:p>
      <w:pPr>
        <w:jc w:val="center"/>
        <w:ind w:right="-459"/>
        <w:spacing w:after="0"/>
        <w:rPr>
          <w:sz w:val="20"/>
          <w:szCs w:val="20"/>
          <w:color w:val="auto"/>
        </w:rPr>
      </w:pPr>
      <w:r>
        <w:rPr>
          <w:rFonts w:ascii="Arial" w:cs="Arial" w:eastAsia="Arial" w:hAnsi="Arial"/>
          <w:sz w:val="17"/>
          <w:szCs w:val="17"/>
          <w:color w:val="auto"/>
        </w:rPr>
        <w:t>Securities Exchange Act of 1934 (Amendment No. )</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[_]</w:t>
      </w:r>
    </w:p>
    <w:p>
      <w:pPr>
        <w:sectPr>
          <w:pgSz w:w="11900" w:h="16838" w:orient="portrait"/>
          <w:cols w:equalWidth="0" w:num="1">
            <w:col w:w="10960"/>
          </w:cols>
          <w:pgMar w:left="240" w:top="234" w:right="699" w:bottom="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Preliminary Proxy Statement</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[_] Confidential, For Use of the</w:t>
      </w:r>
    </w:p>
    <w:p>
      <w:pPr>
        <w:spacing w:after="0" w:line="12" w:lineRule="exact"/>
        <w:rPr>
          <w:sz w:val="24"/>
          <w:szCs w:val="24"/>
          <w:color w:val="auto"/>
        </w:rPr>
      </w:pPr>
    </w:p>
    <w:p>
      <w:pPr>
        <w:ind w:left="300"/>
        <w:spacing w:after="0"/>
        <w:rPr>
          <w:sz w:val="20"/>
          <w:szCs w:val="20"/>
          <w:color w:val="auto"/>
        </w:rPr>
      </w:pPr>
      <w:r>
        <w:rPr>
          <w:rFonts w:ascii="Arial" w:cs="Arial" w:eastAsia="Arial" w:hAnsi="Arial"/>
          <w:sz w:val="15"/>
          <w:szCs w:val="15"/>
          <w:color w:val="auto"/>
        </w:rPr>
        <w:t>Commission Only (as permitted</w:t>
      </w:r>
    </w:p>
    <w:p>
      <w:pPr>
        <w:spacing w:after="0" w:line="35" w:lineRule="exact"/>
        <w:rPr>
          <w:sz w:val="24"/>
          <w:szCs w:val="24"/>
          <w:color w:val="auto"/>
        </w:rPr>
      </w:pPr>
    </w:p>
    <w:p>
      <w:pPr>
        <w:ind w:left="300"/>
        <w:spacing w:after="0"/>
        <w:rPr>
          <w:sz w:val="20"/>
          <w:szCs w:val="20"/>
          <w:color w:val="auto"/>
        </w:rPr>
      </w:pPr>
      <w:r>
        <w:rPr>
          <w:rFonts w:ascii="Arial" w:cs="Arial" w:eastAsia="Arial" w:hAnsi="Arial"/>
          <w:sz w:val="17"/>
          <w:szCs w:val="17"/>
          <w:color w:val="auto"/>
        </w:rPr>
        <w:t>by Rule 14a-6(e)(2))</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[x] Definitive Proxy Statement</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[_] Definitive Additional Materials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5"/>
          <w:szCs w:val="15"/>
          <w:color w:val="auto"/>
        </w:rPr>
        <w:t>[_] Soliciting Material Under Rule</w:t>
      </w:r>
    </w:p>
    <w:p>
      <w:pPr>
        <w:spacing w:after="0" w:line="42" w:lineRule="exact"/>
        <w:rPr>
          <w:sz w:val="24"/>
          <w:szCs w:val="24"/>
          <w:color w:val="auto"/>
        </w:rPr>
      </w:pPr>
    </w:p>
    <w:p>
      <w:pPr>
        <w:ind w:left="180"/>
        <w:spacing w:after="0"/>
        <w:rPr>
          <w:sz w:val="20"/>
          <w:szCs w:val="20"/>
          <w:color w:val="auto"/>
        </w:rPr>
      </w:pPr>
      <w:r>
        <w:rPr>
          <w:rFonts w:ascii="Arial" w:cs="Arial" w:eastAsia="Arial" w:hAnsi="Arial"/>
          <w:sz w:val="17"/>
          <w:szCs w:val="17"/>
          <w:color w:val="auto"/>
        </w:rPr>
        <w:t>14a-12</w:t>
      </w:r>
    </w:p>
    <w:p>
      <w:pPr>
        <w:spacing w:after="0" w:line="1017" w:lineRule="exact"/>
        <w:rPr>
          <w:sz w:val="24"/>
          <w:szCs w:val="24"/>
          <w:color w:val="auto"/>
        </w:rPr>
      </w:pPr>
    </w:p>
    <w:p>
      <w:pPr>
        <w:sectPr>
          <w:pgSz w:w="11900" w:h="16838" w:orient="portrait"/>
          <w:cols w:equalWidth="0" w:num="2">
            <w:col w:w="2460" w:space="540"/>
            <w:col w:w="7960"/>
          </w:cols>
          <w:pgMar w:left="240" w:top="234" w:right="699" w:bottom="0" w:gutter="0" w:footer="0" w:header="0"/>
          <w:type w:val="continuous"/>
        </w:sectPr>
      </w:pPr>
    </w:p>
    <w:p>
      <w:pPr>
        <w:spacing w:after="0" w:line="24"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Texas Instruments Incorporated</w:t>
      </w:r>
    </w:p>
    <w:p>
      <w:pPr>
        <w:spacing w:after="0" w:line="19" w:lineRule="exact"/>
        <w:rPr>
          <w:sz w:val="24"/>
          <w:szCs w:val="24"/>
          <w:color w:val="auto"/>
        </w:rPr>
      </w:pPr>
    </w:p>
    <w:p>
      <w:pPr>
        <w:ind w:left="1500"/>
        <w:spacing w:after="0"/>
        <w:rPr>
          <w:sz w:val="20"/>
          <w:szCs w:val="20"/>
          <w:color w:val="auto"/>
        </w:rPr>
      </w:pPr>
      <w:r>
        <w:rPr>
          <w:rFonts w:ascii="Arial" w:cs="Arial" w:eastAsia="Arial" w:hAnsi="Arial"/>
          <w:sz w:val="17"/>
          <w:szCs w:val="17"/>
          <w:color w:val="auto"/>
        </w:rPr>
        <w:t>------------------------------------------------------------------------------------------------------------------------------------------------------</w:t>
      </w:r>
    </w:p>
    <w:p>
      <w:pPr>
        <w:spacing w:after="0" w:line="212" w:lineRule="exact"/>
        <w:rPr>
          <w:sz w:val="24"/>
          <w:szCs w:val="24"/>
          <w:color w:val="auto"/>
        </w:rPr>
      </w:pPr>
    </w:p>
    <w:p>
      <w:pPr>
        <w:jc w:val="center"/>
        <w:ind w:right="-479"/>
        <w:spacing w:after="0"/>
        <w:rPr>
          <w:sz w:val="20"/>
          <w:szCs w:val="20"/>
          <w:color w:val="auto"/>
        </w:rPr>
      </w:pPr>
      <w:r>
        <w:rPr>
          <w:rFonts w:ascii="Arial" w:cs="Arial" w:eastAsia="Arial" w:hAnsi="Arial"/>
          <w:sz w:val="17"/>
          <w:szCs w:val="17"/>
          <w:color w:val="auto"/>
        </w:rPr>
        <w:t>(Name of Registrant as Specified In Its Charter)</w:t>
      </w:r>
    </w:p>
    <w:p>
      <w:pPr>
        <w:spacing w:after="0" w:line="219" w:lineRule="exact"/>
        <w:rPr>
          <w:sz w:val="24"/>
          <w:szCs w:val="24"/>
          <w:color w:val="auto"/>
        </w:rPr>
      </w:pPr>
    </w:p>
    <w:p>
      <w:pPr>
        <w:ind w:left="1500"/>
        <w:spacing w:after="0"/>
        <w:rPr>
          <w:sz w:val="20"/>
          <w:szCs w:val="20"/>
          <w:color w:val="auto"/>
        </w:rPr>
      </w:pPr>
      <w:r>
        <w:rPr>
          <w:rFonts w:ascii="Arial" w:cs="Arial" w:eastAsia="Arial" w:hAnsi="Arial"/>
          <w:sz w:val="17"/>
          <w:szCs w:val="17"/>
          <w:color w:val="auto"/>
        </w:rPr>
        <w:t>------------------------------------------------------------------------------------------------------------------------------------------------------</w:t>
      </w:r>
    </w:p>
    <w:p>
      <w:pPr>
        <w:spacing w:after="0" w:line="219" w:lineRule="exact"/>
        <w:rPr>
          <w:sz w:val="24"/>
          <w:szCs w:val="24"/>
          <w:color w:val="auto"/>
        </w:rPr>
      </w:pPr>
    </w:p>
    <w:p>
      <w:pPr>
        <w:ind w:left="32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[x] No fee required.</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[_] Fee computed on table below per Exchange Act Rules 14a-6(i)(4) and 0-11.</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1) Title of each class of securities to which transaction applies:</w:t>
      </w:r>
    </w:p>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2" w:lineRule="exact"/>
        <w:rPr>
          <w:sz w:val="24"/>
          <w:szCs w:val="24"/>
          <w:color w:val="auto"/>
        </w:rPr>
      </w:pPr>
    </w:p>
    <w:p>
      <w:pPr>
        <w:ind w:left="220" w:hanging="216"/>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7" w:lineRule="exact"/>
        <w:rPr>
          <w:rFonts w:ascii="Arial" w:cs="Arial" w:eastAsia="Arial" w:hAnsi="Arial"/>
          <w:sz w:val="17"/>
          <w:szCs w:val="17"/>
          <w:color w:val="auto"/>
        </w:rPr>
      </w:pPr>
    </w:p>
    <w:p>
      <w:pPr>
        <w:ind w:left="220" w:right="3000" w:hanging="216"/>
        <w:spacing w:after="0" w:line="286" w:lineRule="auto"/>
        <w:tabs>
          <w:tab w:leader="none" w:pos="234"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220" w:hanging="216"/>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rPr>
          <w:sz w:val="20"/>
          <w:szCs w:val="20"/>
          <w:color w:val="auto"/>
        </w:rPr>
      </w:pPr>
      <w:r>
        <w:rPr>
          <w:rFonts w:ascii="Arial" w:cs="Arial" w:eastAsia="Arial" w:hAnsi="Arial"/>
          <w:sz w:val="17"/>
          <w:szCs w:val="17"/>
          <w:color w:val="auto"/>
        </w:rPr>
        <w:t>5) Total fee paid:</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[_] Fee paid previously with preliminary materials:</w:t>
      </w:r>
    </w:p>
    <w:p>
      <w:pPr>
        <w:spacing w:after="0" w:line="38" w:lineRule="exact"/>
        <w:rPr>
          <w:sz w:val="24"/>
          <w:szCs w:val="24"/>
          <w:color w:val="auto"/>
        </w:rPr>
      </w:pPr>
    </w:p>
    <w:p>
      <w:pPr>
        <w:ind w:left="260" w:right="2680" w:hanging="251"/>
        <w:spacing w:after="0" w:line="277" w:lineRule="auto"/>
        <w:rPr>
          <w:sz w:val="20"/>
          <w:szCs w:val="20"/>
          <w:color w:val="auto"/>
        </w:rPr>
      </w:pPr>
      <w:r>
        <w:rPr>
          <w:rFonts w:ascii="Arial" w:cs="Arial" w:eastAsia="Arial" w:hAnsi="Arial"/>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ind w:left="260"/>
        <w:spacing w:after="0"/>
        <w:rPr>
          <w:sz w:val="20"/>
          <w:szCs w:val="20"/>
          <w:color w:val="auto"/>
        </w:rPr>
      </w:pPr>
      <w:r>
        <w:rPr>
          <w:rFonts w:ascii="Arial" w:cs="Arial" w:eastAsia="Arial" w:hAnsi="Arial"/>
          <w:sz w:val="17"/>
          <w:szCs w:val="17"/>
          <w:color w:val="auto"/>
        </w:rPr>
        <w:t>1) Amount previously paid:</w:t>
      </w:r>
    </w:p>
    <w:p>
      <w:pPr>
        <w:spacing w:after="0" w:line="3"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2" w:lineRule="exact"/>
        <w:rPr>
          <w:sz w:val="24"/>
          <w:szCs w:val="24"/>
          <w:color w:val="auto"/>
        </w:rPr>
      </w:pPr>
    </w:p>
    <w:p>
      <w:pPr>
        <w:ind w:left="260"/>
        <w:spacing w:after="0"/>
        <w:rPr>
          <w:sz w:val="20"/>
          <w:szCs w:val="20"/>
          <w:color w:val="auto"/>
        </w:rPr>
      </w:pPr>
      <w:r>
        <w:rPr>
          <w:rFonts w:ascii="Arial" w:cs="Arial" w:eastAsia="Arial" w:hAnsi="Arial"/>
          <w:sz w:val="17"/>
          <w:szCs w:val="17"/>
          <w:color w:val="auto"/>
        </w:rPr>
        <w:t>2) Form, Schedule or Registration Statement No.:</w:t>
      </w:r>
    </w:p>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ind w:left="260"/>
        <w:spacing w:after="0"/>
        <w:rPr>
          <w:sz w:val="20"/>
          <w:szCs w:val="20"/>
          <w:color w:val="auto"/>
        </w:rPr>
      </w:pPr>
      <w:r>
        <w:rPr>
          <w:rFonts w:ascii="Arial" w:cs="Arial" w:eastAsia="Arial" w:hAnsi="Arial"/>
          <w:sz w:val="17"/>
          <w:szCs w:val="17"/>
          <w:color w:val="auto"/>
        </w:rPr>
        <w:t>3) Filing Party:</w:t>
      </w:r>
    </w:p>
    <w:p>
      <w:pPr>
        <w:spacing w:after="0" w:line="3"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ind w:left="260"/>
        <w:spacing w:after="0"/>
        <w:rPr>
          <w:sz w:val="20"/>
          <w:szCs w:val="20"/>
          <w:color w:val="auto"/>
        </w:rPr>
      </w:pPr>
      <w:r>
        <w:rPr>
          <w:rFonts w:ascii="Arial" w:cs="Arial" w:eastAsia="Arial" w:hAnsi="Arial"/>
          <w:sz w:val="17"/>
          <w:szCs w:val="17"/>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7329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365760</wp:posOffset>
            </wp:positionV>
            <wp:extent cx="7252335" cy="781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781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April 16, 2009</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Dear Stockholder:</w:t>
      </w:r>
    </w:p>
    <w:p>
      <w:pPr>
        <w:spacing w:after="0" w:line="206" w:lineRule="exact"/>
        <w:rPr>
          <w:sz w:val="24"/>
          <w:szCs w:val="24"/>
          <w:color w:val="auto"/>
        </w:rPr>
      </w:pPr>
    </w:p>
    <w:p>
      <w:pPr>
        <w:spacing w:after="0" w:line="246" w:lineRule="auto"/>
        <w:rPr>
          <w:sz w:val="20"/>
          <w:szCs w:val="20"/>
          <w:color w:val="auto"/>
        </w:rPr>
      </w:pPr>
      <w:r>
        <w:rPr>
          <w:rFonts w:ascii="Arial" w:cs="Arial" w:eastAsia="Arial" w:hAnsi="Arial"/>
          <w:sz w:val="17"/>
          <w:szCs w:val="17"/>
          <w:color w:val="auto"/>
        </w:rPr>
        <w:t>You are cordially invited to attend the 2009 annual meeting of stockholders on Thursday, April 16, 2009, at the cafeteria on our property at 12500 TI Boulevard, Dallas, Texas, at 10:00 a.m. (Dallas time). At the meeting we will:</w:t>
      </w:r>
    </w:p>
    <w:p>
      <w:pPr>
        <w:spacing w:after="0" w:line="221" w:lineRule="exact"/>
        <w:rPr>
          <w:sz w:val="24"/>
          <w:szCs w:val="24"/>
          <w:color w:val="auto"/>
        </w:rPr>
      </w:pPr>
    </w:p>
    <w:p>
      <w:pPr>
        <w:ind w:left="520"/>
        <w:spacing w:after="0"/>
        <w:rPr>
          <w:sz w:val="20"/>
          <w:szCs w:val="20"/>
          <w:color w:val="auto"/>
        </w:rPr>
      </w:pPr>
      <w:r>
        <w:rPr>
          <w:rFonts w:ascii="Arial" w:cs="Arial" w:eastAsia="Arial" w:hAnsi="Arial"/>
          <w:sz w:val="17"/>
          <w:szCs w:val="17"/>
          <w:color w:val="auto"/>
        </w:rPr>
        <w:t>Elect directors for the next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4"/>
          <w:szCs w:val="24"/>
          <w:color w:val="auto"/>
        </w:rPr>
      </w:pPr>
    </w:p>
    <w:p>
      <w:pPr>
        <w:ind w:left="520" w:right="320"/>
        <w:spacing w:after="0" w:line="286" w:lineRule="auto"/>
        <w:rPr>
          <w:sz w:val="20"/>
          <w:szCs w:val="20"/>
          <w:color w:val="auto"/>
        </w:rPr>
      </w:pPr>
      <w:r>
        <w:rPr>
          <w:rFonts w:ascii="Arial" w:cs="Arial" w:eastAsia="Arial" w:hAnsi="Arial"/>
          <w:sz w:val="17"/>
          <w:szCs w:val="17"/>
          <w:color w:val="auto"/>
        </w:rPr>
        <w:t>Consider and act upon a board proposal to ratify the appointment of Ernst &amp; Young LLP as the company’s independent registered public accounting firm for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186690</wp:posOffset>
            </wp:positionH>
            <wp:positionV relativeFrom="paragraph">
              <wp:posOffset>-268605</wp:posOffset>
            </wp:positionV>
            <wp:extent cx="66675" cy="66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Consider and act upon a board proposal to approve a Texas Instruments 2009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ectPr>
          <w:pgSz w:w="11900" w:h="16838" w:orient="portrait"/>
          <w:cols w:equalWidth="0" w:num="1">
            <w:col w:w="10960"/>
          </w:cols>
          <w:pgMar w:left="240" w:top="234" w:right="699" w:bottom="0" w:gutter="0" w:footer="0" w:header="0"/>
          <w:type w:val="continuous"/>
        </w:sectPr>
      </w:pPr>
    </w:p>
    <w:bookmarkStart w:id="1" w:name="page2"/>
    <w:bookmarkEnd w:id="1"/>
    <w:p>
      <w:pPr>
        <w:spacing w:after="0" w:line="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Consider and act upon a board proposal to approve a Texas Instruments 2009 Director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Consider and act upon such other matters, including a stockholder proposal,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February 17, 2009, are entitled to vote at the annual meeting.</w:t>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We urge you to vote your shares as promptly as possible by: (1) accessing the Internet web site, (2) calling the toll-free number or (3) signing, dating and mailing the enclosed proxy.</w:t>
      </w:r>
    </w:p>
    <w:p>
      <w:pPr>
        <w:spacing w:after="0" w:line="18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13970</wp:posOffset>
            </wp:positionV>
            <wp:extent cx="1990090" cy="575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0090" cy="57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Joseph F. Hubach</w:t>
      </w:r>
    </w:p>
    <w:p>
      <w:pPr>
        <w:ind w:left="5840"/>
        <w:spacing w:after="0" w:line="238" w:lineRule="auto"/>
        <w:rPr>
          <w:sz w:val="20"/>
          <w:szCs w:val="20"/>
          <w:color w:val="auto"/>
        </w:rPr>
      </w:pPr>
      <w:r>
        <w:rPr>
          <w:rFonts w:ascii="Arial" w:cs="Arial" w:eastAsia="Arial" w:hAnsi="Arial"/>
          <w:sz w:val="17"/>
          <w:szCs w:val="17"/>
          <w:color w:val="auto"/>
        </w:rPr>
        <w:t>Senior Vice President,</w:t>
      </w:r>
    </w:p>
    <w:p>
      <w:pPr>
        <w:ind w:left="5840"/>
        <w:spacing w:after="0"/>
        <w:rPr>
          <w:sz w:val="20"/>
          <w:szCs w:val="20"/>
          <w:color w:val="auto"/>
        </w:rPr>
      </w:pPr>
      <w:r>
        <w:rPr>
          <w:rFonts w:ascii="Arial" w:cs="Arial" w:eastAsia="Arial" w:hAnsi="Arial"/>
          <w:sz w:val="17"/>
          <w:szCs w:val="17"/>
          <w:color w:val="auto"/>
        </w:rPr>
        <w:t>Secretary and</w:t>
      </w:r>
    </w:p>
    <w:p>
      <w:pPr>
        <w:ind w:left="5840"/>
        <w:spacing w:after="0"/>
        <w:rPr>
          <w:sz w:val="20"/>
          <w:szCs w:val="20"/>
          <w:color w:val="auto"/>
        </w:rPr>
      </w:pPr>
      <w:r>
        <w:rPr>
          <w:rFonts w:ascii="Arial" w:cs="Arial" w:eastAsia="Arial" w:hAnsi="Arial"/>
          <w:sz w:val="17"/>
          <w:szCs w:val="17"/>
          <w:color w:val="auto"/>
        </w:rPr>
        <w:t>General Counsel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rPr>
          <w:sz w:val="20"/>
          <w:szCs w:val="20"/>
          <w:color w:val="auto"/>
        </w:rPr>
      </w:pPr>
      <w:r>
        <w:rPr>
          <w:rFonts w:ascii="Arial" w:cs="Arial" w:eastAsia="Arial" w:hAnsi="Arial"/>
          <w:sz w:val="17"/>
          <w:szCs w:val="17"/>
          <w:color w:val="auto"/>
        </w:rPr>
        <w:t>March 5, 2009</w:t>
      </w:r>
    </w:p>
    <w:p>
      <w:pPr>
        <w:spacing w:after="0" w:line="202" w:lineRule="exact"/>
        <w:rPr>
          <w:sz w:val="20"/>
          <w:szCs w:val="20"/>
          <w:color w:val="auto"/>
        </w:rPr>
      </w:pPr>
    </w:p>
    <w:p>
      <w:pPr>
        <w:ind w:left="8100"/>
        <w:spacing w:after="0"/>
        <w:rPr>
          <w:sz w:val="20"/>
          <w:szCs w:val="20"/>
          <w:color w:val="auto"/>
        </w:rPr>
      </w:pPr>
      <w:r>
        <w:rPr>
          <w:rFonts w:ascii="Arial" w:cs="Arial" w:eastAsia="Arial" w:hAnsi="Arial"/>
          <w:sz w:val="12"/>
          <w:szCs w:val="12"/>
          <w:color w:val="auto"/>
        </w:rPr>
        <w:t>TEXAS INSTRUMENTS 2009 PROXY STATEMENT [ 51 ]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32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9460" w:type="dxa"/>
            <w:vAlign w:val="bottom"/>
          </w:tcPr>
          <w:p>
            <w:pPr>
              <w:spacing w:after="0"/>
              <w:rPr>
                <w:sz w:val="2"/>
                <w:szCs w:val="2"/>
                <w:color w:val="auto"/>
              </w:rPr>
            </w:pPr>
          </w:p>
        </w:tc>
        <w:tc>
          <w:tcPr>
            <w:tcW w:w="1960" w:type="dxa"/>
            <w:vAlign w:val="bottom"/>
            <w:vMerge w:val="restart"/>
          </w:tcPr>
          <w:p>
            <w:pPr>
              <w:jc w:val="right"/>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line="20" w:lineRule="exact"/>
              <w:rPr>
                <w:sz w:val="1"/>
                <w:szCs w:val="1"/>
                <w:color w:val="auto"/>
              </w:rPr>
            </w:pPr>
          </w:p>
        </w:tc>
      </w:tr>
      <w:tr>
        <w:trPr>
          <w:trHeight w:val="233"/>
        </w:trPr>
        <w:tc>
          <w:tcPr>
            <w:tcW w:w="9460" w:type="dxa"/>
            <w:vAlign w:val="bottom"/>
            <w:shd w:val="clear" w:color="auto" w:fill="E9E9E9"/>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Voting procedures</w:t>
            </w:r>
          </w:p>
        </w:tc>
        <w:tc>
          <w:tcPr>
            <w:tcW w:w="19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94"/>
        </w:trPr>
        <w:tc>
          <w:tcPr>
            <w:tcW w:w="9460" w:type="dxa"/>
            <w:vAlign w:val="bottom"/>
          </w:tcPr>
          <w:p>
            <w:pPr>
              <w:spacing w:after="0" w:line="194" w:lineRule="exact"/>
              <w:rPr>
                <w:sz w:val="20"/>
                <w:szCs w:val="20"/>
                <w:color w:val="auto"/>
              </w:rPr>
            </w:pPr>
            <w:r>
              <w:rPr>
                <w:rFonts w:ascii="Arial" w:cs="Arial" w:eastAsia="Arial" w:hAnsi="Arial"/>
                <w:sz w:val="17"/>
                <w:szCs w:val="17"/>
                <w:color w:val="auto"/>
              </w:rPr>
              <w:t>Election of directors</w:t>
            </w:r>
          </w:p>
        </w:tc>
        <w:tc>
          <w:tcPr>
            <w:tcW w:w="1960" w:type="dxa"/>
            <w:vAlign w:val="bottom"/>
          </w:tcPr>
          <w:p>
            <w:pPr>
              <w:jc w:val="right"/>
              <w:spacing w:after="0" w:line="194"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Nominees for directorship</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Director nomination process</w:t>
            </w:r>
          </w:p>
        </w:tc>
        <w:tc>
          <w:tcPr>
            <w:tcW w:w="19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Communications with the board</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Corporate governance</w:t>
            </w:r>
          </w:p>
        </w:tc>
        <w:tc>
          <w:tcPr>
            <w:tcW w:w="19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Annual meeting attendance</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Director independence</w:t>
            </w:r>
          </w:p>
        </w:tc>
        <w:tc>
          <w:tcPr>
            <w:tcW w:w="19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Directors’ ages, service and stock ownership</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94"/>
        </w:trPr>
        <w:tc>
          <w:tcPr>
            <w:tcW w:w="9460" w:type="dxa"/>
            <w:vAlign w:val="bottom"/>
          </w:tcPr>
          <w:p>
            <w:pPr>
              <w:spacing w:after="0" w:line="194" w:lineRule="exact"/>
              <w:rPr>
                <w:sz w:val="20"/>
                <w:szCs w:val="20"/>
                <w:color w:val="auto"/>
              </w:rPr>
            </w:pPr>
            <w:r>
              <w:rPr>
                <w:rFonts w:ascii="Arial" w:cs="Arial" w:eastAsia="Arial" w:hAnsi="Arial"/>
                <w:sz w:val="17"/>
                <w:szCs w:val="17"/>
                <w:color w:val="auto"/>
              </w:rPr>
              <w:t>Board organization</w:t>
            </w:r>
          </w:p>
        </w:tc>
        <w:tc>
          <w:tcPr>
            <w:tcW w:w="1960" w:type="dxa"/>
            <w:vAlign w:val="bottom"/>
          </w:tcPr>
          <w:p>
            <w:pPr>
              <w:jc w:val="right"/>
              <w:spacing w:after="0" w:line="194"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Board and committee meetings</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Committees of the board</w:t>
            </w:r>
          </w:p>
        </w:tc>
        <w:tc>
          <w:tcPr>
            <w:tcW w:w="196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94"/>
        </w:trPr>
        <w:tc>
          <w:tcPr>
            <w:tcW w:w="94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Director compensation</w:t>
            </w:r>
          </w:p>
        </w:tc>
        <w:tc>
          <w:tcPr>
            <w:tcW w:w="19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4"/>
        </w:trPr>
        <w:tc>
          <w:tcPr>
            <w:tcW w:w="9460" w:type="dxa"/>
            <w:vAlign w:val="bottom"/>
          </w:tcPr>
          <w:p>
            <w:pPr>
              <w:spacing w:after="0" w:line="194" w:lineRule="exact"/>
              <w:rPr>
                <w:sz w:val="20"/>
                <w:szCs w:val="20"/>
                <w:color w:val="auto"/>
              </w:rPr>
            </w:pPr>
            <w:r>
              <w:rPr>
                <w:rFonts w:ascii="Arial" w:cs="Arial" w:eastAsia="Arial" w:hAnsi="Arial"/>
                <w:sz w:val="17"/>
                <w:szCs w:val="17"/>
                <w:color w:val="auto"/>
              </w:rPr>
              <w:t>Executive compensation</w:t>
            </w:r>
          </w:p>
        </w:tc>
        <w:tc>
          <w:tcPr>
            <w:tcW w:w="1960" w:type="dxa"/>
            <w:vAlign w:val="bottom"/>
          </w:tcPr>
          <w:p>
            <w:pPr>
              <w:jc w:val="right"/>
              <w:spacing w:after="0" w:line="194"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Compensation discussion and analysis</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Compensation Committee report</w:t>
            </w:r>
          </w:p>
        </w:tc>
        <w:tc>
          <w:tcPr>
            <w:tcW w:w="196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2008 summary compensation table</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Grants of plan-based awards in 2008</w:t>
            </w:r>
          </w:p>
        </w:tc>
        <w:tc>
          <w:tcPr>
            <w:tcW w:w="196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Outstanding equity awards at fiscal year-end 2008</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2008 option exercises and stock vested</w:t>
            </w:r>
          </w:p>
        </w:tc>
        <w:tc>
          <w:tcPr>
            <w:tcW w:w="196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2008 pension benefits</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2008 non-qualified deferred compensation</w:t>
            </w:r>
          </w:p>
        </w:tc>
        <w:tc>
          <w:tcPr>
            <w:tcW w:w="196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Potential payments upon termination or change in control</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4"/>
        </w:trPr>
        <w:tc>
          <w:tcPr>
            <w:tcW w:w="9460" w:type="dxa"/>
            <w:vAlign w:val="bottom"/>
          </w:tcPr>
          <w:p>
            <w:pPr>
              <w:spacing w:after="0" w:line="194" w:lineRule="exact"/>
              <w:rPr>
                <w:sz w:val="20"/>
                <w:szCs w:val="20"/>
                <w:color w:val="auto"/>
              </w:rPr>
            </w:pPr>
            <w:r>
              <w:rPr>
                <w:rFonts w:ascii="Arial" w:cs="Arial" w:eastAsia="Arial" w:hAnsi="Arial"/>
                <w:sz w:val="17"/>
                <w:szCs w:val="17"/>
                <w:color w:val="auto"/>
              </w:rPr>
              <w:t>Audit Committee report</w:t>
            </w:r>
          </w:p>
        </w:tc>
        <w:tc>
          <w:tcPr>
            <w:tcW w:w="1960" w:type="dxa"/>
            <w:vAlign w:val="bottom"/>
          </w:tcPr>
          <w:p>
            <w:pPr>
              <w:jc w:val="right"/>
              <w:spacing w:after="0" w:line="194"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spacing w:after="0"/>
              <w:rPr>
                <w:sz w:val="20"/>
                <w:szCs w:val="20"/>
                <w:color w:val="auto"/>
              </w:rPr>
            </w:pPr>
            <w:r>
              <w:rPr>
                <w:rFonts w:ascii="Arial" w:cs="Arial" w:eastAsia="Arial" w:hAnsi="Arial"/>
                <w:sz w:val="17"/>
                <w:szCs w:val="17"/>
                <w:color w:val="auto"/>
              </w:rPr>
              <w:t>Proposal to ratify appointment of independent registered public accounting firm</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3"/>
        </w:trPr>
        <w:tc>
          <w:tcPr>
            <w:tcW w:w="9460" w:type="dxa"/>
            <w:vAlign w:val="bottom"/>
          </w:tcPr>
          <w:p>
            <w:pPr>
              <w:spacing w:after="0"/>
              <w:rPr>
                <w:sz w:val="20"/>
                <w:szCs w:val="20"/>
                <w:color w:val="auto"/>
              </w:rPr>
            </w:pPr>
            <w:r>
              <w:rPr>
                <w:rFonts w:ascii="Arial" w:cs="Arial" w:eastAsia="Arial" w:hAnsi="Arial"/>
                <w:sz w:val="17"/>
                <w:szCs w:val="17"/>
                <w:color w:val="auto"/>
              </w:rPr>
              <w:t>Proposal to approve the Texas Instruments 2009 Long-Term Incentive Plan</w:t>
            </w:r>
          </w:p>
        </w:tc>
        <w:tc>
          <w:tcPr>
            <w:tcW w:w="196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spacing w:after="0"/>
              <w:rPr>
                <w:sz w:val="20"/>
                <w:szCs w:val="20"/>
                <w:color w:val="auto"/>
              </w:rPr>
            </w:pPr>
            <w:r>
              <w:rPr>
                <w:rFonts w:ascii="Arial" w:cs="Arial" w:eastAsia="Arial" w:hAnsi="Arial"/>
                <w:sz w:val="17"/>
                <w:szCs w:val="17"/>
                <w:color w:val="auto"/>
              </w:rPr>
              <w:t>Proposal to approve the Texas Instruments 2009 Director Compensation Plan</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94"/>
        </w:trPr>
        <w:tc>
          <w:tcPr>
            <w:tcW w:w="9460" w:type="dxa"/>
            <w:vAlign w:val="bottom"/>
          </w:tcPr>
          <w:p>
            <w:pPr>
              <w:spacing w:after="0" w:line="194" w:lineRule="exact"/>
              <w:rPr>
                <w:sz w:val="20"/>
                <w:szCs w:val="20"/>
                <w:color w:val="auto"/>
              </w:rPr>
            </w:pPr>
            <w:r>
              <w:rPr>
                <w:rFonts w:ascii="Arial" w:cs="Arial" w:eastAsia="Arial" w:hAnsi="Arial"/>
                <w:sz w:val="17"/>
                <w:szCs w:val="17"/>
                <w:color w:val="auto"/>
              </w:rPr>
              <w:t>Equity compensation plan information</w:t>
            </w:r>
          </w:p>
        </w:tc>
        <w:tc>
          <w:tcPr>
            <w:tcW w:w="1960" w:type="dxa"/>
            <w:vAlign w:val="bottom"/>
          </w:tcPr>
          <w:p>
            <w:pPr>
              <w:jc w:val="right"/>
              <w:spacing w:after="0" w:line="194"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94"/>
        </w:trPr>
        <w:tc>
          <w:tcPr>
            <w:tcW w:w="94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Stockholder proposal</w:t>
            </w:r>
          </w:p>
        </w:tc>
        <w:tc>
          <w:tcPr>
            <w:tcW w:w="19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4"/>
        </w:trPr>
        <w:tc>
          <w:tcPr>
            <w:tcW w:w="9460" w:type="dxa"/>
            <w:vAlign w:val="bottom"/>
          </w:tcPr>
          <w:p>
            <w:pPr>
              <w:spacing w:after="0" w:line="194" w:lineRule="exact"/>
              <w:rPr>
                <w:sz w:val="20"/>
                <w:szCs w:val="20"/>
                <w:color w:val="auto"/>
              </w:rPr>
            </w:pPr>
            <w:r>
              <w:rPr>
                <w:rFonts w:ascii="Arial" w:cs="Arial" w:eastAsia="Arial" w:hAnsi="Arial"/>
                <w:sz w:val="17"/>
                <w:szCs w:val="17"/>
                <w:color w:val="auto"/>
              </w:rPr>
              <w:t>Additional information</w:t>
            </w:r>
          </w:p>
        </w:tc>
        <w:tc>
          <w:tcPr>
            <w:tcW w:w="1960" w:type="dxa"/>
            <w:vAlign w:val="bottom"/>
          </w:tcPr>
          <w:p>
            <w:pPr>
              <w:jc w:val="right"/>
              <w:spacing w:after="0" w:line="194" w:lineRule="exact"/>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Voting securities</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Security ownership of certain beneficial holders</w:t>
            </w:r>
          </w:p>
        </w:tc>
        <w:tc>
          <w:tcPr>
            <w:tcW w:w="196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Security ownership of management</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Related person transactions</w:t>
            </w:r>
          </w:p>
        </w:tc>
        <w:tc>
          <w:tcPr>
            <w:tcW w:w="196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Compensation committee interlocks and insider participation</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Cost of solicitation</w:t>
            </w:r>
          </w:p>
        </w:tc>
        <w:tc>
          <w:tcPr>
            <w:tcW w:w="196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Stockholder proposals for 2010</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Quorum requirement</w:t>
            </w:r>
          </w:p>
        </w:tc>
        <w:tc>
          <w:tcPr>
            <w:tcW w:w="196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Vote required</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Benefit plan voting</w:t>
            </w:r>
          </w:p>
        </w:tc>
        <w:tc>
          <w:tcPr>
            <w:tcW w:w="196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Section 16(a) beneficial ownership reporting compliance</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Telephone and Internet voting</w:t>
            </w:r>
          </w:p>
        </w:tc>
        <w:tc>
          <w:tcPr>
            <w:tcW w:w="196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33"/>
        </w:trPr>
        <w:tc>
          <w:tcPr>
            <w:tcW w:w="946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Stockholders sharing the same address</w:t>
            </w:r>
          </w:p>
        </w:tc>
        <w:tc>
          <w:tcPr>
            <w:tcW w:w="1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33"/>
        </w:trPr>
        <w:tc>
          <w:tcPr>
            <w:tcW w:w="9460" w:type="dxa"/>
            <w:vAlign w:val="bottom"/>
          </w:tcPr>
          <w:p>
            <w:pPr>
              <w:ind w:left="260"/>
              <w:spacing w:after="0"/>
              <w:rPr>
                <w:sz w:val="20"/>
                <w:szCs w:val="20"/>
                <w:color w:val="auto"/>
              </w:rPr>
            </w:pPr>
            <w:r>
              <w:rPr>
                <w:rFonts w:ascii="Arial" w:cs="Arial" w:eastAsia="Arial" w:hAnsi="Arial"/>
                <w:sz w:val="17"/>
                <w:szCs w:val="17"/>
                <w:color w:val="auto"/>
              </w:rPr>
              <w:t>Electronic delivery of proxy materials</w:t>
            </w:r>
          </w:p>
        </w:tc>
        <w:tc>
          <w:tcPr>
            <w:tcW w:w="196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94"/>
        </w:trPr>
        <w:tc>
          <w:tcPr>
            <w:tcW w:w="94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Exhibit A – Texas Instruments 2009 Long-Term Incentive Plan</w:t>
            </w:r>
          </w:p>
        </w:tc>
        <w:tc>
          <w:tcPr>
            <w:tcW w:w="19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05"/>
        </w:trPr>
        <w:tc>
          <w:tcPr>
            <w:tcW w:w="9460" w:type="dxa"/>
            <w:vAlign w:val="bottom"/>
          </w:tcPr>
          <w:p>
            <w:pPr>
              <w:spacing w:after="0"/>
              <w:rPr>
                <w:sz w:val="20"/>
                <w:szCs w:val="20"/>
                <w:color w:val="auto"/>
              </w:rPr>
            </w:pPr>
            <w:r>
              <w:rPr>
                <w:rFonts w:ascii="Arial" w:cs="Arial" w:eastAsia="Arial" w:hAnsi="Arial"/>
                <w:sz w:val="17"/>
                <w:szCs w:val="17"/>
                <w:color w:val="auto"/>
              </w:rPr>
              <w:t>Exhibit B – Texas Instruments 2009 Director Compensation Plan</w:t>
            </w:r>
          </w:p>
        </w:tc>
        <w:tc>
          <w:tcPr>
            <w:tcW w:w="1960" w:type="dxa"/>
            <w:vAlign w:val="bottom"/>
          </w:tcPr>
          <w:p>
            <w:pPr>
              <w:jc w:val="right"/>
              <w:spacing w:after="0"/>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9820"/>
        <w:spacing w:after="0"/>
        <w:rPr>
          <w:sz w:val="20"/>
          <w:szCs w:val="20"/>
          <w:color w:val="auto"/>
        </w:rPr>
      </w:pPr>
      <w:r>
        <w:rPr>
          <w:rFonts w:ascii="Arial" w:cs="Arial" w:eastAsia="Arial" w:hAnsi="Arial"/>
          <w:sz w:val="20"/>
          <w:szCs w:val="20"/>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059805" cy="14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9805" cy="147955"/>
                    </a:xfrm>
                    <a:prstGeom prst="rect">
                      <a:avLst/>
                    </a:prstGeom>
                    <a:noFill/>
                  </pic:spPr>
                </pic:pic>
              </a:graphicData>
            </a:graphic>
          </wp:anchor>
        </w:drawing>
      </w:r>
    </w:p>
    <w:p>
      <w:pPr>
        <w:sectPr>
          <w:pgSz w:w="11900" w:h="16863" w:orient="portrait"/>
          <w:cols w:equalWidth="0" w:num="1">
            <w:col w:w="11420"/>
          </w:cols>
          <w:pgMar w:left="240" w:top="168" w:right="239" w:bottom="0" w:gutter="0" w:footer="0" w:header="0"/>
        </w:sectPr>
      </w:pPr>
    </w:p>
    <w:p>
      <w:pPr>
        <w:spacing w:after="0" w:line="46"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March 5, 2009</w:t>
      </w:r>
    </w:p>
    <w:p>
      <w:pPr>
        <w:sectPr>
          <w:pgSz w:w="11900" w:h="16863" w:orient="portrait"/>
          <w:cols w:equalWidth="0" w:num="1">
            <w:col w:w="11420"/>
          </w:cols>
          <w:pgMar w:left="240" w:top="168"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t>Executive offices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12500 TI Boulevard, Dallas, Texas 75243</w:t>
      </w:r>
    </w:p>
    <w:p>
      <w:pPr>
        <w:spacing w:after="0"/>
        <w:rPr>
          <w:sz w:val="20"/>
          <w:szCs w:val="20"/>
          <w:color w:val="auto"/>
        </w:rPr>
      </w:pPr>
      <w:r>
        <w:rPr>
          <w:rFonts w:ascii="Arial" w:cs="Arial" w:eastAsia="Arial" w:hAnsi="Arial"/>
          <w:sz w:val="17"/>
          <w:szCs w:val="17"/>
          <w:color w:val="auto"/>
        </w:rPr>
        <w:t>Mailing Address: P. O. Box 660199, Dallas, Texas 75266-0199</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w:t>
      </w:r>
    </w:p>
    <w:p>
      <w:pPr>
        <w:spacing w:after="0" w:line="1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TI’s board of directors requests your proxy for the annual meeting of stockholders on April 16, 2009.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5, 2009. If you come to the meeting, you can of course vote in person. But if you don’t come to the meeting, your shares can be voted only if you have returned a properly signed proxy or followed the telephone or Internet voting instructions.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of directors</w:t>
      </w:r>
    </w:p>
    <w:p>
      <w:pPr>
        <w:spacing w:after="0" w:line="1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JAMES R. ADAMS, DAVID L. BOREN, DANIEL A. CARP, CARRIE S. COX, DAVID R. GOODE, STEPHEN P. MACMILLAN, PAMELA H. PATSLEY, WAYNE R. SANDERS, RUTH J. SIMMONS, RICHARD K. TEMPLETON and CHRISTINE TODD WHITMAN.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you return a proxy that is not otherwise marked, your shares will be voted FOR each of the nominees.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directorship</w:t>
      </w:r>
    </w:p>
    <w:p>
      <w:pPr>
        <w:spacing w:after="0" w:line="1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[ 52 ]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23" w:right="239" w:bottom="31"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JAMES R. ADAMS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53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9305" cy="953770"/>
                    </a:xfrm>
                    <a:prstGeom prst="rect">
                      <a:avLst/>
                    </a:prstGeom>
                    <a:noFill/>
                  </pic:spPr>
                </pic:pic>
              </a:graphicData>
            </a:graphic>
          </wp:anchor>
        </w:drawing>
      </w:r>
    </w:p>
    <w:p>
      <w:pPr>
        <w:ind w:left="1400" w:right="1060"/>
        <w:spacing w:after="0"/>
        <w:rPr>
          <w:sz w:val="20"/>
          <w:szCs w:val="20"/>
          <w:color w:val="auto"/>
        </w:rPr>
      </w:pPr>
      <w:r>
        <w:rPr>
          <w:rFonts w:ascii="Arial" w:cs="Arial" w:eastAsia="Arial" w:hAnsi="Arial"/>
          <w:sz w:val="17"/>
          <w:szCs w:val="17"/>
          <w:i w:val="1"/>
          <w:iCs w:val="1"/>
          <w:color w:val="auto"/>
        </w:rPr>
        <w:t xml:space="preserve">Member, Governance and Stockholder Relations Committee. </w:t>
      </w:r>
      <w:r>
        <w:rPr>
          <w:rFonts w:ascii="Arial" w:cs="Arial" w:eastAsia="Arial" w:hAnsi="Arial"/>
          <w:sz w:val="17"/>
          <w:szCs w:val="17"/>
          <w:color w:val="auto"/>
        </w:rPr>
        <w:t>Chairman of the board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1996-98. Group president, SBC Communications Inc., 1992-95; president and chief executive officer of Southwestern Bell Telephone Company, 1988-92.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355600</wp:posOffset>
            </wp:positionV>
            <wp:extent cx="789305" cy="962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9305" cy="96202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DAVID L. BOREN – Director</w:t>
      </w:r>
    </w:p>
    <w:p>
      <w:pPr>
        <w:spacing w:after="0" w:line="27" w:lineRule="exact"/>
        <w:rPr>
          <w:sz w:val="20"/>
          <w:szCs w:val="20"/>
          <w:color w:val="auto"/>
        </w:rPr>
      </w:pPr>
    </w:p>
    <w:p>
      <w:pPr>
        <w:ind w:left="1400" w:right="880"/>
        <w:spacing w:after="0" w:line="260" w:lineRule="auto"/>
        <w:rPr>
          <w:sz w:val="20"/>
          <w:szCs w:val="20"/>
          <w:color w:val="auto"/>
        </w:rPr>
      </w:pPr>
      <w:r>
        <w:rPr>
          <w:rFonts w:ascii="Arial" w:cs="Arial" w:eastAsia="Arial" w:hAnsi="Arial"/>
          <w:sz w:val="16"/>
          <w:szCs w:val="16"/>
          <w:i w:val="1"/>
          <w:iCs w:val="1"/>
          <w:color w:val="auto"/>
        </w:rPr>
        <w:t xml:space="preserve">Member, Audit Committee. </w:t>
      </w:r>
      <w:r>
        <w:rPr>
          <w:rFonts w:ascii="Arial" w:cs="Arial" w:eastAsia="Arial" w:hAnsi="Arial"/>
          <w:sz w:val="16"/>
          <w:szCs w:val="16"/>
          <w:color w:val="auto"/>
        </w:rPr>
        <w:t>President of the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Oklahoma since 1994. U.S. Senator, 1979-94; Governor of Oklahoma, 1975-79. Director, AMR Corporation, Hiland Partners, LP and Torchmark Corporation; chairman, Oklahoma Foundation for Excellence.</w:t>
      </w:r>
    </w:p>
    <w:p>
      <w:pPr>
        <w:spacing w:after="0" w:line="200" w:lineRule="exact"/>
        <w:rPr>
          <w:sz w:val="20"/>
          <w:szCs w:val="20"/>
          <w:color w:val="auto"/>
        </w:rPr>
      </w:pPr>
    </w:p>
    <w:p>
      <w:pPr>
        <w:spacing w:after="0" w:line="303"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DANIEL A. CARP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53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9305" cy="953770"/>
                    </a:xfrm>
                    <a:prstGeom prst="rect">
                      <a:avLst/>
                    </a:prstGeom>
                    <a:noFill/>
                  </pic:spPr>
                </pic:pic>
              </a:graphicData>
            </a:graphic>
          </wp:anchor>
        </w:drawing>
      </w:r>
    </w:p>
    <w:p>
      <w:pPr>
        <w:ind w:left="1400" w:right="900"/>
        <w:spacing w:after="0" w:line="239" w:lineRule="auto"/>
        <w:rPr>
          <w:sz w:val="20"/>
          <w:szCs w:val="20"/>
          <w:color w:val="auto"/>
        </w:rPr>
      </w:pPr>
      <w:r>
        <w:rPr>
          <w:rFonts w:ascii="Arial" w:cs="Arial" w:eastAsia="Arial" w:hAnsi="Arial"/>
          <w:sz w:val="17"/>
          <w:szCs w:val="17"/>
          <w:i w:val="1"/>
          <w:iCs w:val="1"/>
          <w:color w:val="auto"/>
        </w:rPr>
        <w:t xml:space="preserve">Chair, Compensation Committee. </w:t>
      </w:r>
      <w:r>
        <w:rPr>
          <w:rFonts w:ascii="Arial" w:cs="Arial" w:eastAsia="Arial" w:hAnsi="Arial"/>
          <w:sz w:val="17"/>
          <w:szCs w:val="17"/>
          <w:color w:val="auto"/>
        </w:rPr>
        <w:t>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and chief executive officer of Eastman Kodak Company, 2000-2005; director, 1997-2005. President of Eastman Kodak, 1997-2001, 2002-2003; chief operating officer, 2002-2003. Chairman of the board, Delta Air Lines, Inc.; director, Liz Claiborne, Inc. and Norfolk Southern Corporation.</w:t>
      </w:r>
    </w:p>
    <w:p>
      <w:pPr>
        <w:spacing w:after="0" w:line="210"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CARRIE S. COX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62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9305" cy="962025"/>
                    </a:xfrm>
                    <a:prstGeom prst="rect">
                      <a:avLst/>
                    </a:prstGeom>
                    <a:noFill/>
                  </pic:spPr>
                </pic:pic>
              </a:graphicData>
            </a:graphic>
          </wp:anchor>
        </w:drawing>
      </w:r>
    </w:p>
    <w:p>
      <w:pPr>
        <w:ind w:left="1400" w:right="1120"/>
        <w:spacing w:after="0" w:line="259" w:lineRule="auto"/>
        <w:rPr>
          <w:sz w:val="20"/>
          <w:szCs w:val="20"/>
          <w:color w:val="auto"/>
        </w:rPr>
      </w:pPr>
      <w:r>
        <w:rPr>
          <w:rFonts w:ascii="Arial" w:cs="Arial" w:eastAsia="Arial" w:hAnsi="Arial"/>
          <w:sz w:val="16"/>
          <w:szCs w:val="16"/>
          <w:i w:val="1"/>
          <w:iCs w:val="1"/>
          <w:color w:val="auto"/>
        </w:rPr>
        <w:t xml:space="preserve">Member, Compensation Committee. </w:t>
      </w:r>
      <w:r>
        <w:rPr>
          <w:rFonts w:ascii="Arial" w:cs="Arial" w:eastAsia="Arial" w:hAnsi="Arial"/>
          <w:sz w:val="16"/>
          <w:szCs w:val="16"/>
          <w:color w:val="auto"/>
        </w:rPr>
        <w:t>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president of Global Pharmaceuticals at Schering-Plough Corporation since 2003. Executive vice president and president of Global Prescription Business at Pharmacia Corporation, 1997-2003.</w:t>
      </w:r>
    </w:p>
    <w:p>
      <w:pPr>
        <w:spacing w:after="0" w:line="200" w:lineRule="exact"/>
        <w:rPr>
          <w:sz w:val="20"/>
          <w:szCs w:val="20"/>
          <w:color w:val="auto"/>
        </w:rPr>
      </w:pPr>
    </w:p>
    <w:p>
      <w:pPr>
        <w:spacing w:after="0" w:line="341"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DAVID R. GOODE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1050" cy="953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1050" cy="953770"/>
                    </a:xfrm>
                    <a:prstGeom prst="rect">
                      <a:avLst/>
                    </a:prstGeom>
                    <a:noFill/>
                  </pic:spPr>
                </pic:pic>
              </a:graphicData>
            </a:graphic>
          </wp:anchor>
        </w:drawing>
      </w:r>
    </w:p>
    <w:p>
      <w:pPr>
        <w:ind w:left="1400" w:right="940"/>
        <w:spacing w:after="0"/>
        <w:rPr>
          <w:sz w:val="20"/>
          <w:szCs w:val="20"/>
          <w:color w:val="auto"/>
        </w:rPr>
      </w:pPr>
      <w:r>
        <w:rPr>
          <w:rFonts w:ascii="Arial" w:cs="Arial" w:eastAsia="Arial" w:hAnsi="Arial"/>
          <w:sz w:val="17"/>
          <w:szCs w:val="17"/>
          <w:i w:val="1"/>
          <w:iCs w:val="1"/>
          <w:color w:val="auto"/>
        </w:rPr>
        <w:t xml:space="preserve">Member, Compensation Committee. </w:t>
      </w:r>
      <w:r>
        <w:rPr>
          <w:rFonts w:ascii="Arial" w:cs="Arial" w:eastAsia="Arial" w:hAnsi="Arial"/>
          <w:sz w:val="17"/>
          <w:szCs w:val="17"/>
          <w:color w:val="auto"/>
        </w:rPr>
        <w:t>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Norfolk Southern Corporation, 1992-2006; chief executive officer, 1992-2005; president, 1991-2004. Director, Caterpillar, Inc., Delta Air Lines, Inc. and Russell Reynolds Associates, Inc.; member, The Business Council.</w:t>
      </w:r>
    </w:p>
    <w:p>
      <w:pPr>
        <w:spacing w:after="0" w:line="348"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STEPHEN P. MACMILLAN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89305" cy="953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9305" cy="953770"/>
                    </a:xfrm>
                    <a:prstGeom prst="rect">
                      <a:avLst/>
                    </a:prstGeom>
                    <a:noFill/>
                  </pic:spPr>
                </pic:pic>
              </a:graphicData>
            </a:graphic>
          </wp:anchor>
        </w:drawing>
      </w:r>
    </w:p>
    <w:p>
      <w:pPr>
        <w:ind w:left="1400" w:right="960"/>
        <w:spacing w:after="0"/>
        <w:rPr>
          <w:sz w:val="20"/>
          <w:szCs w:val="20"/>
          <w:color w:val="auto"/>
        </w:rPr>
      </w:pPr>
      <w:r>
        <w:rPr>
          <w:rFonts w:ascii="Arial" w:cs="Arial" w:eastAsia="Arial" w:hAnsi="Arial"/>
          <w:sz w:val="17"/>
          <w:szCs w:val="17"/>
          <w:i w:val="1"/>
          <w:iCs w:val="1"/>
          <w:color w:val="auto"/>
        </w:rPr>
        <w:t xml:space="preserve">Member, Audit Committee. </w:t>
      </w:r>
      <w:r>
        <w:rPr>
          <w:rFonts w:ascii="Arial" w:cs="Arial" w:eastAsia="Arial" w:hAnsi="Arial"/>
          <w:sz w:val="17"/>
          <w:szCs w:val="17"/>
          <w:color w:val="auto"/>
        </w:rPr>
        <w:t>Director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Stryker Corporation since 2005; president since 2003 and chief operating officer from 2003-2004. Sector vice president, global specialty operations, Pharmacia Corporation, 1999-2003.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PAMELA H. PATSLEY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-113030</wp:posOffset>
            </wp:positionV>
            <wp:extent cx="772795" cy="953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2795" cy="953770"/>
                    </a:xfrm>
                    <a:prstGeom prst="rect">
                      <a:avLst/>
                    </a:prstGeom>
                    <a:noFill/>
                  </pic:spPr>
                </pic:pic>
              </a:graphicData>
            </a:graphic>
          </wp:anchor>
        </w:drawing>
      </w:r>
    </w:p>
    <w:p>
      <w:pPr>
        <w:ind w:right="160"/>
        <w:spacing w:after="0" w:line="239" w:lineRule="auto"/>
        <w:rPr>
          <w:sz w:val="20"/>
          <w:szCs w:val="20"/>
          <w:color w:val="auto"/>
        </w:rPr>
      </w:pPr>
      <w:r>
        <w:rPr>
          <w:rFonts w:ascii="Arial" w:cs="Arial" w:eastAsia="Arial" w:hAnsi="Arial"/>
          <w:sz w:val="17"/>
          <w:szCs w:val="17"/>
          <w:i w:val="1"/>
          <w:iCs w:val="1"/>
          <w:color w:val="auto"/>
        </w:rPr>
        <w:t xml:space="preserve">Chair, Audit Committee. </w:t>
      </w:r>
      <w:r>
        <w:rPr>
          <w:rFonts w:ascii="Arial" w:cs="Arial" w:eastAsia="Arial" w:hAnsi="Arial"/>
          <w:sz w:val="17"/>
          <w:szCs w:val="17"/>
          <w:color w:val="auto"/>
        </w:rPr>
        <w:t>Executive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MoneyGram International, Inc. Senior executive vice president of First Data Corporation, 2000-2007; president of its subsidiaries First Data International, 2002-2007 and First Data Merchant Services, 2000-2002. President and chief executive officer of Paymentech, Inc., 1991-2000. Director, Dr. Pepper Snapple Group, Inc., Molson Coors Brewing Company and Tolleson Wealth Management, Inc.; southwestern region trustee and governor, Boys and Girls Clubs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WAYNE R. SANDERS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-113030</wp:posOffset>
            </wp:positionV>
            <wp:extent cx="772795" cy="953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2795" cy="953770"/>
                    </a:xfrm>
                    <a:prstGeom prst="rect">
                      <a:avLst/>
                    </a:prstGeom>
                    <a:noFill/>
                  </pic:spPr>
                </pic:pic>
              </a:graphicData>
            </a:graphic>
          </wp:anchor>
        </w:drawing>
      </w:r>
    </w:p>
    <w:p>
      <w:pPr>
        <w:ind w:right="80"/>
        <w:spacing w:after="0"/>
        <w:rPr>
          <w:sz w:val="20"/>
          <w:szCs w:val="20"/>
          <w:color w:val="auto"/>
        </w:rPr>
      </w:pPr>
      <w:r>
        <w:rPr>
          <w:rFonts w:ascii="Arial" w:cs="Arial" w:eastAsia="Arial" w:hAnsi="Arial"/>
          <w:sz w:val="17"/>
          <w:szCs w:val="17"/>
          <w:i w:val="1"/>
          <w:iCs w:val="1"/>
          <w:color w:val="auto"/>
        </w:rPr>
        <w:t xml:space="preserve">Member, Audit Committee. </w:t>
      </w:r>
      <w:r>
        <w:rPr>
          <w:rFonts w:ascii="Arial" w:cs="Arial" w:eastAsia="Arial" w:hAnsi="Arial"/>
          <w:sz w:val="17"/>
          <w:szCs w:val="17"/>
          <w:color w:val="auto"/>
        </w:rPr>
        <w:t>Chairman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Kimberly-Clark Corporation, 1992-2003; chief executive officer, 1991-2002; director, 1989-2003. Chairman, Dr. Pepper Snapple Group, Inc.; director, Belo Corporation; national trustee and governor, Boys and Girls Clubs of America.</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RUTH J. SIMMONS –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-113030</wp:posOffset>
            </wp:positionV>
            <wp:extent cx="772795" cy="953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2795" cy="953770"/>
                    </a:xfrm>
                    <a:prstGeom prst="rect">
                      <a:avLst/>
                    </a:prstGeom>
                    <a:noFill/>
                  </pic:spPr>
                </pic:pic>
              </a:graphicData>
            </a:graphic>
          </wp:anchor>
        </w:drawing>
      </w:r>
    </w:p>
    <w:p>
      <w:pPr>
        <w:ind w:right="140"/>
        <w:spacing w:after="0" w:line="239" w:lineRule="auto"/>
        <w:rPr>
          <w:sz w:val="20"/>
          <w:szCs w:val="20"/>
          <w:color w:val="auto"/>
        </w:rPr>
      </w:pPr>
      <w:r>
        <w:rPr>
          <w:rFonts w:ascii="Arial" w:cs="Arial" w:eastAsia="Arial" w:hAnsi="Arial"/>
          <w:sz w:val="17"/>
          <w:szCs w:val="17"/>
          <w:i w:val="1"/>
          <w:iCs w:val="1"/>
          <w:color w:val="auto"/>
        </w:rPr>
        <w:t xml:space="preserve">Chair, Governance and Stockholder Relations Committee. </w:t>
      </w:r>
      <w:r>
        <w:rPr>
          <w:rFonts w:ascii="Arial" w:cs="Arial" w:eastAsia="Arial" w:hAnsi="Arial"/>
          <w:sz w:val="17"/>
          <w:szCs w:val="17"/>
          <w:color w:val="auto"/>
        </w:rPr>
        <w:t>President of Brown University since 2001.</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Smith College, 1995-2001; vice provost of Princeton University, 1992-95. Director, The Goldman Sachs Group, Inc.; fellow, American Academy of Arts and Sciences; member, Council on Foreign Relations; trustee, Howard University.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RICHARD K. TEMPLETON –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-113030</wp:posOffset>
            </wp:positionV>
            <wp:extent cx="772795" cy="945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2795" cy="945515"/>
                    </a:xfrm>
                    <a:prstGeom prst="rect">
                      <a:avLst/>
                    </a:prstGeom>
                    <a:noFill/>
                  </pic:spPr>
                </pic:pic>
              </a:graphicData>
            </a:graphic>
          </wp:anchor>
        </w:drawing>
      </w:r>
    </w:p>
    <w:p>
      <w:pPr>
        <w:ind w:right="80"/>
        <w:spacing w:after="0" w:line="239" w:lineRule="auto"/>
        <w:rPr>
          <w:sz w:val="20"/>
          <w:szCs w:val="20"/>
          <w:color w:val="auto"/>
        </w:rPr>
      </w:pPr>
      <w:r>
        <w:rPr>
          <w:rFonts w:ascii="Arial" w:cs="Arial" w:eastAsia="Arial" w:hAnsi="Arial"/>
          <w:sz w:val="17"/>
          <w:szCs w:val="17"/>
          <w:i w:val="1"/>
          <w:iCs w:val="1"/>
          <w:color w:val="auto"/>
        </w:rPr>
        <w:t xml:space="preserve">President and Chief Executive Officer. </w:t>
      </w:r>
      <w:r>
        <w:rPr>
          <w:rFonts w:ascii="Arial" w:cs="Arial" w:eastAsia="Arial" w:hAnsi="Arial"/>
          <w:sz w:val="17"/>
          <w:szCs w:val="17"/>
          <w:color w:val="auto"/>
        </w:rPr>
        <w:t>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since April 2008, president and chief executive officer of the company since 2004. Chief operating officer of the company, 2000-2004. Joined the company in 1980; elected president of the company’s Semiconductor Group and executive vice president in 1996. Director, Semiconductor Industry Association; member, The Business Roundtable.</w:t>
      </w:r>
    </w:p>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b w:val="1"/>
          <w:bCs w:val="1"/>
          <w:color w:val="auto"/>
        </w:rPr>
        <w:t xml:space="preserve">CHRISTINE TODD WHITMAN – Director </w:t>
      </w:r>
      <w:r>
        <w:rPr>
          <w:rFonts w:ascii="Arial" w:cs="Arial" w:eastAsia="Arial" w:hAnsi="Arial"/>
          <w:sz w:val="17"/>
          <w:szCs w:val="17"/>
          <w:i w:val="1"/>
          <w:iCs w:val="1"/>
          <w:color w:val="auto"/>
        </w:rPr>
        <w:t xml:space="preserve">Member, Governance and Stockholder Relations Committee. </w:t>
      </w:r>
      <w:r>
        <w:rPr>
          <w:rFonts w:ascii="Arial" w:cs="Arial" w:eastAsia="Arial" w:hAnsi="Arial"/>
          <w:sz w:val="17"/>
          <w:szCs w:val="17"/>
          <w:color w:val="auto"/>
        </w:rPr>
        <w:t>Director and president of The Whitman</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Group. Administrator of the Environmental Protection Agency, 2001-2003; Governor of New Jersey, 1994-2000. Director, Council on Foreign Relations, S.C. Johnson &amp; Son, Inc. and United Technologies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-868045</wp:posOffset>
            </wp:positionV>
            <wp:extent cx="772795" cy="953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2795" cy="953770"/>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6480" w:space="720"/>
            <w:col w:w="4220"/>
          </w:cols>
          <w:pgMar w:left="240" w:top="123" w:right="239" w:bottom="31" w:gutter="0" w:footer="0" w:header="0"/>
          <w:type w:val="continuous"/>
        </w:sectPr>
      </w:pPr>
    </w:p>
    <w:p>
      <w:pPr>
        <w:spacing w:after="0" w:line="334" w:lineRule="exact"/>
        <w:rPr>
          <w:sz w:val="20"/>
          <w:szCs w:val="20"/>
          <w:color w:val="auto"/>
        </w:rPr>
      </w:pPr>
    </w:p>
    <w:p>
      <w:pPr>
        <w:ind w:left="8100"/>
        <w:spacing w:after="0"/>
        <w:rPr>
          <w:sz w:val="20"/>
          <w:szCs w:val="20"/>
          <w:color w:val="auto"/>
        </w:rPr>
      </w:pPr>
      <w:r>
        <w:rPr>
          <w:rFonts w:ascii="Arial" w:cs="Arial" w:eastAsia="Arial" w:hAnsi="Arial"/>
          <w:sz w:val="12"/>
          <w:szCs w:val="12"/>
          <w:color w:val="auto"/>
        </w:rPr>
        <w:t>TEXAS INSTRUMENTS 2009 PROXY STATEMENT [ 53 ]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32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23" w:right="239" w:bottom="31" w:gutter="0" w:footer="0" w:header="0"/>
          <w:type w:val="continuous"/>
        </w:sectPr>
      </w:pPr>
    </w:p>
    <w:bookmarkStart w:id="3" w:name="page4"/>
    <w:bookmarkEnd w:id="3"/>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 process</w:t>
      </w:r>
    </w:p>
    <w:p>
      <w:pPr>
        <w:spacing w:after="0" w:line="1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Governance and Stockholder Relations Committee (the Committee), which is responsible for reviewing and recommending nominees to the board. The Committee is comprised solely of independent directors as defined by the rules of the New York Stock Exchange (NYSE) and the board’s corporate governance guidelines. Our board of directors has adopted a written charter for the Committee. It can be found on our web site at www.ti.com/corporategovernance.</w:t>
      </w:r>
    </w:p>
    <w:p>
      <w:pPr>
        <w:spacing w:after="0" w:line="2" w:lineRule="exact"/>
        <w:rPr>
          <w:sz w:val="20"/>
          <w:szCs w:val="20"/>
          <w:color w:val="auto"/>
        </w:rPr>
      </w:pPr>
    </w:p>
    <w:p>
      <w:pPr>
        <w:ind w:right="360" w:firstLine="234"/>
        <w:spacing w:after="0" w:line="238" w:lineRule="auto"/>
        <w:rPr>
          <w:sz w:val="20"/>
          <w:szCs w:val="20"/>
          <w:color w:val="auto"/>
        </w:rPr>
      </w:pPr>
      <w:r>
        <w:rPr>
          <w:rFonts w:ascii="Arial" w:cs="Arial" w:eastAsia="Arial" w:hAnsi="Arial"/>
          <w:sz w:val="17"/>
          <w:szCs w:val="17"/>
          <w:color w:val="auto"/>
        </w:rPr>
        <w:t>It is a long-standing policy of the board to consider prospective board nominees recommended by stockholders. A stockholder who wishes to recommend a prospective board nominee for the Committee’s consideration can write to the Secretary of the Governance and Stockholder Relations Committee, Texas Instruments Incorporated, Post Office Box 655936, MS 8658, Dallas, Texas 75265-5936. The Committee will evaluate the stockholder’s prospective board nominee in the same manner as it evaluates other nominees.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evaluating prospective nominees, the Committee looks for the following minimum qualifications, qualities and skills:</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right="20"/>
        <w:spacing w:after="0" w:line="286" w:lineRule="auto"/>
        <w:rPr>
          <w:sz w:val="20"/>
          <w:szCs w:val="20"/>
          <w:color w:val="auto"/>
        </w:rPr>
      </w:pPr>
      <w:r>
        <w:rPr>
          <w:rFonts w:ascii="Arial" w:cs="Arial" w:eastAsia="Arial" w:hAnsi="Arial"/>
          <w:sz w:val="17"/>
          <w:szCs w:val="17"/>
          <w:color w:val="auto"/>
        </w:rPr>
        <w:t>Willingness and ability to devote the time required to perform board activities adequately (in this regard, the Committee will consider the number of other boards on which the individual serves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-268605</wp:posOffset>
            </wp:positionV>
            <wp:extent cx="66675"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100"/>
        <w:spacing w:after="0" w:line="262" w:lineRule="auto"/>
        <w:rPr>
          <w:sz w:val="20"/>
          <w:szCs w:val="20"/>
          <w:color w:val="auto"/>
        </w:rPr>
      </w:pPr>
      <w:r>
        <w:rPr>
          <w:rFonts w:ascii="Arial" w:cs="Arial" w:eastAsia="Arial" w:hAnsi="Arial"/>
          <w:sz w:val="17"/>
          <w:szCs w:val="17"/>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-243840</wp:posOffset>
            </wp:positionV>
            <wp:extent cx="66675" cy="66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right="20" w:firstLine="234"/>
        <w:spacing w:after="0" w:line="238" w:lineRule="auto"/>
        <w:rPr>
          <w:sz w:val="20"/>
          <w:szCs w:val="20"/>
          <w:color w:val="auto"/>
        </w:rPr>
      </w:pPr>
      <w:r>
        <w:rPr>
          <w:rFonts w:ascii="Arial" w:cs="Arial" w:eastAsia="Arial" w:hAnsi="Arial"/>
          <w:sz w:val="17"/>
          <w:szCs w:val="17"/>
          <w:color w:val="auto"/>
        </w:rPr>
        <w:t>Stockholders, non-employee directors, management and others may submit recommendations to the Committee. The board prefers a mix of experience among its members to maintain a diversity of viewpoints. For example, some board members may have spent much of their careers in business, some in government and some in academia. The board’s current size is within the desired range as stated in the board’s corporate governance guidelines.</w:t>
      </w:r>
    </w:p>
    <w:p>
      <w:pPr>
        <w:spacing w:after="0" w:line="2" w:lineRule="exact"/>
        <w:rPr>
          <w:sz w:val="20"/>
          <w:szCs w:val="20"/>
          <w:color w:val="auto"/>
        </w:rPr>
      </w:pPr>
    </w:p>
    <w:p>
      <w:pPr>
        <w:ind w:right="300" w:firstLine="234"/>
        <w:spacing w:after="0"/>
        <w:rPr>
          <w:sz w:val="20"/>
          <w:szCs w:val="20"/>
          <w:color w:val="auto"/>
        </w:rPr>
      </w:pPr>
      <w:r>
        <w:rPr>
          <w:rFonts w:ascii="Arial" w:cs="Arial" w:eastAsia="Arial" w:hAnsi="Arial"/>
          <w:sz w:val="17"/>
          <w:szCs w:val="17"/>
          <w:color w:val="auto"/>
        </w:rPr>
        <w:t>Mr. MacMillan was elected to the Board on September 18, 2008. He is the only non-management director nominee for the 2009 annual meeting of stockholders who is standing for election by the stockholders for the first time. A search firm retained by the company to assist the Committee in identifying and evaluating potential nominees initially identified Mr. MacMillan as a potential director candidate. The search firm conducted research to identify viable candidates, based on qualifications and skills the Committee determined that candidates should possess. It then conducted further research on the candidates in whom the Committee had the most interest. The firm is no longer on retainer.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19"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Stockholders and others who wish to communicate with the board as a whole, or to individual directors, may write to them at: P. O. Box 655936, MS 8658, Dallas, Texas 75265-5936. All communications sent to this address will be shared with the board or the individual director, if so addressed.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19"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board has a long-standing commitment to responsible and effective corporate governance. The board’s corporate governance guidelines, the charters of the board’s committees, TI’s code of business conduct and our code of ethics for its chief executive officer and senior financial officers are available on our web site at www.ti.com/corporategovernance. Stockholders may request copies of these documents free of charge by writing to Texas Instruments Incorporated, P.O. Box 660199, MS 8657, Dallas, Texas, 75266-0199, Attn: Investor Relations.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attendance</w:t>
      </w:r>
    </w:p>
    <w:p>
      <w:pPr>
        <w:spacing w:after="0" w:line="19"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It is a policy of the board to encourage directors to attend each annual meeting of stockholders. Such attendance allows for direct interaction between stockholders and board members. In 2008, all directors attended TI’s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adopted the following standards for determining independence.</w:t>
      </w:r>
    </w:p>
    <w:p>
      <w:pPr>
        <w:spacing w:after="0" w:line="238" w:lineRule="auto"/>
        <w:rPr>
          <w:sz w:val="20"/>
          <w:szCs w:val="20"/>
          <w:color w:val="auto"/>
        </w:rPr>
      </w:pPr>
      <w:r>
        <w:rPr>
          <w:rFonts w:ascii="Arial" w:cs="Arial" w:eastAsia="Arial" w:hAnsi="Arial"/>
          <w:sz w:val="17"/>
          <w:szCs w:val="17"/>
          <w:color w:val="auto"/>
        </w:rPr>
        <w:t>A. In no event will a director be considered independent if:</w:t>
      </w:r>
    </w:p>
    <w:p>
      <w:pPr>
        <w:ind w:left="400" w:hanging="189"/>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He or she is a current partner of or is employed by the company’s independent auditors; or</w:t>
      </w:r>
    </w:p>
    <w:p>
      <w:pPr>
        <w:spacing w:after="0" w:line="37" w:lineRule="exact"/>
        <w:rPr>
          <w:rFonts w:ascii="Arial" w:cs="Arial" w:eastAsia="Arial" w:hAnsi="Arial"/>
          <w:sz w:val="17"/>
          <w:szCs w:val="17"/>
          <w:color w:val="auto"/>
        </w:rPr>
      </w:pPr>
    </w:p>
    <w:p>
      <w:pPr>
        <w:ind w:left="400" w:right="680" w:hanging="189"/>
        <w:spacing w:after="0" w:line="246" w:lineRule="auto"/>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is (a) a current partner of the company’s independent auditors or (b) currently employed by the company’s independent auditors and personally works on the company’s audit.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[ 54 ]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B. In no event will a director be considered independent if, within the preceding three years:</w:t>
      </w:r>
    </w:p>
    <w:p>
      <w:pPr>
        <w:ind w:left="500" w:right="4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He or she was employed by the company (except in the capacity of interim chairman of the board, chief executive officer or other executive officer) or any of its subsidiaries;</w:t>
      </w:r>
    </w:p>
    <w:p>
      <w:pPr>
        <w:ind w:left="500" w:right="20" w:hanging="192"/>
        <w:spacing w:after="0" w:line="241"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He or she received more than $120,000 during any twelve-month period in direct compensation from TI (other than (a) director and committee fees and pension or other forms of deferred compensation and (b) compensation received for former service as an interim chairman of the board, chief executive officer or other executive officer);</w:t>
      </w:r>
    </w:p>
    <w:p>
      <w:pPr>
        <w:spacing w:after="0" w:line="6" w:lineRule="exact"/>
        <w:rPr>
          <w:rFonts w:ascii="Arial" w:cs="Arial" w:eastAsia="Arial" w:hAnsi="Arial"/>
          <w:sz w:val="17"/>
          <w:szCs w:val="17"/>
          <w:color w:val="auto"/>
        </w:rPr>
      </w:pPr>
    </w:p>
    <w:p>
      <w:pPr>
        <w:ind w:left="500" w:hanging="192"/>
        <w:spacing w:after="0"/>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immediate family member of the director was employed as an executive officer by the company or any of its subsidiaries;</w:t>
      </w:r>
    </w:p>
    <w:p>
      <w:pPr>
        <w:spacing w:after="0" w:line="24" w:lineRule="exact"/>
        <w:rPr>
          <w:rFonts w:ascii="Arial" w:cs="Arial" w:eastAsia="Arial" w:hAnsi="Arial"/>
          <w:sz w:val="17"/>
          <w:szCs w:val="17"/>
          <w:color w:val="auto"/>
        </w:rPr>
      </w:pPr>
    </w:p>
    <w:p>
      <w:pPr>
        <w:ind w:left="500" w:right="72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immediate family member of the director received more than $120,000 during any twelve-month period in direct compensation from TI (excluding compensation as a non-executive officer employee of the company);</w:t>
      </w:r>
    </w:p>
    <w:p>
      <w:pPr>
        <w:ind w:left="500" w:right="40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He or she was (but is no longer) a partner or employee of the company’s independent auditors and personally worked on the company’s audit within that time;</w:t>
      </w:r>
    </w:p>
    <w:p>
      <w:pPr>
        <w:ind w:left="500" w:right="24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immediate family member of the director was (but is no longer) a partner or employee of the company’s independent auditors and personally worked on the company’s audit within that time;</w:t>
      </w:r>
    </w:p>
    <w:p>
      <w:pPr>
        <w:ind w:left="500" w:right="14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He or she was an executive officer of another company, at which any of TI’s current executive officers at the same time served on that company’s compensation committee;</w:t>
      </w:r>
    </w:p>
    <w:p>
      <w:pPr>
        <w:ind w:left="500" w:right="42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immediate family member of the director was an executive officer of another company at which any of TI’s current executive officers at the same time served on that company’s compensation committee;</w:t>
      </w:r>
    </w:p>
    <w:p>
      <w:pPr>
        <w:ind w:left="500" w:hanging="192"/>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 or</w:t>
      </w:r>
    </w:p>
    <w:p>
      <w:pPr>
        <w:spacing w:after="0" w:line="1" w:lineRule="exact"/>
        <w:rPr>
          <w:rFonts w:ascii="Arial" w:cs="Arial" w:eastAsia="Arial" w:hAnsi="Arial"/>
          <w:sz w:val="17"/>
          <w:szCs w:val="17"/>
          <w:color w:val="auto"/>
        </w:rPr>
      </w:pPr>
    </w:p>
    <w:p>
      <w:pPr>
        <w:ind w:left="500" w:right="120" w:hanging="285"/>
        <w:spacing w:after="0" w:line="238" w:lineRule="auto"/>
        <w:tabs>
          <w:tab w:leader="none" w:pos="5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w:t>
      </w:r>
    </w:p>
    <w:p>
      <w:pPr>
        <w:spacing w:after="0" w:line="1" w:lineRule="exact"/>
        <w:rPr>
          <w:rFonts w:ascii="Arial" w:cs="Arial" w:eastAsia="Arial" w:hAnsi="Arial"/>
          <w:sz w:val="17"/>
          <w:szCs w:val="17"/>
          <w:color w:val="auto"/>
        </w:rPr>
      </w:pPr>
    </w:p>
    <w:p>
      <w:pPr>
        <w:ind w:left="220" w:right="80" w:hanging="216"/>
        <w:spacing w:after="0" w:line="242"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ectPr>
          <w:pgSz w:w="11900" w:h="16874" w:orient="portrait"/>
          <w:cols w:equalWidth="0" w:num="1">
            <w:col w:w="11420"/>
          </w:cols>
          <w:pgMar w:left="240" w:top="123" w:right="239" w:bottom="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D. The following relationships will not be considered material relationships with the company for the purpose of determining director independence:</w:t>
      </w:r>
    </w:p>
    <w:p>
      <w:pPr>
        <w:ind w:left="500" w:right="400" w:hanging="192"/>
        <w:spacing w:after="0" w:line="253"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director is an employee, director or trustee of a charitable organization and TI or the TI Foundation makes discretionary contributions to that organization that are less than the greater of $50,000 or 2 percent of the organization’s latest publicly available consolidated gross revenue.</w:t>
      </w:r>
    </w:p>
    <w:p>
      <w:pPr>
        <w:ind w:left="500" w:right="220" w:hanging="192"/>
        <w:spacing w:after="0" w:line="242"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director is an employee, director or trustee of another entity that is indebted to TI or to which TI is indebted, and the total amount of either company’s indebtedness to the other is less than 2 percent of the total consolidated assets of the entity he or she serves as an executive officer, director or trustee.</w:t>
      </w:r>
    </w:p>
    <w:p>
      <w:pPr>
        <w:spacing w:after="0" w:line="17" w:lineRule="exact"/>
        <w:rPr>
          <w:sz w:val="20"/>
          <w:szCs w:val="20"/>
          <w:color w:val="auto"/>
        </w:rPr>
      </w:pPr>
    </w:p>
    <w:p>
      <w:pPr>
        <w:ind w:right="60" w:firstLine="259"/>
        <w:spacing w:after="0" w:line="246" w:lineRule="auto"/>
        <w:rPr>
          <w:sz w:val="20"/>
          <w:szCs w:val="20"/>
          <w:color w:val="auto"/>
        </w:rPr>
      </w:pPr>
      <w:r>
        <w:rPr>
          <w:rFonts w:ascii="Arial" w:cs="Arial" w:eastAsia="Arial" w:hAnsi="Arial"/>
          <w:sz w:val="17"/>
          <w:szCs w:val="17"/>
          <w:color w:val="auto"/>
        </w:rPr>
        <w:t>For any other relationship, the determination of whether it is material, and consequently whether the director involved is independent, will be made by directors who satisfy the independence criteria set forth in this section.</w:t>
      </w:r>
    </w:p>
    <w:p>
      <w:pPr>
        <w:spacing w:after="0" w:line="1" w:lineRule="exact"/>
        <w:rPr>
          <w:sz w:val="20"/>
          <w:szCs w:val="20"/>
          <w:color w:val="auto"/>
        </w:rPr>
      </w:pPr>
    </w:p>
    <w:p>
      <w:pPr>
        <w:ind w:left="220" w:right="560" w:firstLine="9"/>
        <w:spacing w:after="0" w:line="253" w:lineRule="auto"/>
        <w:rPr>
          <w:sz w:val="20"/>
          <w:szCs w:val="20"/>
          <w:color w:val="auto"/>
        </w:rPr>
      </w:pPr>
      <w:r>
        <w:rPr>
          <w:rFonts w:ascii="Arial" w:cs="Arial" w:eastAsia="Arial" w:hAnsi="Arial"/>
          <w:sz w:val="16"/>
          <w:szCs w:val="16"/>
          <w:color w:val="auto"/>
        </w:rPr>
        <w:t>For purposes of these independence determinations, “immediate family member” will have the same meaning as under the NYSE rules. Applying these standards, the board has determined that the following directors have no material relationship with the company other than as a</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director and are, therefore, independent: Mr. Adams, Mr. Boren, Mr. Carp, Ms. Cox, Mr. Goode, Mr. MacMillan, Ms. Patsley, Mr. Sanders, Ms. Simmons and Ms. Whitman.</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ages, service and stock ownership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directors’ ages and beneficial ownership of common stock of the company and the year each became a director.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ind w:left="60"/>
              <w:spacing w:after="0"/>
              <w:rPr>
                <w:sz w:val="20"/>
                <w:szCs w:val="20"/>
                <w:color w:val="auto"/>
              </w:rPr>
            </w:pPr>
            <w:r>
              <w:rPr>
                <w:rFonts w:ascii="Arial" w:cs="Arial" w:eastAsia="Arial" w:hAnsi="Arial"/>
                <w:sz w:val="13"/>
                <w:szCs w:val="13"/>
                <w:b w:val="1"/>
                <w:bCs w:val="1"/>
                <w:color w:val="auto"/>
              </w:rPr>
              <w:t>Common Stock</w:t>
            </w:r>
          </w:p>
        </w:tc>
      </w:tr>
      <w:tr>
        <w:trPr>
          <w:trHeight w:val="171"/>
        </w:trPr>
        <w:tc>
          <w:tcPr>
            <w:tcW w:w="50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1340" w:type="dxa"/>
            <w:vAlign w:val="bottom"/>
          </w:tcPr>
          <w:p>
            <w:pPr>
              <w:jc w:val="center"/>
              <w:ind w:left="40"/>
              <w:spacing w:after="0"/>
              <w:rPr>
                <w:sz w:val="20"/>
                <w:szCs w:val="20"/>
                <w:color w:val="auto"/>
              </w:rPr>
            </w:pPr>
            <w:r>
              <w:rPr>
                <w:rFonts w:ascii="Arial" w:cs="Arial" w:eastAsia="Arial" w:hAnsi="Arial"/>
                <w:sz w:val="13"/>
                <w:szCs w:val="13"/>
                <w:b w:val="1"/>
                <w:bCs w:val="1"/>
                <w:color w:val="auto"/>
                <w:w w:val="99"/>
              </w:rPr>
              <w:t>Ownership at</w:t>
            </w:r>
          </w:p>
        </w:tc>
      </w:tr>
      <w:tr>
        <w:trPr>
          <w:trHeight w:val="221"/>
        </w:trPr>
        <w:tc>
          <w:tcPr>
            <w:tcW w:w="5060" w:type="dxa"/>
            <w:vAlign w:val="bottom"/>
          </w:tcPr>
          <w:p>
            <w:pPr>
              <w:spacing w:after="0"/>
              <w:rPr>
                <w:sz w:val="20"/>
                <w:szCs w:val="20"/>
                <w:color w:val="auto"/>
              </w:rPr>
            </w:pPr>
            <w:r>
              <w:rPr>
                <w:rFonts w:ascii="Arial" w:cs="Arial" w:eastAsia="Arial" w:hAnsi="Arial"/>
                <w:sz w:val="13"/>
                <w:szCs w:val="13"/>
                <w:b w:val="1"/>
                <w:bCs w:val="1"/>
                <w:color w:val="auto"/>
              </w:rPr>
              <w:t>Director</w:t>
            </w:r>
          </w:p>
        </w:tc>
        <w:tc>
          <w:tcPr>
            <w:tcW w:w="4260" w:type="dxa"/>
            <w:vAlign w:val="bottom"/>
          </w:tcPr>
          <w:p>
            <w:pPr>
              <w:jc w:val="center"/>
              <w:ind w:left="3657"/>
              <w:spacing w:after="0"/>
              <w:rPr>
                <w:sz w:val="20"/>
                <w:szCs w:val="20"/>
                <w:color w:val="auto"/>
              </w:rPr>
            </w:pPr>
            <w:r>
              <w:rPr>
                <w:rFonts w:ascii="Arial" w:cs="Arial" w:eastAsia="Arial" w:hAnsi="Arial"/>
                <w:sz w:val="13"/>
                <w:szCs w:val="13"/>
                <w:b w:val="1"/>
                <w:bCs w:val="1"/>
                <w:color w:val="auto"/>
                <w:w w:val="97"/>
              </w:rPr>
              <w:t>Age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Since</w:t>
            </w:r>
          </w:p>
        </w:tc>
        <w:tc>
          <w:tcPr>
            <w:tcW w:w="1340" w:type="dxa"/>
            <w:vAlign w:val="bottom"/>
          </w:tcPr>
          <w:p>
            <w:pPr>
              <w:jc w:val="center"/>
              <w:ind w:left="40"/>
              <w:spacing w:after="0"/>
              <w:rPr>
                <w:sz w:val="20"/>
                <w:szCs w:val="20"/>
                <w:color w:val="auto"/>
              </w:rPr>
            </w:pPr>
            <w:r>
              <w:rPr>
                <w:rFonts w:ascii="Arial" w:cs="Arial" w:eastAsia="Arial" w:hAnsi="Arial"/>
                <w:sz w:val="13"/>
                <w:szCs w:val="13"/>
                <w:b w:val="1"/>
                <w:bCs w:val="1"/>
                <w:color w:val="auto"/>
                <w:w w:val="99"/>
              </w:rPr>
              <w:t>December 31, 2008*</w:t>
            </w:r>
          </w:p>
        </w:tc>
      </w:tr>
      <w:tr>
        <w:trPr>
          <w:trHeight w:val="233"/>
        </w:trPr>
        <w:tc>
          <w:tcPr>
            <w:tcW w:w="5060" w:type="dxa"/>
            <w:vAlign w:val="bottom"/>
            <w:shd w:val="clear" w:color="auto" w:fill="E9E9E9"/>
          </w:tcPr>
          <w:p>
            <w:pPr>
              <w:spacing w:after="0"/>
              <w:rPr>
                <w:sz w:val="20"/>
                <w:szCs w:val="20"/>
                <w:color w:val="auto"/>
              </w:rPr>
            </w:pPr>
          </w:p>
        </w:tc>
        <w:tc>
          <w:tcPr>
            <w:tcW w:w="426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1340" w:type="dxa"/>
            <w:vAlign w:val="bottom"/>
            <w:shd w:val="clear" w:color="auto" w:fill="E9E9E9"/>
          </w:tcPr>
          <w:p>
            <w:pPr>
              <w:spacing w:after="0"/>
              <w:rPr>
                <w:sz w:val="20"/>
                <w:szCs w:val="20"/>
                <w:color w:val="auto"/>
              </w:rPr>
            </w:pPr>
          </w:p>
        </w:tc>
      </w:tr>
      <w:tr>
        <w:trPr>
          <w:trHeight w:val="194"/>
        </w:trPr>
        <w:tc>
          <w:tcPr>
            <w:tcW w:w="50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J. R. Adams</w:t>
            </w:r>
          </w:p>
        </w:tc>
        <w:tc>
          <w:tcPr>
            <w:tcW w:w="4260" w:type="dxa"/>
            <w:vAlign w:val="bottom"/>
            <w:shd w:val="clear" w:color="auto" w:fill="C0C0C0"/>
          </w:tcPr>
          <w:p>
            <w:pPr>
              <w:jc w:val="center"/>
              <w:ind w:left="3657"/>
              <w:spacing w:after="0" w:line="194" w:lineRule="exact"/>
              <w:rPr>
                <w:sz w:val="20"/>
                <w:szCs w:val="20"/>
                <w:color w:val="auto"/>
              </w:rPr>
            </w:pPr>
            <w:r>
              <w:rPr>
                <w:rFonts w:ascii="Arial" w:cs="Arial" w:eastAsia="Arial" w:hAnsi="Arial"/>
                <w:sz w:val="17"/>
                <w:szCs w:val="17"/>
                <w:color w:val="auto"/>
              </w:rPr>
              <w:t>69</w:t>
            </w:r>
          </w:p>
        </w:tc>
        <w:tc>
          <w:tcPr>
            <w:tcW w:w="7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1989</w:t>
            </w:r>
          </w:p>
        </w:tc>
        <w:tc>
          <w:tcPr>
            <w:tcW w:w="134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454,075</w:t>
            </w:r>
          </w:p>
        </w:tc>
      </w:tr>
      <w:tr>
        <w:trPr>
          <w:trHeight w:val="194"/>
        </w:trPr>
        <w:tc>
          <w:tcPr>
            <w:tcW w:w="5060" w:type="dxa"/>
            <w:vAlign w:val="bottom"/>
          </w:tcPr>
          <w:p>
            <w:pPr>
              <w:spacing w:after="0" w:line="194" w:lineRule="exact"/>
              <w:rPr>
                <w:sz w:val="20"/>
                <w:szCs w:val="20"/>
                <w:color w:val="auto"/>
              </w:rPr>
            </w:pPr>
            <w:r>
              <w:rPr>
                <w:rFonts w:ascii="Arial" w:cs="Arial" w:eastAsia="Arial" w:hAnsi="Arial"/>
                <w:sz w:val="17"/>
                <w:szCs w:val="17"/>
                <w:color w:val="auto"/>
              </w:rPr>
              <w:t>D. L. Boren</w:t>
            </w:r>
          </w:p>
        </w:tc>
        <w:tc>
          <w:tcPr>
            <w:tcW w:w="4260" w:type="dxa"/>
            <w:vAlign w:val="bottom"/>
          </w:tcPr>
          <w:p>
            <w:pPr>
              <w:jc w:val="center"/>
              <w:ind w:left="3657"/>
              <w:spacing w:after="0" w:line="194" w:lineRule="exact"/>
              <w:rPr>
                <w:sz w:val="20"/>
                <w:szCs w:val="20"/>
                <w:color w:val="auto"/>
              </w:rPr>
            </w:pPr>
            <w:r>
              <w:rPr>
                <w:rFonts w:ascii="Arial" w:cs="Arial" w:eastAsia="Arial" w:hAnsi="Arial"/>
                <w:sz w:val="17"/>
                <w:szCs w:val="17"/>
                <w:color w:val="auto"/>
              </w:rPr>
              <w:t>67</w:t>
            </w:r>
          </w:p>
        </w:tc>
        <w:tc>
          <w:tcPr>
            <w:tcW w:w="760" w:type="dxa"/>
            <w:vAlign w:val="bottom"/>
          </w:tcPr>
          <w:p>
            <w:pPr>
              <w:jc w:val="center"/>
              <w:spacing w:after="0" w:line="194" w:lineRule="exact"/>
              <w:rPr>
                <w:sz w:val="20"/>
                <w:szCs w:val="20"/>
                <w:color w:val="auto"/>
              </w:rPr>
            </w:pPr>
            <w:r>
              <w:rPr>
                <w:rFonts w:ascii="Arial" w:cs="Arial" w:eastAsia="Arial" w:hAnsi="Arial"/>
                <w:sz w:val="17"/>
                <w:szCs w:val="17"/>
                <w:color w:val="auto"/>
              </w:rPr>
              <w:t>1995</w:t>
            </w:r>
          </w:p>
        </w:tc>
        <w:tc>
          <w:tcPr>
            <w:tcW w:w="134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90,524</w:t>
            </w:r>
          </w:p>
        </w:tc>
      </w:tr>
      <w:tr>
        <w:trPr>
          <w:trHeight w:val="194"/>
        </w:trPr>
        <w:tc>
          <w:tcPr>
            <w:tcW w:w="50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 A. Carp</w:t>
            </w:r>
          </w:p>
        </w:tc>
        <w:tc>
          <w:tcPr>
            <w:tcW w:w="4260" w:type="dxa"/>
            <w:vAlign w:val="bottom"/>
            <w:shd w:val="clear" w:color="auto" w:fill="C0C0C0"/>
          </w:tcPr>
          <w:p>
            <w:pPr>
              <w:jc w:val="center"/>
              <w:ind w:left="3657"/>
              <w:spacing w:after="0" w:line="194" w:lineRule="exact"/>
              <w:rPr>
                <w:sz w:val="20"/>
                <w:szCs w:val="20"/>
                <w:color w:val="auto"/>
              </w:rPr>
            </w:pPr>
            <w:r>
              <w:rPr>
                <w:rFonts w:ascii="Arial" w:cs="Arial" w:eastAsia="Arial" w:hAnsi="Arial"/>
                <w:sz w:val="17"/>
                <w:szCs w:val="17"/>
                <w:color w:val="auto"/>
              </w:rPr>
              <w:t>60</w:t>
            </w:r>
          </w:p>
        </w:tc>
        <w:tc>
          <w:tcPr>
            <w:tcW w:w="7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1997</w:t>
            </w:r>
          </w:p>
        </w:tc>
        <w:tc>
          <w:tcPr>
            <w:tcW w:w="134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150,134</w:t>
            </w:r>
          </w:p>
        </w:tc>
      </w:tr>
      <w:tr>
        <w:trPr>
          <w:trHeight w:val="194"/>
        </w:trPr>
        <w:tc>
          <w:tcPr>
            <w:tcW w:w="5060" w:type="dxa"/>
            <w:vAlign w:val="bottom"/>
          </w:tcPr>
          <w:p>
            <w:pPr>
              <w:spacing w:after="0" w:line="194" w:lineRule="exact"/>
              <w:rPr>
                <w:sz w:val="20"/>
                <w:szCs w:val="20"/>
                <w:color w:val="auto"/>
              </w:rPr>
            </w:pPr>
            <w:r>
              <w:rPr>
                <w:rFonts w:ascii="Arial" w:cs="Arial" w:eastAsia="Arial" w:hAnsi="Arial"/>
                <w:sz w:val="17"/>
                <w:szCs w:val="17"/>
                <w:color w:val="auto"/>
              </w:rPr>
              <w:t>C. S. Cox</w:t>
            </w:r>
          </w:p>
        </w:tc>
        <w:tc>
          <w:tcPr>
            <w:tcW w:w="4260" w:type="dxa"/>
            <w:vAlign w:val="bottom"/>
          </w:tcPr>
          <w:p>
            <w:pPr>
              <w:jc w:val="center"/>
              <w:ind w:left="3657"/>
              <w:spacing w:after="0" w:line="194" w:lineRule="exact"/>
              <w:rPr>
                <w:sz w:val="20"/>
                <w:szCs w:val="20"/>
                <w:color w:val="auto"/>
              </w:rPr>
            </w:pPr>
            <w:r>
              <w:rPr>
                <w:rFonts w:ascii="Arial" w:cs="Arial" w:eastAsia="Arial" w:hAnsi="Arial"/>
                <w:sz w:val="17"/>
                <w:szCs w:val="17"/>
                <w:color w:val="auto"/>
              </w:rPr>
              <w:t>51</w:t>
            </w:r>
          </w:p>
        </w:tc>
        <w:tc>
          <w:tcPr>
            <w:tcW w:w="760" w:type="dxa"/>
            <w:vAlign w:val="bottom"/>
          </w:tcPr>
          <w:p>
            <w:pPr>
              <w:jc w:val="center"/>
              <w:spacing w:after="0" w:line="194" w:lineRule="exact"/>
              <w:rPr>
                <w:sz w:val="20"/>
                <w:szCs w:val="20"/>
                <w:color w:val="auto"/>
              </w:rPr>
            </w:pPr>
            <w:r>
              <w:rPr>
                <w:rFonts w:ascii="Arial" w:cs="Arial" w:eastAsia="Arial" w:hAnsi="Arial"/>
                <w:sz w:val="17"/>
                <w:szCs w:val="17"/>
                <w:color w:val="auto"/>
              </w:rPr>
              <w:t>2004</w:t>
            </w:r>
          </w:p>
        </w:tc>
        <w:tc>
          <w:tcPr>
            <w:tcW w:w="134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41,639</w:t>
            </w:r>
          </w:p>
        </w:tc>
      </w:tr>
      <w:tr>
        <w:trPr>
          <w:trHeight w:val="233"/>
        </w:trPr>
        <w:tc>
          <w:tcPr>
            <w:tcW w:w="5060" w:type="dxa"/>
            <w:vAlign w:val="bottom"/>
            <w:shd w:val="clear" w:color="auto" w:fill="C0C0C0"/>
          </w:tcPr>
          <w:p>
            <w:pPr>
              <w:spacing w:after="0"/>
              <w:rPr>
                <w:sz w:val="20"/>
                <w:szCs w:val="20"/>
                <w:color w:val="auto"/>
              </w:rPr>
            </w:pPr>
            <w:r>
              <w:rPr>
                <w:rFonts w:ascii="Arial" w:cs="Arial" w:eastAsia="Arial" w:hAnsi="Arial"/>
                <w:sz w:val="17"/>
                <w:szCs w:val="17"/>
                <w:color w:val="auto"/>
              </w:rPr>
              <w:t>D. R. Goode</w:t>
            </w:r>
          </w:p>
        </w:tc>
        <w:tc>
          <w:tcPr>
            <w:tcW w:w="4260" w:type="dxa"/>
            <w:vAlign w:val="bottom"/>
            <w:shd w:val="clear" w:color="auto" w:fill="C0C0C0"/>
          </w:tcPr>
          <w:p>
            <w:pPr>
              <w:jc w:val="center"/>
              <w:ind w:left="3657"/>
              <w:spacing w:after="0"/>
              <w:rPr>
                <w:sz w:val="20"/>
                <w:szCs w:val="20"/>
                <w:color w:val="auto"/>
              </w:rPr>
            </w:pPr>
            <w:r>
              <w:rPr>
                <w:rFonts w:ascii="Arial" w:cs="Arial" w:eastAsia="Arial" w:hAnsi="Arial"/>
                <w:sz w:val="17"/>
                <w:szCs w:val="17"/>
                <w:color w:val="auto"/>
              </w:rPr>
              <w:t>68</w:t>
            </w: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1996</w:t>
            </w:r>
          </w:p>
        </w:tc>
        <w:tc>
          <w:tcPr>
            <w:tcW w:w="134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147,833</w:t>
            </w:r>
          </w:p>
        </w:tc>
      </w:tr>
      <w:tr>
        <w:trPr>
          <w:trHeight w:val="194"/>
        </w:trPr>
        <w:tc>
          <w:tcPr>
            <w:tcW w:w="5060" w:type="dxa"/>
            <w:vAlign w:val="bottom"/>
          </w:tcPr>
          <w:p>
            <w:pPr>
              <w:spacing w:after="0" w:line="194" w:lineRule="exact"/>
              <w:rPr>
                <w:sz w:val="20"/>
                <w:szCs w:val="20"/>
                <w:color w:val="auto"/>
              </w:rPr>
            </w:pPr>
            <w:r>
              <w:rPr>
                <w:rFonts w:ascii="Arial" w:cs="Arial" w:eastAsia="Arial" w:hAnsi="Arial"/>
                <w:sz w:val="17"/>
                <w:szCs w:val="17"/>
                <w:color w:val="auto"/>
              </w:rPr>
              <w:t>S. P. MacMillan</w:t>
            </w:r>
          </w:p>
        </w:tc>
        <w:tc>
          <w:tcPr>
            <w:tcW w:w="4260" w:type="dxa"/>
            <w:vAlign w:val="bottom"/>
          </w:tcPr>
          <w:p>
            <w:pPr>
              <w:jc w:val="center"/>
              <w:ind w:left="3657"/>
              <w:spacing w:after="0" w:line="194" w:lineRule="exact"/>
              <w:rPr>
                <w:sz w:val="20"/>
                <w:szCs w:val="20"/>
                <w:color w:val="auto"/>
              </w:rPr>
            </w:pPr>
            <w:r>
              <w:rPr>
                <w:rFonts w:ascii="Arial" w:cs="Arial" w:eastAsia="Arial" w:hAnsi="Arial"/>
                <w:sz w:val="17"/>
                <w:szCs w:val="17"/>
                <w:color w:val="auto"/>
              </w:rPr>
              <w:t>45</w:t>
            </w:r>
          </w:p>
        </w:tc>
        <w:tc>
          <w:tcPr>
            <w:tcW w:w="760" w:type="dxa"/>
            <w:vAlign w:val="bottom"/>
          </w:tcPr>
          <w:p>
            <w:pPr>
              <w:jc w:val="center"/>
              <w:spacing w:after="0" w:line="194" w:lineRule="exact"/>
              <w:rPr>
                <w:sz w:val="20"/>
                <w:szCs w:val="20"/>
                <w:color w:val="auto"/>
              </w:rPr>
            </w:pPr>
            <w:r>
              <w:rPr>
                <w:rFonts w:ascii="Arial" w:cs="Arial" w:eastAsia="Arial" w:hAnsi="Arial"/>
                <w:sz w:val="17"/>
                <w:szCs w:val="17"/>
                <w:color w:val="auto"/>
              </w:rPr>
              <w:t>2008</w:t>
            </w:r>
          </w:p>
        </w:tc>
        <w:tc>
          <w:tcPr>
            <w:tcW w:w="134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3,649</w:t>
            </w:r>
          </w:p>
        </w:tc>
      </w:tr>
      <w:tr>
        <w:trPr>
          <w:trHeight w:val="233"/>
        </w:trPr>
        <w:tc>
          <w:tcPr>
            <w:tcW w:w="5060" w:type="dxa"/>
            <w:vAlign w:val="bottom"/>
            <w:shd w:val="clear" w:color="auto" w:fill="C0C0C0"/>
          </w:tcPr>
          <w:p>
            <w:pPr>
              <w:spacing w:after="0"/>
              <w:rPr>
                <w:sz w:val="20"/>
                <w:szCs w:val="20"/>
                <w:color w:val="auto"/>
              </w:rPr>
            </w:pPr>
            <w:r>
              <w:rPr>
                <w:rFonts w:ascii="Arial" w:cs="Arial" w:eastAsia="Arial" w:hAnsi="Arial"/>
                <w:sz w:val="17"/>
                <w:szCs w:val="17"/>
                <w:color w:val="auto"/>
              </w:rPr>
              <w:t>P. H. Patsley</w:t>
            </w:r>
          </w:p>
        </w:tc>
        <w:tc>
          <w:tcPr>
            <w:tcW w:w="4260" w:type="dxa"/>
            <w:vAlign w:val="bottom"/>
            <w:shd w:val="clear" w:color="auto" w:fill="C0C0C0"/>
          </w:tcPr>
          <w:p>
            <w:pPr>
              <w:jc w:val="center"/>
              <w:ind w:left="3657"/>
              <w:spacing w:after="0"/>
              <w:rPr>
                <w:sz w:val="20"/>
                <w:szCs w:val="20"/>
                <w:color w:val="auto"/>
              </w:rPr>
            </w:pPr>
            <w:r>
              <w:rPr>
                <w:rFonts w:ascii="Arial" w:cs="Arial" w:eastAsia="Arial" w:hAnsi="Arial"/>
                <w:sz w:val="17"/>
                <w:szCs w:val="17"/>
                <w:color w:val="auto"/>
              </w:rPr>
              <w:t>52</w:t>
            </w: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2004</w:t>
            </w:r>
          </w:p>
        </w:tc>
        <w:tc>
          <w:tcPr>
            <w:tcW w:w="134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51,260</w:t>
            </w:r>
          </w:p>
        </w:tc>
      </w:tr>
      <w:tr>
        <w:trPr>
          <w:trHeight w:val="194"/>
        </w:trPr>
        <w:tc>
          <w:tcPr>
            <w:tcW w:w="5060" w:type="dxa"/>
            <w:vAlign w:val="bottom"/>
          </w:tcPr>
          <w:p>
            <w:pPr>
              <w:spacing w:after="0" w:line="194" w:lineRule="exact"/>
              <w:rPr>
                <w:sz w:val="20"/>
                <w:szCs w:val="20"/>
                <w:color w:val="auto"/>
              </w:rPr>
            </w:pPr>
            <w:r>
              <w:rPr>
                <w:rFonts w:ascii="Arial" w:cs="Arial" w:eastAsia="Arial" w:hAnsi="Arial"/>
                <w:sz w:val="17"/>
                <w:szCs w:val="17"/>
                <w:color w:val="auto"/>
              </w:rPr>
              <w:t>W. R. Sanders</w:t>
            </w:r>
          </w:p>
        </w:tc>
        <w:tc>
          <w:tcPr>
            <w:tcW w:w="4260" w:type="dxa"/>
            <w:vAlign w:val="bottom"/>
          </w:tcPr>
          <w:p>
            <w:pPr>
              <w:jc w:val="center"/>
              <w:ind w:left="3657"/>
              <w:spacing w:after="0" w:line="194" w:lineRule="exact"/>
              <w:rPr>
                <w:sz w:val="20"/>
                <w:szCs w:val="20"/>
                <w:color w:val="auto"/>
              </w:rPr>
            </w:pPr>
            <w:r>
              <w:rPr>
                <w:rFonts w:ascii="Arial" w:cs="Arial" w:eastAsia="Arial" w:hAnsi="Arial"/>
                <w:sz w:val="17"/>
                <w:szCs w:val="17"/>
                <w:color w:val="auto"/>
              </w:rPr>
              <w:t>61</w:t>
            </w:r>
          </w:p>
        </w:tc>
        <w:tc>
          <w:tcPr>
            <w:tcW w:w="760" w:type="dxa"/>
            <w:vAlign w:val="bottom"/>
          </w:tcPr>
          <w:p>
            <w:pPr>
              <w:jc w:val="center"/>
              <w:spacing w:after="0" w:line="194" w:lineRule="exact"/>
              <w:rPr>
                <w:sz w:val="20"/>
                <w:szCs w:val="20"/>
                <w:color w:val="auto"/>
              </w:rPr>
            </w:pPr>
            <w:r>
              <w:rPr>
                <w:rFonts w:ascii="Arial" w:cs="Arial" w:eastAsia="Arial" w:hAnsi="Arial"/>
                <w:sz w:val="17"/>
                <w:szCs w:val="17"/>
                <w:color w:val="auto"/>
              </w:rPr>
              <w:t>1997</w:t>
            </w:r>
          </w:p>
        </w:tc>
        <w:tc>
          <w:tcPr>
            <w:tcW w:w="134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128,038</w:t>
            </w:r>
          </w:p>
        </w:tc>
      </w:tr>
      <w:tr>
        <w:trPr>
          <w:trHeight w:val="194"/>
        </w:trPr>
        <w:tc>
          <w:tcPr>
            <w:tcW w:w="50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R. J. Simmons</w:t>
            </w:r>
          </w:p>
        </w:tc>
        <w:tc>
          <w:tcPr>
            <w:tcW w:w="4260" w:type="dxa"/>
            <w:vAlign w:val="bottom"/>
            <w:shd w:val="clear" w:color="auto" w:fill="C0C0C0"/>
          </w:tcPr>
          <w:p>
            <w:pPr>
              <w:jc w:val="center"/>
              <w:ind w:left="3657"/>
              <w:spacing w:after="0" w:line="194" w:lineRule="exact"/>
              <w:rPr>
                <w:sz w:val="20"/>
                <w:szCs w:val="20"/>
                <w:color w:val="auto"/>
              </w:rPr>
            </w:pPr>
            <w:r>
              <w:rPr>
                <w:rFonts w:ascii="Arial" w:cs="Arial" w:eastAsia="Arial" w:hAnsi="Arial"/>
                <w:sz w:val="17"/>
                <w:szCs w:val="17"/>
                <w:color w:val="auto"/>
              </w:rPr>
              <w:t>63</w:t>
            </w:r>
          </w:p>
        </w:tc>
        <w:tc>
          <w:tcPr>
            <w:tcW w:w="7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1999</w:t>
            </w:r>
          </w:p>
        </w:tc>
        <w:tc>
          <w:tcPr>
            <w:tcW w:w="134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113,742</w:t>
            </w:r>
          </w:p>
        </w:tc>
      </w:tr>
      <w:tr>
        <w:trPr>
          <w:trHeight w:val="194"/>
        </w:trPr>
        <w:tc>
          <w:tcPr>
            <w:tcW w:w="5060" w:type="dxa"/>
            <w:vAlign w:val="bottom"/>
          </w:tcPr>
          <w:p>
            <w:pPr>
              <w:spacing w:after="0" w:line="194" w:lineRule="exact"/>
              <w:rPr>
                <w:sz w:val="20"/>
                <w:szCs w:val="20"/>
                <w:color w:val="auto"/>
              </w:rPr>
            </w:pPr>
            <w:r>
              <w:rPr>
                <w:rFonts w:ascii="Arial" w:cs="Arial" w:eastAsia="Arial" w:hAnsi="Arial"/>
                <w:sz w:val="17"/>
                <w:szCs w:val="17"/>
                <w:color w:val="auto"/>
              </w:rPr>
              <w:t>R. K. Templeton</w:t>
            </w:r>
          </w:p>
        </w:tc>
        <w:tc>
          <w:tcPr>
            <w:tcW w:w="4260" w:type="dxa"/>
            <w:vAlign w:val="bottom"/>
          </w:tcPr>
          <w:p>
            <w:pPr>
              <w:jc w:val="center"/>
              <w:ind w:left="3657"/>
              <w:spacing w:after="0" w:line="194" w:lineRule="exact"/>
              <w:rPr>
                <w:sz w:val="20"/>
                <w:szCs w:val="20"/>
                <w:color w:val="auto"/>
              </w:rPr>
            </w:pPr>
            <w:r>
              <w:rPr>
                <w:rFonts w:ascii="Arial" w:cs="Arial" w:eastAsia="Arial" w:hAnsi="Arial"/>
                <w:sz w:val="17"/>
                <w:szCs w:val="17"/>
                <w:color w:val="auto"/>
              </w:rPr>
              <w:t>50</w:t>
            </w:r>
          </w:p>
        </w:tc>
        <w:tc>
          <w:tcPr>
            <w:tcW w:w="760" w:type="dxa"/>
            <w:vAlign w:val="bottom"/>
          </w:tcPr>
          <w:p>
            <w:pPr>
              <w:jc w:val="center"/>
              <w:spacing w:after="0" w:line="194" w:lineRule="exact"/>
              <w:rPr>
                <w:sz w:val="20"/>
                <w:szCs w:val="20"/>
                <w:color w:val="auto"/>
              </w:rPr>
            </w:pPr>
            <w:r>
              <w:rPr>
                <w:rFonts w:ascii="Arial" w:cs="Arial" w:eastAsia="Arial" w:hAnsi="Arial"/>
                <w:sz w:val="17"/>
                <w:szCs w:val="17"/>
                <w:color w:val="auto"/>
              </w:rPr>
              <w:t>2003</w:t>
            </w:r>
          </w:p>
        </w:tc>
        <w:tc>
          <w:tcPr>
            <w:tcW w:w="134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5,574,472</w:t>
            </w:r>
          </w:p>
        </w:tc>
      </w:tr>
      <w:tr>
        <w:trPr>
          <w:trHeight w:val="194"/>
        </w:trPr>
        <w:tc>
          <w:tcPr>
            <w:tcW w:w="50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C. T. Whitman</w:t>
            </w:r>
          </w:p>
        </w:tc>
        <w:tc>
          <w:tcPr>
            <w:tcW w:w="4260" w:type="dxa"/>
            <w:vAlign w:val="bottom"/>
            <w:shd w:val="clear" w:color="auto" w:fill="C0C0C0"/>
          </w:tcPr>
          <w:p>
            <w:pPr>
              <w:jc w:val="center"/>
              <w:ind w:left="3657"/>
              <w:spacing w:after="0" w:line="194" w:lineRule="exact"/>
              <w:rPr>
                <w:sz w:val="20"/>
                <w:szCs w:val="20"/>
                <w:color w:val="auto"/>
              </w:rPr>
            </w:pPr>
            <w:r>
              <w:rPr>
                <w:rFonts w:ascii="Arial" w:cs="Arial" w:eastAsia="Arial" w:hAnsi="Arial"/>
                <w:sz w:val="17"/>
                <w:szCs w:val="17"/>
                <w:color w:val="auto"/>
              </w:rPr>
              <w:t>62</w:t>
            </w:r>
          </w:p>
        </w:tc>
        <w:tc>
          <w:tcPr>
            <w:tcW w:w="7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2003</w:t>
            </w:r>
          </w:p>
        </w:tc>
        <w:tc>
          <w:tcPr>
            <w:tcW w:w="134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56,911</w:t>
            </w: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Included in the common stock ownership shown above 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Shares Credited</w:t>
            </w:r>
          </w:p>
        </w:tc>
        <w:tc>
          <w:tcPr>
            <w:tcW w:w="1120" w:type="dxa"/>
            <w:vAlign w:val="bottom"/>
          </w:tcPr>
          <w:p>
            <w:pPr>
              <w:spacing w:after="0"/>
              <w:rPr>
                <w:sz w:val="12"/>
                <w:szCs w:val="12"/>
                <w:color w:val="auto"/>
              </w:rPr>
            </w:pPr>
          </w:p>
        </w:tc>
        <w:tc>
          <w:tcPr>
            <w:tcW w:w="1120" w:type="dxa"/>
            <w:vAlign w:val="bottom"/>
          </w:tcPr>
          <w:p>
            <w:pPr>
              <w:jc w:val="center"/>
              <w:ind w:left="41"/>
              <w:spacing w:after="0"/>
              <w:rPr>
                <w:sz w:val="20"/>
                <w:szCs w:val="20"/>
                <w:color w:val="auto"/>
              </w:rPr>
            </w:pPr>
            <w:r>
              <w:rPr>
                <w:rFonts w:ascii="Arial" w:cs="Arial" w:eastAsia="Arial" w:hAnsi="Arial"/>
                <w:sz w:val="13"/>
                <w:szCs w:val="13"/>
                <w:b w:val="1"/>
                <w:bCs w:val="1"/>
                <w:color w:val="auto"/>
              </w:rPr>
              <w:t>Shares Credited</w:t>
            </w:r>
          </w:p>
        </w:tc>
      </w:tr>
      <w:tr>
        <w:trPr>
          <w:trHeight w:val="142"/>
        </w:trPr>
        <w:tc>
          <w:tcPr>
            <w:tcW w:w="4040" w:type="dxa"/>
            <w:vAlign w:val="bottom"/>
          </w:tcPr>
          <w:p>
            <w:pPr>
              <w:spacing w:after="0"/>
              <w:rPr>
                <w:sz w:val="12"/>
                <w:szCs w:val="12"/>
                <w:color w:val="auto"/>
              </w:rPr>
            </w:pPr>
          </w:p>
        </w:tc>
        <w:tc>
          <w:tcPr>
            <w:tcW w:w="3880" w:type="dxa"/>
            <w:vAlign w:val="bottom"/>
          </w:tcPr>
          <w:p>
            <w:pPr>
              <w:jc w:val="center"/>
              <w:ind w:left="2620"/>
              <w:spacing w:after="0" w:line="143" w:lineRule="exact"/>
              <w:rPr>
                <w:sz w:val="20"/>
                <w:szCs w:val="20"/>
                <w:color w:val="auto"/>
              </w:rPr>
            </w:pPr>
            <w:r>
              <w:rPr>
                <w:rFonts w:ascii="Arial" w:cs="Arial" w:eastAsia="Arial" w:hAnsi="Arial"/>
                <w:sz w:val="13"/>
                <w:szCs w:val="13"/>
                <w:b w:val="1"/>
                <w:bCs w:val="1"/>
                <w:color w:val="auto"/>
                <w:w w:val="96"/>
              </w:rPr>
              <w:t>Shares</w:t>
            </w:r>
          </w:p>
        </w:tc>
        <w:tc>
          <w:tcPr>
            <w:tcW w:w="12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to 401(k) and</w:t>
            </w:r>
          </w:p>
        </w:tc>
        <w:tc>
          <w:tcPr>
            <w:tcW w:w="11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Restricted</w:t>
            </w:r>
          </w:p>
        </w:tc>
        <w:tc>
          <w:tcPr>
            <w:tcW w:w="1120" w:type="dxa"/>
            <w:vAlign w:val="bottom"/>
          </w:tcPr>
          <w:p>
            <w:pPr>
              <w:jc w:val="center"/>
              <w:ind w:left="61"/>
              <w:spacing w:after="0" w:line="143" w:lineRule="exact"/>
              <w:rPr>
                <w:sz w:val="20"/>
                <w:szCs w:val="20"/>
                <w:color w:val="auto"/>
              </w:rPr>
            </w:pPr>
            <w:r>
              <w:rPr>
                <w:rFonts w:ascii="Arial" w:cs="Arial" w:eastAsia="Arial" w:hAnsi="Arial"/>
                <w:sz w:val="13"/>
                <w:szCs w:val="13"/>
                <w:b w:val="1"/>
                <w:bCs w:val="1"/>
                <w:color w:val="auto"/>
              </w:rPr>
              <w:t>to Deferred</w:t>
            </w:r>
          </w:p>
        </w:tc>
      </w:tr>
      <w:tr>
        <w:trPr>
          <w:trHeight w:val="171"/>
        </w:trPr>
        <w:tc>
          <w:tcPr>
            <w:tcW w:w="4040" w:type="dxa"/>
            <w:vAlign w:val="bottom"/>
          </w:tcPr>
          <w:p>
            <w:pPr>
              <w:spacing w:after="0"/>
              <w:rPr>
                <w:sz w:val="14"/>
                <w:szCs w:val="14"/>
                <w:color w:val="auto"/>
              </w:rPr>
            </w:pPr>
          </w:p>
        </w:tc>
        <w:tc>
          <w:tcPr>
            <w:tcW w:w="3880" w:type="dxa"/>
            <w:vAlign w:val="bottom"/>
          </w:tcPr>
          <w:p>
            <w:pPr>
              <w:jc w:val="center"/>
              <w:ind w:left="2620"/>
              <w:spacing w:after="0"/>
              <w:rPr>
                <w:sz w:val="20"/>
                <w:szCs w:val="20"/>
                <w:color w:val="auto"/>
              </w:rPr>
            </w:pPr>
            <w:r>
              <w:rPr>
                <w:rFonts w:ascii="Arial" w:cs="Arial" w:eastAsia="Arial" w:hAnsi="Arial"/>
                <w:sz w:val="13"/>
                <w:szCs w:val="13"/>
                <w:b w:val="1"/>
                <w:bCs w:val="1"/>
                <w:color w:val="auto"/>
                <w:w w:val="98"/>
              </w:rPr>
              <w:t>Obtainable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9"/>
              </w:rPr>
              <w:t>Profit Sharing</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Stock Units</w:t>
            </w:r>
          </w:p>
        </w:tc>
        <w:tc>
          <w:tcPr>
            <w:tcW w:w="1120" w:type="dxa"/>
            <w:vAlign w:val="bottom"/>
          </w:tcPr>
          <w:p>
            <w:pPr>
              <w:jc w:val="center"/>
              <w:ind w:left="61"/>
              <w:spacing w:after="0"/>
              <w:rPr>
                <w:sz w:val="20"/>
                <w:szCs w:val="20"/>
                <w:color w:val="auto"/>
              </w:rPr>
            </w:pPr>
            <w:r>
              <w:rPr>
                <w:rFonts w:ascii="Arial" w:cs="Arial" w:eastAsia="Arial" w:hAnsi="Arial"/>
                <w:sz w:val="13"/>
                <w:szCs w:val="13"/>
                <w:b w:val="1"/>
                <w:bCs w:val="1"/>
                <w:color w:val="auto"/>
                <w:w w:val="99"/>
              </w:rPr>
              <w:t>Compensation</w:t>
            </w:r>
          </w:p>
        </w:tc>
      </w:tr>
      <w:tr>
        <w:trPr>
          <w:trHeight w:val="221"/>
        </w:trPr>
        <w:tc>
          <w:tcPr>
            <w:tcW w:w="4040" w:type="dxa"/>
            <w:vAlign w:val="bottom"/>
          </w:tcPr>
          <w:p>
            <w:pPr>
              <w:spacing w:after="0"/>
              <w:rPr>
                <w:sz w:val="20"/>
                <w:szCs w:val="20"/>
                <w:color w:val="auto"/>
              </w:rPr>
            </w:pPr>
            <w:r>
              <w:rPr>
                <w:rFonts w:ascii="Arial" w:cs="Arial" w:eastAsia="Arial" w:hAnsi="Arial"/>
                <w:sz w:val="13"/>
                <w:szCs w:val="13"/>
                <w:b w:val="1"/>
                <w:bCs w:val="1"/>
                <w:color w:val="auto"/>
              </w:rPr>
              <w:t>Director</w:t>
            </w:r>
          </w:p>
        </w:tc>
        <w:tc>
          <w:tcPr>
            <w:tcW w:w="3880" w:type="dxa"/>
            <w:vAlign w:val="bottom"/>
          </w:tcPr>
          <w:p>
            <w:pPr>
              <w:jc w:val="center"/>
              <w:ind w:left="2620"/>
              <w:spacing w:after="0"/>
              <w:rPr>
                <w:sz w:val="20"/>
                <w:szCs w:val="20"/>
                <w:color w:val="auto"/>
              </w:rPr>
            </w:pPr>
            <w:r>
              <w:rPr>
                <w:rFonts w:ascii="Arial" w:cs="Arial" w:eastAsia="Arial" w:hAnsi="Arial"/>
                <w:sz w:val="13"/>
                <w:szCs w:val="13"/>
                <w:b w:val="1"/>
                <w:bCs w:val="1"/>
                <w:color w:val="auto"/>
                <w:w w:val="99"/>
              </w:rPr>
              <w:t>within 60 Days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Accounts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(in shares) (1)</w:t>
            </w:r>
          </w:p>
        </w:tc>
        <w:tc>
          <w:tcPr>
            <w:tcW w:w="1120" w:type="dxa"/>
            <w:vAlign w:val="bottom"/>
          </w:tcPr>
          <w:p>
            <w:pPr>
              <w:jc w:val="center"/>
              <w:ind w:left="41"/>
              <w:spacing w:after="0"/>
              <w:rPr>
                <w:sz w:val="20"/>
                <w:szCs w:val="20"/>
                <w:color w:val="auto"/>
              </w:rPr>
            </w:pPr>
            <w:r>
              <w:rPr>
                <w:rFonts w:ascii="Arial" w:cs="Arial" w:eastAsia="Arial" w:hAnsi="Arial"/>
                <w:sz w:val="13"/>
                <w:szCs w:val="13"/>
                <w:b w:val="1"/>
                <w:bCs w:val="1"/>
                <w:color w:val="auto"/>
              </w:rPr>
              <w:t>Account (2)</w:t>
            </w:r>
          </w:p>
        </w:tc>
      </w:tr>
      <w:tr>
        <w:trPr>
          <w:trHeight w:val="233"/>
        </w:trPr>
        <w:tc>
          <w:tcPr>
            <w:tcW w:w="4040" w:type="dxa"/>
            <w:vAlign w:val="bottom"/>
            <w:shd w:val="clear" w:color="auto" w:fill="E9E9E9"/>
          </w:tcPr>
          <w:p>
            <w:pPr>
              <w:spacing w:after="0"/>
              <w:rPr>
                <w:sz w:val="20"/>
                <w:szCs w:val="20"/>
                <w:color w:val="auto"/>
              </w:rPr>
            </w:pPr>
          </w:p>
        </w:tc>
        <w:tc>
          <w:tcPr>
            <w:tcW w:w="3880" w:type="dxa"/>
            <w:vAlign w:val="bottom"/>
            <w:shd w:val="clear" w:color="auto" w:fill="E9E9E9"/>
          </w:tcPr>
          <w:p>
            <w:pPr>
              <w:spacing w:after="0"/>
              <w:rPr>
                <w:sz w:val="20"/>
                <w:szCs w:val="20"/>
                <w:color w:val="auto"/>
              </w:rPr>
            </w:pPr>
          </w:p>
        </w:tc>
        <w:tc>
          <w:tcPr>
            <w:tcW w:w="1260" w:type="dxa"/>
            <w:vAlign w:val="bottom"/>
            <w:shd w:val="clear" w:color="auto" w:fill="E9E9E9"/>
          </w:tcPr>
          <w:p>
            <w:pPr>
              <w:spacing w:after="0"/>
              <w:rPr>
                <w:sz w:val="20"/>
                <w:szCs w:val="20"/>
                <w:color w:val="auto"/>
              </w:rPr>
            </w:pPr>
          </w:p>
        </w:tc>
        <w:tc>
          <w:tcPr>
            <w:tcW w:w="1120" w:type="dxa"/>
            <w:vAlign w:val="bottom"/>
            <w:shd w:val="clear" w:color="auto" w:fill="E9E9E9"/>
          </w:tcPr>
          <w:p>
            <w:pPr>
              <w:spacing w:after="0"/>
              <w:rPr>
                <w:sz w:val="20"/>
                <w:szCs w:val="20"/>
                <w:color w:val="auto"/>
              </w:rPr>
            </w:pPr>
          </w:p>
        </w:tc>
        <w:tc>
          <w:tcPr>
            <w:tcW w:w="1120" w:type="dxa"/>
            <w:vAlign w:val="bottom"/>
            <w:shd w:val="clear" w:color="auto" w:fill="E9E9E9"/>
          </w:tcPr>
          <w:p>
            <w:pPr>
              <w:spacing w:after="0"/>
              <w:rPr>
                <w:sz w:val="20"/>
                <w:szCs w:val="20"/>
                <w:color w:val="auto"/>
              </w:rPr>
            </w:pPr>
          </w:p>
        </w:tc>
      </w:tr>
      <w:tr>
        <w:trPr>
          <w:trHeight w:val="194"/>
        </w:trPr>
        <w:tc>
          <w:tcPr>
            <w:tcW w:w="40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J. R. Adams</w:t>
            </w:r>
          </w:p>
        </w:tc>
        <w:tc>
          <w:tcPr>
            <w:tcW w:w="388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106,500</w:t>
            </w:r>
          </w:p>
        </w:tc>
        <w:tc>
          <w:tcPr>
            <w:tcW w:w="1260" w:type="dxa"/>
            <w:vAlign w:val="bottom"/>
            <w:shd w:val="clear" w:color="auto" w:fill="C0C0C0"/>
          </w:tcPr>
          <w:p>
            <w:pPr>
              <w:jc w:val="right"/>
              <w:ind w:right="281"/>
              <w:spacing w:after="0" w:line="194" w:lineRule="exact"/>
              <w:rPr>
                <w:sz w:val="20"/>
                <w:szCs w:val="20"/>
                <w:color w:val="auto"/>
              </w:rPr>
            </w:pPr>
            <w:r>
              <w:rPr>
                <w:rFonts w:ascii="Arial" w:cs="Arial" w:eastAsia="Arial" w:hAnsi="Arial"/>
                <w:sz w:val="17"/>
                <w:szCs w:val="17"/>
                <w:color w:val="auto"/>
              </w:rPr>
              <w:t>3,430</w:t>
            </w:r>
          </w:p>
        </w:tc>
        <w:tc>
          <w:tcPr>
            <w:tcW w:w="112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23,512</w:t>
            </w:r>
          </w:p>
        </w:tc>
        <w:tc>
          <w:tcPr>
            <w:tcW w:w="1120" w:type="dxa"/>
            <w:vAlign w:val="bottom"/>
            <w:shd w:val="clear" w:color="auto" w:fill="C0C0C0"/>
          </w:tcPr>
          <w:p>
            <w:pPr>
              <w:jc w:val="right"/>
              <w:ind w:right="141"/>
              <w:spacing w:after="0" w:line="194" w:lineRule="exact"/>
              <w:rPr>
                <w:sz w:val="20"/>
                <w:szCs w:val="20"/>
                <w:color w:val="auto"/>
              </w:rPr>
            </w:pPr>
            <w:r>
              <w:rPr>
                <w:rFonts w:ascii="Arial" w:cs="Arial" w:eastAsia="Arial" w:hAnsi="Arial"/>
                <w:sz w:val="17"/>
                <w:szCs w:val="17"/>
                <w:color w:val="auto"/>
              </w:rPr>
              <w:t>28,734</w:t>
            </w:r>
          </w:p>
        </w:tc>
      </w:tr>
      <w:tr>
        <w:trPr>
          <w:trHeight w:val="194"/>
        </w:trPr>
        <w:tc>
          <w:tcPr>
            <w:tcW w:w="4040" w:type="dxa"/>
            <w:vAlign w:val="bottom"/>
          </w:tcPr>
          <w:p>
            <w:pPr>
              <w:spacing w:after="0" w:line="194" w:lineRule="exact"/>
              <w:rPr>
                <w:sz w:val="20"/>
                <w:szCs w:val="20"/>
                <w:color w:val="auto"/>
              </w:rPr>
            </w:pPr>
            <w:r>
              <w:rPr>
                <w:rFonts w:ascii="Arial" w:cs="Arial" w:eastAsia="Arial" w:hAnsi="Arial"/>
                <w:sz w:val="17"/>
                <w:szCs w:val="17"/>
                <w:color w:val="auto"/>
              </w:rPr>
              <w:t>D. L. Boren</w:t>
            </w:r>
          </w:p>
        </w:tc>
        <w:tc>
          <w:tcPr>
            <w:tcW w:w="388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59,000</w:t>
            </w:r>
          </w:p>
        </w:tc>
        <w:tc>
          <w:tcPr>
            <w:tcW w:w="1260" w:type="dxa"/>
            <w:vAlign w:val="bottom"/>
          </w:tcPr>
          <w:p>
            <w:pPr>
              <w:jc w:val="right"/>
              <w:ind w:right="281"/>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27,880</w:t>
            </w:r>
          </w:p>
        </w:tc>
        <w:tc>
          <w:tcPr>
            <w:tcW w:w="1120" w:type="dxa"/>
            <w:vAlign w:val="bottom"/>
          </w:tcPr>
          <w:p>
            <w:pPr>
              <w:jc w:val="right"/>
              <w:ind w:right="141"/>
              <w:spacing w:after="0" w:line="194" w:lineRule="exact"/>
              <w:rPr>
                <w:sz w:val="20"/>
                <w:szCs w:val="20"/>
                <w:color w:val="auto"/>
              </w:rPr>
            </w:pPr>
            <w:r>
              <w:rPr>
                <w:rFonts w:ascii="Arial" w:cs="Arial" w:eastAsia="Arial" w:hAnsi="Arial"/>
                <w:sz w:val="17"/>
                <w:szCs w:val="17"/>
                <w:color w:val="auto"/>
              </w:rPr>
              <w:t>3,644</w:t>
            </w:r>
          </w:p>
        </w:tc>
      </w:tr>
      <w:tr>
        <w:trPr>
          <w:trHeight w:val="194"/>
        </w:trPr>
        <w:tc>
          <w:tcPr>
            <w:tcW w:w="40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 A. Carp</w:t>
            </w:r>
          </w:p>
        </w:tc>
        <w:tc>
          <w:tcPr>
            <w:tcW w:w="388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106,500</w:t>
            </w:r>
          </w:p>
        </w:tc>
        <w:tc>
          <w:tcPr>
            <w:tcW w:w="1260" w:type="dxa"/>
            <w:vAlign w:val="bottom"/>
            <w:shd w:val="clear" w:color="auto" w:fill="C0C0C0"/>
          </w:tcPr>
          <w:p>
            <w:pPr>
              <w:jc w:val="right"/>
              <w:ind w:right="281"/>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13,664</w:t>
            </w:r>
          </w:p>
        </w:tc>
        <w:tc>
          <w:tcPr>
            <w:tcW w:w="1120" w:type="dxa"/>
            <w:vAlign w:val="bottom"/>
            <w:shd w:val="clear" w:color="auto" w:fill="C0C0C0"/>
          </w:tcPr>
          <w:p>
            <w:pPr>
              <w:jc w:val="right"/>
              <w:ind w:right="141"/>
              <w:spacing w:after="0" w:line="194" w:lineRule="exact"/>
              <w:rPr>
                <w:sz w:val="20"/>
                <w:szCs w:val="20"/>
                <w:color w:val="auto"/>
              </w:rPr>
            </w:pPr>
            <w:r>
              <w:rPr>
                <w:rFonts w:ascii="Arial" w:cs="Arial" w:eastAsia="Arial" w:hAnsi="Arial"/>
                <w:sz w:val="17"/>
                <w:szCs w:val="17"/>
                <w:color w:val="auto"/>
              </w:rPr>
              <w:t>29,970</w:t>
            </w:r>
          </w:p>
        </w:tc>
      </w:tr>
      <w:tr>
        <w:trPr>
          <w:trHeight w:val="233"/>
        </w:trPr>
        <w:tc>
          <w:tcPr>
            <w:tcW w:w="4040" w:type="dxa"/>
            <w:vAlign w:val="bottom"/>
          </w:tcPr>
          <w:p>
            <w:pPr>
              <w:spacing w:after="0"/>
              <w:rPr>
                <w:sz w:val="20"/>
                <w:szCs w:val="20"/>
                <w:color w:val="auto"/>
              </w:rPr>
            </w:pPr>
            <w:r>
              <w:rPr>
                <w:rFonts w:ascii="Arial" w:cs="Arial" w:eastAsia="Arial" w:hAnsi="Arial"/>
                <w:sz w:val="17"/>
                <w:szCs w:val="17"/>
                <w:color w:val="auto"/>
              </w:rPr>
              <w:t>C. S. Cox</w:t>
            </w:r>
          </w:p>
        </w:tc>
        <w:tc>
          <w:tcPr>
            <w:tcW w:w="3880" w:type="dxa"/>
            <w:vAlign w:val="bottom"/>
          </w:tcPr>
          <w:p>
            <w:pPr>
              <w:jc w:val="right"/>
              <w:ind w:right="140"/>
              <w:spacing w:after="0"/>
              <w:rPr>
                <w:sz w:val="20"/>
                <w:szCs w:val="20"/>
                <w:color w:val="auto"/>
              </w:rPr>
            </w:pPr>
            <w:r>
              <w:rPr>
                <w:rFonts w:ascii="Arial" w:cs="Arial" w:eastAsia="Arial" w:hAnsi="Arial"/>
                <w:sz w:val="17"/>
                <w:szCs w:val="17"/>
                <w:color w:val="auto"/>
              </w:rPr>
              <w:t>31,500</w:t>
            </w:r>
          </w:p>
        </w:tc>
        <w:tc>
          <w:tcPr>
            <w:tcW w:w="1260" w:type="dxa"/>
            <w:vAlign w:val="bottom"/>
          </w:tcPr>
          <w:p>
            <w:pPr>
              <w:jc w:val="right"/>
              <w:ind w:right="281"/>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40"/>
              <w:spacing w:after="0"/>
              <w:rPr>
                <w:sz w:val="20"/>
                <w:szCs w:val="20"/>
                <w:color w:val="auto"/>
              </w:rPr>
            </w:pPr>
            <w:r>
              <w:rPr>
                <w:rFonts w:ascii="Arial" w:cs="Arial" w:eastAsia="Arial" w:hAnsi="Arial"/>
                <w:sz w:val="17"/>
                <w:szCs w:val="17"/>
                <w:color w:val="auto"/>
              </w:rPr>
              <w:t>7,000</w:t>
            </w:r>
          </w:p>
        </w:tc>
        <w:tc>
          <w:tcPr>
            <w:tcW w:w="1120" w:type="dxa"/>
            <w:vAlign w:val="bottom"/>
          </w:tcPr>
          <w:p>
            <w:pPr>
              <w:jc w:val="right"/>
              <w:ind w:right="141"/>
              <w:spacing w:after="0"/>
              <w:rPr>
                <w:sz w:val="20"/>
                <w:szCs w:val="20"/>
                <w:color w:val="auto"/>
              </w:rPr>
            </w:pPr>
            <w:r>
              <w:rPr>
                <w:rFonts w:ascii="Arial" w:cs="Arial" w:eastAsia="Arial" w:hAnsi="Arial"/>
                <w:sz w:val="17"/>
                <w:szCs w:val="17"/>
                <w:color w:val="auto"/>
              </w:rPr>
              <w:t>—</w:t>
            </w:r>
          </w:p>
        </w:tc>
      </w:tr>
      <w:tr>
        <w:trPr>
          <w:trHeight w:val="194"/>
        </w:trPr>
        <w:tc>
          <w:tcPr>
            <w:tcW w:w="40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 R. Goode</w:t>
            </w:r>
          </w:p>
        </w:tc>
        <w:tc>
          <w:tcPr>
            <w:tcW w:w="388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106,500</w:t>
            </w:r>
          </w:p>
        </w:tc>
        <w:tc>
          <w:tcPr>
            <w:tcW w:w="1260" w:type="dxa"/>
            <w:vAlign w:val="bottom"/>
            <w:shd w:val="clear" w:color="auto" w:fill="C0C0C0"/>
          </w:tcPr>
          <w:p>
            <w:pPr>
              <w:jc w:val="right"/>
              <w:ind w:right="281"/>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18,632</w:t>
            </w:r>
          </w:p>
        </w:tc>
        <w:tc>
          <w:tcPr>
            <w:tcW w:w="1120" w:type="dxa"/>
            <w:vAlign w:val="bottom"/>
            <w:shd w:val="clear" w:color="auto" w:fill="C0C0C0"/>
          </w:tcPr>
          <w:p>
            <w:pPr>
              <w:jc w:val="right"/>
              <w:ind w:right="141"/>
              <w:spacing w:after="0" w:line="194" w:lineRule="exact"/>
              <w:rPr>
                <w:sz w:val="20"/>
                <w:szCs w:val="20"/>
                <w:color w:val="auto"/>
              </w:rPr>
            </w:pPr>
            <w:r>
              <w:rPr>
                <w:rFonts w:ascii="Arial" w:cs="Arial" w:eastAsia="Arial" w:hAnsi="Arial"/>
                <w:sz w:val="17"/>
                <w:szCs w:val="17"/>
                <w:color w:val="auto"/>
              </w:rPr>
              <w:t>22,701</w:t>
            </w:r>
          </w:p>
        </w:tc>
      </w:tr>
      <w:tr>
        <w:trPr>
          <w:trHeight w:val="233"/>
        </w:trPr>
        <w:tc>
          <w:tcPr>
            <w:tcW w:w="4040" w:type="dxa"/>
            <w:vAlign w:val="bottom"/>
          </w:tcPr>
          <w:p>
            <w:pPr>
              <w:spacing w:after="0"/>
              <w:rPr>
                <w:sz w:val="20"/>
                <w:szCs w:val="20"/>
                <w:color w:val="auto"/>
              </w:rPr>
            </w:pPr>
            <w:r>
              <w:rPr>
                <w:rFonts w:ascii="Arial" w:cs="Arial" w:eastAsia="Arial" w:hAnsi="Arial"/>
                <w:sz w:val="17"/>
                <w:szCs w:val="17"/>
                <w:color w:val="auto"/>
              </w:rPr>
              <w:t>S. P. MacMillan</w:t>
            </w:r>
          </w:p>
        </w:tc>
        <w:tc>
          <w:tcPr>
            <w:tcW w:w="38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81"/>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40"/>
              <w:spacing w:after="0"/>
              <w:rPr>
                <w:sz w:val="20"/>
                <w:szCs w:val="20"/>
                <w:color w:val="auto"/>
              </w:rPr>
            </w:pPr>
            <w:r>
              <w:rPr>
                <w:rFonts w:ascii="Arial" w:cs="Arial" w:eastAsia="Arial" w:hAnsi="Arial"/>
                <w:sz w:val="17"/>
                <w:szCs w:val="17"/>
                <w:color w:val="auto"/>
              </w:rPr>
              <w:t>2,000</w:t>
            </w:r>
          </w:p>
        </w:tc>
        <w:tc>
          <w:tcPr>
            <w:tcW w:w="1120" w:type="dxa"/>
            <w:vAlign w:val="bottom"/>
          </w:tcPr>
          <w:p>
            <w:pPr>
              <w:jc w:val="right"/>
              <w:ind w:right="141"/>
              <w:spacing w:after="0"/>
              <w:rPr>
                <w:sz w:val="20"/>
                <w:szCs w:val="20"/>
                <w:color w:val="auto"/>
              </w:rPr>
            </w:pPr>
            <w:r>
              <w:rPr>
                <w:rFonts w:ascii="Arial" w:cs="Arial" w:eastAsia="Arial" w:hAnsi="Arial"/>
                <w:sz w:val="17"/>
                <w:szCs w:val="17"/>
                <w:color w:val="auto"/>
              </w:rPr>
              <w:t>649</w:t>
            </w:r>
          </w:p>
        </w:tc>
      </w:tr>
      <w:tr>
        <w:trPr>
          <w:trHeight w:val="233"/>
        </w:trPr>
        <w:tc>
          <w:tcPr>
            <w:tcW w:w="4040" w:type="dxa"/>
            <w:vAlign w:val="bottom"/>
            <w:shd w:val="clear" w:color="auto" w:fill="C0C0C0"/>
          </w:tcPr>
          <w:p>
            <w:pPr>
              <w:spacing w:after="0"/>
              <w:rPr>
                <w:sz w:val="20"/>
                <w:szCs w:val="20"/>
                <w:color w:val="auto"/>
              </w:rPr>
            </w:pPr>
            <w:r>
              <w:rPr>
                <w:rFonts w:ascii="Arial" w:cs="Arial" w:eastAsia="Arial" w:hAnsi="Arial"/>
                <w:sz w:val="17"/>
                <w:szCs w:val="17"/>
                <w:color w:val="auto"/>
              </w:rPr>
              <w:t>P. H. Patsley</w:t>
            </w:r>
          </w:p>
        </w:tc>
        <w:tc>
          <w:tcPr>
            <w:tcW w:w="388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31,500</w:t>
            </w:r>
          </w:p>
        </w:tc>
        <w:tc>
          <w:tcPr>
            <w:tcW w:w="1260" w:type="dxa"/>
            <w:vAlign w:val="bottom"/>
            <w:shd w:val="clear" w:color="auto" w:fill="C0C0C0"/>
          </w:tcPr>
          <w:p>
            <w:pPr>
              <w:jc w:val="right"/>
              <w:ind w:right="281"/>
              <w:spacing w:after="0"/>
              <w:rPr>
                <w:sz w:val="20"/>
                <w:szCs w:val="20"/>
                <w:color w:val="auto"/>
              </w:rPr>
            </w:pPr>
            <w:r>
              <w:rPr>
                <w:rFonts w:ascii="Arial" w:cs="Arial" w:eastAsia="Arial" w:hAnsi="Arial"/>
                <w:sz w:val="17"/>
                <w:szCs w:val="17"/>
                <w:color w:val="auto"/>
              </w:rPr>
              <w:t>—</w:t>
            </w:r>
          </w:p>
        </w:tc>
        <w:tc>
          <w:tcPr>
            <w:tcW w:w="112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7,000</w:t>
            </w:r>
          </w:p>
        </w:tc>
        <w:tc>
          <w:tcPr>
            <w:tcW w:w="1120" w:type="dxa"/>
            <w:vAlign w:val="bottom"/>
            <w:shd w:val="clear" w:color="auto" w:fill="C0C0C0"/>
          </w:tcPr>
          <w:p>
            <w:pPr>
              <w:jc w:val="right"/>
              <w:ind w:right="141"/>
              <w:spacing w:after="0"/>
              <w:rPr>
                <w:sz w:val="20"/>
                <w:szCs w:val="20"/>
                <w:color w:val="auto"/>
              </w:rPr>
            </w:pPr>
            <w:r>
              <w:rPr>
                <w:rFonts w:ascii="Arial" w:cs="Arial" w:eastAsia="Arial" w:hAnsi="Arial"/>
                <w:sz w:val="17"/>
                <w:szCs w:val="17"/>
                <w:color w:val="auto"/>
              </w:rPr>
              <w:t>12,760</w:t>
            </w:r>
          </w:p>
        </w:tc>
      </w:tr>
      <w:tr>
        <w:trPr>
          <w:trHeight w:val="194"/>
        </w:trPr>
        <w:tc>
          <w:tcPr>
            <w:tcW w:w="4040" w:type="dxa"/>
            <w:vAlign w:val="bottom"/>
          </w:tcPr>
          <w:p>
            <w:pPr>
              <w:spacing w:after="0" w:line="194" w:lineRule="exact"/>
              <w:rPr>
                <w:sz w:val="20"/>
                <w:szCs w:val="20"/>
                <w:color w:val="auto"/>
              </w:rPr>
            </w:pPr>
            <w:r>
              <w:rPr>
                <w:rFonts w:ascii="Arial" w:cs="Arial" w:eastAsia="Arial" w:hAnsi="Arial"/>
                <w:sz w:val="17"/>
                <w:szCs w:val="17"/>
                <w:color w:val="auto"/>
              </w:rPr>
              <w:t>W. R. Sanders</w:t>
            </w:r>
          </w:p>
        </w:tc>
        <w:tc>
          <w:tcPr>
            <w:tcW w:w="388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106,500</w:t>
            </w:r>
          </w:p>
        </w:tc>
        <w:tc>
          <w:tcPr>
            <w:tcW w:w="1260" w:type="dxa"/>
            <w:vAlign w:val="bottom"/>
          </w:tcPr>
          <w:p>
            <w:pPr>
              <w:jc w:val="right"/>
              <w:ind w:right="281"/>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14,600</w:t>
            </w:r>
          </w:p>
        </w:tc>
        <w:tc>
          <w:tcPr>
            <w:tcW w:w="1120" w:type="dxa"/>
            <w:vAlign w:val="bottom"/>
          </w:tcPr>
          <w:p>
            <w:pPr>
              <w:jc w:val="right"/>
              <w:ind w:right="141"/>
              <w:spacing w:after="0" w:line="194" w:lineRule="exact"/>
              <w:rPr>
                <w:sz w:val="20"/>
                <w:szCs w:val="20"/>
                <w:color w:val="auto"/>
              </w:rPr>
            </w:pPr>
            <w:r>
              <w:rPr>
                <w:rFonts w:ascii="Arial" w:cs="Arial" w:eastAsia="Arial" w:hAnsi="Arial"/>
                <w:sz w:val="17"/>
                <w:szCs w:val="17"/>
                <w:color w:val="auto"/>
              </w:rPr>
              <w:t>1,338</w:t>
            </w:r>
          </w:p>
        </w:tc>
      </w:tr>
      <w:tr>
        <w:trPr>
          <w:trHeight w:val="194"/>
        </w:trPr>
        <w:tc>
          <w:tcPr>
            <w:tcW w:w="40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R. J. Simmons</w:t>
            </w:r>
          </w:p>
        </w:tc>
        <w:tc>
          <w:tcPr>
            <w:tcW w:w="388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86,500</w:t>
            </w:r>
          </w:p>
        </w:tc>
        <w:tc>
          <w:tcPr>
            <w:tcW w:w="1260" w:type="dxa"/>
            <w:vAlign w:val="bottom"/>
            <w:shd w:val="clear" w:color="auto" w:fill="C0C0C0"/>
          </w:tcPr>
          <w:p>
            <w:pPr>
              <w:jc w:val="right"/>
              <w:ind w:right="281"/>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13,000</w:t>
            </w:r>
          </w:p>
        </w:tc>
        <w:tc>
          <w:tcPr>
            <w:tcW w:w="1120" w:type="dxa"/>
            <w:vAlign w:val="bottom"/>
            <w:shd w:val="clear" w:color="auto" w:fill="C0C0C0"/>
          </w:tcPr>
          <w:p>
            <w:pPr>
              <w:jc w:val="right"/>
              <w:ind w:right="141"/>
              <w:spacing w:after="0" w:line="194" w:lineRule="exact"/>
              <w:rPr>
                <w:sz w:val="20"/>
                <w:szCs w:val="20"/>
                <w:color w:val="auto"/>
              </w:rPr>
            </w:pPr>
            <w:r>
              <w:rPr>
                <w:rFonts w:ascii="Arial" w:cs="Arial" w:eastAsia="Arial" w:hAnsi="Arial"/>
                <w:sz w:val="17"/>
                <w:szCs w:val="17"/>
                <w:color w:val="auto"/>
              </w:rPr>
              <w:t>14,242</w:t>
            </w:r>
          </w:p>
        </w:tc>
      </w:tr>
      <w:tr>
        <w:trPr>
          <w:trHeight w:val="194"/>
        </w:trPr>
        <w:tc>
          <w:tcPr>
            <w:tcW w:w="4040" w:type="dxa"/>
            <w:vAlign w:val="bottom"/>
          </w:tcPr>
          <w:p>
            <w:pPr>
              <w:spacing w:after="0" w:line="194" w:lineRule="exact"/>
              <w:rPr>
                <w:sz w:val="20"/>
                <w:szCs w:val="20"/>
                <w:color w:val="auto"/>
              </w:rPr>
            </w:pPr>
            <w:r>
              <w:rPr>
                <w:rFonts w:ascii="Arial" w:cs="Arial" w:eastAsia="Arial" w:hAnsi="Arial"/>
                <w:sz w:val="17"/>
                <w:szCs w:val="17"/>
                <w:color w:val="auto"/>
              </w:rPr>
              <w:t>R. K. Templeton</w:t>
            </w:r>
          </w:p>
        </w:tc>
        <w:tc>
          <w:tcPr>
            <w:tcW w:w="388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4,825,446</w:t>
            </w:r>
          </w:p>
        </w:tc>
        <w:tc>
          <w:tcPr>
            <w:tcW w:w="1260" w:type="dxa"/>
            <w:vAlign w:val="bottom"/>
          </w:tcPr>
          <w:p>
            <w:pPr>
              <w:jc w:val="right"/>
              <w:ind w:right="281"/>
              <w:spacing w:after="0" w:line="194" w:lineRule="exact"/>
              <w:rPr>
                <w:sz w:val="20"/>
                <w:szCs w:val="20"/>
                <w:color w:val="auto"/>
              </w:rPr>
            </w:pPr>
            <w:r>
              <w:rPr>
                <w:rFonts w:ascii="Arial" w:cs="Arial" w:eastAsia="Arial" w:hAnsi="Arial"/>
                <w:sz w:val="17"/>
                <w:szCs w:val="17"/>
                <w:color w:val="auto"/>
              </w:rPr>
              <w:t>11,498</w:t>
            </w:r>
          </w:p>
        </w:tc>
        <w:tc>
          <w:tcPr>
            <w:tcW w:w="1120" w:type="dxa"/>
            <w:vAlign w:val="bottom"/>
          </w:tcPr>
          <w:p>
            <w:pPr>
              <w:jc w:val="right"/>
              <w:ind w:right="140"/>
              <w:spacing w:after="0" w:line="194" w:lineRule="exact"/>
              <w:rPr>
                <w:sz w:val="20"/>
                <w:szCs w:val="20"/>
                <w:color w:val="auto"/>
              </w:rPr>
            </w:pPr>
            <w:r>
              <w:rPr>
                <w:rFonts w:ascii="Arial" w:cs="Arial" w:eastAsia="Arial" w:hAnsi="Arial"/>
                <w:sz w:val="17"/>
                <w:szCs w:val="17"/>
                <w:color w:val="auto"/>
              </w:rPr>
              <w:t>670,000</w:t>
            </w:r>
          </w:p>
        </w:tc>
        <w:tc>
          <w:tcPr>
            <w:tcW w:w="1120" w:type="dxa"/>
            <w:vAlign w:val="bottom"/>
          </w:tcPr>
          <w:p>
            <w:pPr>
              <w:jc w:val="right"/>
              <w:ind w:right="141"/>
              <w:spacing w:after="0" w:line="194" w:lineRule="exact"/>
              <w:rPr>
                <w:sz w:val="20"/>
                <w:szCs w:val="20"/>
                <w:color w:val="auto"/>
              </w:rPr>
            </w:pPr>
            <w:r>
              <w:rPr>
                <w:rFonts w:ascii="Arial" w:cs="Arial" w:eastAsia="Arial" w:hAnsi="Arial"/>
                <w:sz w:val="17"/>
                <w:szCs w:val="17"/>
                <w:color w:val="auto"/>
              </w:rPr>
              <w:t>—</w:t>
            </w:r>
          </w:p>
        </w:tc>
      </w:tr>
      <w:tr>
        <w:trPr>
          <w:trHeight w:val="194"/>
        </w:trPr>
        <w:tc>
          <w:tcPr>
            <w:tcW w:w="40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C. T. Whitman</w:t>
            </w:r>
          </w:p>
        </w:tc>
        <w:tc>
          <w:tcPr>
            <w:tcW w:w="388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46,500</w:t>
            </w:r>
          </w:p>
        </w:tc>
        <w:tc>
          <w:tcPr>
            <w:tcW w:w="1260" w:type="dxa"/>
            <w:vAlign w:val="bottom"/>
            <w:shd w:val="clear" w:color="auto" w:fill="C0C0C0"/>
          </w:tcPr>
          <w:p>
            <w:pPr>
              <w:jc w:val="right"/>
              <w:ind w:right="281"/>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0C0C0"/>
          </w:tcPr>
          <w:p>
            <w:pPr>
              <w:jc w:val="right"/>
              <w:ind w:right="140"/>
              <w:spacing w:after="0" w:line="194" w:lineRule="exact"/>
              <w:rPr>
                <w:sz w:val="20"/>
                <w:szCs w:val="20"/>
                <w:color w:val="auto"/>
              </w:rPr>
            </w:pPr>
            <w:r>
              <w:rPr>
                <w:rFonts w:ascii="Arial" w:cs="Arial" w:eastAsia="Arial" w:hAnsi="Arial"/>
                <w:sz w:val="17"/>
                <w:szCs w:val="17"/>
                <w:color w:val="auto"/>
              </w:rPr>
              <w:t>7,000</w:t>
            </w:r>
          </w:p>
        </w:tc>
        <w:tc>
          <w:tcPr>
            <w:tcW w:w="1120" w:type="dxa"/>
            <w:vAlign w:val="bottom"/>
            <w:shd w:val="clear" w:color="auto" w:fill="C0C0C0"/>
          </w:tcPr>
          <w:p>
            <w:pPr>
              <w:jc w:val="right"/>
              <w:ind w:right="141"/>
              <w:spacing w:after="0" w:line="194" w:lineRule="exact"/>
              <w:rPr>
                <w:sz w:val="20"/>
                <w:szCs w:val="20"/>
                <w:color w:val="auto"/>
              </w:rPr>
            </w:pPr>
            <w:r>
              <w:rPr>
                <w:rFonts w:ascii="Arial" w:cs="Arial" w:eastAsia="Arial" w:hAnsi="Arial"/>
                <w:sz w:val="17"/>
                <w:szCs w:val="17"/>
                <w:color w:val="auto"/>
              </w:rPr>
              <w:t>3,411</w:t>
            </w:r>
          </w:p>
        </w:tc>
      </w:tr>
    </w:tbl>
    <w:p>
      <w:pPr>
        <w:spacing w:after="0" w:line="236" w:lineRule="exact"/>
        <w:rPr>
          <w:sz w:val="20"/>
          <w:szCs w:val="20"/>
          <w:color w:val="auto"/>
        </w:rPr>
      </w:pPr>
    </w:p>
    <w:p>
      <w:pPr>
        <w:jc w:val="both"/>
        <w:ind w:left="440" w:right="200" w:hanging="436"/>
        <w:spacing w:after="0" w:line="242"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non-employee directors’ restricted stock units granted before 2007 are settled in TI stock generally upon the director’s termination of service provided he or she has served at least eight years or has reached the company’s retirement age for directors. Restricted stock units granted after 2006 are settled in TI stock generally upon the fourth anniversary of the grant date.</w:t>
      </w:r>
    </w:p>
    <w:p>
      <w:pPr>
        <w:spacing w:after="0" w:line="224" w:lineRule="exact"/>
        <w:rPr>
          <w:rFonts w:ascii="Arial" w:cs="Arial" w:eastAsia="Arial" w:hAnsi="Arial"/>
          <w:sz w:val="17"/>
          <w:szCs w:val="17"/>
          <w:color w:val="auto"/>
        </w:rPr>
      </w:pPr>
    </w:p>
    <w:p>
      <w:pPr>
        <w:ind w:left="440" w:hanging="436"/>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shares in deferred compensation accounts are issued following the director’s termination of service.</w:t>
      </w:r>
    </w:p>
    <w:p>
      <w:pPr>
        <w:spacing w:after="0" w:line="232" w:lineRule="exact"/>
        <w:rPr>
          <w:sz w:val="20"/>
          <w:szCs w:val="20"/>
          <w:color w:val="auto"/>
        </w:rPr>
      </w:pPr>
    </w:p>
    <w:p>
      <w:pPr>
        <w:ind w:left="440" w:right="60"/>
        <w:spacing w:after="0" w:line="246" w:lineRule="auto"/>
        <w:rPr>
          <w:sz w:val="20"/>
          <w:szCs w:val="20"/>
          <w:color w:val="auto"/>
        </w:rPr>
      </w:pPr>
      <w:r>
        <w:rPr>
          <w:rFonts w:ascii="Arial" w:cs="Arial" w:eastAsia="Arial" w:hAnsi="Arial"/>
          <w:sz w:val="17"/>
          <w:szCs w:val="17"/>
          <w:color w:val="auto"/>
        </w:rPr>
        <w:t>Excludes shares held by a family member if a director has disclaimed beneficial ownership. Each director owns less than 1 percent of TI’s common stock. No director has pledged shares of TI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organization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w:t>
      </w:r>
    </w:p>
    <w:p>
      <w:pPr>
        <w:spacing w:after="0" w:line="1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During 2008, the board held nine meetings. The board has three standing committees described below. The committees of the board collectively held 22 meetings in 2008. Overall attendance at board and committee meetings was approximately 98 percent.</w:t>
      </w:r>
    </w:p>
    <w:p>
      <w:pPr>
        <w:spacing w:after="0" w:line="1" w:lineRule="exact"/>
        <w:rPr>
          <w:sz w:val="20"/>
          <w:szCs w:val="20"/>
          <w:color w:val="auto"/>
        </w:rPr>
      </w:pPr>
    </w:p>
    <w:p>
      <w:pPr>
        <w:ind w:right="140" w:firstLine="234"/>
        <w:spacing w:after="0" w:line="241" w:lineRule="auto"/>
        <w:rPr>
          <w:sz w:val="20"/>
          <w:szCs w:val="20"/>
          <w:color w:val="auto"/>
        </w:rPr>
      </w:pPr>
      <w:r>
        <w:rPr>
          <w:rFonts w:ascii="Arial" w:cs="Arial" w:eastAsia="Arial" w:hAnsi="Arial"/>
          <w:sz w:val="17"/>
          <w:szCs w:val="17"/>
          <w:color w:val="auto"/>
        </w:rPr>
        <w:t>Non-employee directors of the board meet in executive session at each regularly scheduled meeting and at such other times as the Governance and Stockholder Relations Committee recommends. The chair of the appropriate board committee acts as chair at executive sessions at which the principal item to be considered is within the scope of authority of his or her committee or, if there is no single principal item, the chair of the Governance and Stockholder Relations Committee acts as chair.</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[ 56 ]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1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Audit Committee is a separately designated standing committee established in accordance with Section 3(a)(58)(A)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Exchange Act of 1934, as amended. All members of the Audit Committee are independent under the rules of the NYSE and the board’s corporate governance guidelines. From January 1, 2008, to April 17, 2008, the committee members were Ms. Patsley (Chair), Ms. Cox and Mr. Sanders.</w:t>
      </w:r>
    </w:p>
    <w:p>
      <w:pPr>
        <w:sectPr>
          <w:pgSz w:w="11900" w:h="16838" w:orient="portrait"/>
          <w:cols w:equalWidth="0" w:num="1">
            <w:col w:w="11420"/>
          </w:cols>
          <w:pgMar w:left="240" w:top="141" w:right="239" w:bottom="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Since April 18, 2008, Ms. Patsley (Chair), Mr. Boren and Mr. Sanders have been members of the committee. Mr. MacMillan joined the committee on</w:t>
      </w:r>
    </w:p>
    <w:p>
      <w:pPr>
        <w:spacing w:after="0"/>
        <w:rPr>
          <w:sz w:val="20"/>
          <w:szCs w:val="20"/>
          <w:color w:val="auto"/>
        </w:rPr>
      </w:pPr>
      <w:r>
        <w:rPr>
          <w:rFonts w:ascii="Arial" w:cs="Arial" w:eastAsia="Arial" w:hAnsi="Arial"/>
          <w:sz w:val="17"/>
          <w:szCs w:val="17"/>
          <w:color w:val="auto"/>
        </w:rPr>
        <w:t>September 18, 2008. The Audit Committee is generally responsible for:</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annual reports to the SEC, including the financial statements and the “Management’s Discussion and Analysis” portion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reports, and recommending appropriate action to the board.</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right="640"/>
        <w:spacing w:after="0" w:line="286" w:lineRule="auto"/>
        <w:rPr>
          <w:sz w:val="20"/>
          <w:szCs w:val="20"/>
          <w:color w:val="auto"/>
        </w:rPr>
      </w:pPr>
      <w:r>
        <w:rPr>
          <w:rFonts w:ascii="Arial" w:cs="Arial" w:eastAsia="Arial" w:hAnsi="Arial"/>
          <w:sz w:val="17"/>
          <w:szCs w:val="17"/>
          <w:color w:val="auto"/>
        </w:rPr>
        <w:t>Reviewing before issuance TI’s news releases regarding annual and interim financial results and discussing with management any related earnings guidance that may be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-268605</wp:posOffset>
            </wp:positionV>
            <wp:extent cx="66675" cy="66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120"/>
        <w:spacing w:after="0" w:line="286" w:lineRule="auto"/>
        <w:rPr>
          <w:sz w:val="20"/>
          <w:szCs w:val="20"/>
          <w:color w:val="auto"/>
        </w:rPr>
      </w:pPr>
      <w:r>
        <w:rPr>
          <w:rFonts w:ascii="Arial" w:cs="Arial" w:eastAsia="Arial" w:hAnsi="Arial"/>
          <w:sz w:val="17"/>
          <w:szCs w:val="17"/>
          <w:color w:val="auto"/>
        </w:rPr>
        <w:t>Discussing TI’s audited financial statements with management and the independent registered public accounting firm, including a discussion with the firm regarding the matters required to be reviewed under applicable legal or regulatory requirements. Reviewing relationships between the independent registered public accounting firm and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-416560</wp:posOffset>
            </wp:positionV>
            <wp:extent cx="66675" cy="66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-120650</wp:posOffset>
            </wp:positionV>
            <wp:extent cx="66675" cy="66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320"/>
        <w:spacing w:after="0" w:line="307" w:lineRule="auto"/>
        <w:rPr>
          <w:sz w:val="20"/>
          <w:szCs w:val="20"/>
          <w:color w:val="auto"/>
        </w:rPr>
      </w:pPr>
      <w:r>
        <w:rPr>
          <w:rFonts w:ascii="Arial" w:cs="Arial" w:eastAsia="Arial" w:hAnsi="Arial"/>
          <w:sz w:val="17"/>
          <w:szCs w:val="17"/>
          <w:color w:val="auto"/>
        </w:rPr>
        <w:t>Reviewing and discussing the adequacy of TI’s internal accounting controls and other factors affecting the integrity of TI’s financial reports with management and with the independent registered public accounting firm. 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-290195</wp:posOffset>
            </wp:positionV>
            <wp:extent cx="66675" cy="66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5080</wp:posOffset>
            </wp:positionV>
            <wp:extent cx="66675" cy="66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compliance and ethics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right="280"/>
        <w:spacing w:after="0" w:line="286" w:lineRule="auto"/>
        <w:rPr>
          <w:sz w:val="20"/>
          <w:szCs w:val="20"/>
          <w:color w:val="auto"/>
        </w:rPr>
      </w:pPr>
      <w:r>
        <w:rPr>
          <w:rFonts w:ascii="Arial" w:cs="Arial" w:eastAsia="Arial" w:hAnsi="Arial"/>
          <w:sz w:val="17"/>
          <w:szCs w:val="17"/>
          <w:color w:val="auto"/>
        </w:rPr>
        <w:t>Reviewing a report of compliance of management and operating personnel with TI’s code of business conduct, including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-268605</wp:posOffset>
            </wp:positionV>
            <wp:extent cx="66675" cy="66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non-employee-related insurance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changes, if any, in major accounting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trends in accounting policy changes that are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the company’s policy regarding investments and financial derivative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-96520</wp:posOffset>
            </wp:positionV>
            <wp:extent cx="66675" cy="66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right="20" w:firstLine="231"/>
        <w:spacing w:after="0" w:line="238" w:lineRule="auto"/>
        <w:rPr>
          <w:sz w:val="20"/>
          <w:szCs w:val="20"/>
          <w:color w:val="auto"/>
        </w:rPr>
      </w:pPr>
      <w:r>
        <w:rPr>
          <w:rFonts w:ascii="Arial" w:cs="Arial" w:eastAsia="Arial" w:hAnsi="Arial"/>
          <w:sz w:val="17"/>
          <w:szCs w:val="17"/>
          <w:color w:val="auto"/>
        </w:rPr>
        <w:t>The board has determined that all members of the Audit Committee are financially literate and have financial management expertise, as the board has interpreted such qualifications in its business judgment. In addition, the board has designated Ms. Patsley as the audit committee financial expert as defined in the Securities Exchange Act of 1934, as amended.</w:t>
      </w:r>
    </w:p>
    <w:p>
      <w:pPr>
        <w:spacing w:after="0" w:line="1" w:lineRule="exact"/>
        <w:rPr>
          <w:sz w:val="20"/>
          <w:szCs w:val="20"/>
          <w:color w:val="auto"/>
        </w:rPr>
      </w:pPr>
    </w:p>
    <w:p>
      <w:pPr>
        <w:ind w:right="480" w:firstLine="231"/>
        <w:spacing w:after="0" w:line="242" w:lineRule="auto"/>
        <w:rPr>
          <w:sz w:val="20"/>
          <w:szCs w:val="20"/>
          <w:color w:val="auto"/>
        </w:rPr>
      </w:pPr>
      <w:r>
        <w:rPr>
          <w:rFonts w:ascii="Arial" w:cs="Arial" w:eastAsia="Arial" w:hAnsi="Arial"/>
          <w:sz w:val="17"/>
          <w:szCs w:val="17"/>
          <w:color w:val="auto"/>
        </w:rPr>
        <w:t>The Audit Committee met six times in 2008.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85 for a report of the committee.</w:t>
      </w:r>
    </w:p>
    <w:p>
      <w:pPr>
        <w:spacing w:after="0" w:line="179"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b w:val="1"/>
          <w:bCs w:val="1"/>
          <w:color w:val="auto"/>
        </w:rPr>
        <w:t xml:space="preserve">Compensation Committee. </w:t>
      </w:r>
      <w:r>
        <w:rPr>
          <w:rFonts w:ascii="Arial" w:cs="Arial" w:eastAsia="Arial" w:hAnsi="Arial"/>
          <w:sz w:val="17"/>
          <w:szCs w:val="17"/>
          <w:color w:val="auto"/>
        </w:rPr>
        <w:t>The Compensation Committee consists of three independent directors. From January 1, 2008, to April 17, 2008,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members were Mr. Carp (Chair), Ms. Simmons and Ms. Whitman. Since April 18, 2008, the committee members have been Mr. Carp (Chair), Ms. Cox and Mr. Goode. The committee is responsible for:</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and approving company goals and objectives relevant to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Evaluating the CEO’s performance in light of those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Setting the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Overseeing administration of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5"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-416560</wp:posOffset>
            </wp:positionV>
            <wp:extent cx="66675" cy="66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6"/>
          <w:szCs w:val="16"/>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-89535</wp:posOffset>
            </wp:positionV>
            <wp:extent cx="66675" cy="66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Purchase of company stock in connection with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5" w:lineRule="exact"/>
        <w:rPr>
          <w:sz w:val="20"/>
          <w:szCs w:val="20"/>
          <w:color w:val="auto"/>
        </w:rPr>
      </w:pPr>
    </w:p>
    <w:p>
      <w:pPr>
        <w:ind w:left="520" w:right="600"/>
        <w:spacing w:after="0" w:line="278" w:lineRule="auto"/>
        <w:rPr>
          <w:sz w:val="20"/>
          <w:szCs w:val="20"/>
          <w:color w:val="auto"/>
        </w:rPr>
      </w:pPr>
      <w:r>
        <w:rPr>
          <w:rFonts w:ascii="Arial" w:cs="Arial" w:eastAsia="Arial" w:hAnsi="Arial"/>
          <w:sz w:val="17"/>
          <w:szCs w:val="17"/>
          <w:color w:val="auto"/>
        </w:rPr>
        <w:t>Taking action as appropriate regarding the institution and termination of, revisions in and actions under employee benefit plans that are not required to be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-260350</wp:posOffset>
            </wp:positionV>
            <wp:extent cx="66675" cy="66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right="500" w:firstLine="259"/>
        <w:spacing w:after="0" w:line="262" w:lineRule="auto"/>
        <w:rPr>
          <w:sz w:val="20"/>
          <w:szCs w:val="20"/>
          <w:color w:val="auto"/>
        </w:rPr>
      </w:pPr>
      <w:r>
        <w:rPr>
          <w:rFonts w:ascii="Arial" w:cs="Arial" w:eastAsia="Arial" w:hAnsi="Arial"/>
          <w:sz w:val="17"/>
          <w:szCs w:val="17"/>
          <w:color w:val="auto"/>
        </w:rPr>
        <w:t>The Compensation Committee holds regularly scheduled meetings, reports its activities to the board, and consults with the board before setting annual executive compensation. During 2008, the committee met eight times. Please see page 71 for a report of the committee.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00" w:firstLine="259"/>
        <w:spacing w:after="0" w:line="241"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2008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 w:lineRule="exact"/>
        <w:rPr>
          <w:sz w:val="20"/>
          <w:szCs w:val="20"/>
          <w:color w:val="auto"/>
        </w:rPr>
      </w:pPr>
    </w:p>
    <w:p>
      <w:pPr>
        <w:ind w:right="20" w:firstLine="231"/>
        <w:spacing w:after="0" w:line="238" w:lineRule="auto"/>
        <w:rPr>
          <w:sz w:val="20"/>
          <w:szCs w:val="20"/>
          <w:color w:val="auto"/>
        </w:rPr>
      </w:pPr>
      <w:r>
        <w:rPr>
          <w:rFonts w:ascii="Arial" w:cs="Arial" w:eastAsia="Arial" w:hAnsi="Arial"/>
          <w:sz w:val="17"/>
          <w:szCs w:val="17"/>
          <w:color w:val="auto"/>
        </w:rPr>
        <w:t>The Compensation Committee considers it important that its compensation consultant’s objectivity not be compromised by other business engagements with the company or its management. In support of this belief, the committee adopted a policy in June 2007 on compensation consultants. A copy of the policy may be found on www.ti.com/corporategovernance. During 2008, neither the consultant nor any of its affiliates performed services for TI other than pursuant to the engagement by the committee.</w:t>
      </w:r>
    </w:p>
    <w:p>
      <w:pPr>
        <w:spacing w:after="0" w:line="2" w:lineRule="exact"/>
        <w:rPr>
          <w:sz w:val="20"/>
          <w:szCs w:val="20"/>
          <w:color w:val="auto"/>
        </w:rPr>
      </w:pPr>
    </w:p>
    <w:p>
      <w:pPr>
        <w:jc w:val="both"/>
        <w:ind w:right="140" w:firstLine="234"/>
        <w:spacing w:after="0" w:line="238" w:lineRule="auto"/>
        <w:rPr>
          <w:sz w:val="20"/>
          <w:szCs w:val="20"/>
          <w:color w:val="auto"/>
        </w:rPr>
      </w:pPr>
      <w:r>
        <w:rPr>
          <w:rFonts w:ascii="Arial" w:cs="Arial" w:eastAsia="Arial" w:hAnsi="Arial"/>
          <w:sz w:val="17"/>
          <w:szCs w:val="17"/>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 w:lineRule="exact"/>
        <w:rPr>
          <w:sz w:val="20"/>
          <w:szCs w:val="20"/>
          <w:color w:val="auto"/>
        </w:rPr>
      </w:pPr>
    </w:p>
    <w:p>
      <w:pPr>
        <w:ind w:right="180" w:firstLine="231"/>
        <w:spacing w:after="0" w:line="238"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The CEO is excused from the meeting during any discussion of his own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 the committee’s deliberations on executive compensation,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3" w:lineRule="exact"/>
        <w:rPr>
          <w:sz w:val="20"/>
          <w:szCs w:val="20"/>
          <w:color w:val="auto"/>
        </w:rPr>
      </w:pPr>
    </w:p>
    <w:p>
      <w:pPr>
        <w:ind w:firstLine="231"/>
        <w:spacing w:after="0" w:line="238" w:lineRule="auto"/>
        <w:rPr>
          <w:sz w:val="20"/>
          <w:szCs w:val="20"/>
          <w:color w:val="auto"/>
        </w:rPr>
      </w:pPr>
      <w:r>
        <w:rPr>
          <w:rFonts w:ascii="Arial" w:cs="Arial" w:eastAsia="Arial" w:hAnsi="Arial"/>
          <w:sz w:val="17"/>
          <w:szCs w:val="17"/>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that authority, the Compensation Committee has delegated to a special committee established by the board the authority to grant a limited</w:t>
      </w:r>
    </w:p>
    <w:p>
      <w:pPr>
        <w:sectPr>
          <w:pgSz w:w="11900" w:h="16838" w:orient="portrait"/>
          <w:cols w:equalWidth="0" w:num="1">
            <w:col w:w="11420"/>
          </w:cols>
          <w:pgMar w:left="240" w:top="141" w:right="239" w:bottom="0" w:gutter="0" w:footer="0" w:header="0"/>
        </w:sectPr>
      </w:pPr>
    </w:p>
    <w:bookmarkStart w:id="6" w:name="page7"/>
    <w:bookmarkEnd w:id="6"/>
    <w:p>
      <w:pPr>
        <w:ind w:right="100"/>
        <w:spacing w:after="0" w:line="242" w:lineRule="auto"/>
        <w:rPr>
          <w:sz w:val="20"/>
          <w:szCs w:val="20"/>
          <w:color w:val="auto"/>
        </w:rPr>
      </w:pPr>
      <w:r>
        <w:rPr>
          <w:rFonts w:ascii="Arial" w:cs="Arial" w:eastAsia="Arial" w:hAnsi="Arial"/>
          <w:sz w:val="17"/>
          <w:szCs w:val="17"/>
          <w:color w:val="auto"/>
        </w:rPr>
        <w:t>number of stock options and restricted stock units under the company’s long-term incentive plans. The sole member of the special committee is Mr. Templeton. The special committee has no authority to grant, amend or terminate any form of compensation to TI’s executive officers. The Compensation Committee reviews the grant activity of the special committee.</w:t>
      </w:r>
    </w:p>
    <w:p>
      <w:pPr>
        <w:spacing w:after="0" w:line="179"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b w:val="1"/>
          <w:bCs w:val="1"/>
          <w:color w:val="auto"/>
        </w:rPr>
        <w:t xml:space="preserve">Governance and Stockholder Relations Committee. </w:t>
      </w:r>
      <w:r>
        <w:rPr>
          <w:rFonts w:ascii="Arial" w:cs="Arial" w:eastAsia="Arial" w:hAnsi="Arial"/>
          <w:sz w:val="17"/>
          <w:szCs w:val="17"/>
          <w:color w:val="auto"/>
        </w:rPr>
        <w:t>All members of the Governance and Stockholder Relations Committee are independent.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1, 2008, to April 17, 2008, the committee members were Mr. Boren (Chair), Mr. Adams and Mr. Goode. Since April 18, 2008, the committee members have been Ms. Simmons (Chair), Mr. Adams and Ms. Whitman. The Governance and Stockholder Relations Committee is generally responsible for:</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Election of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Topics affecting the relationship between the company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Public issues likely to affect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-97155</wp:posOffset>
            </wp:positionV>
            <wp:extent cx="66675" cy="66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Electing officers of the company other than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Overseeing an annual evaluation of the board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[ 58 ]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40" w:firstLine="231"/>
        <w:spacing w:after="0" w:line="242" w:lineRule="auto"/>
        <w:rPr>
          <w:sz w:val="20"/>
          <w:szCs w:val="20"/>
          <w:color w:val="auto"/>
        </w:rPr>
      </w:pPr>
      <w:r>
        <w:rPr>
          <w:rFonts w:ascii="Arial" w:cs="Arial" w:eastAsia="Arial" w:hAnsi="Arial"/>
          <w:sz w:val="17"/>
          <w:szCs w:val="17"/>
          <w:color w:val="auto"/>
        </w:rPr>
        <w:t>The Governance and Stockholder Relations Committee met eight times in 2008. The Governance and Stockholder Relations Committee holds regularly scheduled meetings and reports its activities to the board. Please see page 54 for a discussion of stockholder nominations and communications with the board.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Governance and Stockholder Relations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compensation arrangements for the non-employee directors are:</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Additional annual retainer of $20,000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-97155</wp:posOffset>
            </wp:positionV>
            <wp:extent cx="66675" cy="666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8" w:lineRule="exact"/>
        <w:rPr>
          <w:sz w:val="20"/>
          <w:szCs w:val="20"/>
          <w:color w:val="auto"/>
        </w:rPr>
      </w:pPr>
    </w:p>
    <w:p>
      <w:pPr>
        <w:ind w:left="520" w:right="480"/>
        <w:spacing w:after="0" w:line="286" w:lineRule="auto"/>
        <w:rPr>
          <w:sz w:val="20"/>
          <w:szCs w:val="20"/>
          <w:color w:val="auto"/>
        </w:rPr>
      </w:pPr>
      <w:r>
        <w:rPr>
          <w:rFonts w:ascii="Arial" w:cs="Arial" w:eastAsia="Arial" w:hAnsi="Arial"/>
          <w:sz w:val="17"/>
          <w:szCs w:val="17"/>
          <w:color w:val="auto"/>
        </w:rPr>
        <w:t>Additional annual retainer of $10,000 for each of the chairs of the Compensation Committee and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-268605</wp:posOffset>
            </wp:positionV>
            <wp:extent cx="66675" cy="66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304" w:lineRule="auto"/>
        <w:rPr>
          <w:sz w:val="20"/>
          <w:szCs w:val="20"/>
          <w:color w:val="auto"/>
        </w:rPr>
      </w:pPr>
      <w:r>
        <w:rPr>
          <w:rFonts w:ascii="Arial" w:cs="Arial" w:eastAsia="Arial" w:hAnsi="Arial"/>
          <w:sz w:val="16"/>
          <w:szCs w:val="16"/>
          <w:color w:val="auto"/>
        </w:rPr>
        <w:t>Annual grant of a 10-year option to purchase 7,000 shares of TI common stock pursuant to the terms of the Texas Instruments 2003 Director Compensation Plan (Director Plan), which was approved by stockholders in April 2003. The exercise price of the option is the closing price of the company’s common stock on the date of the grant. These non-qualified options become exercisable in four equal annual installments beginning on the first anniversary of the grant and also will become fully exercisable in the event of a change in control (as defined in the Director Plan)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-564515</wp:posOffset>
            </wp:positionV>
            <wp:extent cx="66675" cy="666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20"/>
        <w:spacing w:after="0" w:line="279" w:lineRule="auto"/>
        <w:rPr>
          <w:sz w:val="20"/>
          <w:szCs w:val="20"/>
          <w:color w:val="auto"/>
        </w:rPr>
      </w:pPr>
      <w:r>
        <w:rPr>
          <w:rFonts w:ascii="Arial" w:cs="Arial" w:eastAsia="Arial" w:hAnsi="Arial"/>
          <w:sz w:val="17"/>
          <w:szCs w:val="17"/>
          <w:color w:val="auto"/>
        </w:rPr>
        <w:t>Annual grant of 2,500 restricted stock units pursuant to the terms of the Director Plan. The restricted stock units vest on the fourth anniversary of their date of grant and upon a change in control as defined in the Director Plan. If a director is not a member of the board on the fourth anniversary of the grant, restricted stock units will nonetheless settle on such anniversary date if the director had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-982980</wp:posOffset>
            </wp:positionV>
            <wp:extent cx="66675" cy="666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-94615</wp:posOffset>
            </wp:positionV>
            <wp:extent cx="66675" cy="66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The board has determined that grants of equity compensation to non-employee directors should be timed to occur when grants are made to our U.S.</w:t>
      </w:r>
    </w:p>
    <w:p>
      <w:pPr>
        <w:spacing w:after="0" w:line="238" w:lineRule="auto"/>
        <w:rPr>
          <w:sz w:val="20"/>
          <w:szCs w:val="20"/>
          <w:color w:val="auto"/>
        </w:rPr>
      </w:pPr>
      <w:r>
        <w:rPr>
          <w:rFonts w:ascii="Arial" w:cs="Arial" w:eastAsia="Arial" w:hAnsi="Arial"/>
          <w:sz w:val="17"/>
          <w:szCs w:val="17"/>
          <w:color w:val="auto"/>
        </w:rPr>
        <w:t>employees in connection with the annual compensation review process. Accordingly, equity grants to non-employee directors are made in January.</w:t>
      </w:r>
    </w:p>
    <w:p>
      <w:pPr>
        <w:spacing w:after="0"/>
        <w:rPr>
          <w:sz w:val="20"/>
          <w:szCs w:val="20"/>
          <w:color w:val="auto"/>
        </w:rPr>
      </w:pPr>
      <w:r>
        <w:rPr>
          <w:rFonts w:ascii="Arial" w:cs="Arial" w:eastAsia="Arial" w:hAnsi="Arial"/>
          <w:sz w:val="17"/>
          <w:szCs w:val="17"/>
          <w:color w:val="auto"/>
        </w:rPr>
        <w:t>Please see the discussion regarding the timing of equity compensation grants in the Compensation Discussion and Analysis on page 69.</w:t>
      </w:r>
    </w:p>
    <w:p>
      <w:pPr>
        <w:ind w:right="20" w:firstLine="234"/>
        <w:spacing w:after="0" w:line="238" w:lineRule="auto"/>
        <w:rPr>
          <w:sz w:val="20"/>
          <w:szCs w:val="20"/>
          <w:color w:val="auto"/>
        </w:rPr>
      </w:pPr>
      <w:r>
        <w:rPr>
          <w:rFonts w:ascii="Arial" w:cs="Arial" w:eastAsia="Arial" w:hAnsi="Arial"/>
          <w:sz w:val="17"/>
          <w:szCs w:val="17"/>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2" w:lineRule="exact"/>
        <w:rPr>
          <w:sz w:val="20"/>
          <w:szCs w:val="20"/>
          <w:color w:val="auto"/>
        </w:rPr>
      </w:pPr>
    </w:p>
    <w:p>
      <w:pPr>
        <w:ind w:right="240" w:firstLine="234"/>
        <w:spacing w:after="0" w:line="238" w:lineRule="auto"/>
        <w:rPr>
          <w:sz w:val="20"/>
          <w:szCs w:val="20"/>
          <w:color w:val="auto"/>
        </w:rPr>
      </w:pPr>
      <w:r>
        <w:rPr>
          <w:rFonts w:ascii="Arial" w:cs="Arial" w:eastAsia="Arial" w:hAnsi="Arial"/>
          <w:sz w:val="17"/>
          <w:szCs w:val="17"/>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2008, that rate was 5.76 percent. Stock unit accounts fluctuate in value with the underlying shares of TI common stock, which will be issued after the deferral period. Dividend equivalents are paid on these stock units. Directors may also defer settlement of the restricted stock units that they receive.</w:t>
      </w:r>
    </w:p>
    <w:p>
      <w:pPr>
        <w:spacing w:after="0" w:line="2" w:lineRule="exact"/>
        <w:rPr>
          <w:sz w:val="20"/>
          <w:szCs w:val="20"/>
          <w:color w:val="auto"/>
        </w:rPr>
      </w:pPr>
    </w:p>
    <w:p>
      <w:pPr>
        <w:ind w:right="600" w:firstLine="234"/>
        <w:spacing w:after="0" w:line="238" w:lineRule="auto"/>
        <w:rPr>
          <w:sz w:val="20"/>
          <w:szCs w:val="20"/>
          <w:color w:val="auto"/>
        </w:rPr>
      </w:pPr>
      <w:r>
        <w:rPr>
          <w:rFonts w:ascii="Arial" w:cs="Arial" w:eastAsia="Arial" w:hAnsi="Arial"/>
          <w:sz w:val="17"/>
          <w:szCs w:val="17"/>
          <w:color w:val="auto"/>
        </w:rPr>
        <w:t>We have arrangements with certain customers whereby our employees may purchase specific consumer products containing TI-manufactured components at discounted pricing. Directors are entitled to participate on the same terms and conditions available to employees.</w:t>
      </w:r>
    </w:p>
    <w:p>
      <w:pPr>
        <w:ind w:left="240"/>
        <w:spacing w:after="0"/>
        <w:rPr>
          <w:sz w:val="20"/>
          <w:szCs w:val="20"/>
          <w:color w:val="auto"/>
        </w:rPr>
      </w:pPr>
      <w:r>
        <w:rPr>
          <w:rFonts w:ascii="Arial" w:cs="Arial" w:eastAsia="Arial" w:hAnsi="Arial"/>
          <w:sz w:val="17"/>
          <w:szCs w:val="17"/>
          <w:color w:val="auto"/>
        </w:rPr>
        <w:t>Non-employee directors are not eligible to participate in any TI-sponsored pension plan.</w:t>
      </w:r>
    </w:p>
    <w:p>
      <w:pPr>
        <w:ind w:right="260" w:firstLine="231"/>
        <w:spacing w:after="0" w:line="246" w:lineRule="auto"/>
        <w:rPr>
          <w:sz w:val="20"/>
          <w:szCs w:val="20"/>
          <w:color w:val="auto"/>
        </w:rPr>
      </w:pPr>
      <w:r>
        <w:rPr>
          <w:rFonts w:ascii="Arial" w:cs="Arial" w:eastAsia="Arial" w:hAnsi="Arial"/>
          <w:sz w:val="17"/>
          <w:szCs w:val="17"/>
          <w:color w:val="auto"/>
        </w:rPr>
        <w:t>This year stockholders are asked to approve a new 2009 Director Compensation Plan. Information about that plan can be found beginning on page 88.</w:t>
      </w:r>
    </w:p>
    <w:p>
      <w:pPr>
        <w:sectPr>
          <w:pgSz w:w="11900" w:h="16838" w:orient="portrait"/>
          <w:cols w:equalWidth="0" w:num="1">
            <w:col w:w="11420"/>
          </w:cols>
          <w:pgMar w:left="240" w:top="143" w:right="239" w:bottom="238" w:gutter="0" w:footer="0" w:header="0"/>
        </w:sectPr>
      </w:pPr>
    </w:p>
    <w:p>
      <w:pPr>
        <w:spacing w:after="0" w:line="191" w:lineRule="exact"/>
        <w:rPr>
          <w:sz w:val="20"/>
          <w:szCs w:val="20"/>
          <w:color w:val="auto"/>
        </w:rPr>
      </w:pPr>
    </w:p>
    <w:p>
      <w:pPr>
        <w:ind w:left="8100"/>
        <w:spacing w:after="0"/>
        <w:rPr>
          <w:sz w:val="20"/>
          <w:szCs w:val="20"/>
          <w:color w:val="auto"/>
        </w:rPr>
      </w:pPr>
      <w:r>
        <w:rPr>
          <w:rFonts w:ascii="Arial" w:cs="Arial" w:eastAsia="Arial" w:hAnsi="Arial"/>
          <w:sz w:val="12"/>
          <w:szCs w:val="12"/>
          <w:color w:val="auto"/>
        </w:rPr>
        <w:t>TEXAS INSTRUMENTS 2009 PROXY STATEMENT [ 59 ]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329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43" w:right="239" w:bottom="238" w:gutter="0" w:footer="0" w:header="0"/>
          <w:type w:val="continuous"/>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director compensation</w:t>
      </w:r>
    </w:p>
    <w:p>
      <w:pPr>
        <w:spacing w:after="0" w:line="1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following table shows the compensation of all persons who were non-employee members of the board during 2008 for services in all capacities to TI in 2008, except as otherwise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Change in</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2"/>
        </w:trPr>
        <w:tc>
          <w:tcPr>
            <w:tcW w:w="2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8"/>
              </w:rPr>
              <w:t>Pension</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7"/>
              </w:rPr>
              <w:t>Value and</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Non equity</w:t>
            </w:r>
          </w:p>
        </w:tc>
        <w:tc>
          <w:tcPr>
            <w:tcW w:w="1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8"/>
              </w:rPr>
              <w:t>Non-qualified</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2420" w:type="dxa"/>
            <w:vAlign w:val="bottom"/>
            <w:gridSpan w:val="2"/>
          </w:tcPr>
          <w:p>
            <w:pPr>
              <w:ind w:left="1340"/>
              <w:spacing w:after="0" w:line="143" w:lineRule="exact"/>
              <w:rPr>
                <w:sz w:val="20"/>
                <w:szCs w:val="20"/>
                <w:color w:val="auto"/>
              </w:rPr>
            </w:pPr>
            <w:r>
              <w:rPr>
                <w:rFonts w:ascii="Arial" w:cs="Arial" w:eastAsia="Arial" w:hAnsi="Arial"/>
                <w:sz w:val="13"/>
                <w:szCs w:val="13"/>
                <w:b w:val="1"/>
                <w:bCs w:val="1"/>
                <w:color w:val="auto"/>
              </w:rPr>
              <w:t>Fees Earned or</w:t>
            </w:r>
          </w:p>
        </w:tc>
        <w:tc>
          <w:tcPr>
            <w:tcW w:w="240" w:type="dxa"/>
            <w:vAlign w:val="bottom"/>
          </w:tcPr>
          <w:p>
            <w:pPr>
              <w:spacing w:after="0"/>
              <w:rPr>
                <w:sz w:val="12"/>
                <w:szCs w:val="12"/>
                <w:color w:val="auto"/>
              </w:rPr>
            </w:pPr>
          </w:p>
        </w:tc>
        <w:tc>
          <w:tcPr>
            <w:tcW w:w="780" w:type="dxa"/>
            <w:vAlign w:val="bottom"/>
          </w:tcPr>
          <w:p>
            <w:pPr>
              <w:jc w:val="center"/>
              <w:ind w:right="180"/>
              <w:spacing w:after="0" w:line="143" w:lineRule="exact"/>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2"/>
                <w:szCs w:val="12"/>
                <w:color w:val="auto"/>
              </w:rPr>
            </w:pPr>
          </w:p>
        </w:tc>
        <w:tc>
          <w:tcPr>
            <w:tcW w:w="780" w:type="dxa"/>
            <w:vAlign w:val="bottom"/>
          </w:tcPr>
          <w:p>
            <w:pPr>
              <w:jc w:val="center"/>
              <w:ind w:right="160"/>
              <w:spacing w:after="0" w:line="143" w:lineRule="exact"/>
              <w:rPr>
                <w:sz w:val="20"/>
                <w:szCs w:val="20"/>
                <w:color w:val="auto"/>
              </w:rPr>
            </w:pPr>
            <w:r>
              <w:rPr>
                <w:rFonts w:ascii="Arial" w:cs="Arial" w:eastAsia="Arial" w:hAnsi="Arial"/>
                <w:sz w:val="13"/>
                <w:szCs w:val="13"/>
                <w:b w:val="1"/>
                <w:bCs w:val="1"/>
                <w:color w:val="auto"/>
              </w:rPr>
              <w:t>Option</w:t>
            </w:r>
          </w:p>
        </w:tc>
        <w:tc>
          <w:tcPr>
            <w:tcW w:w="1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Incentive Plan</w:t>
            </w:r>
          </w:p>
        </w:tc>
        <w:tc>
          <w:tcPr>
            <w:tcW w:w="11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Deferred</w:t>
            </w:r>
          </w:p>
        </w:tc>
        <w:tc>
          <w:tcPr>
            <w:tcW w:w="280" w:type="dxa"/>
            <w:vAlign w:val="bottom"/>
          </w:tcPr>
          <w:p>
            <w:pPr>
              <w:spacing w:after="0"/>
              <w:rPr>
                <w:sz w:val="12"/>
                <w:szCs w:val="12"/>
                <w:color w:val="auto"/>
              </w:rPr>
            </w:pPr>
          </w:p>
        </w:tc>
        <w:tc>
          <w:tcPr>
            <w:tcW w:w="880" w:type="dxa"/>
            <w:vAlign w:val="bottom"/>
          </w:tcPr>
          <w:p>
            <w:pPr>
              <w:jc w:val="right"/>
              <w:ind w:right="219"/>
              <w:spacing w:after="0" w:line="143" w:lineRule="exact"/>
              <w:rPr>
                <w:sz w:val="20"/>
                <w:szCs w:val="20"/>
                <w:color w:val="auto"/>
              </w:rPr>
            </w:pPr>
            <w:r>
              <w:rPr>
                <w:rFonts w:ascii="Arial" w:cs="Arial" w:eastAsia="Arial" w:hAnsi="Arial"/>
                <w:sz w:val="13"/>
                <w:szCs w:val="13"/>
                <w:b w:val="1"/>
                <w:bCs w:val="1"/>
                <w:color w:val="auto"/>
              </w:rPr>
              <w:t>All Other</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1"/>
        </w:trPr>
        <w:tc>
          <w:tcPr>
            <w:tcW w:w="2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jc w:val="right"/>
              <w:ind w:right="319"/>
              <w:spacing w:after="0"/>
              <w:rPr>
                <w:sz w:val="20"/>
                <w:szCs w:val="20"/>
                <w:color w:val="auto"/>
              </w:rPr>
            </w:pPr>
            <w:r>
              <w:rPr>
                <w:rFonts w:ascii="Arial" w:cs="Arial" w:eastAsia="Arial" w:hAnsi="Arial"/>
                <w:sz w:val="13"/>
                <w:szCs w:val="13"/>
                <w:b w:val="1"/>
                <w:bCs w:val="1"/>
                <w:color w:val="auto"/>
              </w:rPr>
              <w:t>Paid in</w:t>
            </w:r>
          </w:p>
        </w:tc>
        <w:tc>
          <w:tcPr>
            <w:tcW w:w="240" w:type="dxa"/>
            <w:vAlign w:val="bottom"/>
          </w:tcPr>
          <w:p>
            <w:pPr>
              <w:spacing w:after="0"/>
              <w:rPr>
                <w:sz w:val="14"/>
                <w:szCs w:val="14"/>
                <w:color w:val="auto"/>
              </w:rPr>
            </w:pPr>
          </w:p>
        </w:tc>
        <w:tc>
          <w:tcPr>
            <w:tcW w:w="780" w:type="dxa"/>
            <w:vAlign w:val="bottom"/>
          </w:tcPr>
          <w:p>
            <w:pPr>
              <w:jc w:val="center"/>
              <w:ind w:right="160"/>
              <w:spacing w:after="0"/>
              <w:rPr>
                <w:sz w:val="20"/>
                <w:szCs w:val="20"/>
                <w:color w:val="auto"/>
              </w:rPr>
            </w:pPr>
            <w:r>
              <w:rPr>
                <w:rFonts w:ascii="Arial" w:cs="Arial" w:eastAsia="Arial" w:hAnsi="Arial"/>
                <w:sz w:val="13"/>
                <w:szCs w:val="13"/>
                <w:b w:val="1"/>
                <w:bCs w:val="1"/>
                <w:color w:val="auto"/>
                <w:w w:val="97"/>
              </w:rPr>
              <w:t>Awards</w:t>
            </w:r>
          </w:p>
        </w:tc>
        <w:tc>
          <w:tcPr>
            <w:tcW w:w="240" w:type="dxa"/>
            <w:vAlign w:val="bottom"/>
          </w:tcPr>
          <w:p>
            <w:pPr>
              <w:spacing w:after="0"/>
              <w:rPr>
                <w:sz w:val="14"/>
                <w:szCs w:val="14"/>
                <w:color w:val="auto"/>
              </w:rPr>
            </w:pPr>
          </w:p>
        </w:tc>
        <w:tc>
          <w:tcPr>
            <w:tcW w:w="780" w:type="dxa"/>
            <w:vAlign w:val="bottom"/>
          </w:tcPr>
          <w:p>
            <w:pPr>
              <w:jc w:val="center"/>
              <w:ind w:right="160"/>
              <w:spacing w:after="0"/>
              <w:rPr>
                <w:sz w:val="20"/>
                <w:szCs w:val="20"/>
                <w:color w:val="auto"/>
              </w:rPr>
            </w:pPr>
            <w:r>
              <w:rPr>
                <w:rFonts w:ascii="Arial" w:cs="Arial" w:eastAsia="Arial" w:hAnsi="Arial"/>
                <w:sz w:val="13"/>
                <w:szCs w:val="13"/>
                <w:b w:val="1"/>
                <w:bCs w:val="1"/>
                <w:color w:val="auto"/>
                <w:w w:val="97"/>
              </w:rPr>
              <w:t>Awards</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160" w:type="dxa"/>
            <w:vAlign w:val="bottom"/>
            <w:gridSpan w:val="2"/>
          </w:tcPr>
          <w:p>
            <w:pPr>
              <w:ind w:left="140"/>
              <w:spacing w:after="0"/>
              <w:rPr>
                <w:sz w:val="20"/>
                <w:szCs w:val="20"/>
                <w:color w:val="auto"/>
              </w:rPr>
            </w:pPr>
            <w:r>
              <w:rPr>
                <w:rFonts w:ascii="Arial" w:cs="Arial" w:eastAsia="Arial" w:hAnsi="Arial"/>
                <w:sz w:val="13"/>
                <w:szCs w:val="13"/>
                <w:b w:val="1"/>
                <w:bCs w:val="1"/>
                <w:color w:val="auto"/>
              </w:rPr>
              <w:t>Compensation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1"/>
        </w:trPr>
        <w:tc>
          <w:tcPr>
            <w:tcW w:w="2500" w:type="dxa"/>
            <w:vAlign w:val="bottom"/>
          </w:tcPr>
          <w:p>
            <w:pPr>
              <w:spacing w:after="0"/>
              <w:rPr>
                <w:sz w:val="20"/>
                <w:szCs w:val="20"/>
                <w:color w:val="auto"/>
              </w:rPr>
            </w:pPr>
            <w:r>
              <w:rPr>
                <w:rFonts w:ascii="Arial" w:cs="Arial" w:eastAsia="Arial" w:hAnsi="Arial"/>
                <w:sz w:val="13"/>
                <w:szCs w:val="13"/>
                <w:b w:val="1"/>
                <w:bCs w:val="1"/>
                <w:color w:val="auto"/>
              </w:rPr>
              <w:t>Name (1)</w:t>
            </w:r>
          </w:p>
        </w:tc>
        <w:tc>
          <w:tcPr>
            <w:tcW w:w="146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3"/>
                <w:szCs w:val="13"/>
                <w:b w:val="1"/>
                <w:bCs w:val="1"/>
                <w:color w:val="auto"/>
              </w:rPr>
              <w:t>Cash ($)(2)</w:t>
            </w:r>
          </w:p>
        </w:tc>
        <w:tc>
          <w:tcPr>
            <w:tcW w:w="240" w:type="dxa"/>
            <w:vAlign w:val="bottom"/>
          </w:tcPr>
          <w:p>
            <w:pPr>
              <w:spacing w:after="0"/>
              <w:rPr>
                <w:sz w:val="19"/>
                <w:szCs w:val="19"/>
                <w:color w:val="auto"/>
              </w:rPr>
            </w:pPr>
          </w:p>
        </w:tc>
        <w:tc>
          <w:tcPr>
            <w:tcW w:w="780" w:type="dxa"/>
            <w:vAlign w:val="bottom"/>
          </w:tcPr>
          <w:p>
            <w:pPr>
              <w:jc w:val="center"/>
              <w:ind w:right="180"/>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9"/>
                <w:szCs w:val="19"/>
                <w:color w:val="auto"/>
              </w:rPr>
            </w:pPr>
          </w:p>
        </w:tc>
        <w:tc>
          <w:tcPr>
            <w:tcW w:w="780" w:type="dxa"/>
            <w:vAlign w:val="bottom"/>
          </w:tcPr>
          <w:p>
            <w:pPr>
              <w:jc w:val="center"/>
              <w:ind w:right="180"/>
              <w:spacing w:after="0"/>
              <w:rPr>
                <w:sz w:val="20"/>
                <w:szCs w:val="20"/>
                <w:color w:val="auto"/>
              </w:rPr>
            </w:pPr>
            <w:r>
              <w:rPr>
                <w:rFonts w:ascii="Arial" w:cs="Arial" w:eastAsia="Arial" w:hAnsi="Arial"/>
                <w:sz w:val="13"/>
                <w:szCs w:val="13"/>
                <w:b w:val="1"/>
                <w:bCs w:val="1"/>
                <w:color w:val="auto"/>
              </w:rPr>
              <w:t>($)(4)</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9"/>
                <w:szCs w:val="19"/>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($)(5)</w:t>
            </w:r>
          </w:p>
        </w:tc>
        <w:tc>
          <w:tcPr>
            <w:tcW w:w="260" w:type="dxa"/>
            <w:vAlign w:val="bottom"/>
          </w:tcPr>
          <w:p>
            <w:pPr>
              <w:spacing w:after="0"/>
              <w:rPr>
                <w:sz w:val="19"/>
                <w:szCs w:val="19"/>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b w:val="1"/>
                <w:bCs w:val="1"/>
                <w:color w:val="auto"/>
              </w:rPr>
              <w:t>Total ($)</w:t>
            </w:r>
          </w:p>
        </w:tc>
      </w:tr>
      <w:tr>
        <w:trPr>
          <w:trHeight w:val="233"/>
        </w:trPr>
        <w:tc>
          <w:tcPr>
            <w:tcW w:w="2500" w:type="dxa"/>
            <w:vAlign w:val="bottom"/>
            <w:shd w:val="clear" w:color="auto" w:fill="E9E9E9"/>
          </w:tcPr>
          <w:p>
            <w:pPr>
              <w:spacing w:after="0"/>
              <w:rPr>
                <w:sz w:val="20"/>
                <w:szCs w:val="20"/>
                <w:color w:val="auto"/>
              </w:rPr>
            </w:pPr>
          </w:p>
        </w:tc>
        <w:tc>
          <w:tcPr>
            <w:tcW w:w="146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88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r>
      <w:tr>
        <w:trPr>
          <w:trHeight w:val="194"/>
        </w:trPr>
        <w:tc>
          <w:tcPr>
            <w:tcW w:w="250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J. R. Adams</w:t>
            </w:r>
          </w:p>
        </w:tc>
        <w:tc>
          <w:tcPr>
            <w:tcW w:w="146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9"/>
              <w:spacing w:after="0" w:line="194" w:lineRule="exact"/>
              <w:rPr>
                <w:sz w:val="20"/>
                <w:szCs w:val="20"/>
                <w:color w:val="auto"/>
              </w:rPr>
            </w:pPr>
            <w:r>
              <w:rPr>
                <w:rFonts w:ascii="Arial" w:cs="Arial" w:eastAsia="Arial" w:hAnsi="Arial"/>
                <w:sz w:val="17"/>
                <w:szCs w:val="17"/>
                <w:color w:val="auto"/>
              </w:rPr>
              <w:t>80,000</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line="194" w:lineRule="exact"/>
              <w:rPr>
                <w:sz w:val="20"/>
                <w:szCs w:val="20"/>
                <w:color w:val="auto"/>
              </w:rPr>
            </w:pPr>
            <w:r>
              <w:rPr>
                <w:rFonts w:ascii="Arial" w:cs="Arial" w:eastAsia="Arial" w:hAnsi="Arial"/>
                <w:sz w:val="17"/>
                <w:szCs w:val="17"/>
                <w:color w:val="auto"/>
              </w:rPr>
              <w:t>74,475</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line="194" w:lineRule="exact"/>
              <w:rPr>
                <w:sz w:val="20"/>
                <w:szCs w:val="20"/>
                <w:color w:val="auto"/>
              </w:rPr>
            </w:pPr>
            <w:r>
              <w:rPr>
                <w:rFonts w:ascii="Arial" w:cs="Arial" w:eastAsia="Arial" w:hAnsi="Arial"/>
                <w:sz w:val="17"/>
                <w:szCs w:val="17"/>
                <w:color w:val="auto"/>
              </w:rPr>
              <w:t>62,160</w:t>
            </w:r>
          </w:p>
        </w:tc>
        <w:tc>
          <w:tcPr>
            <w:tcW w:w="11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11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28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39"/>
              <w:spacing w:after="0" w:line="194" w:lineRule="exact"/>
              <w:rPr>
                <w:sz w:val="20"/>
                <w:szCs w:val="20"/>
                <w:color w:val="auto"/>
              </w:rPr>
            </w:pPr>
            <w:r>
              <w:rPr>
                <w:rFonts w:ascii="Arial" w:cs="Arial" w:eastAsia="Arial" w:hAnsi="Arial"/>
                <w:sz w:val="17"/>
                <w:szCs w:val="17"/>
                <w:color w:val="auto"/>
              </w:rPr>
              <w:t>655</w:t>
            </w:r>
          </w:p>
        </w:tc>
        <w:tc>
          <w:tcPr>
            <w:tcW w:w="2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217,290</w:t>
            </w:r>
          </w:p>
        </w:tc>
      </w:tr>
      <w:tr>
        <w:trPr>
          <w:trHeight w:val="194"/>
        </w:trPr>
        <w:tc>
          <w:tcPr>
            <w:tcW w:w="2500" w:type="dxa"/>
            <w:vAlign w:val="bottom"/>
          </w:tcPr>
          <w:p>
            <w:pPr>
              <w:spacing w:after="0" w:line="194" w:lineRule="exact"/>
              <w:rPr>
                <w:sz w:val="20"/>
                <w:szCs w:val="20"/>
                <w:color w:val="auto"/>
              </w:rPr>
            </w:pPr>
            <w:r>
              <w:rPr>
                <w:rFonts w:ascii="Arial" w:cs="Arial" w:eastAsia="Arial" w:hAnsi="Arial"/>
                <w:sz w:val="17"/>
                <w:szCs w:val="17"/>
                <w:color w:val="auto"/>
              </w:rPr>
              <w:t>D. L. Boren</w:t>
            </w:r>
          </w:p>
        </w:tc>
        <w:tc>
          <w:tcPr>
            <w:tcW w:w="1460" w:type="dxa"/>
            <w:vAlign w:val="bottom"/>
          </w:tcPr>
          <w:p>
            <w:pPr>
              <w:ind w:left="134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ind w:right="59"/>
              <w:spacing w:after="0" w:line="194" w:lineRule="exact"/>
              <w:rPr>
                <w:sz w:val="20"/>
                <w:szCs w:val="20"/>
                <w:color w:val="auto"/>
              </w:rPr>
            </w:pPr>
            <w:r>
              <w:rPr>
                <w:rFonts w:ascii="Arial" w:cs="Arial" w:eastAsia="Arial" w:hAnsi="Arial"/>
                <w:sz w:val="17"/>
                <w:szCs w:val="17"/>
                <w:color w:val="auto"/>
              </w:rPr>
              <w:t>83,333</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line="194" w:lineRule="exact"/>
              <w:rPr>
                <w:sz w:val="20"/>
                <w:szCs w:val="20"/>
                <w:color w:val="auto"/>
              </w:rPr>
            </w:pPr>
            <w:r>
              <w:rPr>
                <w:rFonts w:ascii="Arial" w:cs="Arial" w:eastAsia="Arial" w:hAnsi="Arial"/>
                <w:sz w:val="17"/>
                <w:szCs w:val="17"/>
                <w:color w:val="auto"/>
              </w:rPr>
              <w:t>74,475</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line="194" w:lineRule="exact"/>
              <w:rPr>
                <w:sz w:val="20"/>
                <w:szCs w:val="20"/>
                <w:color w:val="auto"/>
              </w:rPr>
            </w:pPr>
            <w:r>
              <w:rPr>
                <w:rFonts w:ascii="Arial" w:cs="Arial" w:eastAsia="Arial" w:hAnsi="Arial"/>
                <w:sz w:val="17"/>
                <w:szCs w:val="17"/>
                <w:color w:val="auto"/>
              </w:rPr>
              <w:t>62,160</w:t>
            </w:r>
          </w:p>
        </w:tc>
        <w:tc>
          <w:tcPr>
            <w:tcW w:w="116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116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280" w:type="dxa"/>
            <w:vAlign w:val="bottom"/>
          </w:tcPr>
          <w:p>
            <w:pPr>
              <w:ind w:left="14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line="194" w:lineRule="exact"/>
              <w:rPr>
                <w:sz w:val="20"/>
                <w:szCs w:val="20"/>
                <w:color w:val="auto"/>
              </w:rPr>
            </w:pPr>
            <w:r>
              <w:rPr>
                <w:rFonts w:ascii="Arial" w:cs="Arial" w:eastAsia="Arial" w:hAnsi="Arial"/>
                <w:sz w:val="17"/>
                <w:szCs w:val="17"/>
                <w:color w:val="auto"/>
              </w:rPr>
              <w:t>11,761</w:t>
            </w:r>
          </w:p>
        </w:tc>
        <w:tc>
          <w:tcPr>
            <w:tcW w:w="2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231,729</w:t>
            </w:r>
          </w:p>
        </w:tc>
      </w:tr>
      <w:tr>
        <w:trPr>
          <w:trHeight w:val="194"/>
        </w:trPr>
        <w:tc>
          <w:tcPr>
            <w:tcW w:w="250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 A. Carp</w:t>
            </w:r>
          </w:p>
        </w:tc>
        <w:tc>
          <w:tcPr>
            <w:tcW w:w="146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9"/>
              <w:spacing w:after="0" w:line="194" w:lineRule="exact"/>
              <w:rPr>
                <w:sz w:val="20"/>
                <w:szCs w:val="20"/>
                <w:color w:val="auto"/>
              </w:rPr>
            </w:pPr>
            <w:r>
              <w:rPr>
                <w:rFonts w:ascii="Arial" w:cs="Arial" w:eastAsia="Arial" w:hAnsi="Arial"/>
                <w:sz w:val="17"/>
                <w:szCs w:val="17"/>
                <w:color w:val="auto"/>
              </w:rPr>
              <w:t>90,000</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line="194" w:lineRule="exact"/>
              <w:rPr>
                <w:sz w:val="20"/>
                <w:szCs w:val="20"/>
                <w:color w:val="auto"/>
              </w:rPr>
            </w:pPr>
            <w:r>
              <w:rPr>
                <w:rFonts w:ascii="Arial" w:cs="Arial" w:eastAsia="Arial" w:hAnsi="Arial"/>
                <w:sz w:val="17"/>
                <w:szCs w:val="17"/>
                <w:color w:val="auto"/>
              </w:rPr>
              <w:t>74,475</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line="194" w:lineRule="exact"/>
              <w:rPr>
                <w:sz w:val="20"/>
                <w:szCs w:val="20"/>
                <w:color w:val="auto"/>
              </w:rPr>
            </w:pPr>
            <w:r>
              <w:rPr>
                <w:rFonts w:ascii="Arial" w:cs="Arial" w:eastAsia="Arial" w:hAnsi="Arial"/>
                <w:sz w:val="17"/>
                <w:szCs w:val="17"/>
                <w:color w:val="auto"/>
              </w:rPr>
              <w:t>62,160</w:t>
            </w:r>
          </w:p>
        </w:tc>
        <w:tc>
          <w:tcPr>
            <w:tcW w:w="11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11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28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39"/>
              <w:spacing w:after="0" w:line="194" w:lineRule="exact"/>
              <w:rPr>
                <w:sz w:val="20"/>
                <w:szCs w:val="20"/>
                <w:color w:val="auto"/>
              </w:rPr>
            </w:pPr>
            <w:r>
              <w:rPr>
                <w:rFonts w:ascii="Arial" w:cs="Arial" w:eastAsia="Arial" w:hAnsi="Arial"/>
                <w:sz w:val="17"/>
                <w:szCs w:val="17"/>
                <w:color w:val="auto"/>
              </w:rPr>
              <w:t>8,531</w:t>
            </w:r>
          </w:p>
        </w:tc>
        <w:tc>
          <w:tcPr>
            <w:tcW w:w="2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235,166</w:t>
            </w:r>
          </w:p>
        </w:tc>
      </w:tr>
      <w:tr>
        <w:trPr>
          <w:trHeight w:val="233"/>
        </w:trPr>
        <w:tc>
          <w:tcPr>
            <w:tcW w:w="2500" w:type="dxa"/>
            <w:vAlign w:val="bottom"/>
          </w:tcPr>
          <w:p>
            <w:pPr>
              <w:spacing w:after="0"/>
              <w:rPr>
                <w:sz w:val="20"/>
                <w:szCs w:val="20"/>
                <w:color w:val="auto"/>
              </w:rPr>
            </w:pPr>
            <w:r>
              <w:rPr>
                <w:rFonts w:ascii="Arial" w:cs="Arial" w:eastAsia="Arial" w:hAnsi="Arial"/>
                <w:sz w:val="17"/>
                <w:szCs w:val="17"/>
                <w:color w:val="auto"/>
              </w:rPr>
              <w:t>C. S. Cox</w:t>
            </w:r>
          </w:p>
        </w:tc>
        <w:tc>
          <w:tcPr>
            <w:tcW w:w="1460" w:type="dxa"/>
            <w:vAlign w:val="bottom"/>
          </w:tcPr>
          <w:p>
            <w:pPr>
              <w:ind w:left="134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9"/>
              <w:spacing w:after="0"/>
              <w:rPr>
                <w:sz w:val="20"/>
                <w:szCs w:val="20"/>
                <w:color w:val="auto"/>
              </w:rPr>
            </w:pPr>
            <w:r>
              <w:rPr>
                <w:rFonts w:ascii="Arial" w:cs="Arial" w:eastAsia="Arial" w:hAnsi="Arial"/>
                <w:sz w:val="17"/>
                <w:szCs w:val="17"/>
                <w:color w:val="auto"/>
              </w:rPr>
              <w:t>80,000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74,169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62,633</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216,822</w:t>
            </w: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7"/>
                <w:szCs w:val="17"/>
                <w:color w:val="auto"/>
              </w:rPr>
              <w:t>D. R. Goode</w:t>
            </w:r>
          </w:p>
        </w:tc>
        <w:tc>
          <w:tcPr>
            <w:tcW w:w="1460" w:type="dxa"/>
            <w:vAlign w:val="bottom"/>
            <w:shd w:val="clear" w:color="auto" w:fill="C0C0C0"/>
          </w:tcPr>
          <w:p>
            <w:pPr>
              <w:ind w:left="13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80,000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74,475</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62,160</w:t>
            </w:r>
          </w:p>
        </w:tc>
        <w:tc>
          <w:tcPr>
            <w:tcW w:w="11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1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0C0C0"/>
          </w:tcPr>
          <w:p>
            <w:pPr>
              <w:ind w:lef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39"/>
              <w:spacing w:after="0"/>
              <w:rPr>
                <w:sz w:val="20"/>
                <w:szCs w:val="20"/>
                <w:color w:val="auto"/>
              </w:rPr>
            </w:pPr>
            <w:r>
              <w:rPr>
                <w:rFonts w:ascii="Arial" w:cs="Arial" w:eastAsia="Arial" w:hAnsi="Arial"/>
                <w:sz w:val="17"/>
                <w:szCs w:val="17"/>
                <w:color w:val="auto"/>
              </w:rPr>
              <w:t>11,761</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228,396</w:t>
            </w:r>
          </w:p>
        </w:tc>
      </w:tr>
      <w:tr>
        <w:trPr>
          <w:trHeight w:val="194"/>
        </w:trPr>
        <w:tc>
          <w:tcPr>
            <w:tcW w:w="2500" w:type="dxa"/>
            <w:vAlign w:val="bottom"/>
          </w:tcPr>
          <w:p>
            <w:pPr>
              <w:spacing w:after="0" w:line="194" w:lineRule="exact"/>
              <w:rPr>
                <w:sz w:val="20"/>
                <w:szCs w:val="20"/>
                <w:color w:val="auto"/>
              </w:rPr>
            </w:pPr>
            <w:r>
              <w:rPr>
                <w:rFonts w:ascii="Arial" w:cs="Arial" w:eastAsia="Arial" w:hAnsi="Arial"/>
                <w:sz w:val="17"/>
                <w:szCs w:val="17"/>
                <w:color w:val="auto"/>
              </w:rPr>
              <w:t>S. P. MacMillan</w:t>
            </w:r>
          </w:p>
        </w:tc>
        <w:tc>
          <w:tcPr>
            <w:tcW w:w="1460" w:type="dxa"/>
            <w:vAlign w:val="bottom"/>
          </w:tcPr>
          <w:p>
            <w:pPr>
              <w:ind w:left="134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ind w:right="59"/>
              <w:spacing w:after="0" w:line="194" w:lineRule="exact"/>
              <w:rPr>
                <w:sz w:val="20"/>
                <w:szCs w:val="20"/>
                <w:color w:val="auto"/>
              </w:rPr>
            </w:pPr>
            <w:r>
              <w:rPr>
                <w:rFonts w:ascii="Arial" w:cs="Arial" w:eastAsia="Arial" w:hAnsi="Arial"/>
                <w:sz w:val="17"/>
                <w:szCs w:val="17"/>
                <w:color w:val="auto"/>
              </w:rPr>
              <w:t>22,889</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line="194" w:lineRule="exact"/>
              <w:rPr>
                <w:sz w:val="20"/>
                <w:szCs w:val="20"/>
                <w:color w:val="auto"/>
              </w:rPr>
            </w:pPr>
            <w:r>
              <w:rPr>
                <w:rFonts w:ascii="Arial" w:cs="Arial" w:eastAsia="Arial" w:hAnsi="Arial"/>
                <w:sz w:val="17"/>
                <w:szCs w:val="17"/>
                <w:color w:val="auto"/>
              </w:rPr>
              <w:t>45,500</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16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116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280" w:type="dxa"/>
            <w:vAlign w:val="bottom"/>
          </w:tcPr>
          <w:p>
            <w:pPr>
              <w:ind w:left="14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line="194" w:lineRule="exact"/>
              <w:rPr>
                <w:sz w:val="20"/>
                <w:szCs w:val="20"/>
                <w:color w:val="auto"/>
              </w:rPr>
            </w:pPr>
            <w:r>
              <w:rPr>
                <w:rFonts w:ascii="Arial" w:cs="Arial" w:eastAsia="Arial" w:hAnsi="Arial"/>
                <w:sz w:val="17"/>
                <w:szCs w:val="17"/>
                <w:color w:val="auto"/>
              </w:rPr>
              <w:t>20</w:t>
            </w:r>
          </w:p>
        </w:tc>
        <w:tc>
          <w:tcPr>
            <w:tcW w:w="2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68,409</w:t>
            </w: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7"/>
                <w:szCs w:val="17"/>
                <w:color w:val="auto"/>
              </w:rPr>
              <w:t>P. H. Patsley</w:t>
            </w:r>
          </w:p>
        </w:tc>
        <w:tc>
          <w:tcPr>
            <w:tcW w:w="1460" w:type="dxa"/>
            <w:vAlign w:val="bottom"/>
            <w:shd w:val="clear" w:color="auto" w:fill="C0C0C0"/>
          </w:tcPr>
          <w:p>
            <w:pPr>
              <w:ind w:left="13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74,169</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62,633</w:t>
            </w:r>
          </w:p>
        </w:tc>
        <w:tc>
          <w:tcPr>
            <w:tcW w:w="11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1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0C0C0"/>
          </w:tcPr>
          <w:p>
            <w:pPr>
              <w:ind w:lef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39"/>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236,822</w:t>
            </w:r>
          </w:p>
        </w:tc>
      </w:tr>
      <w:tr>
        <w:trPr>
          <w:trHeight w:val="233"/>
        </w:trPr>
        <w:tc>
          <w:tcPr>
            <w:tcW w:w="2500" w:type="dxa"/>
            <w:vAlign w:val="bottom"/>
          </w:tcPr>
          <w:p>
            <w:pPr>
              <w:spacing w:after="0"/>
              <w:rPr>
                <w:sz w:val="20"/>
                <w:szCs w:val="20"/>
                <w:color w:val="auto"/>
              </w:rPr>
            </w:pPr>
            <w:r>
              <w:rPr>
                <w:rFonts w:ascii="Arial" w:cs="Arial" w:eastAsia="Arial" w:hAnsi="Arial"/>
                <w:sz w:val="17"/>
                <w:szCs w:val="17"/>
                <w:color w:val="auto"/>
              </w:rPr>
              <w:t>W. R. Sanders</w:t>
            </w:r>
          </w:p>
        </w:tc>
        <w:tc>
          <w:tcPr>
            <w:tcW w:w="1460" w:type="dxa"/>
            <w:vAlign w:val="bottom"/>
          </w:tcPr>
          <w:p>
            <w:pPr>
              <w:ind w:left="134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9"/>
              <w:spacing w:after="0"/>
              <w:rPr>
                <w:sz w:val="20"/>
                <w:szCs w:val="20"/>
                <w:color w:val="auto"/>
              </w:rPr>
            </w:pPr>
            <w:r>
              <w:rPr>
                <w:rFonts w:ascii="Arial" w:cs="Arial" w:eastAsia="Arial" w:hAnsi="Arial"/>
                <w:sz w:val="17"/>
                <w:szCs w:val="17"/>
                <w:color w:val="auto"/>
              </w:rPr>
              <w:t>80,250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74,475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62,160</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8,531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225,416</w:t>
            </w:r>
          </w:p>
        </w:tc>
      </w:tr>
      <w:tr>
        <w:trPr>
          <w:trHeight w:val="194"/>
        </w:trPr>
        <w:tc>
          <w:tcPr>
            <w:tcW w:w="250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R. J. Simmons</w:t>
            </w:r>
          </w:p>
        </w:tc>
        <w:tc>
          <w:tcPr>
            <w:tcW w:w="146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9"/>
              <w:spacing w:after="0" w:line="194" w:lineRule="exact"/>
              <w:rPr>
                <w:sz w:val="20"/>
                <w:szCs w:val="20"/>
                <w:color w:val="auto"/>
              </w:rPr>
            </w:pPr>
            <w:r>
              <w:rPr>
                <w:rFonts w:ascii="Arial" w:cs="Arial" w:eastAsia="Arial" w:hAnsi="Arial"/>
                <w:sz w:val="17"/>
                <w:szCs w:val="17"/>
                <w:color w:val="auto"/>
              </w:rPr>
              <w:t>86,667</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line="194" w:lineRule="exact"/>
              <w:rPr>
                <w:sz w:val="20"/>
                <w:szCs w:val="20"/>
                <w:color w:val="auto"/>
              </w:rPr>
            </w:pPr>
            <w:r>
              <w:rPr>
                <w:rFonts w:ascii="Arial" w:cs="Arial" w:eastAsia="Arial" w:hAnsi="Arial"/>
                <w:sz w:val="17"/>
                <w:szCs w:val="17"/>
                <w:color w:val="auto"/>
              </w:rPr>
              <w:t>74,475</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ind w:right="60"/>
              <w:spacing w:after="0" w:line="194" w:lineRule="exact"/>
              <w:rPr>
                <w:sz w:val="20"/>
                <w:szCs w:val="20"/>
                <w:color w:val="auto"/>
              </w:rPr>
            </w:pPr>
            <w:r>
              <w:rPr>
                <w:rFonts w:ascii="Arial" w:cs="Arial" w:eastAsia="Arial" w:hAnsi="Arial"/>
                <w:sz w:val="17"/>
                <w:szCs w:val="17"/>
                <w:color w:val="auto"/>
              </w:rPr>
              <w:t>62,160</w:t>
            </w:r>
          </w:p>
        </w:tc>
        <w:tc>
          <w:tcPr>
            <w:tcW w:w="11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11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28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39"/>
              <w:spacing w:after="0" w:line="194" w:lineRule="exact"/>
              <w:rPr>
                <w:sz w:val="20"/>
                <w:szCs w:val="20"/>
                <w:color w:val="auto"/>
              </w:rPr>
            </w:pPr>
            <w:r>
              <w:rPr>
                <w:rFonts w:ascii="Arial" w:cs="Arial" w:eastAsia="Arial" w:hAnsi="Arial"/>
                <w:sz w:val="17"/>
                <w:szCs w:val="17"/>
                <w:color w:val="auto"/>
              </w:rPr>
              <w:t>20</w:t>
            </w:r>
          </w:p>
        </w:tc>
        <w:tc>
          <w:tcPr>
            <w:tcW w:w="2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223,322</w:t>
            </w:r>
          </w:p>
        </w:tc>
      </w:tr>
      <w:tr>
        <w:trPr>
          <w:trHeight w:val="205"/>
        </w:trPr>
        <w:tc>
          <w:tcPr>
            <w:tcW w:w="2500" w:type="dxa"/>
            <w:vAlign w:val="bottom"/>
          </w:tcPr>
          <w:p>
            <w:pPr>
              <w:spacing w:after="0"/>
              <w:rPr>
                <w:sz w:val="20"/>
                <w:szCs w:val="20"/>
                <w:color w:val="auto"/>
              </w:rPr>
            </w:pPr>
            <w:r>
              <w:rPr>
                <w:rFonts w:ascii="Arial" w:cs="Arial" w:eastAsia="Arial" w:hAnsi="Arial"/>
                <w:sz w:val="17"/>
                <w:szCs w:val="17"/>
                <w:color w:val="auto"/>
              </w:rPr>
              <w:t>C. T. Whitman</w:t>
            </w:r>
          </w:p>
        </w:tc>
        <w:tc>
          <w:tcPr>
            <w:tcW w:w="1460" w:type="dxa"/>
            <w:vAlign w:val="bottom"/>
          </w:tcPr>
          <w:p>
            <w:pPr>
              <w:ind w:left="134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9"/>
              <w:spacing w:after="0"/>
              <w:rPr>
                <w:sz w:val="20"/>
                <w:szCs w:val="20"/>
                <w:color w:val="auto"/>
              </w:rPr>
            </w:pPr>
            <w:r>
              <w:rPr>
                <w:rFonts w:ascii="Arial" w:cs="Arial" w:eastAsia="Arial" w:hAnsi="Arial"/>
                <w:sz w:val="17"/>
                <w:szCs w:val="17"/>
                <w:color w:val="auto"/>
              </w:rPr>
              <w:t>81,000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74,169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62,633</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80" w:type="dxa"/>
            <w:vAlign w:val="bottom"/>
          </w:tcPr>
          <w:p>
            <w:pPr>
              <w:ind w:left="1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217,822</w:t>
            </w:r>
          </w:p>
        </w:tc>
      </w:tr>
    </w:tbl>
    <w:p>
      <w:pPr>
        <w:spacing w:after="0" w:line="225" w:lineRule="exact"/>
        <w:rPr>
          <w:sz w:val="20"/>
          <w:szCs w:val="20"/>
          <w:color w:val="auto"/>
        </w:rPr>
      </w:pPr>
    </w:p>
    <w:p>
      <w:pPr>
        <w:ind w:left="440" w:right="160" w:hanging="436"/>
        <w:spacing w:after="0" w:line="242"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Thomas J. Engibous, an executive officer of the company, retired as chairman of the board on April 17, 2008. Mr. Engibous received no additional compensation for his services as a director and is not a named executive officer as defined on page 61. Therefore, SEC rules do not require disclosure of his compensation.</w:t>
      </w:r>
    </w:p>
    <w:p>
      <w:pPr>
        <w:spacing w:after="0" w:line="224" w:lineRule="exact"/>
        <w:rPr>
          <w:rFonts w:ascii="Arial" w:cs="Arial" w:eastAsia="Arial" w:hAnsi="Arial"/>
          <w:sz w:val="17"/>
          <w:szCs w:val="17"/>
          <w:color w:val="auto"/>
        </w:rPr>
      </w:pPr>
    </w:p>
    <w:p>
      <w:pPr>
        <w:ind w:left="440" w:hanging="436"/>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amounts deferred at the director’s election.</w:t>
      </w:r>
    </w:p>
    <w:p>
      <w:pPr>
        <w:spacing w:after="0" w:line="231" w:lineRule="exact"/>
        <w:rPr>
          <w:rFonts w:ascii="Arial" w:cs="Arial" w:eastAsia="Arial" w:hAnsi="Arial"/>
          <w:sz w:val="17"/>
          <w:szCs w:val="17"/>
          <w:color w:val="auto"/>
        </w:rPr>
      </w:pPr>
    </w:p>
    <w:p>
      <w:pPr>
        <w:ind w:left="440" w:right="20" w:hanging="436"/>
        <w:spacing w:after="0" w:line="239"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Shown is the expense recognized in TI’s 2008 financial statements in accordance with Statement of Financial Accounting Standard (SFAS) 123(R) for all outstanding awards relating to the named individual. In accordance with SEC rules, no estimates were made for forfeitures in calculating these amounts. For individuals who have at least eight years of service, the SFAS 123(R) expense is recognized immediately; consequently, the table includes the full expense of the 2008 restricted stock grant. Except as noted below for Mr. MacMillan, for individuals who have less service, the SFAS 123(R) expense is recognized over a one-year period from date of grant; consequently, the table includes a portion of the expense for the 2007 and 2008 restricted stock grants. The SFAS 123(R) expense for Mr. MacMillan’s restricted stock unit grant, made upon his initial election to the board in September 2008, was recognized over the remainder of 2008. Ms. Simmons and Messrs. Adams, Boren, Carp, Goode and Sanders have at least eight years of service. For all directors except Mr. MacMillan, the grant date fair value of the restricted stock units granted in 2008 calculated in accordance with SFAS 123(R) is $74,475. The grant date fair value of Mr. MacMillan’s award calculated in the same manner is $45,500. The discussion of the assumptions used for purposes of calculating the SFAS 123(R) expense and the grant date fair value appears on pages 12-15 of Exhibit 13 to TI’s annual report on Form 10-K for the year ended December 31, 2008.</w:t>
      </w:r>
    </w:p>
    <w:p>
      <w:pPr>
        <w:spacing w:after="0" w:line="202" w:lineRule="exact"/>
        <w:rPr>
          <w:rFonts w:ascii="Arial" w:cs="Arial" w:eastAsia="Arial" w:hAnsi="Arial"/>
          <w:sz w:val="17"/>
          <w:szCs w:val="17"/>
          <w:color w:val="auto"/>
        </w:rPr>
      </w:pPr>
    </w:p>
    <w:p>
      <w:pPr>
        <w:ind w:left="440"/>
        <w:spacing w:after="0" w:line="246" w:lineRule="auto"/>
        <w:rPr>
          <w:rFonts w:ascii="Arial" w:cs="Arial" w:eastAsia="Arial" w:hAnsi="Arial"/>
          <w:sz w:val="17"/>
          <w:szCs w:val="17"/>
          <w:color w:val="auto"/>
        </w:rPr>
      </w:pPr>
      <w:r>
        <w:rPr>
          <w:rFonts w:ascii="Arial" w:cs="Arial" w:eastAsia="Arial" w:hAnsi="Arial"/>
          <w:sz w:val="17"/>
          <w:szCs w:val="17"/>
          <w:color w:val="auto"/>
        </w:rPr>
        <w:t>The table below shows the aggregate number of shares underlying outstanding restricted stock units held by the named individuals as of December 31,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5640" w:type="dxa"/>
            <w:vAlign w:val="bottom"/>
          </w:tcPr>
          <w:p>
            <w:pPr>
              <w:jc w:val="right"/>
              <w:spacing w:after="0"/>
              <w:rPr>
                <w:sz w:val="20"/>
                <w:szCs w:val="20"/>
                <w:color w:val="auto"/>
              </w:rPr>
            </w:pPr>
            <w:r>
              <w:rPr>
                <w:rFonts w:ascii="Arial" w:cs="Arial" w:eastAsia="Arial" w:hAnsi="Arial"/>
                <w:sz w:val="13"/>
                <w:szCs w:val="13"/>
                <w:b w:val="1"/>
                <w:bCs w:val="1"/>
                <w:color w:val="auto"/>
              </w:rPr>
              <w:t>Restricted Stock</w:t>
            </w:r>
          </w:p>
        </w:tc>
      </w:tr>
      <w:tr>
        <w:trPr>
          <w:trHeight w:val="159"/>
        </w:trPr>
        <w:tc>
          <w:tcPr>
            <w:tcW w:w="57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5640" w:type="dxa"/>
            <w:vAlign w:val="bottom"/>
          </w:tcPr>
          <w:p>
            <w:pPr>
              <w:jc w:val="right"/>
              <w:spacing w:after="0"/>
              <w:rPr>
                <w:sz w:val="20"/>
                <w:szCs w:val="20"/>
                <w:color w:val="auto"/>
              </w:rPr>
            </w:pPr>
            <w:r>
              <w:rPr>
                <w:rFonts w:ascii="Arial" w:cs="Arial" w:eastAsia="Arial" w:hAnsi="Arial"/>
                <w:sz w:val="13"/>
                <w:szCs w:val="13"/>
                <w:b w:val="1"/>
                <w:bCs w:val="1"/>
                <w:color w:val="auto"/>
              </w:rPr>
              <w:t>Units (in shares)</w:t>
            </w:r>
          </w:p>
        </w:tc>
      </w:tr>
      <w:tr>
        <w:trPr>
          <w:trHeight w:val="233"/>
        </w:trPr>
        <w:tc>
          <w:tcPr>
            <w:tcW w:w="5780" w:type="dxa"/>
            <w:vAlign w:val="bottom"/>
            <w:shd w:val="clear" w:color="auto" w:fill="E9E9E9"/>
          </w:tcPr>
          <w:p>
            <w:pPr>
              <w:spacing w:after="0"/>
              <w:rPr>
                <w:sz w:val="20"/>
                <w:szCs w:val="20"/>
                <w:color w:val="auto"/>
              </w:rPr>
            </w:pPr>
          </w:p>
        </w:tc>
        <w:tc>
          <w:tcPr>
            <w:tcW w:w="5640" w:type="dxa"/>
            <w:vAlign w:val="bottom"/>
            <w:shd w:val="clear" w:color="auto" w:fill="E9E9E9"/>
          </w:tcPr>
          <w:p>
            <w:pPr>
              <w:spacing w:after="0"/>
              <w:rPr>
                <w:sz w:val="20"/>
                <w:szCs w:val="20"/>
                <w:color w:val="auto"/>
              </w:rPr>
            </w:pPr>
          </w:p>
        </w:tc>
      </w:tr>
      <w:tr>
        <w:trPr>
          <w:trHeight w:val="194"/>
        </w:trPr>
        <w:tc>
          <w:tcPr>
            <w:tcW w:w="57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J. R. Adams</w:t>
            </w:r>
          </w:p>
        </w:tc>
        <w:tc>
          <w:tcPr>
            <w:tcW w:w="564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23,512</w:t>
            </w:r>
          </w:p>
        </w:tc>
      </w:tr>
      <w:tr>
        <w:trPr>
          <w:trHeight w:val="194"/>
        </w:trPr>
        <w:tc>
          <w:tcPr>
            <w:tcW w:w="5780" w:type="dxa"/>
            <w:vAlign w:val="bottom"/>
          </w:tcPr>
          <w:p>
            <w:pPr>
              <w:spacing w:after="0" w:line="194" w:lineRule="exact"/>
              <w:rPr>
                <w:sz w:val="20"/>
                <w:szCs w:val="20"/>
                <w:color w:val="auto"/>
              </w:rPr>
            </w:pPr>
            <w:r>
              <w:rPr>
                <w:rFonts w:ascii="Arial" w:cs="Arial" w:eastAsia="Arial" w:hAnsi="Arial"/>
                <w:sz w:val="17"/>
                <w:szCs w:val="17"/>
                <w:color w:val="auto"/>
              </w:rPr>
              <w:t>D. L. Boren</w:t>
            </w:r>
          </w:p>
        </w:tc>
        <w:tc>
          <w:tcPr>
            <w:tcW w:w="5640" w:type="dxa"/>
            <w:vAlign w:val="bottom"/>
          </w:tcPr>
          <w:p>
            <w:pPr>
              <w:jc w:val="right"/>
              <w:ind w:right="139"/>
              <w:spacing w:after="0" w:line="194" w:lineRule="exact"/>
              <w:rPr>
                <w:sz w:val="20"/>
                <w:szCs w:val="20"/>
                <w:color w:val="auto"/>
              </w:rPr>
            </w:pPr>
            <w:r>
              <w:rPr>
                <w:rFonts w:ascii="Arial" w:cs="Arial" w:eastAsia="Arial" w:hAnsi="Arial"/>
                <w:sz w:val="17"/>
                <w:szCs w:val="17"/>
                <w:color w:val="auto"/>
              </w:rPr>
              <w:t>27,880</w:t>
            </w:r>
          </w:p>
        </w:tc>
      </w:tr>
      <w:tr>
        <w:trPr>
          <w:trHeight w:val="194"/>
        </w:trPr>
        <w:tc>
          <w:tcPr>
            <w:tcW w:w="57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 A. Carp</w:t>
            </w:r>
          </w:p>
        </w:tc>
        <w:tc>
          <w:tcPr>
            <w:tcW w:w="564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13,664</w:t>
            </w:r>
          </w:p>
        </w:tc>
      </w:tr>
      <w:tr>
        <w:trPr>
          <w:trHeight w:val="194"/>
        </w:trPr>
        <w:tc>
          <w:tcPr>
            <w:tcW w:w="5780" w:type="dxa"/>
            <w:vAlign w:val="bottom"/>
          </w:tcPr>
          <w:p>
            <w:pPr>
              <w:spacing w:after="0" w:line="194" w:lineRule="exact"/>
              <w:rPr>
                <w:sz w:val="20"/>
                <w:szCs w:val="20"/>
                <w:color w:val="auto"/>
              </w:rPr>
            </w:pPr>
            <w:r>
              <w:rPr>
                <w:rFonts w:ascii="Arial" w:cs="Arial" w:eastAsia="Arial" w:hAnsi="Arial"/>
                <w:sz w:val="17"/>
                <w:szCs w:val="17"/>
                <w:color w:val="auto"/>
              </w:rPr>
              <w:t>C. S. Cox</w:t>
            </w:r>
          </w:p>
        </w:tc>
        <w:tc>
          <w:tcPr>
            <w:tcW w:w="5640" w:type="dxa"/>
            <w:vAlign w:val="bottom"/>
          </w:tcPr>
          <w:p>
            <w:pPr>
              <w:jc w:val="right"/>
              <w:ind w:right="139"/>
              <w:spacing w:after="0" w:line="194" w:lineRule="exact"/>
              <w:rPr>
                <w:sz w:val="20"/>
                <w:szCs w:val="20"/>
                <w:color w:val="auto"/>
              </w:rPr>
            </w:pPr>
            <w:r>
              <w:rPr>
                <w:rFonts w:ascii="Arial" w:cs="Arial" w:eastAsia="Arial" w:hAnsi="Arial"/>
                <w:sz w:val="17"/>
                <w:szCs w:val="17"/>
                <w:color w:val="auto"/>
              </w:rPr>
              <w:t>7,000</w:t>
            </w:r>
          </w:p>
        </w:tc>
      </w:tr>
      <w:tr>
        <w:trPr>
          <w:trHeight w:val="194"/>
        </w:trPr>
        <w:tc>
          <w:tcPr>
            <w:tcW w:w="57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D. R. Goode</w:t>
            </w:r>
          </w:p>
        </w:tc>
        <w:tc>
          <w:tcPr>
            <w:tcW w:w="564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18,632</w:t>
            </w:r>
          </w:p>
        </w:tc>
      </w:tr>
      <w:tr>
        <w:trPr>
          <w:trHeight w:val="194"/>
        </w:trPr>
        <w:tc>
          <w:tcPr>
            <w:tcW w:w="5780" w:type="dxa"/>
            <w:vAlign w:val="bottom"/>
          </w:tcPr>
          <w:p>
            <w:pPr>
              <w:spacing w:after="0" w:line="194" w:lineRule="exact"/>
              <w:rPr>
                <w:sz w:val="20"/>
                <w:szCs w:val="20"/>
                <w:color w:val="auto"/>
              </w:rPr>
            </w:pPr>
            <w:r>
              <w:rPr>
                <w:rFonts w:ascii="Arial" w:cs="Arial" w:eastAsia="Arial" w:hAnsi="Arial"/>
                <w:sz w:val="17"/>
                <w:szCs w:val="17"/>
                <w:color w:val="auto"/>
              </w:rPr>
              <w:t>S. P. MacMillan</w:t>
            </w:r>
          </w:p>
        </w:tc>
        <w:tc>
          <w:tcPr>
            <w:tcW w:w="5640" w:type="dxa"/>
            <w:vAlign w:val="bottom"/>
          </w:tcPr>
          <w:p>
            <w:pPr>
              <w:jc w:val="right"/>
              <w:ind w:right="139"/>
              <w:spacing w:after="0" w:line="194" w:lineRule="exact"/>
              <w:rPr>
                <w:sz w:val="20"/>
                <w:szCs w:val="20"/>
                <w:color w:val="auto"/>
              </w:rPr>
            </w:pPr>
            <w:r>
              <w:rPr>
                <w:rFonts w:ascii="Arial" w:cs="Arial" w:eastAsia="Arial" w:hAnsi="Arial"/>
                <w:sz w:val="17"/>
                <w:szCs w:val="17"/>
                <w:color w:val="auto"/>
              </w:rPr>
              <w:t>2,000</w:t>
            </w:r>
          </w:p>
        </w:tc>
      </w:tr>
      <w:tr>
        <w:trPr>
          <w:trHeight w:val="194"/>
        </w:trPr>
        <w:tc>
          <w:tcPr>
            <w:tcW w:w="57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P. H. Patsley</w:t>
            </w:r>
          </w:p>
        </w:tc>
        <w:tc>
          <w:tcPr>
            <w:tcW w:w="564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7,000</w:t>
            </w:r>
          </w:p>
        </w:tc>
      </w:tr>
      <w:tr>
        <w:trPr>
          <w:trHeight w:val="194"/>
        </w:trPr>
        <w:tc>
          <w:tcPr>
            <w:tcW w:w="5780" w:type="dxa"/>
            <w:vAlign w:val="bottom"/>
          </w:tcPr>
          <w:p>
            <w:pPr>
              <w:spacing w:after="0" w:line="194" w:lineRule="exact"/>
              <w:rPr>
                <w:sz w:val="20"/>
                <w:szCs w:val="20"/>
                <w:color w:val="auto"/>
              </w:rPr>
            </w:pPr>
            <w:r>
              <w:rPr>
                <w:rFonts w:ascii="Arial" w:cs="Arial" w:eastAsia="Arial" w:hAnsi="Arial"/>
                <w:sz w:val="17"/>
                <w:szCs w:val="17"/>
                <w:color w:val="auto"/>
              </w:rPr>
              <w:t>W. R. Sanders</w:t>
            </w:r>
          </w:p>
        </w:tc>
        <w:tc>
          <w:tcPr>
            <w:tcW w:w="5640" w:type="dxa"/>
            <w:vAlign w:val="bottom"/>
          </w:tcPr>
          <w:p>
            <w:pPr>
              <w:jc w:val="right"/>
              <w:ind w:right="139"/>
              <w:spacing w:after="0" w:line="194" w:lineRule="exact"/>
              <w:rPr>
                <w:sz w:val="20"/>
                <w:szCs w:val="20"/>
                <w:color w:val="auto"/>
              </w:rPr>
            </w:pPr>
            <w:r>
              <w:rPr>
                <w:rFonts w:ascii="Arial" w:cs="Arial" w:eastAsia="Arial" w:hAnsi="Arial"/>
                <w:sz w:val="17"/>
                <w:szCs w:val="17"/>
                <w:color w:val="auto"/>
              </w:rPr>
              <w:t>14,600</w:t>
            </w:r>
          </w:p>
        </w:tc>
      </w:tr>
      <w:tr>
        <w:trPr>
          <w:trHeight w:val="194"/>
        </w:trPr>
        <w:tc>
          <w:tcPr>
            <w:tcW w:w="57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R. J. Simmons</w:t>
            </w:r>
          </w:p>
        </w:tc>
        <w:tc>
          <w:tcPr>
            <w:tcW w:w="564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13,000</w:t>
            </w:r>
          </w:p>
        </w:tc>
      </w:tr>
      <w:tr>
        <w:trPr>
          <w:trHeight w:val="205"/>
        </w:trPr>
        <w:tc>
          <w:tcPr>
            <w:tcW w:w="5780" w:type="dxa"/>
            <w:vAlign w:val="bottom"/>
          </w:tcPr>
          <w:p>
            <w:pPr>
              <w:spacing w:after="0"/>
              <w:rPr>
                <w:sz w:val="20"/>
                <w:szCs w:val="20"/>
                <w:color w:val="auto"/>
              </w:rPr>
            </w:pPr>
            <w:r>
              <w:rPr>
                <w:rFonts w:ascii="Arial" w:cs="Arial" w:eastAsia="Arial" w:hAnsi="Arial"/>
                <w:sz w:val="17"/>
                <w:szCs w:val="17"/>
                <w:color w:val="auto"/>
              </w:rPr>
              <w:t>C. T. Whitman</w:t>
            </w:r>
          </w:p>
        </w:tc>
        <w:tc>
          <w:tcPr>
            <w:tcW w:w="5640" w:type="dxa"/>
            <w:vAlign w:val="bottom"/>
          </w:tcPr>
          <w:p>
            <w:pPr>
              <w:jc w:val="right"/>
              <w:ind w:right="139"/>
              <w:spacing w:after="0"/>
              <w:rPr>
                <w:sz w:val="20"/>
                <w:szCs w:val="20"/>
                <w:color w:val="auto"/>
              </w:rPr>
            </w:pPr>
            <w:r>
              <w:rPr>
                <w:rFonts w:ascii="Arial" w:cs="Arial" w:eastAsia="Arial" w:hAnsi="Arial"/>
                <w:sz w:val="17"/>
                <w:szCs w:val="17"/>
                <w:color w:val="auto"/>
              </w:rPr>
              <w:t>7,000</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[ 60 ]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right="60"/>
        <w:spacing w:after="0" w:line="241" w:lineRule="auto"/>
        <w:rPr>
          <w:sz w:val="20"/>
          <w:szCs w:val="20"/>
          <w:color w:val="auto"/>
        </w:rPr>
      </w:pPr>
      <w:r>
        <w:rPr>
          <w:rFonts w:ascii="Arial" w:cs="Arial" w:eastAsia="Arial" w:hAnsi="Arial"/>
          <w:sz w:val="17"/>
          <w:szCs w:val="17"/>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59.</w:t>
      </w:r>
    </w:p>
    <w:p>
      <w:pPr>
        <w:spacing w:after="0" w:line="225" w:lineRule="exact"/>
        <w:rPr>
          <w:sz w:val="20"/>
          <w:szCs w:val="20"/>
          <w:color w:val="auto"/>
        </w:rPr>
      </w:pPr>
    </w:p>
    <w:p>
      <w:pPr>
        <w:ind w:left="460" w:right="40" w:hanging="456"/>
        <w:spacing w:after="0" w:line="239"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Shown is the expense recognized in TI’s 2008 financial statements in accordance with SFAS 123(R) for all outstanding grants relating to the named individual. In accordance with SEC rules, no estimates were made for forfeitures in calculating these amounts. For individuals who have at least eight years of service, the expense is recognized over a six-month period; consequently, the table includes the full expense of the 2008 stock option grant. For individuals who have less service, the table includes a portion of the expense for the 2007 and 2008 stock option grants. The grant date fair value of the options granted in 2008 calculated in accordance with SFAS 123(R) is $62,160. The discussion of the assumptions used for purposes of calculating the SFAS 123(R) expense and the grant date fair value appears on pages 12-15 of Exhibit 13 to TI’s annual report on Form 10-K for the year ended December 31, 2008.</w:t>
      </w:r>
    </w:p>
    <w:p>
      <w:pPr>
        <w:spacing w:after="0" w:line="230" w:lineRule="exact"/>
        <w:rPr>
          <w:rFonts w:ascii="Arial" w:cs="Arial" w:eastAsia="Arial" w:hAnsi="Arial"/>
          <w:sz w:val="17"/>
          <w:szCs w:val="17"/>
          <w:color w:val="auto"/>
        </w:rPr>
      </w:pPr>
    </w:p>
    <w:p>
      <w:pPr>
        <w:ind w:left="460" w:right="240"/>
        <w:spacing w:after="0" w:line="246" w:lineRule="auto"/>
        <w:rPr>
          <w:rFonts w:ascii="Arial" w:cs="Arial" w:eastAsia="Arial" w:hAnsi="Arial"/>
          <w:sz w:val="17"/>
          <w:szCs w:val="17"/>
          <w:color w:val="auto"/>
        </w:rPr>
      </w:pPr>
      <w:r>
        <w:rPr>
          <w:rFonts w:ascii="Arial" w:cs="Arial" w:eastAsia="Arial" w:hAnsi="Arial"/>
          <w:sz w:val="17"/>
          <w:szCs w:val="17"/>
          <w:color w:val="auto"/>
        </w:rPr>
        <w:t>The table below shows the aggregate number of shares underlying outstanding stock options held by the named individuals as of December 31, 2008.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5840" w:type="dxa"/>
            <w:vAlign w:val="bottom"/>
          </w:tcPr>
          <w:p>
            <w:pPr>
              <w:jc w:val="right"/>
              <w:spacing w:after="0"/>
              <w:rPr>
                <w:sz w:val="20"/>
                <w:szCs w:val="20"/>
                <w:color w:val="auto"/>
              </w:rPr>
            </w:pPr>
            <w:r>
              <w:rPr>
                <w:rFonts w:ascii="Arial" w:cs="Arial" w:eastAsia="Arial" w:hAnsi="Arial"/>
                <w:sz w:val="13"/>
                <w:szCs w:val="13"/>
                <w:b w:val="1"/>
                <w:bCs w:val="1"/>
                <w:color w:val="auto"/>
              </w:rPr>
              <w:t>Options (in shares)</w:t>
            </w:r>
          </w:p>
        </w:tc>
      </w:tr>
      <w:tr>
        <w:trPr>
          <w:trHeight w:val="233"/>
        </w:trPr>
        <w:tc>
          <w:tcPr>
            <w:tcW w:w="5580" w:type="dxa"/>
            <w:vAlign w:val="bottom"/>
            <w:shd w:val="clear" w:color="auto" w:fill="E9E9E9"/>
          </w:tcPr>
          <w:p>
            <w:pPr>
              <w:spacing w:after="0"/>
              <w:rPr>
                <w:sz w:val="20"/>
                <w:szCs w:val="20"/>
                <w:color w:val="auto"/>
              </w:rPr>
            </w:pPr>
          </w:p>
        </w:tc>
        <w:tc>
          <w:tcPr>
            <w:tcW w:w="5840" w:type="dxa"/>
            <w:vAlign w:val="bottom"/>
            <w:shd w:val="clear" w:color="auto" w:fill="E9E9E9"/>
          </w:tcPr>
          <w:p>
            <w:pPr>
              <w:spacing w:after="0"/>
              <w:rPr>
                <w:sz w:val="20"/>
                <w:szCs w:val="20"/>
                <w:color w:val="auto"/>
              </w:rPr>
            </w:pPr>
          </w:p>
        </w:tc>
      </w:tr>
      <w:tr>
        <w:trPr>
          <w:trHeight w:val="233"/>
        </w:trPr>
        <w:tc>
          <w:tcPr>
            <w:tcW w:w="5580" w:type="dxa"/>
            <w:vAlign w:val="bottom"/>
            <w:shd w:val="clear" w:color="auto" w:fill="C0C0C0"/>
          </w:tcPr>
          <w:p>
            <w:pPr>
              <w:spacing w:after="0"/>
              <w:rPr>
                <w:sz w:val="20"/>
                <w:szCs w:val="20"/>
                <w:color w:val="auto"/>
              </w:rPr>
            </w:pPr>
            <w:r>
              <w:rPr>
                <w:rFonts w:ascii="Arial" w:cs="Arial" w:eastAsia="Arial" w:hAnsi="Arial"/>
                <w:sz w:val="17"/>
                <w:szCs w:val="17"/>
                <w:color w:val="auto"/>
              </w:rPr>
              <w:t>J. R. Adams</w:t>
            </w:r>
          </w:p>
        </w:tc>
        <w:tc>
          <w:tcPr>
            <w:tcW w:w="5840" w:type="dxa"/>
            <w:vAlign w:val="bottom"/>
            <w:shd w:val="clear" w:color="auto" w:fill="C0C0C0"/>
          </w:tcPr>
          <w:p>
            <w:pPr>
              <w:jc w:val="right"/>
              <w:ind w:right="222"/>
              <w:spacing w:after="0"/>
              <w:rPr>
                <w:sz w:val="20"/>
                <w:szCs w:val="20"/>
                <w:color w:val="auto"/>
              </w:rPr>
            </w:pPr>
            <w:r>
              <w:rPr>
                <w:rFonts w:ascii="Arial" w:cs="Arial" w:eastAsia="Arial" w:hAnsi="Arial"/>
                <w:sz w:val="17"/>
                <w:szCs w:val="17"/>
                <w:color w:val="auto"/>
              </w:rPr>
              <w:t>119,000</w:t>
            </w:r>
          </w:p>
        </w:tc>
      </w:tr>
      <w:tr>
        <w:trPr>
          <w:trHeight w:val="233"/>
        </w:trPr>
        <w:tc>
          <w:tcPr>
            <w:tcW w:w="5580" w:type="dxa"/>
            <w:vAlign w:val="bottom"/>
          </w:tcPr>
          <w:p>
            <w:pPr>
              <w:spacing w:after="0"/>
              <w:rPr>
                <w:sz w:val="20"/>
                <w:szCs w:val="20"/>
                <w:color w:val="auto"/>
              </w:rPr>
            </w:pPr>
            <w:r>
              <w:rPr>
                <w:rFonts w:ascii="Arial" w:cs="Arial" w:eastAsia="Arial" w:hAnsi="Arial"/>
                <w:sz w:val="17"/>
                <w:szCs w:val="17"/>
                <w:color w:val="auto"/>
              </w:rPr>
              <w:t>D. L. Boren</w:t>
            </w:r>
          </w:p>
        </w:tc>
        <w:tc>
          <w:tcPr>
            <w:tcW w:w="5840" w:type="dxa"/>
            <w:vAlign w:val="bottom"/>
          </w:tcPr>
          <w:p>
            <w:pPr>
              <w:jc w:val="right"/>
              <w:ind w:right="222"/>
              <w:spacing w:after="0"/>
              <w:rPr>
                <w:sz w:val="20"/>
                <w:szCs w:val="20"/>
                <w:color w:val="auto"/>
              </w:rPr>
            </w:pPr>
            <w:r>
              <w:rPr>
                <w:rFonts w:ascii="Arial" w:cs="Arial" w:eastAsia="Arial" w:hAnsi="Arial"/>
                <w:sz w:val="17"/>
                <w:szCs w:val="17"/>
                <w:color w:val="auto"/>
              </w:rPr>
              <w:t>71,500</w:t>
            </w:r>
          </w:p>
        </w:tc>
      </w:tr>
      <w:tr>
        <w:trPr>
          <w:trHeight w:val="141"/>
        </w:trPr>
        <w:tc>
          <w:tcPr>
            <w:tcW w:w="5580" w:type="dxa"/>
            <w:vAlign w:val="bottom"/>
            <w:shd w:val="clear" w:color="auto" w:fill="C0C0C0"/>
          </w:tcPr>
          <w:p>
            <w:pPr>
              <w:spacing w:after="0"/>
              <w:rPr>
                <w:sz w:val="12"/>
                <w:szCs w:val="12"/>
                <w:color w:val="auto"/>
              </w:rPr>
            </w:pPr>
          </w:p>
        </w:tc>
        <w:tc>
          <w:tcPr>
            <w:tcW w:w="5840" w:type="dxa"/>
            <w:vAlign w:val="bottom"/>
            <w:shd w:val="clear" w:color="auto" w:fill="C0C0C0"/>
          </w:tcPr>
          <w:p>
            <w:pPr>
              <w:spacing w:after="0"/>
              <w:rPr>
                <w:sz w:val="12"/>
                <w:szCs w:val="12"/>
                <w:color w:val="auto"/>
              </w:rPr>
            </w:pPr>
          </w:p>
        </w:tc>
      </w:tr>
    </w:tbl>
    <w:p>
      <w:pPr>
        <w:sectPr>
          <w:pgSz w:w="11900" w:h="16900" w:orient="portrait"/>
          <w:cols w:equalWidth="0" w:num="1">
            <w:col w:w="11420"/>
          </w:cols>
          <w:pgMar w:left="240" w:top="123" w:right="23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20" w:type="dxa"/>
            <w:vAlign w:val="bottom"/>
            <w:shd w:val="clear" w:color="auto" w:fill="C0C0C0"/>
          </w:tcPr>
          <w:p>
            <w:pPr>
              <w:spacing w:after="0"/>
              <w:rPr>
                <w:sz w:val="20"/>
                <w:szCs w:val="20"/>
                <w:color w:val="auto"/>
              </w:rPr>
            </w:pPr>
            <w:r>
              <w:rPr>
                <w:rFonts w:ascii="Arial" w:cs="Arial" w:eastAsia="Arial" w:hAnsi="Arial"/>
                <w:sz w:val="17"/>
                <w:szCs w:val="17"/>
                <w:color w:val="auto"/>
              </w:rPr>
              <w:t>D. A. Carp</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highlight w:val="lightGray"/>
                <w:w w:val="94"/>
              </w:rPr>
              <w:t>119,000</w:t>
            </w:r>
          </w:p>
        </w:tc>
        <w:tc>
          <w:tcPr>
            <w:tcW w:w="300" w:type="dxa"/>
            <w:vAlign w:val="bottom"/>
            <w:shd w:val="clear" w:color="auto" w:fill="C0C0C0"/>
          </w:tcPr>
          <w:p>
            <w:pPr>
              <w:spacing w:after="0"/>
              <w:rPr>
                <w:sz w:val="21"/>
                <w:szCs w:val="21"/>
                <w:color w:val="auto"/>
              </w:rPr>
            </w:pPr>
          </w:p>
        </w:tc>
      </w:tr>
      <w:tr>
        <w:trPr>
          <w:trHeight w:val="194"/>
        </w:trPr>
        <w:tc>
          <w:tcPr>
            <w:tcW w:w="10520" w:type="dxa"/>
            <w:vAlign w:val="bottom"/>
          </w:tcPr>
          <w:p>
            <w:pPr>
              <w:spacing w:after="0" w:line="193" w:lineRule="exact"/>
              <w:rPr>
                <w:sz w:val="20"/>
                <w:szCs w:val="20"/>
                <w:color w:val="auto"/>
              </w:rPr>
            </w:pPr>
            <w:r>
              <w:rPr>
                <w:rFonts w:ascii="Arial" w:cs="Arial" w:eastAsia="Arial" w:hAnsi="Arial"/>
                <w:sz w:val="17"/>
                <w:szCs w:val="17"/>
                <w:color w:val="auto"/>
              </w:rPr>
              <w:t>C. S. Cox</w:t>
            </w:r>
          </w:p>
        </w:tc>
        <w:tc>
          <w:tcPr>
            <w:tcW w:w="900" w:type="dxa"/>
            <w:vAlign w:val="bottom"/>
            <w:gridSpan w:val="2"/>
          </w:tcPr>
          <w:p>
            <w:pPr>
              <w:jc w:val="right"/>
              <w:ind w:right="300"/>
              <w:spacing w:after="0" w:line="194" w:lineRule="exact"/>
              <w:rPr>
                <w:sz w:val="20"/>
                <w:szCs w:val="20"/>
                <w:color w:val="auto"/>
              </w:rPr>
            </w:pPr>
            <w:r>
              <w:rPr>
                <w:rFonts w:ascii="Arial" w:cs="Arial" w:eastAsia="Arial" w:hAnsi="Arial"/>
                <w:sz w:val="17"/>
                <w:szCs w:val="17"/>
                <w:color w:val="auto"/>
              </w:rPr>
              <w:t>44,000</w:t>
            </w:r>
          </w:p>
        </w:tc>
      </w:tr>
      <w:tr>
        <w:trPr>
          <w:trHeight w:val="233"/>
        </w:trPr>
        <w:tc>
          <w:tcPr>
            <w:tcW w:w="10520" w:type="dxa"/>
            <w:vAlign w:val="bottom"/>
            <w:shd w:val="clear" w:color="auto" w:fill="C0C0C0"/>
          </w:tcPr>
          <w:p>
            <w:pPr>
              <w:spacing w:after="0"/>
              <w:rPr>
                <w:sz w:val="20"/>
                <w:szCs w:val="20"/>
                <w:color w:val="auto"/>
              </w:rPr>
            </w:pPr>
            <w:r>
              <w:rPr>
                <w:rFonts w:ascii="Arial" w:cs="Arial" w:eastAsia="Arial" w:hAnsi="Arial"/>
                <w:sz w:val="17"/>
                <w:szCs w:val="17"/>
                <w:color w:val="auto"/>
              </w:rPr>
              <w:t>D. R. Goode</w:t>
            </w:r>
          </w:p>
        </w:tc>
        <w:tc>
          <w:tcPr>
            <w:tcW w:w="90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w w:val="94"/>
              </w:rPr>
              <w:t>119,000</w:t>
            </w:r>
          </w:p>
        </w:tc>
      </w:tr>
      <w:tr>
        <w:trPr>
          <w:trHeight w:val="233"/>
        </w:trPr>
        <w:tc>
          <w:tcPr>
            <w:tcW w:w="10520" w:type="dxa"/>
            <w:vAlign w:val="bottom"/>
          </w:tcPr>
          <w:p>
            <w:pPr>
              <w:spacing w:after="0"/>
              <w:rPr>
                <w:sz w:val="20"/>
                <w:szCs w:val="20"/>
                <w:color w:val="auto"/>
              </w:rPr>
            </w:pPr>
            <w:r>
              <w:rPr>
                <w:rFonts w:ascii="Arial" w:cs="Arial" w:eastAsia="Arial" w:hAnsi="Arial"/>
                <w:sz w:val="17"/>
                <w:szCs w:val="17"/>
                <w:color w:val="auto"/>
              </w:rPr>
              <w:t>S. P. MacMillan</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r>
      <w:tr>
        <w:trPr>
          <w:trHeight w:val="233"/>
        </w:trPr>
        <w:tc>
          <w:tcPr>
            <w:tcW w:w="10520" w:type="dxa"/>
            <w:vAlign w:val="bottom"/>
            <w:shd w:val="clear" w:color="auto" w:fill="C0C0C0"/>
          </w:tcPr>
          <w:p>
            <w:pPr>
              <w:spacing w:after="0"/>
              <w:rPr>
                <w:sz w:val="20"/>
                <w:szCs w:val="20"/>
                <w:color w:val="auto"/>
              </w:rPr>
            </w:pPr>
            <w:r>
              <w:rPr>
                <w:rFonts w:ascii="Arial" w:cs="Arial" w:eastAsia="Arial" w:hAnsi="Arial"/>
                <w:sz w:val="17"/>
                <w:szCs w:val="17"/>
                <w:color w:val="auto"/>
              </w:rPr>
              <w:t>P. H. Patsley</w:t>
            </w:r>
          </w:p>
        </w:tc>
        <w:tc>
          <w:tcPr>
            <w:tcW w:w="90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44,000</w:t>
            </w:r>
          </w:p>
        </w:tc>
      </w:tr>
      <w:tr>
        <w:trPr>
          <w:trHeight w:val="233"/>
        </w:trPr>
        <w:tc>
          <w:tcPr>
            <w:tcW w:w="10520" w:type="dxa"/>
            <w:vAlign w:val="bottom"/>
          </w:tcPr>
          <w:p>
            <w:pPr>
              <w:spacing w:after="0"/>
              <w:rPr>
                <w:sz w:val="20"/>
                <w:szCs w:val="20"/>
                <w:color w:val="auto"/>
              </w:rPr>
            </w:pPr>
            <w:r>
              <w:rPr>
                <w:rFonts w:ascii="Arial" w:cs="Arial" w:eastAsia="Arial" w:hAnsi="Arial"/>
                <w:sz w:val="17"/>
                <w:szCs w:val="17"/>
                <w:color w:val="auto"/>
              </w:rPr>
              <w:t>W. R. Sanders</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119,000</w:t>
            </w:r>
          </w:p>
        </w:tc>
      </w:tr>
      <w:tr>
        <w:trPr>
          <w:trHeight w:val="233"/>
        </w:trPr>
        <w:tc>
          <w:tcPr>
            <w:tcW w:w="10520" w:type="dxa"/>
            <w:vAlign w:val="bottom"/>
            <w:shd w:val="clear" w:color="auto" w:fill="C0C0C0"/>
          </w:tcPr>
          <w:p>
            <w:pPr>
              <w:spacing w:after="0"/>
              <w:rPr>
                <w:sz w:val="20"/>
                <w:szCs w:val="20"/>
                <w:color w:val="auto"/>
              </w:rPr>
            </w:pPr>
            <w:r>
              <w:rPr>
                <w:rFonts w:ascii="Arial" w:cs="Arial" w:eastAsia="Arial" w:hAnsi="Arial"/>
                <w:sz w:val="17"/>
                <w:szCs w:val="17"/>
                <w:color w:val="auto"/>
              </w:rPr>
              <w:t>R. J. Simmons</w:t>
            </w:r>
          </w:p>
        </w:tc>
        <w:tc>
          <w:tcPr>
            <w:tcW w:w="90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99,000</w:t>
            </w:r>
          </w:p>
        </w:tc>
      </w:tr>
      <w:tr>
        <w:trPr>
          <w:trHeight w:val="244"/>
        </w:trPr>
        <w:tc>
          <w:tcPr>
            <w:tcW w:w="10520" w:type="dxa"/>
            <w:vAlign w:val="bottom"/>
          </w:tcPr>
          <w:p>
            <w:pPr>
              <w:spacing w:after="0"/>
              <w:rPr>
                <w:sz w:val="20"/>
                <w:szCs w:val="20"/>
                <w:color w:val="auto"/>
              </w:rPr>
            </w:pPr>
            <w:r>
              <w:rPr>
                <w:rFonts w:ascii="Arial" w:cs="Arial" w:eastAsia="Arial" w:hAnsi="Arial"/>
                <w:sz w:val="17"/>
                <w:szCs w:val="17"/>
                <w:color w:val="auto"/>
              </w:rPr>
              <w:t>C. T. Whitman</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59,000</w:t>
            </w:r>
          </w:p>
        </w:tc>
      </w:tr>
    </w:tbl>
    <w:p>
      <w:pPr>
        <w:spacing w:after="0" w:line="225" w:lineRule="exact"/>
        <w:rPr>
          <w:sz w:val="20"/>
          <w:szCs w:val="20"/>
          <w:color w:val="auto"/>
        </w:rPr>
      </w:pPr>
    </w:p>
    <w:p>
      <w:pPr>
        <w:ind w:left="460" w:right="40"/>
        <w:spacing w:after="0" w:line="246" w:lineRule="auto"/>
        <w:rPr>
          <w:sz w:val="20"/>
          <w:szCs w:val="20"/>
          <w:color w:val="auto"/>
        </w:rPr>
      </w:pPr>
      <w:r>
        <w:rPr>
          <w:rFonts w:ascii="Arial" w:cs="Arial" w:eastAsia="Arial" w:hAnsi="Arial"/>
          <w:sz w:val="17"/>
          <w:szCs w:val="17"/>
          <w:color w:val="auto"/>
        </w:rPr>
        <w:t>The terms of these options are set forth on page 59 except that for options granted before November 2006, the exercise price is the average of the high and low price of the company’s common stock on the date of grant.</w:t>
      </w:r>
    </w:p>
    <w:p>
      <w:pPr>
        <w:spacing w:after="0" w:line="221" w:lineRule="exact"/>
        <w:rPr>
          <w:sz w:val="20"/>
          <w:szCs w:val="20"/>
          <w:color w:val="auto"/>
        </w:rPr>
      </w:pPr>
    </w:p>
    <w:p>
      <w:pPr>
        <w:ind w:left="460" w:right="40" w:hanging="456"/>
        <w:spacing w:after="0" w:line="239"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Other Compensation in 2008 consists of the annual cost of premiums for travel and accident insurance policies and, for certain individuals, costs related to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These costs include third-party administrator fees for the program and premiums on life insurance policies to fund the program. Messrs. Adams, Boren, Carp, Goode and Sanders participate in this program. The cost attributable to each of Messrs. Boren and Goode for their participation in the program was $11,741. For the other participating individuals, the attributable cost was below the $10,000 reporting threshold.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TI’s compensation program for executive officers. It will provide insight into the following:</w:t>
      </w:r>
    </w:p>
    <w:p>
      <w:pPr>
        <w:spacing w:after="0" w:line="12" w:lineRule="exact"/>
        <w:rPr>
          <w:sz w:val="20"/>
          <w:szCs w:val="20"/>
          <w:color w:val="auto"/>
        </w:rPr>
      </w:pPr>
    </w:p>
    <w:p>
      <w:pPr>
        <w:ind w:left="520" w:right="2440"/>
        <w:spacing w:after="0" w:line="278" w:lineRule="auto"/>
        <w:rPr>
          <w:sz w:val="20"/>
          <w:szCs w:val="20"/>
          <w:color w:val="auto"/>
        </w:rPr>
      </w:pPr>
      <w:r>
        <w:rPr>
          <w:rFonts w:ascii="Arial" w:cs="Arial" w:eastAsia="Arial" w:hAnsi="Arial"/>
          <w:sz w:val="17"/>
          <w:szCs w:val="17"/>
          <w:color w:val="auto"/>
        </w:rPr>
        <w:t>The elements of the 2008 compensation program, how we selected them and how they relate to one another; and How we determined the amount of the compensation for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-260350</wp:posOffset>
            </wp:positionV>
            <wp:extent cx="66675" cy="66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-112395</wp:posOffset>
            </wp:positionV>
            <wp:extent cx="66675" cy="66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right="20" w:firstLine="259"/>
        <w:spacing w:after="0" w:line="246" w:lineRule="auto"/>
        <w:rPr>
          <w:sz w:val="20"/>
          <w:szCs w:val="20"/>
          <w:color w:val="auto"/>
        </w:rPr>
      </w:pPr>
      <w:r>
        <w:rPr>
          <w:rFonts w:ascii="Arial" w:cs="Arial" w:eastAsia="Arial" w:hAnsi="Arial"/>
          <w:sz w:val="17"/>
          <w:szCs w:val="17"/>
          <w:color w:val="auto"/>
        </w:rPr>
        <w:t>Currently, TI has 14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2008 (collectively called the “named executive officers”) can be found in the tables beginning on page 72.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45" w:lineRule="exact"/>
        <w:rPr>
          <w:sz w:val="20"/>
          <w:szCs w:val="20"/>
          <w:color w:val="auto"/>
        </w:rPr>
      </w:pPr>
    </w:p>
    <w:p>
      <w:pPr>
        <w:ind w:left="520" w:right="180"/>
        <w:spacing w:after="0" w:line="290" w:lineRule="auto"/>
        <w:rPr>
          <w:sz w:val="20"/>
          <w:szCs w:val="20"/>
          <w:color w:val="auto"/>
        </w:rPr>
      </w:pPr>
      <w:r>
        <w:rPr>
          <w:rFonts w:ascii="Arial" w:cs="Arial" w:eastAsia="Arial" w:hAnsi="Arial"/>
          <w:sz w:val="17"/>
          <w:szCs w:val="17"/>
          <w:color w:val="auto"/>
        </w:rPr>
        <w:t>The Compensation Committee of TI’s board of directors is responsible for setting the compensation of all TI executive officers. The committee consults with the other independent directors on the board before setting annual compensation for the executives. The committee chair regularly reports on committee actions at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-422910</wp:posOffset>
            </wp:positionV>
            <wp:extent cx="66675" cy="66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160"/>
        <w:spacing w:after="0" w:line="270" w:lineRule="auto"/>
        <w:rPr>
          <w:sz w:val="20"/>
          <w:szCs w:val="20"/>
          <w:color w:val="auto"/>
        </w:rPr>
      </w:pPr>
      <w:r>
        <w:rPr>
          <w:rFonts w:ascii="Arial" w:cs="Arial" w:eastAsia="Arial" w:hAnsi="Arial"/>
          <w:sz w:val="16"/>
          <w:szCs w:val="16"/>
          <w:color w:val="auto"/>
        </w:rPr>
        <w:t>The primary goal of the compensation program is to provide meaningful incentives that motivate executive officers to achieve profitable growth and build long-term capability that will deliver shareholder value. To achieve this goal, the committee has designed the compensation program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40" w:firstLine="2"/>
        <w:spacing w:after="0" w:line="254" w:lineRule="auto"/>
        <w:tabs>
          <w:tab w:leader="none" w:pos="772"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 for performance; and (2) deliver rewards in ways that encourage executives to think and act in both the near-term and long-term interests of our stockholders.</w:t>
      </w:r>
    </w:p>
    <w:p>
      <w:pPr>
        <w:spacing w:after="0" w:line="1" w:lineRule="exact"/>
        <w:rPr>
          <w:sz w:val="20"/>
          <w:szCs w:val="20"/>
          <w:color w:val="auto"/>
        </w:rPr>
      </w:pPr>
    </w:p>
    <w:p>
      <w:pPr>
        <w:ind w:left="520" w:right="40"/>
        <w:spacing w:after="0" w:line="254" w:lineRule="auto"/>
        <w:rPr>
          <w:sz w:val="20"/>
          <w:szCs w:val="20"/>
          <w:color w:val="auto"/>
        </w:rPr>
      </w:pPr>
      <w:r>
        <w:rPr>
          <w:rFonts w:ascii="Arial" w:cs="Arial" w:eastAsia="Arial" w:hAnsi="Arial"/>
          <w:sz w:val="17"/>
          <w:szCs w:val="17"/>
          <w:color w:val="auto"/>
        </w:rPr>
        <w:t>In a cyclical industry such as ours, in which market conditions and therefore growth and profitability can change quickly, we do not use formulas or pre-set thresholds or multiples to determine compensation awards. The only exception to this is the broad-based profit sharing program, which pays in accordance with a formula based on company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All executive officers are employed at will. None has an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20"/>
        <w:spacing w:after="0" w:line="254" w:lineRule="auto"/>
        <w:rPr>
          <w:sz w:val="20"/>
          <w:szCs w:val="20"/>
          <w:color w:val="auto"/>
        </w:rPr>
      </w:pPr>
      <w:r>
        <w:rPr>
          <w:rFonts w:ascii="Arial" w:cs="Arial" w:eastAsia="Arial" w:hAnsi="Arial"/>
          <w:sz w:val="17"/>
          <w:szCs w:val="17"/>
          <w:color w:val="auto"/>
        </w:rPr>
        <w:t>Executive compensation has cash and non-cash components. The cash components are base salary, profit sharing and performance bonus. The non-cash component is equity compensation in the form of non-qualified (NQ) stock options and restricted stock units. In addition, executive officers get the same benefits as other U.S. employees and a few perquisites, such as financial counseling and executive physicals.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80"/>
        <w:spacing w:after="0" w:line="254" w:lineRule="auto"/>
        <w:rPr>
          <w:sz w:val="20"/>
          <w:szCs w:val="20"/>
          <w:color w:val="auto"/>
        </w:rPr>
      </w:pPr>
      <w:r>
        <w:rPr>
          <w:rFonts w:ascii="Arial" w:cs="Arial" w:eastAsia="Arial" w:hAnsi="Arial"/>
          <w:sz w:val="17"/>
          <w:szCs w:val="17"/>
          <w:color w:val="auto"/>
        </w:rPr>
        <w:t>Setting cash compensation: base salary is generally set below the market median; profit sharing is determined according to a formula and depends on the level of company’s annual operating profit as a percentage of revenue; and bonuses are set at an appropriate level to reflect the company’s near-term performance as compared to competitors, its strategic progress, and the performance of the operations for which the executive is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-490220</wp:posOffset>
            </wp:positionV>
            <wp:extent cx="58420" cy="58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0"/>
        <w:spacing w:after="0" w:line="262" w:lineRule="auto"/>
        <w:rPr>
          <w:sz w:val="20"/>
          <w:szCs w:val="20"/>
          <w:color w:val="auto"/>
        </w:rPr>
      </w:pPr>
      <w:r>
        <w:rPr>
          <w:rFonts w:ascii="Arial" w:cs="Arial" w:eastAsia="Arial" w:hAnsi="Arial"/>
          <w:sz w:val="17"/>
          <w:szCs w:val="17"/>
          <w:color w:val="auto"/>
        </w:rPr>
        <w:t>Setting equity compensation: the primary consideration is the level of equity compensation granted to similarly situated executive officers at a peer group of companies (the “Comparator Group”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elements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primary elements of our executive compensation program are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compensation, paid in cash</w:t>
      </w:r>
    </w:p>
    <w:p>
      <w:pPr>
        <w:spacing w:after="0" w:line="143" w:lineRule="exact"/>
        <w:rPr>
          <w:sz w:val="20"/>
          <w:szCs w:val="20"/>
          <w:color w:val="auto"/>
        </w:rPr>
      </w:pPr>
    </w:p>
    <w:p>
      <w:pPr>
        <w:spacing w:after="0"/>
        <w:tabs>
          <w:tab w:leader="none" w:pos="4140" w:val="left"/>
          <w:tab w:leader="none" w:pos="7060" w:val="left"/>
          <w:tab w:leader="none" w:pos="9900" w:val="left"/>
        </w:tabs>
        <w:rPr>
          <w:sz w:val="20"/>
          <w:szCs w:val="20"/>
          <w:color w:val="auto"/>
        </w:rPr>
      </w:pPr>
      <w:r>
        <w:rPr>
          <w:rFonts w:ascii="Arial" w:cs="Arial" w:eastAsia="Arial" w:hAnsi="Arial"/>
          <w:sz w:val="26"/>
          <w:szCs w:val="26"/>
          <w:b w:val="1"/>
          <w:bCs w:val="1"/>
          <w:color w:val="auto"/>
          <w:vertAlign w:val="superscript"/>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Policy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2335" cy="641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64135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p>
      <w:pPr>
        <w:spacing w:after="0" w:line="249" w:lineRule="exact"/>
        <w:rPr>
          <w:sz w:val="20"/>
          <w:szCs w:val="20"/>
          <w:color w:val="auto"/>
        </w:rPr>
      </w:pPr>
    </w:p>
    <w:p>
      <w:pPr>
        <w:spacing w:after="0"/>
        <w:tabs>
          <w:tab w:leader="none" w:pos="3080" w:val="left"/>
        </w:tabs>
        <w:rPr>
          <w:sz w:val="20"/>
          <w:szCs w:val="20"/>
          <w:color w:val="auto"/>
        </w:rPr>
      </w:pPr>
      <w:r>
        <w:rPr>
          <w:rFonts w:ascii="Arial" w:cs="Arial" w:eastAsia="Arial" w:hAnsi="Arial"/>
          <w:sz w:val="17"/>
          <w:szCs w:val="17"/>
          <w:color w:val="auto"/>
        </w:rPr>
        <w:t>Base salary</w:t>
      </w:r>
      <w:r>
        <w:rPr>
          <w:sz w:val="20"/>
          <w:szCs w:val="20"/>
          <w:color w:val="auto"/>
        </w:rPr>
        <w:tab/>
      </w:r>
      <w:r>
        <w:rPr>
          <w:rFonts w:ascii="Arial" w:cs="Arial" w:eastAsia="Arial" w:hAnsi="Arial"/>
          <w:sz w:val="16"/>
          <w:szCs w:val="16"/>
          <w:color w:val="auto"/>
        </w:rPr>
        <w:t>Basic, least variable form of</w:t>
      </w:r>
    </w:p>
    <w:p>
      <w:pPr>
        <w:ind w:left="3100"/>
        <w:spacing w:after="0"/>
        <w:rPr>
          <w:sz w:val="20"/>
          <w:szCs w:val="20"/>
          <w:color w:val="auto"/>
        </w:rPr>
      </w:pPr>
      <w:r>
        <w:rPr>
          <w:rFonts w:ascii="Arial" w:cs="Arial" w:eastAsia="Arial" w:hAnsi="Arial"/>
          <w:sz w:val="17"/>
          <w:szCs w:val="17"/>
          <w:color w:val="auto"/>
        </w:rPr>
        <w:t>compensation</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tabs>
          <w:tab w:leader="none" w:pos="2820" w:val="left"/>
        </w:tabs>
        <w:rPr>
          <w:sz w:val="20"/>
          <w:szCs w:val="20"/>
          <w:color w:val="auto"/>
        </w:rPr>
      </w:pPr>
      <w:r>
        <w:rPr>
          <w:rFonts w:ascii="Arial" w:cs="Arial" w:eastAsia="Arial" w:hAnsi="Arial"/>
          <w:sz w:val="17"/>
          <w:szCs w:val="17"/>
          <w:color w:val="auto"/>
        </w:rPr>
        <w:t>Pay slightly below market median</w:t>
      </w:r>
      <w:r>
        <w:rPr>
          <w:sz w:val="20"/>
          <w:szCs w:val="20"/>
          <w:color w:val="auto"/>
        </w:rPr>
        <w:tab/>
      </w:r>
      <w:r>
        <w:rPr>
          <w:rFonts w:ascii="Arial" w:cs="Arial" w:eastAsia="Arial" w:hAnsi="Arial"/>
          <w:sz w:val="17"/>
          <w:szCs w:val="17"/>
          <w:color w:val="auto"/>
        </w:rPr>
        <w:t>Paid twice monthly</w:t>
      </w:r>
    </w:p>
    <w:p>
      <w:pPr>
        <w:spacing w:after="0" w:line="238" w:lineRule="auto"/>
        <w:rPr>
          <w:sz w:val="20"/>
          <w:szCs w:val="20"/>
          <w:color w:val="auto"/>
        </w:rPr>
      </w:pPr>
      <w:r>
        <w:rPr>
          <w:rFonts w:ascii="Arial" w:cs="Arial" w:eastAsia="Arial" w:hAnsi="Arial"/>
          <w:sz w:val="17"/>
          <w:szCs w:val="17"/>
          <w:color w:val="auto"/>
        </w:rPr>
        <w:t>in order to weight total</w:t>
      </w:r>
    </w:p>
    <w:p>
      <w:pPr>
        <w:spacing w:after="0"/>
        <w:rPr>
          <w:sz w:val="20"/>
          <w:szCs w:val="20"/>
          <w:color w:val="auto"/>
        </w:rPr>
      </w:pPr>
      <w:r>
        <w:rPr>
          <w:rFonts w:ascii="Arial" w:cs="Arial" w:eastAsia="Arial" w:hAnsi="Arial"/>
          <w:sz w:val="17"/>
          <w:szCs w:val="17"/>
          <w:color w:val="auto"/>
        </w:rPr>
        <w:t>compensation to the performance-</w:t>
      </w:r>
    </w:p>
    <w:p>
      <w:pPr>
        <w:spacing w:after="0"/>
        <w:rPr>
          <w:sz w:val="20"/>
          <w:szCs w:val="20"/>
          <w:color w:val="auto"/>
        </w:rPr>
      </w:pPr>
      <w:r>
        <w:rPr>
          <w:rFonts w:ascii="Arial" w:cs="Arial" w:eastAsia="Arial" w:hAnsi="Arial"/>
          <w:sz w:val="17"/>
          <w:szCs w:val="17"/>
          <w:color w:val="auto"/>
        </w:rPr>
        <w:t>based elements described below</w:t>
      </w:r>
    </w:p>
    <w:p>
      <w:pPr>
        <w:spacing w:after="0" w:line="200" w:lineRule="exact"/>
        <w:rPr>
          <w:sz w:val="20"/>
          <w:szCs w:val="20"/>
          <w:color w:val="auto"/>
        </w:rPr>
      </w:pPr>
    </w:p>
    <w:p>
      <w:pPr>
        <w:sectPr>
          <w:pgSz w:w="11900" w:h="16900" w:orient="portrait"/>
          <w:cols w:equalWidth="0" w:num="2">
            <w:col w:w="5240" w:space="720"/>
            <w:col w:w="5460"/>
          </w:cols>
          <w:pgMar w:left="240" w:top="140" w:right="239" w:bottom="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40" w:type="dxa"/>
            <w:vAlign w:val="bottom"/>
            <w:shd w:val="clear" w:color="auto" w:fill="C0C0C0"/>
          </w:tcPr>
          <w:p>
            <w:pPr>
              <w:spacing w:after="0"/>
              <w:rPr>
                <w:sz w:val="20"/>
                <w:szCs w:val="20"/>
                <w:color w:val="auto"/>
              </w:rPr>
            </w:pPr>
            <w:r>
              <w:rPr>
                <w:rFonts w:ascii="Arial" w:cs="Arial" w:eastAsia="Arial" w:hAnsi="Arial"/>
                <w:sz w:val="17"/>
                <w:szCs w:val="17"/>
                <w:color w:val="auto"/>
              </w:rPr>
              <w:t>Profit sharing</w:t>
            </w:r>
          </w:p>
        </w:tc>
        <w:tc>
          <w:tcPr>
            <w:tcW w:w="3760" w:type="dxa"/>
            <w:vAlign w:val="bottom"/>
            <w:shd w:val="clear" w:color="auto" w:fill="C0C0C0"/>
          </w:tcPr>
          <w:p>
            <w:pPr>
              <w:ind w:left="1060"/>
              <w:spacing w:after="0"/>
              <w:rPr>
                <w:sz w:val="20"/>
                <w:szCs w:val="20"/>
                <w:color w:val="auto"/>
              </w:rPr>
            </w:pPr>
            <w:r>
              <w:rPr>
                <w:rFonts w:ascii="Arial" w:cs="Arial" w:eastAsia="Arial" w:hAnsi="Arial"/>
                <w:sz w:val="17"/>
                <w:szCs w:val="17"/>
                <w:color w:val="auto"/>
              </w:rPr>
              <w:t>Broad-based program designed to</w:t>
            </w:r>
          </w:p>
        </w:tc>
        <w:tc>
          <w:tcPr>
            <w:tcW w:w="2880" w:type="dxa"/>
            <w:vAlign w:val="bottom"/>
            <w:shd w:val="clear" w:color="auto" w:fill="C0C0C0"/>
          </w:tcPr>
          <w:p>
            <w:pPr>
              <w:ind w:left="160"/>
              <w:spacing w:after="0"/>
              <w:rPr>
                <w:sz w:val="20"/>
                <w:szCs w:val="20"/>
                <w:color w:val="auto"/>
              </w:rPr>
            </w:pPr>
            <w:r>
              <w:rPr>
                <w:rFonts w:ascii="Arial" w:cs="Arial" w:eastAsia="Arial" w:hAnsi="Arial"/>
                <w:sz w:val="17"/>
                <w:szCs w:val="17"/>
                <w:color w:val="auto"/>
              </w:rPr>
              <w:t>Pay according to a formula that</w:t>
            </w:r>
          </w:p>
        </w:tc>
        <w:tc>
          <w:tcPr>
            <w:tcW w:w="27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Payable in a single cash payment</w:t>
            </w:r>
          </w:p>
        </w:tc>
      </w:tr>
      <w:tr>
        <w:trPr>
          <w:trHeight w:val="194"/>
        </w:trPr>
        <w:tc>
          <w:tcPr>
            <w:tcW w:w="2040" w:type="dxa"/>
            <w:vAlign w:val="bottom"/>
            <w:shd w:val="clear" w:color="auto" w:fill="C0C0C0"/>
          </w:tcPr>
          <w:p>
            <w:pPr>
              <w:spacing w:after="0"/>
              <w:rPr>
                <w:sz w:val="16"/>
                <w:szCs w:val="16"/>
                <w:color w:val="auto"/>
              </w:rPr>
            </w:pPr>
          </w:p>
        </w:tc>
        <w:tc>
          <w:tcPr>
            <w:tcW w:w="3760" w:type="dxa"/>
            <w:vAlign w:val="bottom"/>
            <w:shd w:val="clear" w:color="auto" w:fill="C0C0C0"/>
          </w:tcPr>
          <w:p>
            <w:pPr>
              <w:ind w:left="1060"/>
              <w:spacing w:after="0" w:line="194" w:lineRule="exact"/>
              <w:rPr>
                <w:sz w:val="20"/>
                <w:szCs w:val="20"/>
                <w:color w:val="auto"/>
              </w:rPr>
            </w:pPr>
            <w:r>
              <w:rPr>
                <w:rFonts w:ascii="Arial" w:cs="Arial" w:eastAsia="Arial" w:hAnsi="Arial"/>
                <w:sz w:val="17"/>
                <w:szCs w:val="17"/>
                <w:color w:val="auto"/>
              </w:rPr>
              <w:t>emphasize that each employee</w:t>
            </w:r>
          </w:p>
        </w:tc>
        <w:tc>
          <w:tcPr>
            <w:tcW w:w="28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focuses employees on a company</w:t>
            </w:r>
          </w:p>
        </w:tc>
        <w:tc>
          <w:tcPr>
            <w:tcW w:w="274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shortly after the end of the</w:t>
            </w:r>
          </w:p>
        </w:tc>
      </w:tr>
      <w:tr>
        <w:trPr>
          <w:trHeight w:val="194"/>
        </w:trPr>
        <w:tc>
          <w:tcPr>
            <w:tcW w:w="2040" w:type="dxa"/>
            <w:vAlign w:val="bottom"/>
            <w:shd w:val="clear" w:color="auto" w:fill="C0C0C0"/>
          </w:tcPr>
          <w:p>
            <w:pPr>
              <w:spacing w:after="0"/>
              <w:rPr>
                <w:sz w:val="16"/>
                <w:szCs w:val="16"/>
                <w:color w:val="auto"/>
              </w:rPr>
            </w:pPr>
          </w:p>
        </w:tc>
        <w:tc>
          <w:tcPr>
            <w:tcW w:w="3760" w:type="dxa"/>
            <w:vAlign w:val="bottom"/>
            <w:shd w:val="clear" w:color="auto" w:fill="C0C0C0"/>
          </w:tcPr>
          <w:p>
            <w:pPr>
              <w:ind w:left="1060"/>
              <w:spacing w:after="0" w:line="194" w:lineRule="exact"/>
              <w:rPr>
                <w:sz w:val="20"/>
                <w:szCs w:val="20"/>
                <w:color w:val="auto"/>
              </w:rPr>
            </w:pPr>
            <w:r>
              <w:rPr>
                <w:rFonts w:ascii="Arial" w:cs="Arial" w:eastAsia="Arial" w:hAnsi="Arial"/>
                <w:sz w:val="17"/>
                <w:szCs w:val="17"/>
                <w:color w:val="auto"/>
              </w:rPr>
              <w:t>contributes to the company’s</w:t>
            </w:r>
          </w:p>
        </w:tc>
        <w:tc>
          <w:tcPr>
            <w:tcW w:w="28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goal, and at a level that will affect</w:t>
            </w:r>
          </w:p>
        </w:tc>
        <w:tc>
          <w:tcPr>
            <w:tcW w:w="274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performance year</w:t>
            </w:r>
          </w:p>
        </w:tc>
      </w:tr>
      <w:tr>
        <w:trPr>
          <w:trHeight w:val="194"/>
        </w:trPr>
        <w:tc>
          <w:tcPr>
            <w:tcW w:w="2040" w:type="dxa"/>
            <w:vAlign w:val="bottom"/>
            <w:shd w:val="clear" w:color="auto" w:fill="C0C0C0"/>
          </w:tcPr>
          <w:p>
            <w:pPr>
              <w:spacing w:after="0"/>
              <w:rPr>
                <w:sz w:val="16"/>
                <w:szCs w:val="16"/>
                <w:color w:val="auto"/>
              </w:rPr>
            </w:pPr>
          </w:p>
        </w:tc>
        <w:tc>
          <w:tcPr>
            <w:tcW w:w="3760" w:type="dxa"/>
            <w:vAlign w:val="bottom"/>
            <w:shd w:val="clear" w:color="auto" w:fill="C0C0C0"/>
          </w:tcPr>
          <w:p>
            <w:pPr>
              <w:ind w:left="1060"/>
              <w:spacing w:after="0" w:line="194" w:lineRule="exact"/>
              <w:rPr>
                <w:sz w:val="20"/>
                <w:szCs w:val="20"/>
                <w:color w:val="auto"/>
              </w:rPr>
            </w:pPr>
            <w:r>
              <w:rPr>
                <w:rFonts w:ascii="Arial" w:cs="Arial" w:eastAsia="Arial" w:hAnsi="Arial"/>
                <w:sz w:val="17"/>
                <w:szCs w:val="17"/>
                <w:color w:val="auto"/>
              </w:rPr>
              <w:t>profitability and can share in it</w:t>
            </w:r>
          </w:p>
        </w:tc>
        <w:tc>
          <w:tcPr>
            <w:tcW w:w="28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behavior. Profit sharing is paid in</w:t>
            </w:r>
          </w:p>
        </w:tc>
        <w:tc>
          <w:tcPr>
            <w:tcW w:w="2740" w:type="dxa"/>
            <w:vAlign w:val="bottom"/>
            <w:shd w:val="clear" w:color="auto" w:fill="C0C0C0"/>
          </w:tcPr>
          <w:p>
            <w:pPr>
              <w:spacing w:after="0"/>
              <w:rPr>
                <w:sz w:val="16"/>
                <w:szCs w:val="16"/>
                <w:color w:val="auto"/>
              </w:rPr>
            </w:pPr>
          </w:p>
        </w:tc>
      </w:tr>
      <w:tr>
        <w:trPr>
          <w:trHeight w:val="194"/>
        </w:trPr>
        <w:tc>
          <w:tcPr>
            <w:tcW w:w="2040" w:type="dxa"/>
            <w:vAlign w:val="bottom"/>
            <w:shd w:val="clear" w:color="auto" w:fill="C0C0C0"/>
          </w:tcPr>
          <w:p>
            <w:pPr>
              <w:spacing w:after="0"/>
              <w:rPr>
                <w:sz w:val="16"/>
                <w:szCs w:val="16"/>
                <w:color w:val="auto"/>
              </w:rPr>
            </w:pPr>
          </w:p>
        </w:tc>
        <w:tc>
          <w:tcPr>
            <w:tcW w:w="3760" w:type="dxa"/>
            <w:vAlign w:val="bottom"/>
            <w:shd w:val="clear" w:color="auto" w:fill="C0C0C0"/>
          </w:tcPr>
          <w:p>
            <w:pPr>
              <w:spacing w:after="0"/>
              <w:rPr>
                <w:sz w:val="16"/>
                <w:szCs w:val="16"/>
                <w:color w:val="auto"/>
              </w:rPr>
            </w:pPr>
          </w:p>
        </w:tc>
        <w:tc>
          <w:tcPr>
            <w:tcW w:w="28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addition to any performance bonus</w:t>
            </w:r>
          </w:p>
        </w:tc>
        <w:tc>
          <w:tcPr>
            <w:tcW w:w="274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As in recent years, the formula for</w:t>
            </w:r>
          </w:p>
        </w:tc>
      </w:tr>
      <w:tr>
        <w:trPr>
          <w:trHeight w:val="215"/>
        </w:trPr>
        <w:tc>
          <w:tcPr>
            <w:tcW w:w="2040" w:type="dxa"/>
            <w:vAlign w:val="bottom"/>
            <w:shd w:val="clear" w:color="auto" w:fill="C0C0C0"/>
          </w:tcPr>
          <w:p>
            <w:pPr>
              <w:spacing w:after="0"/>
              <w:rPr>
                <w:sz w:val="18"/>
                <w:szCs w:val="18"/>
                <w:color w:val="auto"/>
              </w:rPr>
            </w:pPr>
          </w:p>
        </w:tc>
        <w:tc>
          <w:tcPr>
            <w:tcW w:w="3760" w:type="dxa"/>
            <w:vAlign w:val="bottom"/>
            <w:shd w:val="clear" w:color="auto" w:fill="C0C0C0"/>
          </w:tcPr>
          <w:p>
            <w:pPr>
              <w:spacing w:after="0"/>
              <w:rPr>
                <w:sz w:val="18"/>
                <w:szCs w:val="18"/>
                <w:color w:val="auto"/>
              </w:rPr>
            </w:pPr>
          </w:p>
        </w:tc>
        <w:tc>
          <w:tcPr>
            <w:tcW w:w="2880" w:type="dxa"/>
            <w:vAlign w:val="bottom"/>
            <w:shd w:val="clear" w:color="auto" w:fill="C0C0C0"/>
          </w:tcPr>
          <w:p>
            <w:pPr>
              <w:ind w:left="160"/>
              <w:spacing w:after="0"/>
              <w:rPr>
                <w:sz w:val="20"/>
                <w:szCs w:val="20"/>
                <w:color w:val="auto"/>
              </w:rPr>
            </w:pPr>
            <w:r>
              <w:rPr>
                <w:rFonts w:ascii="Arial" w:cs="Arial" w:eastAsia="Arial" w:hAnsi="Arial"/>
                <w:sz w:val="17"/>
                <w:szCs w:val="17"/>
                <w:color w:val="auto"/>
              </w:rPr>
              <w:t>awarded for the year.</w:t>
            </w:r>
          </w:p>
        </w:tc>
        <w:tc>
          <w:tcPr>
            <w:tcW w:w="2740" w:type="dxa"/>
            <w:vAlign w:val="bottom"/>
            <w:shd w:val="clear" w:color="auto" w:fill="C0C0C0"/>
          </w:tcPr>
          <w:p>
            <w:pPr>
              <w:ind w:left="120"/>
              <w:spacing w:after="0"/>
              <w:rPr>
                <w:sz w:val="20"/>
                <w:szCs w:val="20"/>
                <w:color w:val="auto"/>
              </w:rPr>
            </w:pPr>
            <w:r>
              <w:rPr>
                <w:rFonts w:ascii="Arial" w:cs="Arial" w:eastAsia="Arial" w:hAnsi="Arial"/>
                <w:sz w:val="17"/>
                <w:szCs w:val="17"/>
                <w:color w:val="auto"/>
              </w:rPr>
              <w:t>2008 was:</w:t>
            </w:r>
          </w:p>
        </w:tc>
      </w:tr>
      <w:tr>
        <w:trPr>
          <w:trHeight w:val="26"/>
        </w:trPr>
        <w:tc>
          <w:tcPr>
            <w:tcW w:w="2040" w:type="dxa"/>
            <w:vAlign w:val="bottom"/>
            <w:shd w:val="clear" w:color="auto" w:fill="C0C0C0"/>
          </w:tcPr>
          <w:p>
            <w:pPr>
              <w:spacing w:after="0"/>
              <w:rPr>
                <w:sz w:val="2"/>
                <w:szCs w:val="2"/>
                <w:color w:val="auto"/>
              </w:rPr>
            </w:pPr>
          </w:p>
        </w:tc>
        <w:tc>
          <w:tcPr>
            <w:tcW w:w="3760" w:type="dxa"/>
            <w:vAlign w:val="bottom"/>
            <w:shd w:val="clear" w:color="auto" w:fill="C0C0C0"/>
          </w:tcPr>
          <w:p>
            <w:pPr>
              <w:spacing w:after="0"/>
              <w:rPr>
                <w:sz w:val="2"/>
                <w:szCs w:val="2"/>
                <w:color w:val="auto"/>
              </w:rPr>
            </w:pPr>
          </w:p>
        </w:tc>
        <w:tc>
          <w:tcPr>
            <w:tcW w:w="2880" w:type="dxa"/>
            <w:vAlign w:val="bottom"/>
            <w:shd w:val="clear" w:color="auto" w:fill="C0C0C0"/>
          </w:tcPr>
          <w:p>
            <w:pPr>
              <w:spacing w:after="0"/>
              <w:rPr>
                <w:sz w:val="2"/>
                <w:szCs w:val="2"/>
                <w:color w:val="auto"/>
              </w:rPr>
            </w:pPr>
          </w:p>
        </w:tc>
        <w:tc>
          <w:tcPr>
            <w:tcW w:w="2740" w:type="dxa"/>
            <w:vAlign w:val="bottom"/>
            <w:shd w:val="clear" w:color="auto" w:fill="C0C0C0"/>
          </w:tcPr>
          <w:p>
            <w:pPr>
              <w:spacing w:after="0"/>
              <w:rPr>
                <w:sz w:val="2"/>
                <w:szCs w:val="2"/>
                <w:color w:val="auto"/>
              </w:rPr>
            </w:pPr>
          </w:p>
        </w:tc>
      </w:tr>
    </w:tbl>
    <w:p>
      <w:pPr>
        <w:sectPr>
          <w:pgSz w:w="11900" w:h="16900" w:orient="portrait"/>
          <w:cols w:equalWidth="0" w:num="1">
            <w:col w:w="11420"/>
          </w:cols>
          <w:pgMar w:left="240" w:top="140" w:right="239" w:bottom="0" w:gutter="0" w:footer="0" w:header="0"/>
          <w:type w:val="continuous"/>
        </w:sectPr>
      </w:pPr>
    </w:p>
    <w:bookmarkStart w:id="9" w:name="page10"/>
    <w:bookmarkEnd w:id="9"/>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3560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335" cy="356044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For the last five years, the formula</w:t>
      </w:r>
    </w:p>
    <w:p>
      <w:pPr>
        <w:ind w:left="5960"/>
        <w:spacing w:after="0" w:line="238" w:lineRule="auto"/>
        <w:rPr>
          <w:sz w:val="20"/>
          <w:szCs w:val="20"/>
          <w:color w:val="auto"/>
        </w:rPr>
      </w:pPr>
      <w:r>
        <w:rPr>
          <w:rFonts w:ascii="Arial" w:cs="Arial" w:eastAsia="Arial" w:hAnsi="Arial"/>
          <w:sz w:val="17"/>
          <w:szCs w:val="17"/>
          <w:color w:val="auto"/>
        </w:rPr>
        <w:t>has been based on company-level</w:t>
      </w:r>
    </w:p>
    <w:p>
      <w:pPr>
        <w:ind w:left="5960"/>
        <w:spacing w:after="0"/>
        <w:rPr>
          <w:sz w:val="20"/>
          <w:szCs w:val="20"/>
          <w:color w:val="auto"/>
        </w:rPr>
      </w:pPr>
      <w:r>
        <w:rPr>
          <w:rFonts w:ascii="Arial" w:cs="Arial" w:eastAsia="Arial" w:hAnsi="Arial"/>
          <w:sz w:val="16"/>
          <w:szCs w:val="16"/>
          <w:color w:val="auto"/>
        </w:rPr>
        <w:t>annual operating profit margin.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formula was set by the TI board.</w:t>
      </w:r>
    </w:p>
    <w:p>
      <w:pPr>
        <w:ind w:left="5960"/>
        <w:spacing w:after="0"/>
        <w:rPr>
          <w:sz w:val="20"/>
          <w:szCs w:val="20"/>
          <w:color w:val="auto"/>
        </w:rPr>
      </w:pPr>
      <w:r>
        <w:rPr>
          <w:rFonts w:ascii="Arial" w:cs="Arial" w:eastAsia="Arial" w:hAnsi="Arial"/>
          <w:sz w:val="16"/>
          <w:szCs w:val="16"/>
          <w:color w:val="auto"/>
        </w:rPr>
        <w:t>The committee’s practice has been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not to adjust amounts earned</w:t>
      </w:r>
    </w:p>
    <w:p>
      <w:pPr>
        <w:ind w:left="5960"/>
        <w:spacing w:after="0"/>
        <w:rPr>
          <w:sz w:val="20"/>
          <w:szCs w:val="20"/>
          <w:color w:val="auto"/>
        </w:rPr>
      </w:pPr>
      <w:r>
        <w:rPr>
          <w:rFonts w:ascii="Arial" w:cs="Arial" w:eastAsia="Arial" w:hAnsi="Arial"/>
          <w:sz w:val="17"/>
          <w:szCs w:val="17"/>
          <w:color w:val="auto"/>
        </w:rPr>
        <w:t>under the formula.</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740"/>
        <w:spacing w:after="0" w:line="286" w:lineRule="auto"/>
        <w:rPr>
          <w:sz w:val="20"/>
          <w:szCs w:val="20"/>
          <w:color w:val="auto"/>
        </w:rPr>
      </w:pPr>
      <w:r>
        <w:rPr>
          <w:rFonts w:ascii="Arial" w:cs="Arial" w:eastAsia="Arial" w:hAnsi="Arial"/>
          <w:sz w:val="17"/>
          <w:szCs w:val="17"/>
          <w:color w:val="auto"/>
        </w:rPr>
        <w:t>Below 10% company-level annual operating profit as a percentage of revenue (“Margin”): No profit sharing</w:t>
      </w:r>
    </w:p>
    <w:p>
      <w:pPr>
        <w:spacing w:after="0" w:line="1" w:lineRule="exact"/>
        <w:rPr>
          <w:sz w:val="20"/>
          <w:szCs w:val="20"/>
          <w:color w:val="auto"/>
        </w:rPr>
      </w:pPr>
    </w:p>
    <w:p>
      <w:pPr>
        <w:jc w:val="both"/>
        <w:ind w:left="740" w:right="220"/>
        <w:spacing w:after="0" w:line="286" w:lineRule="auto"/>
        <w:rPr>
          <w:sz w:val="20"/>
          <w:szCs w:val="20"/>
          <w:color w:val="auto"/>
        </w:rPr>
      </w:pPr>
      <w:r>
        <w:rPr>
          <w:rFonts w:ascii="Arial" w:cs="Arial" w:eastAsia="Arial" w:hAnsi="Arial"/>
          <w:sz w:val="17"/>
          <w:szCs w:val="17"/>
          <w:color w:val="auto"/>
        </w:rPr>
        <w:t>At 10% Margin: Profit sharing = 2% of base salary</w:t>
      </w:r>
    </w:p>
    <w:p>
      <w:pPr>
        <w:ind w:left="740"/>
        <w:spacing w:after="0" w:line="306" w:lineRule="auto"/>
        <w:rPr>
          <w:sz w:val="20"/>
          <w:szCs w:val="20"/>
          <w:color w:val="auto"/>
        </w:rPr>
      </w:pPr>
      <w:r>
        <w:rPr>
          <w:rFonts w:ascii="Arial" w:cs="Arial" w:eastAsia="Arial" w:hAnsi="Arial"/>
          <w:sz w:val="16"/>
          <w:szCs w:val="16"/>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2008, TI delivered Margin of 19.5%. As a result, all eligible employees, including executive officers, received profit sharing of 6.75% of base salary.</w:t>
      </w:r>
    </w:p>
    <w:p>
      <w:pPr>
        <w:spacing w:after="0" w:line="200" w:lineRule="exact"/>
        <w:rPr>
          <w:sz w:val="20"/>
          <w:szCs w:val="20"/>
          <w:color w:val="auto"/>
        </w:rPr>
      </w:pPr>
    </w:p>
    <w:p>
      <w:pPr>
        <w:sectPr>
          <w:pgSz w:w="11900" w:h="16893" w:orient="portrait"/>
          <w:cols w:equalWidth="0" w:num="2">
            <w:col w:w="8580" w:space="220"/>
            <w:col w:w="2540"/>
          </w:cols>
          <w:pgMar w:left="240" w:top="141" w:right="31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[ 62 ]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tabs>
          <w:tab w:leader="none" w:pos="4140" w:val="left"/>
          <w:tab w:leader="none" w:pos="7060" w:val="left"/>
          <w:tab w:leader="none" w:pos="9900" w:val="left"/>
        </w:tabs>
        <w:rPr>
          <w:sz w:val="20"/>
          <w:szCs w:val="20"/>
          <w:color w:val="auto"/>
        </w:rPr>
      </w:pPr>
      <w:r>
        <w:rPr>
          <w:rFonts w:ascii="Arial" w:cs="Arial" w:eastAsia="Arial" w:hAnsi="Arial"/>
          <w:sz w:val="26"/>
          <w:szCs w:val="26"/>
          <w:b w:val="1"/>
          <w:bCs w:val="1"/>
          <w:color w:val="auto"/>
          <w:vertAlign w:val="superscript"/>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Policy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2335" cy="5501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5501005"/>
                    </a:xfrm>
                    <a:prstGeom prst="rect">
                      <a:avLst/>
                    </a:prstGeom>
                    <a:noFill/>
                  </pic:spPr>
                </pic:pic>
              </a:graphicData>
            </a:graphic>
          </wp:anchor>
        </w:drawing>
      </w:r>
    </w:p>
    <w:p>
      <w:pPr>
        <w:sectPr>
          <w:pgSz w:w="11900" w:h="16893" w:orient="portrait"/>
          <w:cols w:equalWidth="0" w:num="1">
            <w:col w:w="11340"/>
          </w:cols>
          <w:pgMar w:left="240" w:top="141" w:right="319" w:bottom="0" w:gutter="0" w:footer="0" w:header="0"/>
          <w:type w:val="continuous"/>
        </w:sectPr>
      </w:pPr>
    </w:p>
    <w:p>
      <w:pPr>
        <w:spacing w:after="0" w:line="249" w:lineRule="exact"/>
        <w:rPr>
          <w:sz w:val="20"/>
          <w:szCs w:val="20"/>
          <w:color w:val="auto"/>
        </w:rPr>
      </w:pPr>
    </w:p>
    <w:p>
      <w:pPr>
        <w:spacing w:after="0"/>
        <w:tabs>
          <w:tab w:leader="none" w:pos="3080" w:val="left"/>
        </w:tabs>
        <w:rPr>
          <w:sz w:val="20"/>
          <w:szCs w:val="20"/>
          <w:color w:val="auto"/>
        </w:rPr>
      </w:pPr>
      <w:r>
        <w:rPr>
          <w:rFonts w:ascii="Arial" w:cs="Arial" w:eastAsia="Arial" w:hAnsi="Arial"/>
          <w:sz w:val="17"/>
          <w:szCs w:val="17"/>
          <w:color w:val="auto"/>
        </w:rPr>
        <w:t>Performance bonus</w:t>
      </w:r>
      <w:r>
        <w:rPr>
          <w:sz w:val="20"/>
          <w:szCs w:val="20"/>
          <w:color w:val="auto"/>
        </w:rPr>
        <w:tab/>
      </w:r>
      <w:r>
        <w:rPr>
          <w:rFonts w:ascii="Arial" w:cs="Arial" w:eastAsia="Arial" w:hAnsi="Arial"/>
          <w:sz w:val="16"/>
          <w:szCs w:val="16"/>
          <w:color w:val="auto"/>
        </w:rPr>
        <w:t>To motivate executives and reward</w:t>
      </w:r>
    </w:p>
    <w:p>
      <w:pPr>
        <w:ind w:left="3100"/>
        <w:spacing w:after="0" w:line="238" w:lineRule="auto"/>
        <w:rPr>
          <w:sz w:val="20"/>
          <w:szCs w:val="20"/>
          <w:color w:val="auto"/>
        </w:rPr>
      </w:pPr>
      <w:r>
        <w:rPr>
          <w:rFonts w:ascii="Arial" w:cs="Arial" w:eastAsia="Arial" w:hAnsi="Arial"/>
          <w:sz w:val="17"/>
          <w:szCs w:val="17"/>
          <w:color w:val="auto"/>
        </w:rPr>
        <w:t>them according to the company’s</w:t>
      </w:r>
    </w:p>
    <w:p>
      <w:pPr>
        <w:ind w:left="3100"/>
        <w:spacing w:after="0"/>
        <w:rPr>
          <w:sz w:val="20"/>
          <w:szCs w:val="20"/>
          <w:color w:val="auto"/>
        </w:rPr>
      </w:pPr>
      <w:r>
        <w:rPr>
          <w:rFonts w:ascii="Arial" w:cs="Arial" w:eastAsia="Arial" w:hAnsi="Arial"/>
          <w:sz w:val="17"/>
          <w:szCs w:val="17"/>
          <w:color w:val="auto"/>
        </w:rPr>
        <w:t>performance and the executive’s</w:t>
      </w:r>
    </w:p>
    <w:p>
      <w:pPr>
        <w:ind w:left="3100"/>
        <w:spacing w:after="0"/>
        <w:rPr>
          <w:sz w:val="20"/>
          <w:szCs w:val="20"/>
          <w:color w:val="auto"/>
        </w:rPr>
      </w:pPr>
      <w:r>
        <w:rPr>
          <w:rFonts w:ascii="Arial" w:cs="Arial" w:eastAsia="Arial" w:hAnsi="Arial"/>
          <w:sz w:val="17"/>
          <w:szCs w:val="17"/>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5005070</wp:posOffset>
            </wp:positionV>
            <wp:extent cx="7252335" cy="147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Bonus is based primarily on one-year and three-year company performance on certain measures (revenue growth percent, operating margin and total shareholder return) as compared to competitors and on our strategic progress in</w:t>
      </w:r>
    </w:p>
    <w:p>
      <w:pPr>
        <w:spacing w:after="0" w:line="1" w:lineRule="exact"/>
        <w:rPr>
          <w:sz w:val="20"/>
          <w:szCs w:val="20"/>
          <w:color w:val="auto"/>
        </w:rPr>
      </w:pPr>
    </w:p>
    <w:p>
      <w:pPr>
        <w:ind w:right="100"/>
        <w:spacing w:after="0" w:line="224" w:lineRule="auto"/>
        <w:rPr>
          <w:sz w:val="20"/>
          <w:szCs w:val="20"/>
          <w:color w:val="auto"/>
        </w:rPr>
      </w:pPr>
      <w:r>
        <w:rPr>
          <w:rFonts w:ascii="Arial" w:cs="Arial" w:eastAsia="Arial" w:hAnsi="Arial"/>
          <w:sz w:val="17"/>
          <w:szCs w:val="17"/>
          <w:color w:val="auto"/>
        </w:rPr>
        <w:t>key markets and with customers.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These factors have been chosen to reflect our near-term financial performance as well as our progress in building long-term shareholder value.</w:t>
      </w: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relative company performance is better than last year, then bonuses will generally be higher than last year. If relative performance is the same or lower than last year, bonuses will generally be the same or lower than last year.</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committee does not rely on formulas or performance targets or thresholds. Instead it uses its judgment based on its assessment of the factors described above.</w:t>
      </w:r>
    </w:p>
    <w:p>
      <w:pPr>
        <w:spacing w:after="0" w:line="18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general policy is to pay the bonus under the Texas Instruments Executive Officer Performance Plan (approved by stockholders in 2002). It provides for a bonus of 0.5% of TI consolidated income, as defined in the plan, to each executive officer, subject to the committee’s authority to reduce the amount to any level it considers appropriate, including $0. The committee reserves the right to pay bonuses outside the plan if it considers it in stockholder interests to do so.</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Determined by the committee and paid in a single payment after the performance year</w:t>
      </w:r>
    </w:p>
    <w:p>
      <w:pPr>
        <w:spacing w:after="0" w:line="8043" w:lineRule="exact"/>
        <w:rPr>
          <w:sz w:val="20"/>
          <w:szCs w:val="20"/>
          <w:color w:val="auto"/>
        </w:rPr>
      </w:pPr>
    </w:p>
    <w:p>
      <w:pPr>
        <w:sectPr>
          <w:pgSz w:w="11900" w:h="16893" w:orient="portrait"/>
          <w:cols w:equalWidth="0" w:num="3">
            <w:col w:w="5680" w:space="280"/>
            <w:col w:w="2620" w:space="220"/>
            <w:col w:w="2540"/>
          </w:cols>
          <w:pgMar w:left="240" w:top="141" w:right="319" w:bottom="0" w:gutter="0" w:footer="0" w:header="0"/>
          <w:type w:val="continuous"/>
        </w:sectPr>
      </w:pPr>
    </w:p>
    <w:p>
      <w:pPr>
        <w:spacing w:after="0"/>
        <w:rPr>
          <w:sz w:val="20"/>
          <w:szCs w:val="20"/>
          <w:color w:val="auto"/>
        </w:rPr>
      </w:pPr>
      <w:r>
        <w:rPr>
          <w:rFonts w:ascii="Arial" w:cs="Arial" w:eastAsia="Arial" w:hAnsi="Arial"/>
          <w:sz w:val="17"/>
          <w:szCs w:val="17"/>
          <w:b w:val="1"/>
          <w:bCs w:val="1"/>
          <w:color w:val="auto"/>
        </w:rPr>
        <w:t>Long-term compensation, awarded in equity</w:t>
      </w:r>
      <w:r>
        <w:rPr>
          <w:sz w:val="1"/>
          <w:szCs w:val="1"/>
          <w:color w:val="auto"/>
        </w:rPr>
        <w:drawing>
          <wp:inline distT="0" distB="0" distL="0" distR="0">
            <wp:extent cx="33020" cy="1397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1397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7252335" cy="130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335" cy="130810"/>
                    </a:xfrm>
                    <a:prstGeom prst="rect">
                      <a:avLst/>
                    </a:prstGeom>
                    <a:noFill/>
                  </pic:spPr>
                </pic:pic>
              </a:graphicData>
            </a:graphic>
          </wp:anchor>
        </w:drawing>
      </w:r>
    </w:p>
    <w:p>
      <w:pPr>
        <w:spacing w:after="0" w:line="218" w:lineRule="exact"/>
        <w:rPr>
          <w:sz w:val="20"/>
          <w:szCs w:val="20"/>
          <w:color w:val="auto"/>
        </w:rPr>
      </w:pPr>
    </w:p>
    <w:p>
      <w:pPr>
        <w:spacing w:after="0"/>
        <w:tabs>
          <w:tab w:leader="none" w:pos="3080" w:val="left"/>
          <w:tab w:leader="none" w:pos="5940" w:val="left"/>
          <w:tab w:leader="none" w:pos="8780" w:val="left"/>
        </w:tabs>
        <w:rPr>
          <w:sz w:val="20"/>
          <w:szCs w:val="20"/>
          <w:color w:val="auto"/>
        </w:rPr>
      </w:pPr>
      <w:r>
        <w:rPr>
          <w:rFonts w:ascii="Arial" w:cs="Arial" w:eastAsia="Arial" w:hAnsi="Arial"/>
          <w:sz w:val="17"/>
          <w:szCs w:val="17"/>
          <w:color w:val="auto"/>
        </w:rPr>
        <w:t>Non-qualified stock options and</w:t>
      </w:r>
      <w:r>
        <w:rPr>
          <w:sz w:val="20"/>
          <w:szCs w:val="20"/>
          <w:color w:val="auto"/>
        </w:rPr>
        <w:tab/>
      </w:r>
      <w:r>
        <w:rPr>
          <w:rFonts w:ascii="Arial" w:cs="Arial" w:eastAsia="Arial" w:hAnsi="Arial"/>
          <w:sz w:val="17"/>
          <w:szCs w:val="17"/>
          <w:color w:val="auto"/>
        </w:rPr>
        <w:t>Alignment with shareholders; long-</w:t>
      </w:r>
      <w:r>
        <w:rPr>
          <w:sz w:val="20"/>
          <w:szCs w:val="20"/>
          <w:color w:val="auto"/>
        </w:rPr>
        <w:tab/>
      </w:r>
      <w:r>
        <w:rPr>
          <w:rFonts w:ascii="Arial" w:cs="Arial" w:eastAsia="Arial" w:hAnsi="Arial"/>
          <w:sz w:val="17"/>
          <w:szCs w:val="17"/>
          <w:color w:val="auto"/>
        </w:rPr>
        <w:t>We grant a combination of stock</w:t>
      </w:r>
      <w:r>
        <w:rPr>
          <w:sz w:val="20"/>
          <w:szCs w:val="20"/>
          <w:color w:val="auto"/>
        </w:rPr>
        <w:tab/>
      </w:r>
      <w:r>
        <w:rPr>
          <w:rFonts w:ascii="Arial" w:cs="Arial" w:eastAsia="Arial" w:hAnsi="Arial"/>
          <w:sz w:val="16"/>
          <w:szCs w:val="16"/>
          <w:color w:val="auto"/>
        </w:rPr>
        <w:t>The terms and conditions of stock</w:t>
      </w:r>
    </w:p>
    <w:p>
      <w:pPr>
        <w:sectPr>
          <w:pgSz w:w="11900" w:h="16893" w:orient="portrait"/>
          <w:cols w:equalWidth="0" w:num="1">
            <w:col w:w="11340"/>
          </w:cols>
          <w:pgMar w:left="240" w:top="141" w:right="31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7"/>
        </w:trPr>
        <w:tc>
          <w:tcPr>
            <w:tcW w:w="2320" w:type="dxa"/>
            <w:vAlign w:val="bottom"/>
            <w:shd w:val="clear" w:color="auto" w:fill="C0C0C0"/>
          </w:tcPr>
          <w:p>
            <w:pPr>
              <w:spacing w:after="0"/>
              <w:rPr>
                <w:sz w:val="20"/>
                <w:szCs w:val="20"/>
                <w:color w:val="auto"/>
              </w:rPr>
            </w:pPr>
            <w:r>
              <w:rPr>
                <w:rFonts w:ascii="Arial" w:cs="Arial" w:eastAsia="Arial" w:hAnsi="Arial"/>
                <w:sz w:val="17"/>
                <w:szCs w:val="17"/>
                <w:color w:val="auto"/>
              </w:rPr>
              <w:t>restricted stock units</w:t>
            </w:r>
          </w:p>
        </w:tc>
        <w:tc>
          <w:tcPr>
            <w:tcW w:w="3440" w:type="dxa"/>
            <w:vAlign w:val="bottom"/>
            <w:shd w:val="clear" w:color="auto" w:fill="C0C0C0"/>
          </w:tcPr>
          <w:p>
            <w:pPr>
              <w:ind w:left="780"/>
              <w:spacing w:after="0"/>
              <w:rPr>
                <w:sz w:val="20"/>
                <w:szCs w:val="20"/>
                <w:color w:val="auto"/>
              </w:rPr>
            </w:pPr>
            <w:r>
              <w:rPr>
                <w:rFonts w:ascii="Arial" w:cs="Arial" w:eastAsia="Arial" w:hAnsi="Arial"/>
                <w:sz w:val="17"/>
                <w:szCs w:val="17"/>
                <w:color w:val="auto"/>
              </w:rPr>
              <w:t>term focus; retention, particularly</w:t>
            </w:r>
          </w:p>
        </w:tc>
        <w:tc>
          <w:tcPr>
            <w:tcW w:w="2880" w:type="dxa"/>
            <w:vAlign w:val="bottom"/>
            <w:shd w:val="clear" w:color="auto" w:fill="C0C0C0"/>
          </w:tcPr>
          <w:p>
            <w:pPr>
              <w:ind w:left="200"/>
              <w:spacing w:after="0"/>
              <w:rPr>
                <w:sz w:val="20"/>
                <w:szCs w:val="20"/>
                <w:color w:val="auto"/>
              </w:rPr>
            </w:pPr>
            <w:r>
              <w:rPr>
                <w:rFonts w:ascii="Arial" w:cs="Arial" w:eastAsia="Arial" w:hAnsi="Arial"/>
                <w:sz w:val="17"/>
                <w:szCs w:val="17"/>
                <w:color w:val="auto"/>
              </w:rPr>
              <w:t>options and restricted stock units,</w:t>
            </w:r>
          </w:p>
        </w:tc>
        <w:tc>
          <w:tcPr>
            <w:tcW w:w="2780" w:type="dxa"/>
            <w:vAlign w:val="bottom"/>
            <w:shd w:val="clear" w:color="auto" w:fill="C0C0C0"/>
          </w:tcPr>
          <w:p>
            <w:pPr>
              <w:ind w:left="160"/>
              <w:spacing w:after="0"/>
              <w:rPr>
                <w:sz w:val="20"/>
                <w:szCs w:val="20"/>
                <w:color w:val="auto"/>
              </w:rPr>
            </w:pPr>
            <w:r>
              <w:rPr>
                <w:rFonts w:ascii="Arial" w:cs="Arial" w:eastAsia="Arial" w:hAnsi="Arial"/>
                <w:sz w:val="17"/>
                <w:szCs w:val="17"/>
                <w:color w:val="auto"/>
              </w:rPr>
              <w:t>options and restricted stock units</w:t>
            </w:r>
          </w:p>
        </w:tc>
      </w:tr>
      <w:tr>
        <w:trPr>
          <w:trHeight w:val="194"/>
        </w:trPr>
        <w:tc>
          <w:tcPr>
            <w:tcW w:w="2320" w:type="dxa"/>
            <w:vAlign w:val="bottom"/>
            <w:shd w:val="clear" w:color="auto" w:fill="C0C0C0"/>
          </w:tcPr>
          <w:p>
            <w:pPr>
              <w:spacing w:after="0"/>
              <w:rPr>
                <w:sz w:val="16"/>
                <w:szCs w:val="16"/>
                <w:color w:val="auto"/>
              </w:rPr>
            </w:pPr>
          </w:p>
        </w:tc>
        <w:tc>
          <w:tcPr>
            <w:tcW w:w="3440" w:type="dxa"/>
            <w:vAlign w:val="bottom"/>
            <w:shd w:val="clear" w:color="auto" w:fill="C0C0C0"/>
          </w:tcPr>
          <w:p>
            <w:pPr>
              <w:ind w:left="780"/>
              <w:spacing w:after="0" w:line="194" w:lineRule="exact"/>
              <w:rPr>
                <w:sz w:val="20"/>
                <w:szCs w:val="20"/>
                <w:color w:val="auto"/>
              </w:rPr>
            </w:pPr>
            <w:r>
              <w:rPr>
                <w:rFonts w:ascii="Arial" w:cs="Arial" w:eastAsia="Arial" w:hAnsi="Arial"/>
                <w:sz w:val="17"/>
                <w:szCs w:val="17"/>
                <w:color w:val="auto"/>
              </w:rPr>
              <w:t>with respect to restricted stock</w:t>
            </w:r>
          </w:p>
        </w:tc>
        <w:tc>
          <w:tcPr>
            <w:tcW w:w="2880" w:type="dxa"/>
            <w:vAlign w:val="bottom"/>
            <w:shd w:val="clear" w:color="auto" w:fill="C0C0C0"/>
          </w:tcPr>
          <w:p>
            <w:pPr>
              <w:ind w:left="200"/>
              <w:spacing w:after="0" w:line="194" w:lineRule="exact"/>
              <w:rPr>
                <w:sz w:val="20"/>
                <w:szCs w:val="20"/>
                <w:color w:val="auto"/>
              </w:rPr>
            </w:pPr>
            <w:r>
              <w:rPr>
                <w:rFonts w:ascii="Arial" w:cs="Arial" w:eastAsia="Arial" w:hAnsi="Arial"/>
                <w:sz w:val="17"/>
                <w:szCs w:val="17"/>
                <w:color w:val="auto"/>
              </w:rPr>
              <w:t>targeted at the median level of</w:t>
            </w:r>
          </w:p>
        </w:tc>
        <w:tc>
          <w:tcPr>
            <w:tcW w:w="27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are summarized on pages 76-77.</w:t>
            </w:r>
          </w:p>
        </w:tc>
      </w:tr>
      <w:tr>
        <w:trPr>
          <w:trHeight w:val="194"/>
        </w:trPr>
        <w:tc>
          <w:tcPr>
            <w:tcW w:w="2320" w:type="dxa"/>
            <w:vAlign w:val="bottom"/>
            <w:shd w:val="clear" w:color="auto" w:fill="C0C0C0"/>
          </w:tcPr>
          <w:p>
            <w:pPr>
              <w:spacing w:after="0"/>
              <w:rPr>
                <w:sz w:val="16"/>
                <w:szCs w:val="16"/>
                <w:color w:val="auto"/>
              </w:rPr>
            </w:pPr>
          </w:p>
        </w:tc>
        <w:tc>
          <w:tcPr>
            <w:tcW w:w="3440" w:type="dxa"/>
            <w:vAlign w:val="bottom"/>
            <w:shd w:val="clear" w:color="auto" w:fill="C0C0C0"/>
          </w:tcPr>
          <w:p>
            <w:pPr>
              <w:ind w:left="780"/>
              <w:spacing w:after="0" w:line="194" w:lineRule="exact"/>
              <w:rPr>
                <w:sz w:val="20"/>
                <w:szCs w:val="20"/>
                <w:color w:val="auto"/>
              </w:rPr>
            </w:pPr>
            <w:r>
              <w:rPr>
                <w:rFonts w:ascii="Arial" w:cs="Arial" w:eastAsia="Arial" w:hAnsi="Arial"/>
                <w:sz w:val="17"/>
                <w:szCs w:val="17"/>
                <w:color w:val="auto"/>
              </w:rPr>
              <w:t>units</w:t>
            </w:r>
          </w:p>
        </w:tc>
        <w:tc>
          <w:tcPr>
            <w:tcW w:w="2880" w:type="dxa"/>
            <w:vAlign w:val="bottom"/>
            <w:shd w:val="clear" w:color="auto" w:fill="C0C0C0"/>
          </w:tcPr>
          <w:p>
            <w:pPr>
              <w:ind w:left="200"/>
              <w:spacing w:after="0" w:line="194" w:lineRule="exact"/>
              <w:rPr>
                <w:sz w:val="20"/>
                <w:szCs w:val="20"/>
                <w:color w:val="auto"/>
              </w:rPr>
            </w:pPr>
            <w:r>
              <w:rPr>
                <w:rFonts w:ascii="Arial" w:cs="Arial" w:eastAsia="Arial" w:hAnsi="Arial"/>
                <w:sz w:val="17"/>
                <w:szCs w:val="17"/>
                <w:color w:val="auto"/>
              </w:rPr>
              <w:t>equity compensation awarded to</w:t>
            </w:r>
          </w:p>
        </w:tc>
        <w:tc>
          <w:tcPr>
            <w:tcW w:w="27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The committee’s grant-timing</w:t>
            </w:r>
          </w:p>
        </w:tc>
      </w:tr>
      <w:tr>
        <w:trPr>
          <w:trHeight w:val="194"/>
        </w:trPr>
        <w:tc>
          <w:tcPr>
            <w:tcW w:w="2320" w:type="dxa"/>
            <w:vAlign w:val="bottom"/>
            <w:shd w:val="clear" w:color="auto" w:fill="C0C0C0"/>
          </w:tcPr>
          <w:p>
            <w:pPr>
              <w:spacing w:after="0"/>
              <w:rPr>
                <w:sz w:val="16"/>
                <w:szCs w:val="16"/>
                <w:color w:val="auto"/>
              </w:rPr>
            </w:pPr>
          </w:p>
        </w:tc>
        <w:tc>
          <w:tcPr>
            <w:tcW w:w="3440" w:type="dxa"/>
            <w:vAlign w:val="bottom"/>
            <w:shd w:val="clear" w:color="auto" w:fill="C0C0C0"/>
          </w:tcPr>
          <w:p>
            <w:pPr>
              <w:spacing w:after="0"/>
              <w:rPr>
                <w:sz w:val="16"/>
                <w:szCs w:val="16"/>
                <w:color w:val="auto"/>
              </w:rPr>
            </w:pPr>
          </w:p>
        </w:tc>
        <w:tc>
          <w:tcPr>
            <w:tcW w:w="2880" w:type="dxa"/>
            <w:vAlign w:val="bottom"/>
            <w:shd w:val="clear" w:color="auto" w:fill="C0C0C0"/>
          </w:tcPr>
          <w:p>
            <w:pPr>
              <w:ind w:left="200"/>
              <w:spacing w:after="0" w:line="194" w:lineRule="exact"/>
              <w:rPr>
                <w:sz w:val="20"/>
                <w:szCs w:val="20"/>
                <w:color w:val="auto"/>
              </w:rPr>
            </w:pPr>
            <w:r>
              <w:rPr>
                <w:rFonts w:ascii="Arial" w:cs="Arial" w:eastAsia="Arial" w:hAnsi="Arial"/>
                <w:sz w:val="17"/>
                <w:szCs w:val="17"/>
                <w:color w:val="auto"/>
              </w:rPr>
              <w:t>executives in similar positions at</w:t>
            </w:r>
          </w:p>
        </w:tc>
        <w:tc>
          <w:tcPr>
            <w:tcW w:w="2780" w:type="dxa"/>
            <w:vAlign w:val="bottom"/>
            <w:shd w:val="clear" w:color="auto" w:fill="C0C0C0"/>
          </w:tcPr>
          <w:p>
            <w:pPr>
              <w:ind w:left="160"/>
              <w:spacing w:after="0" w:line="194" w:lineRule="exact"/>
              <w:rPr>
                <w:sz w:val="20"/>
                <w:szCs w:val="20"/>
                <w:color w:val="auto"/>
              </w:rPr>
            </w:pPr>
            <w:r>
              <w:rPr>
                <w:rFonts w:ascii="Arial" w:cs="Arial" w:eastAsia="Arial" w:hAnsi="Arial"/>
                <w:sz w:val="17"/>
                <w:szCs w:val="17"/>
                <w:color w:val="auto"/>
              </w:rPr>
              <w:t>policy is described on page 69.</w:t>
            </w:r>
          </w:p>
        </w:tc>
      </w:tr>
      <w:tr>
        <w:trPr>
          <w:trHeight w:val="191"/>
        </w:trPr>
        <w:tc>
          <w:tcPr>
            <w:tcW w:w="2320" w:type="dxa"/>
            <w:vAlign w:val="bottom"/>
            <w:shd w:val="clear" w:color="auto" w:fill="C0C0C0"/>
          </w:tcPr>
          <w:p>
            <w:pPr>
              <w:spacing w:after="0"/>
              <w:rPr>
                <w:sz w:val="16"/>
                <w:szCs w:val="16"/>
                <w:color w:val="auto"/>
              </w:rPr>
            </w:pPr>
          </w:p>
        </w:tc>
        <w:tc>
          <w:tcPr>
            <w:tcW w:w="3440" w:type="dxa"/>
            <w:vAlign w:val="bottom"/>
            <w:shd w:val="clear" w:color="auto" w:fill="C0C0C0"/>
          </w:tcPr>
          <w:p>
            <w:pPr>
              <w:spacing w:after="0"/>
              <w:rPr>
                <w:sz w:val="16"/>
                <w:szCs w:val="16"/>
                <w:color w:val="auto"/>
              </w:rPr>
            </w:pPr>
          </w:p>
        </w:tc>
        <w:tc>
          <w:tcPr>
            <w:tcW w:w="2880" w:type="dxa"/>
            <w:vAlign w:val="bottom"/>
            <w:shd w:val="clear" w:color="auto" w:fill="C0C0C0"/>
          </w:tcPr>
          <w:p>
            <w:pPr>
              <w:ind w:left="200"/>
              <w:spacing w:after="0" w:line="191" w:lineRule="exact"/>
              <w:rPr>
                <w:sz w:val="20"/>
                <w:szCs w:val="20"/>
                <w:color w:val="auto"/>
              </w:rPr>
            </w:pPr>
            <w:r>
              <w:rPr>
                <w:rFonts w:ascii="Arial" w:cs="Arial" w:eastAsia="Arial" w:hAnsi="Arial"/>
                <w:sz w:val="17"/>
                <w:szCs w:val="17"/>
                <w:color w:val="auto"/>
              </w:rPr>
              <w:t>the Comparator Group.</w:t>
            </w:r>
          </w:p>
        </w:tc>
        <w:tc>
          <w:tcPr>
            <w:tcW w:w="2780" w:type="dxa"/>
            <w:vAlign w:val="bottom"/>
            <w:shd w:val="clear" w:color="auto" w:fill="C0C0C0"/>
          </w:tcPr>
          <w:p>
            <w:pPr>
              <w:spacing w:after="0"/>
              <w:rPr>
                <w:sz w:val="16"/>
                <w:szCs w:val="16"/>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Comparator group</w:t>
      </w:r>
    </w:p>
    <w:p>
      <w:pPr>
        <w:spacing w:after="0" w:line="1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Compensation Committee considers the market level of compensation when setting the salary, bonuses and equity compensation of the executive officers. The Committee targets salary slightly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Comparator Group companies.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6" w:lineRule="exact"/>
        <w:rPr>
          <w:sz w:val="20"/>
          <w:szCs w:val="20"/>
          <w:color w:val="auto"/>
        </w:rPr>
      </w:pPr>
    </w:p>
    <w:p>
      <w:pPr>
        <w:ind w:left="360" w:right="100" w:hanging="356"/>
        <w:spacing w:after="0" w:line="246"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shareholder return” refers to the percentage change in the value of a stockholder’s investment in a company over the relevant time period, as determined by dividends paid and the change in the company’s share price during the period.</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committee sets the Comparator Group annually in June for the next compensation cycle. In general, the selected companies (1) are U.S.-based,</w:t>
      </w:r>
    </w:p>
    <w:p>
      <w:pPr>
        <w:spacing w:after="0" w:line="23" w:lineRule="exact"/>
        <w:rPr>
          <w:sz w:val="20"/>
          <w:szCs w:val="20"/>
          <w:color w:val="auto"/>
        </w:rPr>
      </w:pPr>
    </w:p>
    <w:p>
      <w:pPr>
        <w:ind w:right="740" w:firstLine="4"/>
        <w:spacing w:after="0" w:line="246" w:lineRule="auto"/>
        <w:tabs>
          <w:tab w:leader="none" w:pos="2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engage in the semiconductor business or other electronics or information technology activities, and (3) use forms of executive compensation comparable to TI’s.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 June 2007, the committee set the Comparator Group for compensation decisions to be made in January 2008 (referred to below as the “2008</w:t>
      </w:r>
    </w:p>
    <w:p>
      <w:pPr>
        <w:spacing w:after="0"/>
        <w:rPr>
          <w:sz w:val="20"/>
          <w:szCs w:val="20"/>
          <w:color w:val="auto"/>
        </w:rPr>
      </w:pPr>
      <w:r>
        <w:rPr>
          <w:rFonts w:ascii="Arial" w:cs="Arial" w:eastAsia="Arial" w:hAnsi="Arial"/>
          <w:sz w:val="17"/>
          <w:szCs w:val="17"/>
          <w:color w:val="auto"/>
        </w:rPr>
        <w:t>Comparator Group”). The 2008 Comparator Group consisted of the following 27 companies: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Pr>
          <w:p>
            <w:pPr>
              <w:spacing w:after="0"/>
              <w:rPr>
                <w:sz w:val="20"/>
                <w:szCs w:val="20"/>
                <w:color w:val="auto"/>
              </w:rPr>
            </w:pPr>
            <w:r>
              <w:rPr>
                <w:rFonts w:ascii="Arial" w:cs="Arial" w:eastAsia="Arial" w:hAnsi="Arial"/>
                <w:sz w:val="17"/>
                <w:szCs w:val="17"/>
                <w:color w:val="auto"/>
              </w:rPr>
              <w:t>Advanced Micro Devices, Inc.</w:t>
            </w:r>
          </w:p>
        </w:tc>
        <w:tc>
          <w:tcPr>
            <w:tcW w:w="4260" w:type="dxa"/>
            <w:vAlign w:val="bottom"/>
          </w:tcPr>
          <w:p>
            <w:pPr>
              <w:ind w:left="500"/>
              <w:spacing w:after="0"/>
              <w:rPr>
                <w:sz w:val="20"/>
                <w:szCs w:val="20"/>
                <w:color w:val="auto"/>
              </w:rPr>
            </w:pPr>
            <w:r>
              <w:rPr>
                <w:rFonts w:ascii="Arial" w:cs="Arial" w:eastAsia="Arial" w:hAnsi="Arial"/>
                <w:sz w:val="17"/>
                <w:szCs w:val="17"/>
                <w:color w:val="auto"/>
              </w:rPr>
              <w:t>EMC Corporation</w:t>
            </w:r>
          </w:p>
        </w:tc>
        <w:tc>
          <w:tcPr>
            <w:tcW w:w="3340" w:type="dxa"/>
            <w:vAlign w:val="bottom"/>
          </w:tcPr>
          <w:p>
            <w:pPr>
              <w:ind w:left="620"/>
              <w:spacing w:after="0"/>
              <w:rPr>
                <w:sz w:val="20"/>
                <w:szCs w:val="20"/>
                <w:color w:val="auto"/>
              </w:rPr>
            </w:pPr>
            <w:r>
              <w:rPr>
                <w:rFonts w:ascii="Arial" w:cs="Arial" w:eastAsia="Arial" w:hAnsi="Arial"/>
                <w:sz w:val="17"/>
                <w:szCs w:val="17"/>
                <w:color w:val="auto"/>
              </w:rPr>
              <w:t>Microsoft Corporation</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Altera Corporation</w:t>
            </w:r>
          </w:p>
        </w:tc>
        <w:tc>
          <w:tcPr>
            <w:tcW w:w="4260" w:type="dxa"/>
            <w:vAlign w:val="bottom"/>
          </w:tcPr>
          <w:p>
            <w:pPr>
              <w:ind w:left="500"/>
              <w:spacing w:after="0"/>
              <w:rPr>
                <w:sz w:val="20"/>
                <w:szCs w:val="20"/>
                <w:color w:val="auto"/>
              </w:rPr>
            </w:pPr>
            <w:r>
              <w:rPr>
                <w:rFonts w:ascii="Arial" w:cs="Arial" w:eastAsia="Arial" w:hAnsi="Arial"/>
                <w:sz w:val="17"/>
                <w:szCs w:val="17"/>
                <w:color w:val="auto"/>
              </w:rPr>
              <w:t>Fairchild Semiconductor International, Inc.</w:t>
            </w:r>
          </w:p>
        </w:tc>
        <w:tc>
          <w:tcPr>
            <w:tcW w:w="3340" w:type="dxa"/>
            <w:vAlign w:val="bottom"/>
          </w:tcPr>
          <w:p>
            <w:pPr>
              <w:ind w:left="620"/>
              <w:spacing w:after="0"/>
              <w:rPr>
                <w:sz w:val="20"/>
                <w:szCs w:val="20"/>
                <w:color w:val="auto"/>
              </w:rPr>
            </w:pPr>
            <w:r>
              <w:rPr>
                <w:rFonts w:ascii="Arial" w:cs="Arial" w:eastAsia="Arial" w:hAnsi="Arial"/>
                <w:sz w:val="17"/>
                <w:szCs w:val="17"/>
                <w:color w:val="auto"/>
              </w:rPr>
              <w:t>Motorola, Inc.</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Analog Devices, Inc.</w:t>
            </w:r>
          </w:p>
        </w:tc>
        <w:tc>
          <w:tcPr>
            <w:tcW w:w="4260" w:type="dxa"/>
            <w:vAlign w:val="bottom"/>
          </w:tcPr>
          <w:p>
            <w:pPr>
              <w:ind w:left="500"/>
              <w:spacing w:after="0"/>
              <w:rPr>
                <w:sz w:val="20"/>
                <w:szCs w:val="20"/>
                <w:color w:val="auto"/>
              </w:rPr>
            </w:pPr>
            <w:r>
              <w:rPr>
                <w:rFonts w:ascii="Arial" w:cs="Arial" w:eastAsia="Arial" w:hAnsi="Arial"/>
                <w:sz w:val="17"/>
                <w:szCs w:val="17"/>
                <w:color w:val="auto"/>
              </w:rPr>
              <w:t>Intel Corporation</w:t>
            </w:r>
          </w:p>
        </w:tc>
        <w:tc>
          <w:tcPr>
            <w:tcW w:w="3340" w:type="dxa"/>
            <w:vAlign w:val="bottom"/>
          </w:tcPr>
          <w:p>
            <w:pPr>
              <w:ind w:left="620"/>
              <w:spacing w:after="0"/>
              <w:rPr>
                <w:sz w:val="20"/>
                <w:szCs w:val="20"/>
                <w:color w:val="auto"/>
              </w:rPr>
            </w:pPr>
            <w:r>
              <w:rPr>
                <w:rFonts w:ascii="Arial" w:cs="Arial" w:eastAsia="Arial" w:hAnsi="Arial"/>
                <w:sz w:val="17"/>
                <w:szCs w:val="17"/>
                <w:color w:val="auto"/>
                <w:w w:val="98"/>
              </w:rPr>
              <w:t>National Semiconductor Corporation</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Apple Inc.</w:t>
            </w:r>
          </w:p>
        </w:tc>
        <w:tc>
          <w:tcPr>
            <w:tcW w:w="4260" w:type="dxa"/>
            <w:vAlign w:val="bottom"/>
          </w:tcPr>
          <w:p>
            <w:pPr>
              <w:ind w:left="500"/>
              <w:spacing w:after="0"/>
              <w:rPr>
                <w:sz w:val="20"/>
                <w:szCs w:val="20"/>
                <w:color w:val="auto"/>
              </w:rPr>
            </w:pPr>
            <w:r>
              <w:rPr>
                <w:rFonts w:ascii="Arial" w:cs="Arial" w:eastAsia="Arial" w:hAnsi="Arial"/>
                <w:sz w:val="17"/>
                <w:szCs w:val="17"/>
                <w:color w:val="auto"/>
              </w:rPr>
              <w:t>Intersil Corporation</w:t>
            </w:r>
          </w:p>
        </w:tc>
        <w:tc>
          <w:tcPr>
            <w:tcW w:w="3340" w:type="dxa"/>
            <w:vAlign w:val="bottom"/>
          </w:tcPr>
          <w:p>
            <w:pPr>
              <w:ind w:left="620"/>
              <w:spacing w:after="0"/>
              <w:rPr>
                <w:sz w:val="20"/>
                <w:szCs w:val="20"/>
                <w:color w:val="auto"/>
              </w:rPr>
            </w:pPr>
            <w:r>
              <w:rPr>
                <w:rFonts w:ascii="Arial" w:cs="Arial" w:eastAsia="Arial" w:hAnsi="Arial"/>
                <w:sz w:val="17"/>
                <w:szCs w:val="17"/>
                <w:color w:val="auto"/>
              </w:rPr>
              <w:t>NVIDIA Corporation</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Applied Materials, Inc.</w:t>
            </w:r>
          </w:p>
        </w:tc>
        <w:tc>
          <w:tcPr>
            <w:tcW w:w="4260" w:type="dxa"/>
            <w:vAlign w:val="bottom"/>
          </w:tcPr>
          <w:p>
            <w:pPr>
              <w:ind w:left="500"/>
              <w:spacing w:after="0"/>
              <w:rPr>
                <w:sz w:val="20"/>
                <w:szCs w:val="20"/>
                <w:color w:val="auto"/>
              </w:rPr>
            </w:pPr>
            <w:r>
              <w:rPr>
                <w:rFonts w:ascii="Arial" w:cs="Arial" w:eastAsia="Arial" w:hAnsi="Arial"/>
                <w:sz w:val="17"/>
                <w:szCs w:val="17"/>
                <w:color w:val="auto"/>
              </w:rPr>
              <w:t>Jabil Circuit, Inc.</w:t>
            </w:r>
          </w:p>
        </w:tc>
        <w:tc>
          <w:tcPr>
            <w:tcW w:w="3340" w:type="dxa"/>
            <w:vAlign w:val="bottom"/>
          </w:tcPr>
          <w:p>
            <w:pPr>
              <w:ind w:left="620"/>
              <w:spacing w:after="0"/>
              <w:rPr>
                <w:sz w:val="20"/>
                <w:szCs w:val="20"/>
                <w:color w:val="auto"/>
              </w:rPr>
            </w:pPr>
            <w:r>
              <w:rPr>
                <w:rFonts w:ascii="Arial" w:cs="Arial" w:eastAsia="Arial" w:hAnsi="Arial"/>
                <w:sz w:val="17"/>
                <w:szCs w:val="17"/>
                <w:color w:val="auto"/>
              </w:rPr>
              <w:t>ON Semiconductor Corporation</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Broadcom Corporation</w:t>
            </w:r>
          </w:p>
        </w:tc>
        <w:tc>
          <w:tcPr>
            <w:tcW w:w="4260" w:type="dxa"/>
            <w:vAlign w:val="bottom"/>
          </w:tcPr>
          <w:p>
            <w:pPr>
              <w:ind w:left="500"/>
              <w:spacing w:after="0"/>
              <w:rPr>
                <w:sz w:val="20"/>
                <w:szCs w:val="20"/>
                <w:color w:val="auto"/>
              </w:rPr>
            </w:pPr>
            <w:r>
              <w:rPr>
                <w:rFonts w:ascii="Arial" w:cs="Arial" w:eastAsia="Arial" w:hAnsi="Arial"/>
                <w:sz w:val="17"/>
                <w:szCs w:val="17"/>
                <w:color w:val="auto"/>
              </w:rPr>
              <w:t>Linear Technology Corporation</w:t>
            </w:r>
          </w:p>
        </w:tc>
        <w:tc>
          <w:tcPr>
            <w:tcW w:w="3340" w:type="dxa"/>
            <w:vAlign w:val="bottom"/>
          </w:tcPr>
          <w:p>
            <w:pPr>
              <w:ind w:left="620"/>
              <w:spacing w:after="0"/>
              <w:rPr>
                <w:sz w:val="20"/>
                <w:szCs w:val="20"/>
                <w:color w:val="auto"/>
              </w:rPr>
            </w:pPr>
            <w:r>
              <w:rPr>
                <w:rFonts w:ascii="Arial" w:cs="Arial" w:eastAsia="Arial" w:hAnsi="Arial"/>
                <w:sz w:val="17"/>
                <w:szCs w:val="17"/>
                <w:color w:val="auto"/>
              </w:rPr>
              <w:t>Oracle Corporation</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Cisco Systems, Inc.</w:t>
            </w:r>
          </w:p>
        </w:tc>
        <w:tc>
          <w:tcPr>
            <w:tcW w:w="4260" w:type="dxa"/>
            <w:vAlign w:val="bottom"/>
          </w:tcPr>
          <w:p>
            <w:pPr>
              <w:ind w:left="500"/>
              <w:spacing w:after="0"/>
              <w:rPr>
                <w:sz w:val="20"/>
                <w:szCs w:val="20"/>
                <w:color w:val="auto"/>
              </w:rPr>
            </w:pPr>
            <w:r>
              <w:rPr>
                <w:rFonts w:ascii="Arial" w:cs="Arial" w:eastAsia="Arial" w:hAnsi="Arial"/>
                <w:sz w:val="17"/>
                <w:szCs w:val="17"/>
                <w:color w:val="auto"/>
              </w:rPr>
              <w:t>LSI Logic Corporation</w:t>
            </w:r>
          </w:p>
        </w:tc>
        <w:tc>
          <w:tcPr>
            <w:tcW w:w="3340" w:type="dxa"/>
            <w:vAlign w:val="bottom"/>
          </w:tcPr>
          <w:p>
            <w:pPr>
              <w:ind w:left="620"/>
              <w:spacing w:after="0"/>
              <w:rPr>
                <w:sz w:val="20"/>
                <w:szCs w:val="20"/>
                <w:color w:val="auto"/>
              </w:rPr>
            </w:pPr>
            <w:r>
              <w:rPr>
                <w:rFonts w:ascii="Arial" w:cs="Arial" w:eastAsia="Arial" w:hAnsi="Arial"/>
                <w:sz w:val="17"/>
                <w:szCs w:val="17"/>
                <w:color w:val="auto"/>
              </w:rPr>
              <w:t>QUALCOMM Incorporated</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Conexant Systems, Inc.</w:t>
            </w:r>
          </w:p>
        </w:tc>
        <w:tc>
          <w:tcPr>
            <w:tcW w:w="4260" w:type="dxa"/>
            <w:vAlign w:val="bottom"/>
          </w:tcPr>
          <w:p>
            <w:pPr>
              <w:ind w:left="500"/>
              <w:spacing w:after="0"/>
              <w:rPr>
                <w:sz w:val="20"/>
                <w:szCs w:val="20"/>
                <w:color w:val="auto"/>
              </w:rPr>
            </w:pPr>
            <w:r>
              <w:rPr>
                <w:rFonts w:ascii="Arial" w:cs="Arial" w:eastAsia="Arial" w:hAnsi="Arial"/>
                <w:sz w:val="17"/>
                <w:szCs w:val="17"/>
                <w:color w:val="auto"/>
              </w:rPr>
              <w:t>Maxim Integrated Products, Inc.</w:t>
            </w:r>
          </w:p>
        </w:tc>
        <w:tc>
          <w:tcPr>
            <w:tcW w:w="3340" w:type="dxa"/>
            <w:vAlign w:val="bottom"/>
          </w:tcPr>
          <w:p>
            <w:pPr>
              <w:ind w:left="620"/>
              <w:spacing w:after="0"/>
              <w:rPr>
                <w:sz w:val="20"/>
                <w:szCs w:val="20"/>
                <w:color w:val="auto"/>
              </w:rPr>
            </w:pPr>
            <w:r>
              <w:rPr>
                <w:rFonts w:ascii="Arial" w:cs="Arial" w:eastAsia="Arial" w:hAnsi="Arial"/>
                <w:sz w:val="17"/>
                <w:szCs w:val="17"/>
                <w:color w:val="auto"/>
              </w:rPr>
              <w:t>Seagate Technology</w:t>
            </w:r>
          </w:p>
        </w:tc>
      </w:tr>
      <w:tr>
        <w:trPr>
          <w:trHeight w:val="233"/>
        </w:trPr>
        <w:tc>
          <w:tcPr>
            <w:tcW w:w="2720" w:type="dxa"/>
            <w:vAlign w:val="bottom"/>
          </w:tcPr>
          <w:p>
            <w:pPr>
              <w:spacing w:after="0"/>
              <w:rPr>
                <w:sz w:val="20"/>
                <w:szCs w:val="20"/>
                <w:color w:val="auto"/>
              </w:rPr>
            </w:pPr>
            <w:r>
              <w:rPr>
                <w:rFonts w:ascii="Arial" w:cs="Arial" w:eastAsia="Arial" w:hAnsi="Arial"/>
                <w:sz w:val="17"/>
                <w:szCs w:val="17"/>
                <w:color w:val="auto"/>
              </w:rPr>
              <w:t>Dell Inc.</w:t>
            </w:r>
          </w:p>
        </w:tc>
        <w:tc>
          <w:tcPr>
            <w:tcW w:w="4260" w:type="dxa"/>
            <w:vAlign w:val="bottom"/>
          </w:tcPr>
          <w:p>
            <w:pPr>
              <w:ind w:left="500"/>
              <w:spacing w:after="0"/>
              <w:rPr>
                <w:sz w:val="20"/>
                <w:szCs w:val="20"/>
                <w:color w:val="auto"/>
              </w:rPr>
            </w:pPr>
            <w:r>
              <w:rPr>
                <w:rFonts w:ascii="Arial" w:cs="Arial" w:eastAsia="Arial" w:hAnsi="Arial"/>
                <w:sz w:val="17"/>
                <w:szCs w:val="17"/>
                <w:color w:val="auto"/>
              </w:rPr>
              <w:t>Microchip Technology Incorporated</w:t>
            </w:r>
          </w:p>
        </w:tc>
        <w:tc>
          <w:tcPr>
            <w:tcW w:w="3340" w:type="dxa"/>
            <w:vAlign w:val="bottom"/>
          </w:tcPr>
          <w:p>
            <w:pPr>
              <w:ind w:left="620"/>
              <w:spacing w:after="0"/>
              <w:rPr>
                <w:sz w:val="20"/>
                <w:szCs w:val="20"/>
                <w:color w:val="auto"/>
              </w:rPr>
            </w:pPr>
            <w:r>
              <w:rPr>
                <w:rFonts w:ascii="Arial" w:cs="Arial" w:eastAsia="Arial" w:hAnsi="Arial"/>
                <w:sz w:val="17"/>
                <w:szCs w:val="17"/>
                <w:color w:val="auto"/>
              </w:rPr>
              <w:t>Xilinx, Inc.</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committee used the 2008 Comparator Group for the base salary and equity compensation decisions made in January 2008.</w:t>
      </w:r>
    </w:p>
    <w:p>
      <w:pPr>
        <w:spacing w:after="0" w:line="25" w:lineRule="exact"/>
        <w:rPr>
          <w:sz w:val="20"/>
          <w:szCs w:val="20"/>
          <w:color w:val="auto"/>
        </w:rPr>
      </w:pPr>
    </w:p>
    <w:p>
      <w:pPr>
        <w:ind w:right="80" w:firstLine="259"/>
        <w:spacing w:after="0" w:line="250" w:lineRule="auto"/>
        <w:rPr>
          <w:sz w:val="20"/>
          <w:szCs w:val="20"/>
          <w:color w:val="auto"/>
        </w:rPr>
      </w:pPr>
      <w:r>
        <w:rPr>
          <w:rFonts w:ascii="Arial" w:cs="Arial" w:eastAsia="Arial" w:hAnsi="Arial"/>
          <w:sz w:val="17"/>
          <w:szCs w:val="17"/>
          <w:color w:val="auto"/>
        </w:rPr>
        <w:t>On the advice of its compensation consultant, the committee decided that the revenue range of the Comparator Group should more closely align with that of TI. Accordingly, the committee approved the following Comparator Group in June 2008 for use in the compensation decisions to be made in January 2009 (the “2009 Comparator Group”):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0" w:type="dxa"/>
            <w:vAlign w:val="bottom"/>
          </w:tcPr>
          <w:p>
            <w:pPr>
              <w:spacing w:after="0"/>
              <w:rPr>
                <w:sz w:val="20"/>
                <w:szCs w:val="20"/>
                <w:color w:val="auto"/>
              </w:rPr>
            </w:pPr>
            <w:r>
              <w:rPr>
                <w:rFonts w:ascii="Arial" w:cs="Arial" w:eastAsia="Arial" w:hAnsi="Arial"/>
                <w:sz w:val="17"/>
                <w:szCs w:val="17"/>
                <w:color w:val="auto"/>
              </w:rPr>
              <w:t>Analog Devices, Inc.</w:t>
            </w:r>
          </w:p>
        </w:tc>
        <w:tc>
          <w:tcPr>
            <w:tcW w:w="3600" w:type="dxa"/>
            <w:vAlign w:val="bottom"/>
          </w:tcPr>
          <w:p>
            <w:pPr>
              <w:ind w:left="420"/>
              <w:spacing w:after="0"/>
              <w:rPr>
                <w:sz w:val="20"/>
                <w:szCs w:val="20"/>
                <w:color w:val="auto"/>
              </w:rPr>
            </w:pPr>
            <w:r>
              <w:rPr>
                <w:rFonts w:ascii="Arial" w:cs="Arial" w:eastAsia="Arial" w:hAnsi="Arial"/>
                <w:sz w:val="17"/>
                <w:szCs w:val="17"/>
                <w:color w:val="auto"/>
              </w:rPr>
              <w:t>Emerson Electric Co.</w:t>
            </w:r>
          </w:p>
        </w:tc>
        <w:tc>
          <w:tcPr>
            <w:tcW w:w="3260" w:type="dxa"/>
            <w:vAlign w:val="bottom"/>
          </w:tcPr>
          <w:p>
            <w:pPr>
              <w:ind w:left="1200"/>
              <w:spacing w:after="0"/>
              <w:rPr>
                <w:sz w:val="20"/>
                <w:szCs w:val="20"/>
                <w:color w:val="auto"/>
              </w:rPr>
            </w:pPr>
            <w:r>
              <w:rPr>
                <w:rFonts w:ascii="Arial" w:cs="Arial" w:eastAsia="Arial" w:hAnsi="Arial"/>
                <w:sz w:val="17"/>
                <w:szCs w:val="17"/>
                <w:color w:val="auto"/>
              </w:rPr>
              <w:t>Seagate Technology</w:t>
            </w:r>
          </w:p>
        </w:tc>
      </w:tr>
      <w:tr>
        <w:trPr>
          <w:trHeight w:val="233"/>
        </w:trPr>
        <w:tc>
          <w:tcPr>
            <w:tcW w:w="2800" w:type="dxa"/>
            <w:vAlign w:val="bottom"/>
          </w:tcPr>
          <w:p>
            <w:pPr>
              <w:spacing w:after="0"/>
              <w:rPr>
                <w:sz w:val="20"/>
                <w:szCs w:val="20"/>
                <w:color w:val="auto"/>
              </w:rPr>
            </w:pPr>
            <w:r>
              <w:rPr>
                <w:rFonts w:ascii="Arial" w:cs="Arial" w:eastAsia="Arial" w:hAnsi="Arial"/>
                <w:sz w:val="17"/>
                <w:szCs w:val="17"/>
                <w:color w:val="auto"/>
              </w:rPr>
              <w:t>Apple Inc.</w:t>
            </w:r>
          </w:p>
        </w:tc>
        <w:tc>
          <w:tcPr>
            <w:tcW w:w="3600" w:type="dxa"/>
            <w:vAlign w:val="bottom"/>
          </w:tcPr>
          <w:p>
            <w:pPr>
              <w:ind w:left="420"/>
              <w:spacing w:after="0"/>
              <w:rPr>
                <w:sz w:val="20"/>
                <w:szCs w:val="20"/>
                <w:color w:val="auto"/>
              </w:rPr>
            </w:pPr>
            <w:r>
              <w:rPr>
                <w:rFonts w:ascii="Arial" w:cs="Arial" w:eastAsia="Arial" w:hAnsi="Arial"/>
                <w:sz w:val="17"/>
                <w:szCs w:val="17"/>
                <w:color w:val="auto"/>
              </w:rPr>
              <w:t>Google Inc.</w:t>
            </w:r>
          </w:p>
        </w:tc>
        <w:tc>
          <w:tcPr>
            <w:tcW w:w="3260" w:type="dxa"/>
            <w:vAlign w:val="bottom"/>
          </w:tcPr>
          <w:p>
            <w:pPr>
              <w:ind w:left="1200"/>
              <w:spacing w:after="0"/>
              <w:rPr>
                <w:sz w:val="20"/>
                <w:szCs w:val="20"/>
                <w:color w:val="auto"/>
              </w:rPr>
            </w:pPr>
            <w:r>
              <w:rPr>
                <w:rFonts w:ascii="Arial" w:cs="Arial" w:eastAsia="Arial" w:hAnsi="Arial"/>
                <w:sz w:val="17"/>
                <w:szCs w:val="17"/>
                <w:color w:val="auto"/>
              </w:rPr>
              <w:t>Sun Microsystems, Inc.</w:t>
            </w:r>
          </w:p>
        </w:tc>
      </w:tr>
      <w:tr>
        <w:trPr>
          <w:trHeight w:val="233"/>
        </w:trPr>
        <w:tc>
          <w:tcPr>
            <w:tcW w:w="2800" w:type="dxa"/>
            <w:vAlign w:val="bottom"/>
          </w:tcPr>
          <w:p>
            <w:pPr>
              <w:spacing w:after="0"/>
              <w:rPr>
                <w:sz w:val="20"/>
                <w:szCs w:val="20"/>
                <w:color w:val="auto"/>
              </w:rPr>
            </w:pPr>
            <w:r>
              <w:rPr>
                <w:rFonts w:ascii="Arial" w:cs="Arial" w:eastAsia="Arial" w:hAnsi="Arial"/>
                <w:sz w:val="17"/>
                <w:szCs w:val="17"/>
                <w:color w:val="auto"/>
              </w:rPr>
              <w:t>Applied Materials, Inc.</w:t>
            </w:r>
          </w:p>
        </w:tc>
        <w:tc>
          <w:tcPr>
            <w:tcW w:w="3600" w:type="dxa"/>
            <w:vAlign w:val="bottom"/>
          </w:tcPr>
          <w:p>
            <w:pPr>
              <w:ind w:left="420"/>
              <w:spacing w:after="0"/>
              <w:rPr>
                <w:sz w:val="20"/>
                <w:szCs w:val="20"/>
                <w:color w:val="auto"/>
              </w:rPr>
            </w:pPr>
            <w:r>
              <w:rPr>
                <w:rFonts w:ascii="Arial" w:cs="Arial" w:eastAsia="Arial" w:hAnsi="Arial"/>
                <w:sz w:val="17"/>
                <w:szCs w:val="17"/>
                <w:color w:val="auto"/>
              </w:rPr>
              <w:t>Intel Corporation</w:t>
            </w:r>
          </w:p>
        </w:tc>
        <w:tc>
          <w:tcPr>
            <w:tcW w:w="3260" w:type="dxa"/>
            <w:vAlign w:val="bottom"/>
          </w:tcPr>
          <w:p>
            <w:pPr>
              <w:ind w:left="1200"/>
              <w:spacing w:after="0"/>
              <w:rPr>
                <w:sz w:val="20"/>
                <w:szCs w:val="20"/>
                <w:color w:val="auto"/>
              </w:rPr>
            </w:pPr>
            <w:r>
              <w:rPr>
                <w:rFonts w:ascii="Arial" w:cs="Arial" w:eastAsia="Arial" w:hAnsi="Arial"/>
                <w:sz w:val="17"/>
                <w:szCs w:val="17"/>
                <w:color w:val="auto"/>
              </w:rPr>
              <w:t>Tyco Electronics Ltd.</w:t>
            </w:r>
          </w:p>
        </w:tc>
      </w:tr>
      <w:tr>
        <w:trPr>
          <w:trHeight w:val="233"/>
        </w:trPr>
        <w:tc>
          <w:tcPr>
            <w:tcW w:w="2800" w:type="dxa"/>
            <w:vAlign w:val="bottom"/>
          </w:tcPr>
          <w:p>
            <w:pPr>
              <w:spacing w:after="0"/>
              <w:rPr>
                <w:sz w:val="20"/>
                <w:szCs w:val="20"/>
                <w:color w:val="auto"/>
              </w:rPr>
            </w:pPr>
            <w:r>
              <w:rPr>
                <w:rFonts w:ascii="Arial" w:cs="Arial" w:eastAsia="Arial" w:hAnsi="Arial"/>
                <w:sz w:val="17"/>
                <w:szCs w:val="17"/>
                <w:color w:val="auto"/>
              </w:rPr>
              <w:t>Cisco Systems, Inc.</w:t>
            </w:r>
          </w:p>
        </w:tc>
        <w:tc>
          <w:tcPr>
            <w:tcW w:w="3600" w:type="dxa"/>
            <w:vAlign w:val="bottom"/>
          </w:tcPr>
          <w:p>
            <w:pPr>
              <w:ind w:left="420"/>
              <w:spacing w:after="0"/>
              <w:rPr>
                <w:sz w:val="20"/>
                <w:szCs w:val="20"/>
                <w:color w:val="auto"/>
              </w:rPr>
            </w:pPr>
            <w:r>
              <w:rPr>
                <w:rFonts w:ascii="Arial" w:cs="Arial" w:eastAsia="Arial" w:hAnsi="Arial"/>
                <w:sz w:val="17"/>
                <w:szCs w:val="17"/>
                <w:color w:val="auto"/>
              </w:rPr>
              <w:t>Motorola, Inc.</w:t>
            </w:r>
          </w:p>
        </w:tc>
        <w:tc>
          <w:tcPr>
            <w:tcW w:w="3260" w:type="dxa"/>
            <w:vAlign w:val="bottom"/>
          </w:tcPr>
          <w:p>
            <w:pPr>
              <w:ind w:left="1200"/>
              <w:spacing w:after="0"/>
              <w:rPr>
                <w:sz w:val="20"/>
                <w:szCs w:val="20"/>
                <w:color w:val="auto"/>
              </w:rPr>
            </w:pPr>
            <w:r>
              <w:rPr>
                <w:rFonts w:ascii="Arial" w:cs="Arial" w:eastAsia="Arial" w:hAnsi="Arial"/>
                <w:sz w:val="17"/>
                <w:szCs w:val="17"/>
                <w:color w:val="auto"/>
              </w:rPr>
              <w:t>Yahoo! Inc.</w:t>
            </w:r>
          </w:p>
        </w:tc>
      </w:tr>
      <w:tr>
        <w:trPr>
          <w:trHeight w:val="233"/>
        </w:trPr>
        <w:tc>
          <w:tcPr>
            <w:tcW w:w="2800" w:type="dxa"/>
            <w:vAlign w:val="bottom"/>
          </w:tcPr>
          <w:p>
            <w:pPr>
              <w:spacing w:after="0"/>
              <w:rPr>
                <w:sz w:val="20"/>
                <w:szCs w:val="20"/>
                <w:color w:val="auto"/>
              </w:rPr>
            </w:pPr>
            <w:r>
              <w:rPr>
                <w:rFonts w:ascii="Arial" w:cs="Arial" w:eastAsia="Arial" w:hAnsi="Arial"/>
                <w:sz w:val="17"/>
                <w:szCs w:val="17"/>
                <w:color w:val="auto"/>
              </w:rPr>
              <w:t>Computer Sciences Corporation</w:t>
            </w:r>
          </w:p>
        </w:tc>
        <w:tc>
          <w:tcPr>
            <w:tcW w:w="3600" w:type="dxa"/>
            <w:vAlign w:val="bottom"/>
          </w:tcPr>
          <w:p>
            <w:pPr>
              <w:ind w:left="420"/>
              <w:spacing w:after="0"/>
              <w:rPr>
                <w:sz w:val="20"/>
                <w:szCs w:val="20"/>
                <w:color w:val="auto"/>
              </w:rPr>
            </w:pPr>
            <w:r>
              <w:rPr>
                <w:rFonts w:ascii="Arial" w:cs="Arial" w:eastAsia="Arial" w:hAnsi="Arial"/>
                <w:sz w:val="17"/>
                <w:szCs w:val="17"/>
                <w:color w:val="auto"/>
              </w:rPr>
              <w:t>NVIDIA Corporation</w:t>
            </w:r>
          </w:p>
        </w:tc>
        <w:tc>
          <w:tcPr>
            <w:tcW w:w="3260" w:type="dxa"/>
            <w:vAlign w:val="bottom"/>
          </w:tcPr>
          <w:p>
            <w:pPr>
              <w:ind w:left="1200"/>
              <w:spacing w:after="0"/>
              <w:rPr>
                <w:sz w:val="20"/>
                <w:szCs w:val="20"/>
                <w:color w:val="auto"/>
              </w:rPr>
            </w:pPr>
            <w:r>
              <w:rPr>
                <w:rFonts w:ascii="Arial" w:cs="Arial" w:eastAsia="Arial" w:hAnsi="Arial"/>
                <w:sz w:val="17"/>
                <w:szCs w:val="17"/>
                <w:color w:val="auto"/>
                <w:w w:val="97"/>
              </w:rPr>
              <w:t>Western Digital Corporation</w:t>
            </w:r>
          </w:p>
        </w:tc>
      </w:tr>
      <w:tr>
        <w:trPr>
          <w:trHeight w:val="233"/>
        </w:trPr>
        <w:tc>
          <w:tcPr>
            <w:tcW w:w="2800" w:type="dxa"/>
            <w:vAlign w:val="bottom"/>
          </w:tcPr>
          <w:p>
            <w:pPr>
              <w:spacing w:after="0"/>
              <w:rPr>
                <w:sz w:val="20"/>
                <w:szCs w:val="20"/>
                <w:color w:val="auto"/>
              </w:rPr>
            </w:pPr>
            <w:r>
              <w:rPr>
                <w:rFonts w:ascii="Arial" w:cs="Arial" w:eastAsia="Arial" w:hAnsi="Arial"/>
                <w:sz w:val="17"/>
                <w:szCs w:val="17"/>
                <w:color w:val="auto"/>
              </w:rPr>
              <w:t>eBay Inc.</w:t>
            </w:r>
          </w:p>
        </w:tc>
        <w:tc>
          <w:tcPr>
            <w:tcW w:w="3600" w:type="dxa"/>
            <w:vAlign w:val="bottom"/>
          </w:tcPr>
          <w:p>
            <w:pPr>
              <w:ind w:left="420"/>
              <w:spacing w:after="0"/>
              <w:rPr>
                <w:sz w:val="20"/>
                <w:szCs w:val="20"/>
                <w:color w:val="auto"/>
              </w:rPr>
            </w:pPr>
            <w:r>
              <w:rPr>
                <w:rFonts w:ascii="Arial" w:cs="Arial" w:eastAsia="Arial" w:hAnsi="Arial"/>
                <w:sz w:val="17"/>
                <w:szCs w:val="17"/>
                <w:color w:val="auto"/>
              </w:rPr>
              <w:t>Oracle Corporation</w:t>
            </w:r>
          </w:p>
        </w:tc>
        <w:tc>
          <w:tcPr>
            <w:tcW w:w="3260" w:type="dxa"/>
            <w:vAlign w:val="bottom"/>
          </w:tcPr>
          <w:p>
            <w:pPr>
              <w:ind w:left="1200"/>
              <w:spacing w:after="0"/>
              <w:rPr>
                <w:sz w:val="20"/>
                <w:szCs w:val="20"/>
                <w:color w:val="auto"/>
              </w:rPr>
            </w:pPr>
            <w:r>
              <w:rPr>
                <w:rFonts w:ascii="Arial" w:cs="Arial" w:eastAsia="Arial" w:hAnsi="Arial"/>
                <w:sz w:val="17"/>
                <w:szCs w:val="17"/>
                <w:color w:val="auto"/>
              </w:rPr>
              <w:t>Xerox Corporation</w:t>
            </w:r>
          </w:p>
        </w:tc>
      </w:tr>
      <w:tr>
        <w:trPr>
          <w:trHeight w:val="233"/>
        </w:trPr>
        <w:tc>
          <w:tcPr>
            <w:tcW w:w="2800" w:type="dxa"/>
            <w:vAlign w:val="bottom"/>
          </w:tcPr>
          <w:p>
            <w:pPr>
              <w:spacing w:after="0"/>
              <w:rPr>
                <w:sz w:val="20"/>
                <w:szCs w:val="20"/>
                <w:color w:val="auto"/>
              </w:rPr>
            </w:pPr>
            <w:r>
              <w:rPr>
                <w:rFonts w:ascii="Arial" w:cs="Arial" w:eastAsia="Arial" w:hAnsi="Arial"/>
                <w:sz w:val="17"/>
                <w:szCs w:val="17"/>
                <w:color w:val="auto"/>
              </w:rPr>
              <w:t>EMC Corporation</w:t>
            </w:r>
          </w:p>
        </w:tc>
        <w:tc>
          <w:tcPr>
            <w:tcW w:w="3600" w:type="dxa"/>
            <w:vAlign w:val="bottom"/>
          </w:tcPr>
          <w:p>
            <w:pPr>
              <w:ind w:left="420"/>
              <w:spacing w:after="0"/>
              <w:rPr>
                <w:sz w:val="20"/>
                <w:szCs w:val="20"/>
                <w:color w:val="auto"/>
              </w:rPr>
            </w:pPr>
            <w:r>
              <w:rPr>
                <w:rFonts w:ascii="Arial" w:cs="Arial" w:eastAsia="Arial" w:hAnsi="Arial"/>
                <w:sz w:val="17"/>
                <w:szCs w:val="17"/>
                <w:color w:val="auto"/>
              </w:rPr>
              <w:t>QUALCOMM Incorporated</w:t>
            </w:r>
          </w:p>
        </w:tc>
        <w:tc>
          <w:tcPr>
            <w:tcW w:w="326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Eleven of the 20 companies in 2009 Comparator Group were in the 2008 Comparator Group. The two largest companies in terms of revenue in the 2008 Comparator Group, each of which had revenue of approximately four times TI’s, were dropped from the Comparator Group, as were thirteen companies that had significantly less revenue than TI. The median revenue and market capitalization of the 2009 Comparator Group was approximately equivalent to TI’s. The revenue range of the 2009 Comparator Group was significantly narrower (generally between 1/3 and 3 times TI revenue) than the 2008 Comparator Group.</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In January 2009, the committee considered 2009 Comparator Group data when setting bonuses for 2008 performance.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compensation determinations for 2008</w:t>
      </w:r>
    </w:p>
    <w:p>
      <w:pPr>
        <w:spacing w:after="0" w:line="19" w:lineRule="exact"/>
        <w:rPr>
          <w:sz w:val="20"/>
          <w:szCs w:val="20"/>
          <w:color w:val="auto"/>
        </w:rPr>
      </w:pPr>
    </w:p>
    <w:p>
      <w:pPr>
        <w:ind w:right="420"/>
        <w:spacing w:after="0" w:line="277" w:lineRule="auto"/>
        <w:rPr>
          <w:sz w:val="20"/>
          <w:szCs w:val="20"/>
          <w:color w:val="auto"/>
        </w:rPr>
      </w:pPr>
      <w:r>
        <w:rPr>
          <w:rFonts w:ascii="Arial" w:cs="Arial" w:eastAsia="Arial" w:hAnsi="Arial"/>
          <w:sz w:val="16"/>
          <w:szCs w:val="16"/>
          <w:color w:val="auto"/>
        </w:rPr>
        <w:t>In setting compensation, the committee applied the same policies to all named executive officers. The committee determined each named executive officer’s compensation separately, without using any formula to set one officer’s compensation at a higher or lower level than another officer’s.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7"/>
          <w:szCs w:val="17"/>
          <w:u w:val="single" w:color="auto"/>
          <w:color w:val="auto"/>
        </w:rPr>
        <w:t>Total compensation</w:t>
      </w:r>
      <w:r>
        <w:rPr>
          <w:rFonts w:ascii="Arial" w:cs="Arial" w:eastAsia="Arial" w:hAnsi="Arial"/>
          <w:sz w:val="17"/>
          <w:szCs w:val="17"/>
          <w:color w:val="auto"/>
        </w:rPr>
        <w:t xml:space="preserve"> – Before finalizing the compensation of the executive officers, the committee performed a “tally sheet” review, i.e., a review covering all elements of compensation. The review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“tally sheet” data, the committee did not target a specific level of total compensation or use a formula to allocate compensation among the various elements. Instead, it discussed the data with its compensation consultant and used its judgment in assessing whether the total was consistent with the objectives of the program. Based on this review, the committee determined that the level of compensation was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6" w:lineRule="exact"/>
        <w:rPr>
          <w:sz w:val="20"/>
          <w:szCs w:val="20"/>
          <w:color w:val="auto"/>
        </w:rPr>
      </w:pPr>
    </w:p>
    <w:p>
      <w:pPr>
        <w:ind w:left="360" w:right="220" w:hanging="356"/>
        <w:spacing w:after="0" w:line="242"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statements in this paragraph about revenue and market capitalization reflect the information available to the committee when it made its June 2008 decision. Comparator Group and TI revenue is for the four completed fiscal quarters before June 2008. Market capitalization is as of April 2008.</w:t>
      </w:r>
    </w:p>
    <w:p>
      <w:pPr>
        <w:sectPr>
          <w:pgSz w:w="11900" w:h="16838" w:orient="portrait"/>
          <w:cols w:equalWidth="0" w:num="1">
            <w:col w:w="11420"/>
          </w:cols>
          <w:pgMar w:left="240" w:top="140" w:right="239" w:bottom="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[ 64 ]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3290" cy="17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3290" cy="1778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11" w:name="page12"/>
    <w:bookmarkEnd w:id="11"/>
    <w:p>
      <w:pPr>
        <w:spacing w:after="0" w:line="10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 In January 2008, the committee set the base salary of each named executive officer for 2008. In keeping with its strategy, the committee targeted base salary for the named executive officers below the estimated median level of salaries that will be paid to similarly situated executives of the Comparator Group of companies in 2008. As a result of the committee’s decisions, the 2008 rate of base salary for the officers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4800" w:type="dxa"/>
            <w:vAlign w:val="bottom"/>
          </w:tcPr>
          <w:p>
            <w:pPr>
              <w:jc w:val="center"/>
              <w:ind w:left="3339"/>
              <w:spacing w:after="0"/>
              <w:rPr>
                <w:sz w:val="20"/>
                <w:szCs w:val="20"/>
                <w:color w:val="auto"/>
              </w:rPr>
            </w:pPr>
            <w:r>
              <w:rPr>
                <w:rFonts w:ascii="Arial" w:cs="Arial" w:eastAsia="Arial" w:hAnsi="Arial"/>
                <w:sz w:val="13"/>
                <w:szCs w:val="13"/>
                <w:b w:val="1"/>
                <w:bCs w:val="1"/>
                <w:color w:val="auto"/>
              </w:rPr>
              <w:t>2008 Annual Rate*</w:t>
            </w:r>
          </w:p>
        </w:tc>
        <w:tc>
          <w:tcPr>
            <w:tcW w:w="2040" w:type="dxa"/>
            <w:vAlign w:val="bottom"/>
            <w:gridSpan w:val="2"/>
          </w:tcPr>
          <w:p>
            <w:pPr>
              <w:jc w:val="center"/>
              <w:ind w:left="39"/>
              <w:spacing w:after="0"/>
              <w:rPr>
                <w:sz w:val="20"/>
                <w:szCs w:val="20"/>
                <w:color w:val="auto"/>
              </w:rPr>
            </w:pPr>
            <w:r>
              <w:rPr>
                <w:rFonts w:ascii="Arial" w:cs="Arial" w:eastAsia="Arial" w:hAnsi="Arial"/>
                <w:sz w:val="13"/>
                <w:szCs w:val="13"/>
                <w:b w:val="1"/>
                <w:bCs w:val="1"/>
                <w:color w:val="auto"/>
                <w:w w:val="99"/>
              </w:rPr>
              <w:t>Change from 2007 Annual Rate</w:t>
            </w:r>
          </w:p>
        </w:tc>
      </w:tr>
      <w:tr>
        <w:trPr>
          <w:trHeight w:val="233"/>
        </w:trPr>
        <w:tc>
          <w:tcPr>
            <w:tcW w:w="460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202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4600" w:type="dxa"/>
            <w:vAlign w:val="bottom"/>
            <w:shd w:val="clear" w:color="auto" w:fill="C0C0C0"/>
          </w:tcPr>
          <w:p>
            <w:pPr>
              <w:spacing w:after="0"/>
              <w:rPr>
                <w:sz w:val="20"/>
                <w:szCs w:val="20"/>
                <w:color w:val="auto"/>
              </w:rPr>
            </w:pPr>
            <w:r>
              <w:rPr>
                <w:rFonts w:ascii="Arial" w:cs="Arial" w:eastAsia="Arial" w:hAnsi="Arial"/>
                <w:sz w:val="17"/>
                <w:szCs w:val="17"/>
                <w:color w:val="auto"/>
              </w:rPr>
              <w:t>Mr. Templeton</w:t>
            </w:r>
          </w:p>
        </w:tc>
        <w:tc>
          <w:tcPr>
            <w:tcW w:w="4800" w:type="dxa"/>
            <w:vAlign w:val="bottom"/>
            <w:shd w:val="clear" w:color="auto" w:fill="C0C0C0"/>
          </w:tcPr>
          <w:p>
            <w:pPr>
              <w:jc w:val="center"/>
              <w:ind w:left="3319"/>
              <w:spacing w:after="0"/>
              <w:rPr>
                <w:sz w:val="20"/>
                <w:szCs w:val="20"/>
                <w:color w:val="auto"/>
              </w:rPr>
            </w:pPr>
            <w:r>
              <w:rPr>
                <w:rFonts w:ascii="Arial" w:cs="Arial" w:eastAsia="Arial" w:hAnsi="Arial"/>
                <w:sz w:val="17"/>
                <w:szCs w:val="17"/>
                <w:color w:val="auto"/>
              </w:rPr>
              <w:t>$ 963,120</w:t>
            </w:r>
          </w:p>
        </w:tc>
        <w:tc>
          <w:tcPr>
            <w:tcW w:w="2020" w:type="dxa"/>
            <w:vAlign w:val="bottom"/>
            <w:shd w:val="clear" w:color="auto" w:fill="C0C0C0"/>
          </w:tcPr>
          <w:p>
            <w:pPr>
              <w:jc w:val="center"/>
              <w:ind w:left="59"/>
              <w:spacing w:after="0"/>
              <w:rPr>
                <w:sz w:val="20"/>
                <w:szCs w:val="20"/>
                <w:color w:val="auto"/>
              </w:rPr>
            </w:pPr>
            <w:r>
              <w:rPr>
                <w:rFonts w:ascii="Arial" w:cs="Arial" w:eastAsia="Arial" w:hAnsi="Arial"/>
                <w:sz w:val="17"/>
                <w:szCs w:val="17"/>
                <w:color w:val="auto"/>
                <w:w w:val="98"/>
              </w:rPr>
              <w:t>+3.0%</w:t>
            </w:r>
          </w:p>
        </w:tc>
        <w:tc>
          <w:tcPr>
            <w:tcW w:w="20" w:type="dxa"/>
            <w:vAlign w:val="bottom"/>
          </w:tcPr>
          <w:p>
            <w:pPr>
              <w:spacing w:after="0"/>
              <w:rPr>
                <w:sz w:val="20"/>
                <w:szCs w:val="20"/>
                <w:color w:val="auto"/>
              </w:rPr>
            </w:pPr>
          </w:p>
        </w:tc>
      </w:tr>
      <w:tr>
        <w:trPr>
          <w:trHeight w:val="233"/>
        </w:trPr>
        <w:tc>
          <w:tcPr>
            <w:tcW w:w="4600" w:type="dxa"/>
            <w:vAlign w:val="bottom"/>
          </w:tcPr>
          <w:p>
            <w:pPr>
              <w:spacing w:after="0"/>
              <w:rPr>
                <w:sz w:val="20"/>
                <w:szCs w:val="20"/>
                <w:color w:val="auto"/>
              </w:rPr>
            </w:pPr>
            <w:r>
              <w:rPr>
                <w:rFonts w:ascii="Arial" w:cs="Arial" w:eastAsia="Arial" w:hAnsi="Arial"/>
                <w:sz w:val="17"/>
                <w:szCs w:val="17"/>
                <w:color w:val="auto"/>
              </w:rPr>
              <w:t>Mr. March</w:t>
            </w:r>
          </w:p>
        </w:tc>
        <w:tc>
          <w:tcPr>
            <w:tcW w:w="4800" w:type="dxa"/>
            <w:vAlign w:val="bottom"/>
          </w:tcPr>
          <w:p>
            <w:pPr>
              <w:jc w:val="center"/>
              <w:ind w:left="3319"/>
              <w:spacing w:after="0"/>
              <w:rPr>
                <w:sz w:val="20"/>
                <w:szCs w:val="20"/>
                <w:color w:val="auto"/>
              </w:rPr>
            </w:pPr>
            <w:r>
              <w:rPr>
                <w:rFonts w:ascii="Arial" w:cs="Arial" w:eastAsia="Arial" w:hAnsi="Arial"/>
                <w:sz w:val="17"/>
                <w:szCs w:val="17"/>
                <w:color w:val="auto"/>
              </w:rPr>
              <w:t>$ 465,000</w:t>
            </w:r>
          </w:p>
        </w:tc>
        <w:tc>
          <w:tcPr>
            <w:tcW w:w="2020" w:type="dxa"/>
            <w:vAlign w:val="bottom"/>
          </w:tcPr>
          <w:p>
            <w:pPr>
              <w:jc w:val="center"/>
              <w:ind w:left="59"/>
              <w:spacing w:after="0"/>
              <w:rPr>
                <w:sz w:val="20"/>
                <w:szCs w:val="20"/>
                <w:color w:val="auto"/>
              </w:rPr>
            </w:pPr>
            <w:r>
              <w:rPr>
                <w:rFonts w:ascii="Arial" w:cs="Arial" w:eastAsia="Arial" w:hAnsi="Arial"/>
                <w:sz w:val="17"/>
                <w:szCs w:val="17"/>
                <w:color w:val="auto"/>
                <w:w w:val="98"/>
              </w:rPr>
              <w:t>+6.9%</w:t>
            </w:r>
          </w:p>
        </w:tc>
        <w:tc>
          <w:tcPr>
            <w:tcW w:w="20" w:type="dxa"/>
            <w:vAlign w:val="bottom"/>
          </w:tcPr>
          <w:p>
            <w:pPr>
              <w:spacing w:after="0"/>
              <w:rPr>
                <w:sz w:val="20"/>
                <w:szCs w:val="20"/>
                <w:color w:val="auto"/>
              </w:rPr>
            </w:pPr>
          </w:p>
        </w:tc>
      </w:tr>
      <w:tr>
        <w:trPr>
          <w:trHeight w:val="233"/>
        </w:trPr>
        <w:tc>
          <w:tcPr>
            <w:tcW w:w="4600" w:type="dxa"/>
            <w:vAlign w:val="bottom"/>
            <w:shd w:val="clear" w:color="auto" w:fill="C0C0C0"/>
          </w:tcPr>
          <w:p>
            <w:pPr>
              <w:spacing w:after="0"/>
              <w:rPr>
                <w:sz w:val="20"/>
                <w:szCs w:val="20"/>
                <w:color w:val="auto"/>
              </w:rPr>
            </w:pPr>
            <w:r>
              <w:rPr>
                <w:rFonts w:ascii="Arial" w:cs="Arial" w:eastAsia="Arial" w:hAnsi="Arial"/>
                <w:sz w:val="17"/>
                <w:szCs w:val="17"/>
                <w:color w:val="auto"/>
              </w:rPr>
              <w:t>Mr. Lowe</w:t>
            </w:r>
          </w:p>
        </w:tc>
        <w:tc>
          <w:tcPr>
            <w:tcW w:w="4800" w:type="dxa"/>
            <w:vAlign w:val="bottom"/>
            <w:shd w:val="clear" w:color="auto" w:fill="C0C0C0"/>
          </w:tcPr>
          <w:p>
            <w:pPr>
              <w:jc w:val="center"/>
              <w:ind w:left="3319"/>
              <w:spacing w:after="0"/>
              <w:rPr>
                <w:sz w:val="20"/>
                <w:szCs w:val="20"/>
                <w:color w:val="auto"/>
              </w:rPr>
            </w:pPr>
            <w:r>
              <w:rPr>
                <w:rFonts w:ascii="Arial" w:cs="Arial" w:eastAsia="Arial" w:hAnsi="Arial"/>
                <w:sz w:val="17"/>
                <w:szCs w:val="17"/>
                <w:color w:val="auto"/>
              </w:rPr>
              <w:t>$ 535,020</w:t>
            </w:r>
          </w:p>
        </w:tc>
        <w:tc>
          <w:tcPr>
            <w:tcW w:w="2020" w:type="dxa"/>
            <w:vAlign w:val="bottom"/>
            <w:shd w:val="clear" w:color="auto" w:fill="C0C0C0"/>
          </w:tcPr>
          <w:p>
            <w:pPr>
              <w:jc w:val="center"/>
              <w:ind w:left="59"/>
              <w:spacing w:after="0"/>
              <w:rPr>
                <w:sz w:val="20"/>
                <w:szCs w:val="20"/>
                <w:color w:val="auto"/>
              </w:rPr>
            </w:pPr>
            <w:r>
              <w:rPr>
                <w:rFonts w:ascii="Arial" w:cs="Arial" w:eastAsia="Arial" w:hAnsi="Arial"/>
                <w:sz w:val="17"/>
                <w:szCs w:val="17"/>
                <w:color w:val="auto"/>
                <w:w w:val="98"/>
              </w:rPr>
              <w:t>+5.9%</w:t>
            </w:r>
          </w:p>
        </w:tc>
        <w:tc>
          <w:tcPr>
            <w:tcW w:w="20" w:type="dxa"/>
            <w:vAlign w:val="bottom"/>
          </w:tcPr>
          <w:p>
            <w:pPr>
              <w:spacing w:after="0"/>
              <w:rPr>
                <w:sz w:val="20"/>
                <w:szCs w:val="20"/>
                <w:color w:val="auto"/>
              </w:rPr>
            </w:pPr>
          </w:p>
        </w:tc>
      </w:tr>
      <w:tr>
        <w:trPr>
          <w:trHeight w:val="233"/>
        </w:trPr>
        <w:tc>
          <w:tcPr>
            <w:tcW w:w="4600" w:type="dxa"/>
            <w:vAlign w:val="bottom"/>
          </w:tcPr>
          <w:p>
            <w:pPr>
              <w:spacing w:after="0"/>
              <w:rPr>
                <w:sz w:val="20"/>
                <w:szCs w:val="20"/>
                <w:color w:val="auto"/>
              </w:rPr>
            </w:pPr>
            <w:r>
              <w:rPr>
                <w:rFonts w:ascii="Arial" w:cs="Arial" w:eastAsia="Arial" w:hAnsi="Arial"/>
                <w:sz w:val="17"/>
                <w:szCs w:val="17"/>
                <w:color w:val="auto"/>
              </w:rPr>
              <w:t>Mr. Ritchie</w:t>
            </w:r>
          </w:p>
        </w:tc>
        <w:tc>
          <w:tcPr>
            <w:tcW w:w="4800" w:type="dxa"/>
            <w:vAlign w:val="bottom"/>
          </w:tcPr>
          <w:p>
            <w:pPr>
              <w:jc w:val="center"/>
              <w:ind w:left="3319"/>
              <w:spacing w:after="0"/>
              <w:rPr>
                <w:sz w:val="20"/>
                <w:szCs w:val="20"/>
                <w:color w:val="auto"/>
              </w:rPr>
            </w:pPr>
            <w:r>
              <w:rPr>
                <w:rFonts w:ascii="Arial" w:cs="Arial" w:eastAsia="Arial" w:hAnsi="Arial"/>
                <w:sz w:val="17"/>
                <w:szCs w:val="17"/>
                <w:color w:val="auto"/>
              </w:rPr>
              <w:t>$ 448,080</w:t>
            </w:r>
          </w:p>
        </w:tc>
        <w:tc>
          <w:tcPr>
            <w:tcW w:w="2020" w:type="dxa"/>
            <w:vAlign w:val="bottom"/>
          </w:tcPr>
          <w:p>
            <w:pPr>
              <w:jc w:val="center"/>
              <w:ind w:left="59"/>
              <w:spacing w:after="0"/>
              <w:rPr>
                <w:sz w:val="20"/>
                <w:szCs w:val="20"/>
                <w:color w:val="auto"/>
              </w:rPr>
            </w:pPr>
            <w:r>
              <w:rPr>
                <w:rFonts w:ascii="Arial" w:cs="Arial" w:eastAsia="Arial" w:hAnsi="Arial"/>
                <w:sz w:val="17"/>
                <w:szCs w:val="17"/>
                <w:color w:val="auto"/>
                <w:w w:val="98"/>
              </w:rPr>
              <w:t>+3.0%</w:t>
            </w:r>
          </w:p>
        </w:tc>
        <w:tc>
          <w:tcPr>
            <w:tcW w:w="20" w:type="dxa"/>
            <w:vAlign w:val="bottom"/>
          </w:tcPr>
          <w:p>
            <w:pPr>
              <w:spacing w:after="0"/>
              <w:rPr>
                <w:sz w:val="20"/>
                <w:szCs w:val="20"/>
                <w:color w:val="auto"/>
              </w:rPr>
            </w:pPr>
          </w:p>
        </w:tc>
      </w:tr>
      <w:tr>
        <w:trPr>
          <w:trHeight w:val="233"/>
        </w:trPr>
        <w:tc>
          <w:tcPr>
            <w:tcW w:w="4600" w:type="dxa"/>
            <w:vAlign w:val="bottom"/>
            <w:shd w:val="clear" w:color="auto" w:fill="C0C0C0"/>
          </w:tcPr>
          <w:p>
            <w:pPr>
              <w:spacing w:after="0"/>
              <w:rPr>
                <w:sz w:val="20"/>
                <w:szCs w:val="20"/>
                <w:color w:val="auto"/>
              </w:rPr>
            </w:pPr>
            <w:r>
              <w:rPr>
                <w:rFonts w:ascii="Arial" w:cs="Arial" w:eastAsia="Arial" w:hAnsi="Arial"/>
                <w:sz w:val="17"/>
                <w:szCs w:val="17"/>
                <w:color w:val="auto"/>
              </w:rPr>
              <w:t>Mr. Hames</w:t>
            </w:r>
          </w:p>
        </w:tc>
        <w:tc>
          <w:tcPr>
            <w:tcW w:w="4800" w:type="dxa"/>
            <w:vAlign w:val="bottom"/>
            <w:shd w:val="clear" w:color="auto" w:fill="C0C0C0"/>
          </w:tcPr>
          <w:p>
            <w:pPr>
              <w:jc w:val="center"/>
              <w:ind w:left="3319"/>
              <w:spacing w:after="0"/>
              <w:rPr>
                <w:sz w:val="20"/>
                <w:szCs w:val="20"/>
                <w:color w:val="auto"/>
              </w:rPr>
            </w:pPr>
            <w:r>
              <w:rPr>
                <w:rFonts w:ascii="Arial" w:cs="Arial" w:eastAsia="Arial" w:hAnsi="Arial"/>
                <w:sz w:val="17"/>
                <w:szCs w:val="17"/>
                <w:color w:val="auto"/>
              </w:rPr>
              <w:t>$ 463,500</w:t>
            </w:r>
          </w:p>
        </w:tc>
        <w:tc>
          <w:tcPr>
            <w:tcW w:w="2020" w:type="dxa"/>
            <w:vAlign w:val="bottom"/>
            <w:shd w:val="clear" w:color="auto" w:fill="C0C0C0"/>
          </w:tcPr>
          <w:p>
            <w:pPr>
              <w:jc w:val="center"/>
              <w:ind w:left="59"/>
              <w:spacing w:after="0"/>
              <w:rPr>
                <w:sz w:val="20"/>
                <w:szCs w:val="20"/>
                <w:color w:val="auto"/>
              </w:rPr>
            </w:pPr>
            <w:r>
              <w:rPr>
                <w:rFonts w:ascii="Arial" w:cs="Arial" w:eastAsia="Arial" w:hAnsi="Arial"/>
                <w:sz w:val="17"/>
                <w:szCs w:val="17"/>
                <w:color w:val="auto"/>
                <w:w w:val="98"/>
              </w:rPr>
              <w:t>+3.0%</w:t>
            </w:r>
          </w:p>
        </w:tc>
        <w:tc>
          <w:tcPr>
            <w:tcW w:w="20" w:type="dxa"/>
            <w:vAlign w:val="bottom"/>
          </w:tcPr>
          <w:p>
            <w:pPr>
              <w:spacing w:after="0"/>
              <w:rPr>
                <w:sz w:val="20"/>
                <w:szCs w:val="20"/>
                <w:color w:val="auto"/>
              </w:rPr>
            </w:pPr>
          </w:p>
        </w:tc>
      </w:tr>
    </w:tbl>
    <w:p>
      <w:pPr>
        <w:spacing w:after="0" w:line="236" w:lineRule="exact"/>
        <w:rPr>
          <w:sz w:val="20"/>
          <w:szCs w:val="20"/>
          <w:color w:val="auto"/>
        </w:rPr>
      </w:pPr>
    </w:p>
    <w:p>
      <w:pPr>
        <w:ind w:left="340" w:right="120" w:hanging="336"/>
        <w:spacing w:after="0" w:line="27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 February 1, 2008. The numbers in this column differ from the “Salary” column of the Summary Compensation Table on page 72 because (as required by SEC rules) the latter shows salary received in the year 2008, including amounts paid in January 2008 at the prior year’s annual rate.</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salary differences among the named executive officers were driven primarily by differences in the market rate of pay for each officer. The increase for Mr. Templeton reflected the expected increase in the market rate of base salary for CEOs. The increase for Mr. March was in response to the rise in CFO compensation that has occurred in recent years. The committee continued to adjust Mr. Lowe’s salary to the market level for the additional responsibilities he assumed in 2006. The increases for Messrs. Hames and Ritchie reflected the expected increase in the market rate of base salary for executive officers generally.</w:t>
      </w:r>
    </w:p>
    <w:p>
      <w:pPr>
        <w:spacing w:after="0" w:line="20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u w:val="single" w:color="auto"/>
          <w:color w:val="auto"/>
        </w:rPr>
        <w:t>Equity compensation</w:t>
      </w:r>
      <w:r>
        <w:rPr>
          <w:rFonts w:ascii="Arial" w:cs="Arial" w:eastAsia="Arial" w:hAnsi="Arial"/>
          <w:sz w:val="17"/>
          <w:szCs w:val="17"/>
          <w:color w:val="auto"/>
        </w:rPr>
        <w:t xml:space="preserve"> – In January 2008, the committee granted long-term equity compensation to the named executive officers using a combination of NQ stock options and restricted stock units.</w:t>
      </w:r>
    </w:p>
    <w:p>
      <w:pPr>
        <w:spacing w:after="0" w:line="14" w:lineRule="exact"/>
        <w:rPr>
          <w:sz w:val="20"/>
          <w:szCs w:val="20"/>
          <w:color w:val="auto"/>
        </w:rPr>
      </w:pPr>
    </w:p>
    <w:p>
      <w:pPr>
        <w:ind w:right="60" w:firstLine="259"/>
        <w:spacing w:after="0" w:line="244" w:lineRule="auto"/>
        <w:rPr>
          <w:sz w:val="20"/>
          <w:szCs w:val="20"/>
          <w:color w:val="auto"/>
        </w:rPr>
      </w:pPr>
      <w:r>
        <w:rPr>
          <w:rFonts w:ascii="Arial" w:cs="Arial" w:eastAsia="Arial" w:hAnsi="Arial"/>
          <w:sz w:val="17"/>
          <w:szCs w:val="17"/>
          <w:color w:val="auto"/>
        </w:rPr>
        <w:t>The committee’s objective was to set equity grants at approximately the median level, in this case the 40th to 60th percentile, of equity compensation granted by the 2008 Comparator Group for each of the executive officers. In assessing the market level of equity compensation, the committee considered information presented by TI’s Compensation and Benefits organization (prepared using data provided by the committee’s compensation consultant) on both the value of the awards and number of shares expected to be granted by the 2008 Comparator Group to similarly situated executives in 2008.</w:t>
      </w:r>
    </w:p>
    <w:p>
      <w:pPr>
        <w:spacing w:after="0" w:line="16" w:lineRule="exact"/>
        <w:rPr>
          <w:sz w:val="20"/>
          <w:szCs w:val="20"/>
          <w:color w:val="auto"/>
        </w:rPr>
      </w:pPr>
    </w:p>
    <w:p>
      <w:pPr>
        <w:ind w:right="120" w:firstLine="259"/>
        <w:spacing w:after="0" w:line="250" w:lineRule="auto"/>
        <w:rPr>
          <w:sz w:val="20"/>
          <w:szCs w:val="20"/>
          <w:color w:val="auto"/>
        </w:rPr>
      </w:pPr>
      <w:r>
        <w:rPr>
          <w:rFonts w:ascii="Arial" w:cs="Arial" w:eastAsia="Arial" w:hAnsi="Arial"/>
          <w:sz w:val="17"/>
          <w:szCs w:val="17"/>
          <w:color w:val="auto"/>
        </w:rPr>
        <w:t>The award value was estimated using the same methodology used for financial accounting. The number of shares was assessed in terms of “NQ Equivalents,” which were calculated by treating each option share as 1 NQ Equivalent, and each restricted stock unit as 3 NQ Equivalents. This 3:1 ratio approximates the relative accounting expense of granting one restricted stock unit as compared to an option for one share.</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Before setting the awards, the committee also reviewed the amount of unvested equity compensation held by the officers to assess its retention value.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making this assessment, the committee used its judgment and did not apply any formula, threshold or maximum.</w:t>
      </w:r>
    </w:p>
    <w:p>
      <w:pPr>
        <w:spacing w:after="0" w:line="25" w:lineRule="exact"/>
        <w:rPr>
          <w:sz w:val="20"/>
          <w:szCs w:val="20"/>
          <w:color w:val="auto"/>
        </w:rPr>
      </w:pPr>
    </w:p>
    <w:p>
      <w:pPr>
        <w:ind w:right="140" w:firstLine="259"/>
        <w:spacing w:after="0" w:line="250" w:lineRule="auto"/>
        <w:rPr>
          <w:sz w:val="20"/>
          <w:szCs w:val="20"/>
          <w:color w:val="auto"/>
        </w:rPr>
      </w:pPr>
      <w:r>
        <w:rPr>
          <w:rFonts w:ascii="Arial" w:cs="Arial" w:eastAsia="Arial" w:hAnsi="Arial"/>
          <w:sz w:val="17"/>
          <w:szCs w:val="17"/>
          <w:color w:val="auto"/>
        </w:rPr>
        <w:t>For each of the named executive officers, the committee decided to hold the number of NQ Equivalents at the same level as in 2007. The committee found that at the 2007 grant level, the value of each officer’s award would be at approximately the market median and the number of NQ Equivalents would still be competitive with the number of shares expected to be granted by the Comparator Group to similarly situated officers.</w:t>
      </w:r>
    </w:p>
    <w:p>
      <w:pPr>
        <w:spacing w:after="0" w:line="11" w:lineRule="exact"/>
        <w:rPr>
          <w:sz w:val="20"/>
          <w:szCs w:val="20"/>
          <w:color w:val="auto"/>
        </w:rPr>
      </w:pPr>
    </w:p>
    <w:p>
      <w:pPr>
        <w:ind w:right="300" w:firstLine="259"/>
        <w:spacing w:after="0" w:line="278" w:lineRule="auto"/>
        <w:rPr>
          <w:sz w:val="20"/>
          <w:szCs w:val="20"/>
          <w:color w:val="auto"/>
        </w:rPr>
      </w:pPr>
      <w:r>
        <w:rPr>
          <w:rFonts w:ascii="Arial" w:cs="Arial" w:eastAsia="Arial" w:hAnsi="Arial"/>
          <w:sz w:val="16"/>
          <w:szCs w:val="16"/>
          <w:color w:val="auto"/>
        </w:rPr>
        <w:t>Based on its review of the retention value of outstanding awards, the committee concluded that the allocation of shares between stock options and restricted stock units was still appropriate for purposes of retention and there was no need to increase or decrease the award from the targeted level.</w:t>
      </w:r>
    </w:p>
    <w:p>
      <w:pPr>
        <w:spacing w:after="0" w:line="1" w:lineRule="exact"/>
        <w:rPr>
          <w:sz w:val="20"/>
          <w:szCs w:val="20"/>
          <w:color w:val="auto"/>
        </w:rPr>
      </w:pPr>
    </w:p>
    <w:p>
      <w:pPr>
        <w:ind w:right="160" w:firstLine="259"/>
        <w:spacing w:after="0" w:line="250" w:lineRule="auto"/>
        <w:rPr>
          <w:sz w:val="20"/>
          <w:szCs w:val="20"/>
          <w:color w:val="auto"/>
        </w:rPr>
      </w:pPr>
      <w:r>
        <w:rPr>
          <w:rFonts w:ascii="Arial" w:cs="Arial" w:eastAsia="Arial" w:hAnsi="Arial"/>
          <w:sz w:val="17"/>
          <w:szCs w:val="17"/>
          <w:color w:val="auto"/>
        </w:rPr>
        <w:t>Accordingly, the committee awarded to each of the named executive officers the same number of stock options and restricted stock units as in 2007. The differences in the equity granted to the named executive officers were primarily the result of differences in the applicable market level of equity compensation for their positions, and not the application of any formula designed to maintain differentials between the officers.</w:t>
      </w:r>
    </w:p>
    <w:p>
      <w:pPr>
        <w:spacing w:after="0" w:line="11"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Please see the Grants of Plan-Based Awards in 2008 table on page 73 for details concerning the grants, including the grant date fair value of the 2008 awards. The table below is provided to assist the reader in comparing NQ Equivalent levels in the three reporting years. The grant date fair value of the 2008 awards is shown in the chart on page 68.</w:t>
      </w:r>
    </w:p>
    <w:p>
      <w:pPr>
        <w:spacing w:after="0" w:line="18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TEXAS INSTRUMENTS 2009 PROXY STATEMENT [ 65 ]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Restricted</w:t>
            </w:r>
          </w:p>
        </w:tc>
        <w:tc>
          <w:tcPr>
            <w:tcW w:w="1160" w:type="dxa"/>
            <w:vAlign w:val="bottom"/>
          </w:tcPr>
          <w:p>
            <w:pPr>
              <w:spacing w:after="0"/>
              <w:rPr>
                <w:sz w:val="12"/>
                <w:szCs w:val="12"/>
                <w:color w:val="auto"/>
              </w:rPr>
            </w:pPr>
          </w:p>
        </w:tc>
      </w:tr>
      <w:tr>
        <w:trPr>
          <w:trHeight w:val="171"/>
        </w:trPr>
        <w:tc>
          <w:tcPr>
            <w:tcW w:w="7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78"/>
              <w:spacing w:after="0"/>
              <w:rPr>
                <w:sz w:val="20"/>
                <w:szCs w:val="20"/>
                <w:color w:val="auto"/>
              </w:rPr>
            </w:pPr>
            <w:r>
              <w:rPr>
                <w:rFonts w:ascii="Arial" w:cs="Arial" w:eastAsia="Arial" w:hAnsi="Arial"/>
                <w:sz w:val="13"/>
                <w:szCs w:val="13"/>
                <w:b w:val="1"/>
                <w:bCs w:val="1"/>
                <w:color w:val="auto"/>
              </w:rPr>
              <w:t>Stock Options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Stock Units</w:t>
            </w:r>
          </w:p>
        </w:tc>
        <w:tc>
          <w:tcPr>
            <w:tcW w:w="1160" w:type="dxa"/>
            <w:vAlign w:val="bottom"/>
          </w:tcPr>
          <w:p>
            <w:pPr>
              <w:spacing w:after="0"/>
              <w:rPr>
                <w:sz w:val="14"/>
                <w:szCs w:val="14"/>
                <w:color w:val="auto"/>
              </w:rPr>
            </w:pPr>
          </w:p>
        </w:tc>
      </w:tr>
      <w:tr>
        <w:trPr>
          <w:trHeight w:val="221"/>
        </w:trPr>
        <w:tc>
          <w:tcPr>
            <w:tcW w:w="732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760" w:type="dxa"/>
            <w:vAlign w:val="bottom"/>
          </w:tcPr>
          <w:p>
            <w:pPr>
              <w:jc w:val="center"/>
              <w:ind w:left="17"/>
              <w:spacing w:after="0"/>
              <w:rPr>
                <w:sz w:val="20"/>
                <w:szCs w:val="20"/>
                <w:color w:val="auto"/>
              </w:rPr>
            </w:pPr>
            <w:r>
              <w:rPr>
                <w:rFonts w:ascii="Arial" w:cs="Arial" w:eastAsia="Arial" w:hAnsi="Arial"/>
                <w:sz w:val="13"/>
                <w:szCs w:val="13"/>
                <w:b w:val="1"/>
                <w:bCs w:val="1"/>
                <w:color w:val="auto"/>
                <w:w w:val="92"/>
              </w:rPr>
              <w:t>Year</w:t>
            </w:r>
          </w:p>
        </w:tc>
        <w:tc>
          <w:tcPr>
            <w:tcW w:w="1160" w:type="dxa"/>
            <w:vAlign w:val="bottom"/>
          </w:tcPr>
          <w:p>
            <w:pPr>
              <w:jc w:val="right"/>
              <w:ind w:right="178"/>
              <w:spacing w:after="0"/>
              <w:rPr>
                <w:sz w:val="20"/>
                <w:szCs w:val="20"/>
                <w:color w:val="auto"/>
              </w:rPr>
            </w:pPr>
            <w:r>
              <w:rPr>
                <w:rFonts w:ascii="Arial" w:cs="Arial" w:eastAsia="Arial" w:hAnsi="Arial"/>
                <w:sz w:val="13"/>
                <w:szCs w:val="13"/>
                <w:b w:val="1"/>
                <w:bCs w:val="1"/>
                <w:color w:val="auto"/>
              </w:rPr>
              <w:t>(in Shares)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(in Shares)</w:t>
            </w:r>
          </w:p>
        </w:tc>
        <w:tc>
          <w:tcPr>
            <w:tcW w:w="1160" w:type="dxa"/>
            <w:vAlign w:val="bottom"/>
          </w:tcPr>
          <w:p>
            <w:pPr>
              <w:ind w:left="140"/>
              <w:spacing w:after="0"/>
              <w:rPr>
                <w:sz w:val="20"/>
                <w:szCs w:val="20"/>
                <w:color w:val="auto"/>
              </w:rPr>
            </w:pPr>
            <w:r>
              <w:rPr>
                <w:rFonts w:ascii="Arial" w:cs="Arial" w:eastAsia="Arial" w:hAnsi="Arial"/>
                <w:sz w:val="13"/>
                <w:szCs w:val="13"/>
                <w:b w:val="1"/>
                <w:bCs w:val="1"/>
                <w:color w:val="auto"/>
              </w:rPr>
              <w:t>NQ Equivalents</w:t>
            </w:r>
          </w:p>
        </w:tc>
      </w:tr>
      <w:tr>
        <w:trPr>
          <w:trHeight w:val="233"/>
        </w:trPr>
        <w:tc>
          <w:tcPr>
            <w:tcW w:w="732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r>
      <w:tr>
        <w:trPr>
          <w:trHeight w:val="233"/>
        </w:trPr>
        <w:tc>
          <w:tcPr>
            <w:tcW w:w="7320" w:type="dxa"/>
            <w:vAlign w:val="bottom"/>
            <w:shd w:val="clear" w:color="auto" w:fill="C0C0C0"/>
          </w:tcPr>
          <w:p>
            <w:pPr>
              <w:spacing w:after="0"/>
              <w:rPr>
                <w:sz w:val="20"/>
                <w:szCs w:val="20"/>
                <w:color w:val="auto"/>
              </w:rPr>
            </w:pPr>
            <w:r>
              <w:rPr>
                <w:rFonts w:ascii="Arial" w:cs="Arial" w:eastAsia="Arial" w:hAnsi="Arial"/>
                <w:sz w:val="17"/>
                <w:szCs w:val="17"/>
                <w:color w:val="auto"/>
              </w:rPr>
              <w:t>Mr. Templeton</w:t>
            </w:r>
          </w:p>
        </w:tc>
        <w:tc>
          <w:tcPr>
            <w:tcW w:w="760" w:type="dxa"/>
            <w:vAlign w:val="bottom"/>
            <w:shd w:val="clear" w:color="auto" w:fill="C0C0C0"/>
          </w:tcPr>
          <w:p>
            <w:pPr>
              <w:jc w:val="center"/>
              <w:ind w:left="17"/>
              <w:spacing w:after="0"/>
              <w:rPr>
                <w:sz w:val="20"/>
                <w:szCs w:val="20"/>
                <w:color w:val="auto"/>
              </w:rPr>
            </w:pPr>
            <w:r>
              <w:rPr>
                <w:rFonts w:ascii="Arial" w:cs="Arial" w:eastAsia="Arial" w:hAnsi="Arial"/>
                <w:sz w:val="17"/>
                <w:szCs w:val="17"/>
                <w:color w:val="auto"/>
              </w:rPr>
              <w:t>2008</w:t>
            </w:r>
          </w:p>
        </w:tc>
        <w:tc>
          <w:tcPr>
            <w:tcW w:w="1160" w:type="dxa"/>
            <w:vAlign w:val="bottom"/>
            <w:shd w:val="clear" w:color="auto" w:fill="C0C0C0"/>
          </w:tcPr>
          <w:p>
            <w:pPr>
              <w:jc w:val="right"/>
              <w:ind w:right="198"/>
              <w:spacing w:after="0"/>
              <w:rPr>
                <w:sz w:val="20"/>
                <w:szCs w:val="20"/>
                <w:color w:val="auto"/>
              </w:rPr>
            </w:pPr>
            <w:r>
              <w:rPr>
                <w:rFonts w:ascii="Arial" w:cs="Arial" w:eastAsia="Arial" w:hAnsi="Arial"/>
                <w:sz w:val="17"/>
                <w:szCs w:val="17"/>
                <w:color w:val="auto"/>
              </w:rPr>
              <w:t>270,000</w:t>
            </w:r>
          </w:p>
        </w:tc>
        <w:tc>
          <w:tcPr>
            <w:tcW w:w="102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150,000</w:t>
            </w:r>
          </w:p>
        </w:tc>
        <w:tc>
          <w:tcPr>
            <w:tcW w:w="11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720,000</w:t>
            </w:r>
          </w:p>
        </w:tc>
      </w:tr>
      <w:tr>
        <w:trPr>
          <w:trHeight w:val="194"/>
        </w:trPr>
        <w:tc>
          <w:tcPr>
            <w:tcW w:w="7320" w:type="dxa"/>
            <w:vAlign w:val="bottom"/>
            <w:shd w:val="clear" w:color="auto" w:fill="C0C0C0"/>
          </w:tcPr>
          <w:p>
            <w:pPr>
              <w:spacing w:after="0"/>
              <w:rPr>
                <w:sz w:val="16"/>
                <w:szCs w:val="16"/>
                <w:color w:val="auto"/>
              </w:rPr>
            </w:pPr>
          </w:p>
        </w:tc>
        <w:tc>
          <w:tcPr>
            <w:tcW w:w="760" w:type="dxa"/>
            <w:vAlign w:val="bottom"/>
            <w:shd w:val="clear" w:color="auto" w:fill="C0C0C0"/>
          </w:tcPr>
          <w:p>
            <w:pPr>
              <w:jc w:val="center"/>
              <w:ind w:left="17"/>
              <w:spacing w:after="0" w:line="194" w:lineRule="exact"/>
              <w:rPr>
                <w:sz w:val="20"/>
                <w:szCs w:val="20"/>
                <w:color w:val="auto"/>
              </w:rPr>
            </w:pPr>
            <w:r>
              <w:rPr>
                <w:rFonts w:ascii="Arial" w:cs="Arial" w:eastAsia="Arial" w:hAnsi="Arial"/>
                <w:sz w:val="17"/>
                <w:szCs w:val="17"/>
                <w:color w:val="auto"/>
              </w:rPr>
              <w:t>2007</w:t>
            </w:r>
          </w:p>
        </w:tc>
        <w:tc>
          <w:tcPr>
            <w:tcW w:w="1160" w:type="dxa"/>
            <w:vAlign w:val="bottom"/>
            <w:shd w:val="clear" w:color="auto" w:fill="C0C0C0"/>
          </w:tcPr>
          <w:p>
            <w:pPr>
              <w:jc w:val="right"/>
              <w:ind w:right="198"/>
              <w:spacing w:after="0" w:line="194" w:lineRule="exact"/>
              <w:rPr>
                <w:sz w:val="20"/>
                <w:szCs w:val="20"/>
                <w:color w:val="auto"/>
              </w:rPr>
            </w:pPr>
            <w:r>
              <w:rPr>
                <w:rFonts w:ascii="Arial" w:cs="Arial" w:eastAsia="Arial" w:hAnsi="Arial"/>
                <w:sz w:val="17"/>
                <w:szCs w:val="17"/>
                <w:color w:val="auto"/>
              </w:rPr>
              <w:t>270,000</w:t>
            </w:r>
          </w:p>
        </w:tc>
        <w:tc>
          <w:tcPr>
            <w:tcW w:w="102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150,000</w:t>
            </w:r>
          </w:p>
        </w:tc>
        <w:tc>
          <w:tcPr>
            <w:tcW w:w="1160" w:type="dxa"/>
            <w:vAlign w:val="bottom"/>
            <w:shd w:val="clear" w:color="auto" w:fill="C0C0C0"/>
          </w:tcPr>
          <w:p>
            <w:pPr>
              <w:ind w:left="320"/>
              <w:spacing w:after="0" w:line="194" w:lineRule="exact"/>
              <w:rPr>
                <w:sz w:val="20"/>
                <w:szCs w:val="20"/>
                <w:color w:val="auto"/>
              </w:rPr>
            </w:pPr>
            <w:r>
              <w:rPr>
                <w:rFonts w:ascii="Arial" w:cs="Arial" w:eastAsia="Arial" w:hAnsi="Arial"/>
                <w:sz w:val="17"/>
                <w:szCs w:val="17"/>
                <w:color w:val="auto"/>
              </w:rPr>
              <w:t>720,000</w:t>
            </w:r>
          </w:p>
        </w:tc>
      </w:tr>
      <w:tr>
        <w:trPr>
          <w:trHeight w:val="194"/>
        </w:trPr>
        <w:tc>
          <w:tcPr>
            <w:tcW w:w="7320" w:type="dxa"/>
            <w:vAlign w:val="bottom"/>
            <w:shd w:val="clear" w:color="auto" w:fill="C0C0C0"/>
          </w:tcPr>
          <w:p>
            <w:pPr>
              <w:spacing w:after="0"/>
              <w:rPr>
                <w:sz w:val="16"/>
                <w:szCs w:val="16"/>
                <w:color w:val="auto"/>
              </w:rPr>
            </w:pPr>
          </w:p>
        </w:tc>
        <w:tc>
          <w:tcPr>
            <w:tcW w:w="760" w:type="dxa"/>
            <w:vAlign w:val="bottom"/>
            <w:shd w:val="clear" w:color="auto" w:fill="C0C0C0"/>
          </w:tcPr>
          <w:p>
            <w:pPr>
              <w:jc w:val="center"/>
              <w:ind w:left="17"/>
              <w:spacing w:after="0" w:line="194" w:lineRule="exact"/>
              <w:rPr>
                <w:sz w:val="20"/>
                <w:szCs w:val="20"/>
                <w:color w:val="auto"/>
              </w:rPr>
            </w:pPr>
            <w:r>
              <w:rPr>
                <w:rFonts w:ascii="Arial" w:cs="Arial" w:eastAsia="Arial" w:hAnsi="Arial"/>
                <w:sz w:val="17"/>
                <w:szCs w:val="17"/>
                <w:color w:val="auto"/>
              </w:rPr>
              <w:t>2006</w:t>
            </w:r>
          </w:p>
        </w:tc>
        <w:tc>
          <w:tcPr>
            <w:tcW w:w="1160" w:type="dxa"/>
            <w:vAlign w:val="bottom"/>
            <w:shd w:val="clear" w:color="auto" w:fill="C0C0C0"/>
          </w:tcPr>
          <w:p>
            <w:pPr>
              <w:jc w:val="right"/>
              <w:ind w:right="198"/>
              <w:spacing w:after="0" w:line="194" w:lineRule="exact"/>
              <w:rPr>
                <w:sz w:val="20"/>
                <w:szCs w:val="20"/>
                <w:color w:val="auto"/>
              </w:rPr>
            </w:pPr>
            <w:r>
              <w:rPr>
                <w:rFonts w:ascii="Arial" w:cs="Arial" w:eastAsia="Arial" w:hAnsi="Arial"/>
                <w:sz w:val="17"/>
                <w:szCs w:val="17"/>
                <w:color w:val="auto"/>
              </w:rPr>
              <w:t>350,000</w:t>
            </w:r>
          </w:p>
        </w:tc>
        <w:tc>
          <w:tcPr>
            <w:tcW w:w="102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150,000</w:t>
            </w:r>
          </w:p>
        </w:tc>
        <w:tc>
          <w:tcPr>
            <w:tcW w:w="1160" w:type="dxa"/>
            <w:vAlign w:val="bottom"/>
            <w:shd w:val="clear" w:color="auto" w:fill="C0C0C0"/>
          </w:tcPr>
          <w:p>
            <w:pPr>
              <w:ind w:left="320"/>
              <w:spacing w:after="0" w:line="194" w:lineRule="exact"/>
              <w:rPr>
                <w:sz w:val="20"/>
                <w:szCs w:val="20"/>
                <w:color w:val="auto"/>
              </w:rPr>
            </w:pPr>
            <w:r>
              <w:rPr>
                <w:rFonts w:ascii="Arial" w:cs="Arial" w:eastAsia="Arial" w:hAnsi="Arial"/>
                <w:sz w:val="17"/>
                <w:szCs w:val="17"/>
                <w:color w:val="auto"/>
              </w:rPr>
              <w:t>800,000</w:t>
            </w:r>
          </w:p>
        </w:tc>
      </w:tr>
      <w:tr>
        <w:trPr>
          <w:trHeight w:val="197"/>
        </w:trPr>
        <w:tc>
          <w:tcPr>
            <w:tcW w:w="7320" w:type="dxa"/>
            <w:vAlign w:val="bottom"/>
          </w:tcPr>
          <w:p>
            <w:pPr>
              <w:spacing w:after="0"/>
              <w:rPr>
                <w:sz w:val="20"/>
                <w:szCs w:val="20"/>
                <w:color w:val="auto"/>
              </w:rPr>
            </w:pPr>
            <w:r>
              <w:rPr>
                <w:rFonts w:ascii="Arial" w:cs="Arial" w:eastAsia="Arial" w:hAnsi="Arial"/>
                <w:sz w:val="17"/>
                <w:szCs w:val="17"/>
                <w:color w:val="auto"/>
              </w:rPr>
              <w:t>Mr. March</w:t>
            </w:r>
          </w:p>
        </w:tc>
        <w:tc>
          <w:tcPr>
            <w:tcW w:w="760" w:type="dxa"/>
            <w:vAlign w:val="bottom"/>
          </w:tcPr>
          <w:p>
            <w:pPr>
              <w:jc w:val="center"/>
              <w:ind w:left="17"/>
              <w:spacing w:after="0"/>
              <w:rPr>
                <w:sz w:val="20"/>
                <w:szCs w:val="20"/>
                <w:color w:val="auto"/>
              </w:rPr>
            </w:pPr>
            <w:r>
              <w:rPr>
                <w:rFonts w:ascii="Arial" w:cs="Arial" w:eastAsia="Arial" w:hAnsi="Arial"/>
                <w:sz w:val="17"/>
                <w:szCs w:val="17"/>
                <w:color w:val="auto"/>
              </w:rPr>
              <w:t>2008</w:t>
            </w:r>
          </w:p>
        </w:tc>
        <w:tc>
          <w:tcPr>
            <w:tcW w:w="1160" w:type="dxa"/>
            <w:vAlign w:val="bottom"/>
          </w:tcPr>
          <w:p>
            <w:pPr>
              <w:jc w:val="right"/>
              <w:ind w:right="198"/>
              <w:spacing w:after="0"/>
              <w:rPr>
                <w:sz w:val="20"/>
                <w:szCs w:val="20"/>
                <w:color w:val="auto"/>
              </w:rPr>
            </w:pPr>
            <w:r>
              <w:rPr>
                <w:rFonts w:ascii="Arial" w:cs="Arial" w:eastAsia="Arial" w:hAnsi="Arial"/>
                <w:sz w:val="17"/>
                <w:szCs w:val="17"/>
                <w:color w:val="auto"/>
              </w:rPr>
              <w:t>85,000</w:t>
            </w:r>
          </w:p>
        </w:tc>
        <w:tc>
          <w:tcPr>
            <w:tcW w:w="1020" w:type="dxa"/>
            <w:vAlign w:val="bottom"/>
          </w:tcPr>
          <w:p>
            <w:pPr>
              <w:jc w:val="right"/>
              <w:ind w:right="139"/>
              <w:spacing w:after="0"/>
              <w:rPr>
                <w:sz w:val="20"/>
                <w:szCs w:val="20"/>
                <w:color w:val="auto"/>
              </w:rPr>
            </w:pPr>
            <w:r>
              <w:rPr>
                <w:rFonts w:ascii="Arial" w:cs="Arial" w:eastAsia="Arial" w:hAnsi="Arial"/>
                <w:sz w:val="17"/>
                <w:szCs w:val="17"/>
                <w:color w:val="auto"/>
              </w:rPr>
              <w:t>35,000</w:t>
            </w:r>
          </w:p>
        </w:tc>
        <w:tc>
          <w:tcPr>
            <w:tcW w:w="1160" w:type="dxa"/>
            <w:vAlign w:val="bottom"/>
          </w:tcPr>
          <w:p>
            <w:pPr>
              <w:ind w:left="320"/>
              <w:spacing w:after="0"/>
              <w:rPr>
                <w:sz w:val="20"/>
                <w:szCs w:val="20"/>
                <w:color w:val="auto"/>
              </w:rPr>
            </w:pPr>
            <w:r>
              <w:rPr>
                <w:rFonts w:ascii="Arial" w:cs="Arial" w:eastAsia="Arial" w:hAnsi="Arial"/>
                <w:sz w:val="17"/>
                <w:szCs w:val="17"/>
                <w:color w:val="auto"/>
              </w:rPr>
              <w:t>190,000</w:t>
            </w:r>
          </w:p>
        </w:tc>
      </w:tr>
      <w:tr>
        <w:trPr>
          <w:trHeight w:val="202"/>
        </w:trPr>
        <w:tc>
          <w:tcPr>
            <w:tcW w:w="7320" w:type="dxa"/>
            <w:vAlign w:val="bottom"/>
          </w:tcPr>
          <w:p>
            <w:pPr>
              <w:spacing w:after="0"/>
              <w:rPr>
                <w:sz w:val="17"/>
                <w:szCs w:val="17"/>
                <w:color w:val="auto"/>
              </w:rPr>
            </w:pPr>
          </w:p>
        </w:tc>
        <w:tc>
          <w:tcPr>
            <w:tcW w:w="760" w:type="dxa"/>
            <w:vAlign w:val="bottom"/>
          </w:tcPr>
          <w:p>
            <w:pPr>
              <w:jc w:val="center"/>
              <w:ind w:left="17"/>
              <w:spacing w:after="0"/>
              <w:rPr>
                <w:sz w:val="20"/>
                <w:szCs w:val="20"/>
                <w:color w:val="auto"/>
              </w:rPr>
            </w:pPr>
            <w:r>
              <w:rPr>
                <w:rFonts w:ascii="Arial" w:cs="Arial" w:eastAsia="Arial" w:hAnsi="Arial"/>
                <w:sz w:val="17"/>
                <w:szCs w:val="17"/>
                <w:color w:val="auto"/>
              </w:rPr>
              <w:t>2007</w:t>
            </w:r>
          </w:p>
        </w:tc>
        <w:tc>
          <w:tcPr>
            <w:tcW w:w="1160" w:type="dxa"/>
            <w:vAlign w:val="bottom"/>
          </w:tcPr>
          <w:p>
            <w:pPr>
              <w:jc w:val="right"/>
              <w:ind w:right="198"/>
              <w:spacing w:after="0"/>
              <w:rPr>
                <w:sz w:val="20"/>
                <w:szCs w:val="20"/>
                <w:color w:val="auto"/>
              </w:rPr>
            </w:pPr>
            <w:r>
              <w:rPr>
                <w:rFonts w:ascii="Arial" w:cs="Arial" w:eastAsia="Arial" w:hAnsi="Arial"/>
                <w:sz w:val="17"/>
                <w:szCs w:val="17"/>
                <w:color w:val="auto"/>
              </w:rPr>
              <w:t>85,000</w:t>
            </w:r>
          </w:p>
        </w:tc>
        <w:tc>
          <w:tcPr>
            <w:tcW w:w="1020" w:type="dxa"/>
            <w:vAlign w:val="bottom"/>
          </w:tcPr>
          <w:p>
            <w:pPr>
              <w:jc w:val="right"/>
              <w:ind w:right="139"/>
              <w:spacing w:after="0"/>
              <w:rPr>
                <w:sz w:val="20"/>
                <w:szCs w:val="20"/>
                <w:color w:val="auto"/>
              </w:rPr>
            </w:pPr>
            <w:r>
              <w:rPr>
                <w:rFonts w:ascii="Arial" w:cs="Arial" w:eastAsia="Arial" w:hAnsi="Arial"/>
                <w:sz w:val="17"/>
                <w:szCs w:val="17"/>
                <w:color w:val="auto"/>
              </w:rPr>
              <w:t>35,000</w:t>
            </w:r>
          </w:p>
        </w:tc>
        <w:tc>
          <w:tcPr>
            <w:tcW w:w="1160" w:type="dxa"/>
            <w:vAlign w:val="bottom"/>
          </w:tcPr>
          <w:p>
            <w:pPr>
              <w:ind w:left="320"/>
              <w:spacing w:after="0"/>
              <w:rPr>
                <w:sz w:val="20"/>
                <w:szCs w:val="20"/>
                <w:color w:val="auto"/>
              </w:rPr>
            </w:pPr>
            <w:r>
              <w:rPr>
                <w:rFonts w:ascii="Arial" w:cs="Arial" w:eastAsia="Arial" w:hAnsi="Arial"/>
                <w:sz w:val="17"/>
                <w:szCs w:val="17"/>
                <w:color w:val="auto"/>
              </w:rPr>
              <w:t>190,000</w:t>
            </w:r>
          </w:p>
        </w:tc>
      </w:tr>
      <w:tr>
        <w:trPr>
          <w:trHeight w:val="222"/>
        </w:trPr>
        <w:tc>
          <w:tcPr>
            <w:tcW w:w="7320" w:type="dxa"/>
            <w:vAlign w:val="bottom"/>
          </w:tcPr>
          <w:p>
            <w:pPr>
              <w:spacing w:after="0"/>
              <w:rPr>
                <w:sz w:val="19"/>
                <w:szCs w:val="19"/>
                <w:color w:val="auto"/>
              </w:rPr>
            </w:pPr>
          </w:p>
        </w:tc>
        <w:tc>
          <w:tcPr>
            <w:tcW w:w="760" w:type="dxa"/>
            <w:vAlign w:val="bottom"/>
          </w:tcPr>
          <w:p>
            <w:pPr>
              <w:jc w:val="center"/>
              <w:ind w:left="17"/>
              <w:spacing w:after="0"/>
              <w:rPr>
                <w:sz w:val="20"/>
                <w:szCs w:val="20"/>
                <w:color w:val="auto"/>
              </w:rPr>
            </w:pPr>
            <w:r>
              <w:rPr>
                <w:rFonts w:ascii="Arial" w:cs="Arial" w:eastAsia="Arial" w:hAnsi="Arial"/>
                <w:sz w:val="17"/>
                <w:szCs w:val="17"/>
                <w:color w:val="auto"/>
              </w:rPr>
              <w:t>2006</w:t>
            </w:r>
          </w:p>
        </w:tc>
        <w:tc>
          <w:tcPr>
            <w:tcW w:w="1160" w:type="dxa"/>
            <w:vAlign w:val="bottom"/>
          </w:tcPr>
          <w:p>
            <w:pPr>
              <w:jc w:val="right"/>
              <w:ind w:right="198"/>
              <w:spacing w:after="0"/>
              <w:rPr>
                <w:sz w:val="20"/>
                <w:szCs w:val="20"/>
                <w:color w:val="auto"/>
              </w:rPr>
            </w:pPr>
            <w:r>
              <w:rPr>
                <w:rFonts w:ascii="Arial" w:cs="Arial" w:eastAsia="Arial" w:hAnsi="Arial"/>
                <w:sz w:val="17"/>
                <w:szCs w:val="17"/>
                <w:color w:val="auto"/>
              </w:rPr>
              <w:t>85,000</w:t>
            </w:r>
          </w:p>
        </w:tc>
        <w:tc>
          <w:tcPr>
            <w:tcW w:w="1020" w:type="dxa"/>
            <w:vAlign w:val="bottom"/>
          </w:tcPr>
          <w:p>
            <w:pPr>
              <w:jc w:val="right"/>
              <w:ind w:right="139"/>
              <w:spacing w:after="0"/>
              <w:rPr>
                <w:sz w:val="20"/>
                <w:szCs w:val="20"/>
                <w:color w:val="auto"/>
              </w:rPr>
            </w:pPr>
            <w:r>
              <w:rPr>
                <w:rFonts w:ascii="Arial" w:cs="Arial" w:eastAsia="Arial" w:hAnsi="Arial"/>
                <w:sz w:val="17"/>
                <w:szCs w:val="17"/>
                <w:color w:val="auto"/>
              </w:rPr>
              <w:t>30,000</w:t>
            </w:r>
          </w:p>
        </w:tc>
        <w:tc>
          <w:tcPr>
            <w:tcW w:w="1160" w:type="dxa"/>
            <w:vAlign w:val="bottom"/>
          </w:tcPr>
          <w:p>
            <w:pPr>
              <w:ind w:left="320"/>
              <w:spacing w:after="0"/>
              <w:rPr>
                <w:sz w:val="20"/>
                <w:szCs w:val="20"/>
                <w:color w:val="auto"/>
              </w:rPr>
            </w:pPr>
            <w:r>
              <w:rPr>
                <w:rFonts w:ascii="Arial" w:cs="Arial" w:eastAsia="Arial" w:hAnsi="Arial"/>
                <w:sz w:val="17"/>
                <w:szCs w:val="17"/>
                <w:color w:val="auto"/>
              </w:rPr>
              <w:t>175,000</w:t>
            </w:r>
          </w:p>
        </w:tc>
      </w:tr>
      <w:tr>
        <w:trPr>
          <w:trHeight w:val="194"/>
        </w:trPr>
        <w:tc>
          <w:tcPr>
            <w:tcW w:w="732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Mr. Lowe</w:t>
            </w:r>
          </w:p>
        </w:tc>
        <w:tc>
          <w:tcPr>
            <w:tcW w:w="760" w:type="dxa"/>
            <w:vAlign w:val="bottom"/>
            <w:shd w:val="clear" w:color="auto" w:fill="C0C0C0"/>
          </w:tcPr>
          <w:p>
            <w:pPr>
              <w:jc w:val="center"/>
              <w:ind w:left="17"/>
              <w:spacing w:after="0" w:line="194" w:lineRule="exact"/>
              <w:rPr>
                <w:sz w:val="20"/>
                <w:szCs w:val="20"/>
                <w:color w:val="auto"/>
              </w:rPr>
            </w:pPr>
            <w:r>
              <w:rPr>
                <w:rFonts w:ascii="Arial" w:cs="Arial" w:eastAsia="Arial" w:hAnsi="Arial"/>
                <w:sz w:val="17"/>
                <w:szCs w:val="17"/>
                <w:color w:val="auto"/>
              </w:rPr>
              <w:t>2008</w:t>
            </w:r>
          </w:p>
        </w:tc>
        <w:tc>
          <w:tcPr>
            <w:tcW w:w="1160" w:type="dxa"/>
            <w:vAlign w:val="bottom"/>
            <w:shd w:val="clear" w:color="auto" w:fill="C0C0C0"/>
          </w:tcPr>
          <w:p>
            <w:pPr>
              <w:jc w:val="right"/>
              <w:ind w:right="198"/>
              <w:spacing w:after="0" w:line="194" w:lineRule="exact"/>
              <w:rPr>
                <w:sz w:val="20"/>
                <w:szCs w:val="20"/>
                <w:color w:val="auto"/>
              </w:rPr>
            </w:pPr>
            <w:r>
              <w:rPr>
                <w:rFonts w:ascii="Arial" w:cs="Arial" w:eastAsia="Arial" w:hAnsi="Arial"/>
                <w:sz w:val="17"/>
                <w:szCs w:val="17"/>
                <w:color w:val="auto"/>
              </w:rPr>
              <w:t>100,000</w:t>
            </w:r>
          </w:p>
        </w:tc>
        <w:tc>
          <w:tcPr>
            <w:tcW w:w="102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60,000</w:t>
            </w:r>
          </w:p>
        </w:tc>
        <w:tc>
          <w:tcPr>
            <w:tcW w:w="1160" w:type="dxa"/>
            <w:vAlign w:val="bottom"/>
            <w:shd w:val="clear" w:color="auto" w:fill="C0C0C0"/>
          </w:tcPr>
          <w:p>
            <w:pPr>
              <w:ind w:left="320"/>
              <w:spacing w:after="0" w:line="194" w:lineRule="exact"/>
              <w:rPr>
                <w:sz w:val="20"/>
                <w:szCs w:val="20"/>
                <w:color w:val="auto"/>
              </w:rPr>
            </w:pPr>
            <w:r>
              <w:rPr>
                <w:rFonts w:ascii="Arial" w:cs="Arial" w:eastAsia="Arial" w:hAnsi="Arial"/>
                <w:sz w:val="17"/>
                <w:szCs w:val="17"/>
                <w:color w:val="auto"/>
              </w:rPr>
              <w:t>280,000</w:t>
            </w:r>
          </w:p>
        </w:tc>
      </w:tr>
      <w:tr>
        <w:trPr>
          <w:trHeight w:val="233"/>
        </w:trPr>
        <w:tc>
          <w:tcPr>
            <w:tcW w:w="7320" w:type="dxa"/>
            <w:vAlign w:val="bottom"/>
            <w:shd w:val="clear" w:color="auto" w:fill="C0C0C0"/>
          </w:tcPr>
          <w:p>
            <w:pPr>
              <w:spacing w:after="0"/>
              <w:rPr>
                <w:sz w:val="20"/>
                <w:szCs w:val="20"/>
                <w:color w:val="auto"/>
              </w:rPr>
            </w:pPr>
          </w:p>
        </w:tc>
        <w:tc>
          <w:tcPr>
            <w:tcW w:w="760" w:type="dxa"/>
            <w:vAlign w:val="bottom"/>
            <w:shd w:val="clear" w:color="auto" w:fill="C0C0C0"/>
          </w:tcPr>
          <w:p>
            <w:pPr>
              <w:jc w:val="center"/>
              <w:ind w:left="17"/>
              <w:spacing w:after="0"/>
              <w:rPr>
                <w:sz w:val="20"/>
                <w:szCs w:val="20"/>
                <w:color w:val="auto"/>
              </w:rPr>
            </w:pPr>
            <w:r>
              <w:rPr>
                <w:rFonts w:ascii="Arial" w:cs="Arial" w:eastAsia="Arial" w:hAnsi="Arial"/>
                <w:sz w:val="17"/>
                <w:szCs w:val="17"/>
                <w:color w:val="auto"/>
              </w:rPr>
              <w:t>2007</w:t>
            </w:r>
          </w:p>
        </w:tc>
        <w:tc>
          <w:tcPr>
            <w:tcW w:w="1160" w:type="dxa"/>
            <w:vAlign w:val="bottom"/>
            <w:shd w:val="clear" w:color="auto" w:fill="C0C0C0"/>
          </w:tcPr>
          <w:p>
            <w:pPr>
              <w:jc w:val="right"/>
              <w:ind w:right="198"/>
              <w:spacing w:after="0"/>
              <w:rPr>
                <w:sz w:val="20"/>
                <w:szCs w:val="20"/>
                <w:color w:val="auto"/>
              </w:rPr>
            </w:pPr>
            <w:r>
              <w:rPr>
                <w:rFonts w:ascii="Arial" w:cs="Arial" w:eastAsia="Arial" w:hAnsi="Arial"/>
                <w:sz w:val="17"/>
                <w:szCs w:val="17"/>
                <w:color w:val="auto"/>
              </w:rPr>
              <w:t>100,000</w:t>
            </w:r>
          </w:p>
        </w:tc>
        <w:tc>
          <w:tcPr>
            <w:tcW w:w="102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60,000</w:t>
            </w:r>
          </w:p>
        </w:tc>
        <w:tc>
          <w:tcPr>
            <w:tcW w:w="11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280,000</w:t>
            </w:r>
          </w:p>
        </w:tc>
      </w:tr>
      <w:tr>
        <w:trPr>
          <w:trHeight w:val="233"/>
        </w:trPr>
        <w:tc>
          <w:tcPr>
            <w:tcW w:w="7320" w:type="dxa"/>
            <w:vAlign w:val="bottom"/>
            <w:shd w:val="clear" w:color="auto" w:fill="C0C0C0"/>
          </w:tcPr>
          <w:p>
            <w:pPr>
              <w:spacing w:after="0"/>
              <w:rPr>
                <w:sz w:val="20"/>
                <w:szCs w:val="20"/>
                <w:color w:val="auto"/>
              </w:rPr>
            </w:pPr>
          </w:p>
        </w:tc>
        <w:tc>
          <w:tcPr>
            <w:tcW w:w="760" w:type="dxa"/>
            <w:vAlign w:val="bottom"/>
            <w:shd w:val="clear" w:color="auto" w:fill="C0C0C0"/>
          </w:tcPr>
          <w:p>
            <w:pPr>
              <w:jc w:val="center"/>
              <w:ind w:left="17"/>
              <w:spacing w:after="0"/>
              <w:rPr>
                <w:sz w:val="20"/>
                <w:szCs w:val="20"/>
                <w:color w:val="auto"/>
              </w:rPr>
            </w:pPr>
            <w:r>
              <w:rPr>
                <w:rFonts w:ascii="Arial" w:cs="Arial" w:eastAsia="Arial" w:hAnsi="Arial"/>
                <w:sz w:val="17"/>
                <w:szCs w:val="17"/>
                <w:color w:val="auto"/>
              </w:rPr>
              <w:t>2006</w:t>
            </w:r>
          </w:p>
        </w:tc>
        <w:tc>
          <w:tcPr>
            <w:tcW w:w="1160" w:type="dxa"/>
            <w:vAlign w:val="bottom"/>
            <w:shd w:val="clear" w:color="auto" w:fill="C0C0C0"/>
          </w:tcPr>
          <w:p>
            <w:pPr>
              <w:jc w:val="right"/>
              <w:ind w:right="198"/>
              <w:spacing w:after="0"/>
              <w:rPr>
                <w:sz w:val="20"/>
                <w:szCs w:val="20"/>
                <w:color w:val="auto"/>
              </w:rPr>
            </w:pPr>
            <w:r>
              <w:rPr>
                <w:rFonts w:ascii="Arial" w:cs="Arial" w:eastAsia="Arial" w:hAnsi="Arial"/>
                <w:sz w:val="17"/>
                <w:szCs w:val="17"/>
                <w:color w:val="auto"/>
              </w:rPr>
              <w:t>100,000</w:t>
            </w:r>
          </w:p>
        </w:tc>
        <w:tc>
          <w:tcPr>
            <w:tcW w:w="102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150,000*</w:t>
            </w:r>
          </w:p>
        </w:tc>
        <w:tc>
          <w:tcPr>
            <w:tcW w:w="11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550,000*</w:t>
            </w:r>
          </w:p>
        </w:tc>
      </w:tr>
      <w:tr>
        <w:trPr>
          <w:trHeight w:val="236"/>
        </w:trPr>
        <w:tc>
          <w:tcPr>
            <w:tcW w:w="7320" w:type="dxa"/>
            <w:vAlign w:val="bottom"/>
          </w:tcPr>
          <w:p>
            <w:pPr>
              <w:spacing w:after="0"/>
              <w:rPr>
                <w:sz w:val="20"/>
                <w:szCs w:val="20"/>
                <w:color w:val="auto"/>
              </w:rPr>
            </w:pPr>
            <w:r>
              <w:rPr>
                <w:rFonts w:ascii="Arial" w:cs="Arial" w:eastAsia="Arial" w:hAnsi="Arial"/>
                <w:sz w:val="17"/>
                <w:szCs w:val="17"/>
                <w:color w:val="auto"/>
              </w:rPr>
              <w:t>Mr. Ritchie</w:t>
            </w:r>
          </w:p>
        </w:tc>
        <w:tc>
          <w:tcPr>
            <w:tcW w:w="760" w:type="dxa"/>
            <w:vAlign w:val="bottom"/>
          </w:tcPr>
          <w:p>
            <w:pPr>
              <w:jc w:val="center"/>
              <w:ind w:left="17"/>
              <w:spacing w:after="0"/>
              <w:rPr>
                <w:sz w:val="20"/>
                <w:szCs w:val="20"/>
                <w:color w:val="auto"/>
              </w:rPr>
            </w:pPr>
            <w:r>
              <w:rPr>
                <w:rFonts w:ascii="Arial" w:cs="Arial" w:eastAsia="Arial" w:hAnsi="Arial"/>
                <w:sz w:val="17"/>
                <w:szCs w:val="17"/>
                <w:color w:val="auto"/>
              </w:rPr>
              <w:t>2008</w:t>
            </w:r>
          </w:p>
        </w:tc>
        <w:tc>
          <w:tcPr>
            <w:tcW w:w="1160" w:type="dxa"/>
            <w:vAlign w:val="bottom"/>
          </w:tcPr>
          <w:p>
            <w:pPr>
              <w:jc w:val="right"/>
              <w:ind w:right="198"/>
              <w:spacing w:after="0"/>
              <w:rPr>
                <w:sz w:val="20"/>
                <w:szCs w:val="20"/>
                <w:color w:val="auto"/>
              </w:rPr>
            </w:pPr>
            <w:r>
              <w:rPr>
                <w:rFonts w:ascii="Arial" w:cs="Arial" w:eastAsia="Arial" w:hAnsi="Arial"/>
                <w:sz w:val="17"/>
                <w:szCs w:val="17"/>
                <w:color w:val="auto"/>
              </w:rPr>
              <w:t>100,000</w:t>
            </w:r>
          </w:p>
        </w:tc>
        <w:tc>
          <w:tcPr>
            <w:tcW w:w="1020" w:type="dxa"/>
            <w:vAlign w:val="bottom"/>
          </w:tcPr>
          <w:p>
            <w:pPr>
              <w:jc w:val="right"/>
              <w:ind w:right="139"/>
              <w:spacing w:after="0"/>
              <w:rPr>
                <w:sz w:val="20"/>
                <w:szCs w:val="20"/>
                <w:color w:val="auto"/>
              </w:rPr>
            </w:pPr>
            <w:r>
              <w:rPr>
                <w:rFonts w:ascii="Arial" w:cs="Arial" w:eastAsia="Arial" w:hAnsi="Arial"/>
                <w:sz w:val="17"/>
                <w:szCs w:val="17"/>
                <w:color w:val="auto"/>
              </w:rPr>
              <w:t>50,000</w:t>
            </w:r>
          </w:p>
        </w:tc>
        <w:tc>
          <w:tcPr>
            <w:tcW w:w="1160" w:type="dxa"/>
            <w:vAlign w:val="bottom"/>
          </w:tcPr>
          <w:p>
            <w:pPr>
              <w:ind w:left="320"/>
              <w:spacing w:after="0"/>
              <w:rPr>
                <w:sz w:val="20"/>
                <w:szCs w:val="20"/>
                <w:color w:val="auto"/>
              </w:rPr>
            </w:pPr>
            <w:r>
              <w:rPr>
                <w:rFonts w:ascii="Arial" w:cs="Arial" w:eastAsia="Arial" w:hAnsi="Arial"/>
                <w:sz w:val="17"/>
                <w:szCs w:val="17"/>
                <w:color w:val="auto"/>
              </w:rPr>
              <w:t>250,000</w:t>
            </w:r>
          </w:p>
        </w:tc>
      </w:tr>
      <w:tr>
        <w:trPr>
          <w:trHeight w:val="194"/>
        </w:trPr>
        <w:tc>
          <w:tcPr>
            <w:tcW w:w="7320" w:type="dxa"/>
            <w:vAlign w:val="bottom"/>
          </w:tcPr>
          <w:p>
            <w:pPr>
              <w:spacing w:after="0"/>
              <w:rPr>
                <w:sz w:val="16"/>
                <w:szCs w:val="16"/>
                <w:color w:val="auto"/>
              </w:rPr>
            </w:pPr>
          </w:p>
        </w:tc>
        <w:tc>
          <w:tcPr>
            <w:tcW w:w="760" w:type="dxa"/>
            <w:vAlign w:val="bottom"/>
          </w:tcPr>
          <w:p>
            <w:pPr>
              <w:jc w:val="center"/>
              <w:ind w:left="17"/>
              <w:spacing w:after="0" w:line="194" w:lineRule="exact"/>
              <w:rPr>
                <w:sz w:val="20"/>
                <w:szCs w:val="20"/>
                <w:color w:val="auto"/>
              </w:rPr>
            </w:pPr>
            <w:r>
              <w:rPr>
                <w:rFonts w:ascii="Arial" w:cs="Arial" w:eastAsia="Arial" w:hAnsi="Arial"/>
                <w:sz w:val="17"/>
                <w:szCs w:val="17"/>
                <w:color w:val="auto"/>
              </w:rPr>
              <w:t>2007</w:t>
            </w:r>
          </w:p>
        </w:tc>
        <w:tc>
          <w:tcPr>
            <w:tcW w:w="1160" w:type="dxa"/>
            <w:vAlign w:val="bottom"/>
          </w:tcPr>
          <w:p>
            <w:pPr>
              <w:jc w:val="right"/>
              <w:ind w:right="198"/>
              <w:spacing w:after="0" w:line="194" w:lineRule="exact"/>
              <w:rPr>
                <w:sz w:val="20"/>
                <w:szCs w:val="20"/>
                <w:color w:val="auto"/>
              </w:rPr>
            </w:pPr>
            <w:r>
              <w:rPr>
                <w:rFonts w:ascii="Arial" w:cs="Arial" w:eastAsia="Arial" w:hAnsi="Arial"/>
                <w:sz w:val="17"/>
                <w:szCs w:val="17"/>
                <w:color w:val="auto"/>
              </w:rPr>
              <w:t>100,000</w:t>
            </w:r>
          </w:p>
        </w:tc>
        <w:tc>
          <w:tcPr>
            <w:tcW w:w="1020" w:type="dxa"/>
            <w:vAlign w:val="bottom"/>
          </w:tcPr>
          <w:p>
            <w:pPr>
              <w:jc w:val="right"/>
              <w:ind w:right="139"/>
              <w:spacing w:after="0" w:line="194" w:lineRule="exact"/>
              <w:rPr>
                <w:sz w:val="20"/>
                <w:szCs w:val="20"/>
                <w:color w:val="auto"/>
              </w:rPr>
            </w:pPr>
            <w:r>
              <w:rPr>
                <w:rFonts w:ascii="Arial" w:cs="Arial" w:eastAsia="Arial" w:hAnsi="Arial"/>
                <w:sz w:val="17"/>
                <w:szCs w:val="17"/>
                <w:color w:val="auto"/>
              </w:rPr>
              <w:t>50,000</w:t>
            </w:r>
          </w:p>
        </w:tc>
        <w:tc>
          <w:tcPr>
            <w:tcW w:w="1160" w:type="dxa"/>
            <w:vAlign w:val="bottom"/>
          </w:tcPr>
          <w:p>
            <w:pPr>
              <w:ind w:left="320"/>
              <w:spacing w:after="0" w:line="194" w:lineRule="exact"/>
              <w:rPr>
                <w:sz w:val="20"/>
                <w:szCs w:val="20"/>
                <w:color w:val="auto"/>
              </w:rPr>
            </w:pPr>
            <w:r>
              <w:rPr>
                <w:rFonts w:ascii="Arial" w:cs="Arial" w:eastAsia="Arial" w:hAnsi="Arial"/>
                <w:sz w:val="17"/>
                <w:szCs w:val="17"/>
                <w:color w:val="auto"/>
              </w:rPr>
              <w:t>250,000</w:t>
            </w:r>
          </w:p>
        </w:tc>
      </w:tr>
      <w:tr>
        <w:trPr>
          <w:trHeight w:val="191"/>
        </w:trPr>
        <w:tc>
          <w:tcPr>
            <w:tcW w:w="7320" w:type="dxa"/>
            <w:vAlign w:val="bottom"/>
          </w:tcPr>
          <w:p>
            <w:pPr>
              <w:spacing w:after="0"/>
              <w:rPr>
                <w:sz w:val="16"/>
                <w:szCs w:val="16"/>
                <w:color w:val="auto"/>
              </w:rPr>
            </w:pPr>
          </w:p>
        </w:tc>
        <w:tc>
          <w:tcPr>
            <w:tcW w:w="760" w:type="dxa"/>
            <w:vAlign w:val="bottom"/>
          </w:tcPr>
          <w:p>
            <w:pPr>
              <w:jc w:val="center"/>
              <w:ind w:left="17"/>
              <w:spacing w:after="0" w:line="191" w:lineRule="exact"/>
              <w:rPr>
                <w:sz w:val="20"/>
                <w:szCs w:val="20"/>
                <w:color w:val="auto"/>
              </w:rPr>
            </w:pPr>
            <w:r>
              <w:rPr>
                <w:rFonts w:ascii="Arial" w:cs="Arial" w:eastAsia="Arial" w:hAnsi="Arial"/>
                <w:sz w:val="17"/>
                <w:szCs w:val="17"/>
                <w:color w:val="auto"/>
              </w:rPr>
              <w:t>2006</w:t>
            </w:r>
          </w:p>
        </w:tc>
        <w:tc>
          <w:tcPr>
            <w:tcW w:w="1160" w:type="dxa"/>
            <w:vAlign w:val="bottom"/>
          </w:tcPr>
          <w:p>
            <w:pPr>
              <w:jc w:val="right"/>
              <w:ind w:right="198"/>
              <w:spacing w:after="0" w:line="191" w:lineRule="exact"/>
              <w:rPr>
                <w:sz w:val="20"/>
                <w:szCs w:val="20"/>
                <w:color w:val="auto"/>
              </w:rPr>
            </w:pPr>
            <w:r>
              <w:rPr>
                <w:rFonts w:ascii="Arial" w:cs="Arial" w:eastAsia="Arial" w:hAnsi="Arial"/>
                <w:sz w:val="17"/>
                <w:szCs w:val="17"/>
                <w:color w:val="auto"/>
              </w:rPr>
              <w:t>100,000</w:t>
            </w:r>
          </w:p>
        </w:tc>
        <w:tc>
          <w:tcPr>
            <w:tcW w:w="1020" w:type="dxa"/>
            <w:vAlign w:val="bottom"/>
          </w:tcPr>
          <w:p>
            <w:pPr>
              <w:jc w:val="right"/>
              <w:ind w:right="139"/>
              <w:spacing w:after="0" w:line="191" w:lineRule="exact"/>
              <w:rPr>
                <w:sz w:val="20"/>
                <w:szCs w:val="20"/>
                <w:color w:val="auto"/>
              </w:rPr>
            </w:pPr>
            <w:r>
              <w:rPr>
                <w:rFonts w:ascii="Arial" w:cs="Arial" w:eastAsia="Arial" w:hAnsi="Arial"/>
                <w:sz w:val="17"/>
                <w:szCs w:val="17"/>
                <w:color w:val="auto"/>
              </w:rPr>
              <w:t>50,000</w:t>
            </w:r>
          </w:p>
        </w:tc>
        <w:tc>
          <w:tcPr>
            <w:tcW w:w="1160" w:type="dxa"/>
            <w:vAlign w:val="bottom"/>
          </w:tcPr>
          <w:p>
            <w:pPr>
              <w:ind w:left="320"/>
              <w:spacing w:after="0" w:line="191" w:lineRule="exact"/>
              <w:rPr>
                <w:sz w:val="20"/>
                <w:szCs w:val="20"/>
                <w:color w:val="auto"/>
              </w:rPr>
            </w:pPr>
            <w:r>
              <w:rPr>
                <w:rFonts w:ascii="Arial" w:cs="Arial" w:eastAsia="Arial" w:hAnsi="Arial"/>
                <w:sz w:val="17"/>
                <w:szCs w:val="17"/>
                <w:color w:val="auto"/>
              </w:rPr>
              <w:t>250,000</w:t>
            </w:r>
          </w:p>
        </w:tc>
      </w:tr>
      <w:tr>
        <w:trPr>
          <w:trHeight w:val="194"/>
        </w:trPr>
        <w:tc>
          <w:tcPr>
            <w:tcW w:w="732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Mr. Hames</w:t>
            </w:r>
          </w:p>
        </w:tc>
        <w:tc>
          <w:tcPr>
            <w:tcW w:w="760" w:type="dxa"/>
            <w:vAlign w:val="bottom"/>
            <w:shd w:val="clear" w:color="auto" w:fill="C0C0C0"/>
          </w:tcPr>
          <w:p>
            <w:pPr>
              <w:jc w:val="center"/>
              <w:ind w:left="17"/>
              <w:spacing w:after="0" w:line="194" w:lineRule="exact"/>
              <w:rPr>
                <w:sz w:val="20"/>
                <w:szCs w:val="20"/>
                <w:color w:val="auto"/>
              </w:rPr>
            </w:pPr>
            <w:r>
              <w:rPr>
                <w:rFonts w:ascii="Arial" w:cs="Arial" w:eastAsia="Arial" w:hAnsi="Arial"/>
                <w:sz w:val="17"/>
                <w:szCs w:val="17"/>
                <w:color w:val="auto"/>
              </w:rPr>
              <w:t>2008</w:t>
            </w:r>
          </w:p>
        </w:tc>
        <w:tc>
          <w:tcPr>
            <w:tcW w:w="1160" w:type="dxa"/>
            <w:vAlign w:val="bottom"/>
            <w:shd w:val="clear" w:color="auto" w:fill="C0C0C0"/>
          </w:tcPr>
          <w:p>
            <w:pPr>
              <w:jc w:val="right"/>
              <w:ind w:right="198"/>
              <w:spacing w:after="0" w:line="194" w:lineRule="exact"/>
              <w:rPr>
                <w:sz w:val="20"/>
                <w:szCs w:val="20"/>
                <w:color w:val="auto"/>
              </w:rPr>
            </w:pPr>
            <w:r>
              <w:rPr>
                <w:rFonts w:ascii="Arial" w:cs="Arial" w:eastAsia="Arial" w:hAnsi="Arial"/>
                <w:sz w:val="17"/>
                <w:szCs w:val="17"/>
                <w:color w:val="auto"/>
              </w:rPr>
              <w:t>75,000</w:t>
            </w:r>
          </w:p>
        </w:tc>
        <w:tc>
          <w:tcPr>
            <w:tcW w:w="102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45,000</w:t>
            </w:r>
          </w:p>
        </w:tc>
        <w:tc>
          <w:tcPr>
            <w:tcW w:w="1160" w:type="dxa"/>
            <w:vAlign w:val="bottom"/>
            <w:shd w:val="clear" w:color="auto" w:fill="C0C0C0"/>
          </w:tcPr>
          <w:p>
            <w:pPr>
              <w:ind w:left="320"/>
              <w:spacing w:after="0" w:line="194" w:lineRule="exact"/>
              <w:rPr>
                <w:sz w:val="20"/>
                <w:szCs w:val="20"/>
                <w:color w:val="auto"/>
              </w:rPr>
            </w:pPr>
            <w:r>
              <w:rPr>
                <w:rFonts w:ascii="Arial" w:cs="Arial" w:eastAsia="Arial" w:hAnsi="Arial"/>
                <w:sz w:val="17"/>
                <w:szCs w:val="17"/>
                <w:color w:val="auto"/>
              </w:rPr>
              <w:t>210,000</w:t>
            </w:r>
          </w:p>
        </w:tc>
      </w:tr>
      <w:tr>
        <w:trPr>
          <w:trHeight w:val="194"/>
        </w:trPr>
        <w:tc>
          <w:tcPr>
            <w:tcW w:w="7320" w:type="dxa"/>
            <w:vAlign w:val="bottom"/>
            <w:shd w:val="clear" w:color="auto" w:fill="C0C0C0"/>
          </w:tcPr>
          <w:p>
            <w:pPr>
              <w:spacing w:after="0"/>
              <w:rPr>
                <w:sz w:val="16"/>
                <w:szCs w:val="16"/>
                <w:color w:val="auto"/>
              </w:rPr>
            </w:pPr>
          </w:p>
        </w:tc>
        <w:tc>
          <w:tcPr>
            <w:tcW w:w="760" w:type="dxa"/>
            <w:vAlign w:val="bottom"/>
            <w:shd w:val="clear" w:color="auto" w:fill="C0C0C0"/>
          </w:tcPr>
          <w:p>
            <w:pPr>
              <w:jc w:val="center"/>
              <w:ind w:left="17"/>
              <w:spacing w:after="0" w:line="194" w:lineRule="exact"/>
              <w:rPr>
                <w:sz w:val="20"/>
                <w:szCs w:val="20"/>
                <w:color w:val="auto"/>
              </w:rPr>
            </w:pPr>
            <w:r>
              <w:rPr>
                <w:rFonts w:ascii="Arial" w:cs="Arial" w:eastAsia="Arial" w:hAnsi="Arial"/>
                <w:sz w:val="17"/>
                <w:szCs w:val="17"/>
                <w:color w:val="auto"/>
              </w:rPr>
              <w:t>2007</w:t>
            </w:r>
          </w:p>
        </w:tc>
        <w:tc>
          <w:tcPr>
            <w:tcW w:w="1160" w:type="dxa"/>
            <w:vAlign w:val="bottom"/>
            <w:shd w:val="clear" w:color="auto" w:fill="C0C0C0"/>
          </w:tcPr>
          <w:p>
            <w:pPr>
              <w:jc w:val="right"/>
              <w:ind w:right="198"/>
              <w:spacing w:after="0" w:line="194" w:lineRule="exact"/>
              <w:rPr>
                <w:sz w:val="20"/>
                <w:szCs w:val="20"/>
                <w:color w:val="auto"/>
              </w:rPr>
            </w:pPr>
            <w:r>
              <w:rPr>
                <w:rFonts w:ascii="Arial" w:cs="Arial" w:eastAsia="Arial" w:hAnsi="Arial"/>
                <w:sz w:val="17"/>
                <w:szCs w:val="17"/>
                <w:color w:val="auto"/>
              </w:rPr>
              <w:t>75,000</w:t>
            </w:r>
          </w:p>
        </w:tc>
        <w:tc>
          <w:tcPr>
            <w:tcW w:w="1020" w:type="dxa"/>
            <w:vAlign w:val="bottom"/>
            <w:shd w:val="clear" w:color="auto" w:fill="C0C0C0"/>
          </w:tcPr>
          <w:p>
            <w:pPr>
              <w:jc w:val="right"/>
              <w:ind w:right="139"/>
              <w:spacing w:after="0" w:line="194" w:lineRule="exact"/>
              <w:rPr>
                <w:sz w:val="20"/>
                <w:szCs w:val="20"/>
                <w:color w:val="auto"/>
              </w:rPr>
            </w:pPr>
            <w:r>
              <w:rPr>
                <w:rFonts w:ascii="Arial" w:cs="Arial" w:eastAsia="Arial" w:hAnsi="Arial"/>
                <w:sz w:val="17"/>
                <w:szCs w:val="17"/>
                <w:color w:val="auto"/>
              </w:rPr>
              <w:t>45,000</w:t>
            </w:r>
          </w:p>
        </w:tc>
        <w:tc>
          <w:tcPr>
            <w:tcW w:w="1160" w:type="dxa"/>
            <w:vAlign w:val="bottom"/>
            <w:shd w:val="clear" w:color="auto" w:fill="C0C0C0"/>
          </w:tcPr>
          <w:p>
            <w:pPr>
              <w:ind w:left="320"/>
              <w:spacing w:after="0" w:line="194" w:lineRule="exact"/>
              <w:rPr>
                <w:sz w:val="20"/>
                <w:szCs w:val="20"/>
                <w:color w:val="auto"/>
              </w:rPr>
            </w:pPr>
            <w:r>
              <w:rPr>
                <w:rFonts w:ascii="Arial" w:cs="Arial" w:eastAsia="Arial" w:hAnsi="Arial"/>
                <w:sz w:val="17"/>
                <w:szCs w:val="17"/>
                <w:color w:val="auto"/>
              </w:rPr>
              <w:t>210,000</w:t>
            </w:r>
          </w:p>
        </w:tc>
      </w:tr>
      <w:tr>
        <w:trPr>
          <w:trHeight w:val="233"/>
        </w:trPr>
        <w:tc>
          <w:tcPr>
            <w:tcW w:w="7320" w:type="dxa"/>
            <w:vAlign w:val="bottom"/>
            <w:shd w:val="clear" w:color="auto" w:fill="C0C0C0"/>
          </w:tcPr>
          <w:p>
            <w:pPr>
              <w:spacing w:after="0"/>
              <w:rPr>
                <w:sz w:val="20"/>
                <w:szCs w:val="20"/>
                <w:color w:val="auto"/>
              </w:rPr>
            </w:pPr>
          </w:p>
        </w:tc>
        <w:tc>
          <w:tcPr>
            <w:tcW w:w="760" w:type="dxa"/>
            <w:vAlign w:val="bottom"/>
            <w:shd w:val="clear" w:color="auto" w:fill="C0C0C0"/>
          </w:tcPr>
          <w:p>
            <w:pPr>
              <w:jc w:val="center"/>
              <w:ind w:left="17"/>
              <w:spacing w:after="0"/>
              <w:rPr>
                <w:sz w:val="20"/>
                <w:szCs w:val="20"/>
                <w:color w:val="auto"/>
              </w:rPr>
            </w:pPr>
            <w:r>
              <w:rPr>
                <w:rFonts w:ascii="Arial" w:cs="Arial" w:eastAsia="Arial" w:hAnsi="Arial"/>
                <w:sz w:val="17"/>
                <w:szCs w:val="17"/>
                <w:color w:val="auto"/>
              </w:rPr>
              <w:t>2006</w:t>
            </w:r>
          </w:p>
        </w:tc>
        <w:tc>
          <w:tcPr>
            <w:tcW w:w="1160" w:type="dxa"/>
            <w:vAlign w:val="bottom"/>
            <w:shd w:val="clear" w:color="auto" w:fill="C0C0C0"/>
          </w:tcPr>
          <w:p>
            <w:pPr>
              <w:jc w:val="right"/>
              <w:ind w:right="198"/>
              <w:spacing w:after="0"/>
              <w:rPr>
                <w:sz w:val="20"/>
                <w:szCs w:val="20"/>
                <w:color w:val="auto"/>
              </w:rPr>
            </w:pPr>
            <w:r>
              <w:rPr>
                <w:rFonts w:ascii="Arial" w:cs="Arial" w:eastAsia="Arial" w:hAnsi="Arial"/>
                <w:sz w:val="17"/>
                <w:szCs w:val="17"/>
                <w:color w:val="auto"/>
              </w:rPr>
              <w:t>80,000</w:t>
            </w:r>
          </w:p>
        </w:tc>
        <w:tc>
          <w:tcPr>
            <w:tcW w:w="1020" w:type="dxa"/>
            <w:vAlign w:val="bottom"/>
            <w:shd w:val="clear" w:color="auto" w:fill="C0C0C0"/>
          </w:tcPr>
          <w:p>
            <w:pPr>
              <w:jc w:val="right"/>
              <w:ind w:right="139"/>
              <w:spacing w:after="0"/>
              <w:rPr>
                <w:sz w:val="20"/>
                <w:szCs w:val="20"/>
                <w:color w:val="auto"/>
              </w:rPr>
            </w:pPr>
            <w:r>
              <w:rPr>
                <w:rFonts w:ascii="Arial" w:cs="Arial" w:eastAsia="Arial" w:hAnsi="Arial"/>
                <w:sz w:val="17"/>
                <w:szCs w:val="17"/>
                <w:color w:val="auto"/>
              </w:rPr>
              <w:t>50,000</w:t>
            </w:r>
          </w:p>
        </w:tc>
        <w:tc>
          <w:tcPr>
            <w:tcW w:w="11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230,000</w:t>
            </w:r>
          </w:p>
        </w:tc>
      </w:tr>
    </w:tbl>
    <w:p>
      <w:pPr>
        <w:spacing w:after="0" w:line="236" w:lineRule="exact"/>
        <w:rPr>
          <w:sz w:val="20"/>
          <w:szCs w:val="20"/>
          <w:color w:val="auto"/>
        </w:rPr>
      </w:pPr>
    </w:p>
    <w:p>
      <w:pPr>
        <w:ind w:left="340" w:hanging="336"/>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 June 2006 retention grant of 100,000 restricted stock units made in connection with his assuming additional responsibilities.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All grants of equity compensation were made under the Texas Instruments 2000 Long-Term Incentive Plan, which stockholders approved in April 2000.</w:t>
      </w:r>
    </w:p>
    <w:p>
      <w:pPr>
        <w:spacing w:after="0"/>
        <w:rPr>
          <w:sz w:val="20"/>
          <w:szCs w:val="20"/>
          <w:color w:val="auto"/>
        </w:rPr>
      </w:pPr>
      <w:r>
        <w:rPr>
          <w:rFonts w:ascii="Arial" w:cs="Arial" w:eastAsia="Arial" w:hAnsi="Arial"/>
          <w:sz w:val="17"/>
          <w:szCs w:val="17"/>
          <w:color w:val="auto"/>
        </w:rPr>
        <w:t>The grants have the terms described on pages 76-77.</w:t>
      </w:r>
    </w:p>
    <w:p>
      <w:pPr>
        <w:spacing w:after="0" w:line="20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xml:space="preserve"> – In January 2009, the committee set the 2008 bonus compensation for executive officers based on its assessment of 2008 performance. The committee considered the bonus amount specified by the Executive Officer Performance Plan. In deciding whether to reduce that amount, the committee used the following performance measures to assess the company:</w:t>
      </w:r>
    </w:p>
    <w:p>
      <w:pPr>
        <w:spacing w:after="0" w:line="1" w:lineRule="exact"/>
        <w:rPr>
          <w:sz w:val="20"/>
          <w:szCs w:val="20"/>
          <w:color w:val="auto"/>
        </w:rPr>
      </w:pPr>
    </w:p>
    <w:p>
      <w:pPr>
        <w:ind w:left="260" w:right="2460" w:firstLine="259"/>
        <w:spacing w:after="0" w:line="469" w:lineRule="auto"/>
        <w:rPr>
          <w:sz w:val="20"/>
          <w:szCs w:val="20"/>
          <w:color w:val="auto"/>
        </w:rPr>
      </w:pPr>
      <w:r>
        <w:rPr>
          <w:rFonts w:ascii="Arial" w:cs="Arial" w:eastAsia="Arial" w:hAnsi="Arial"/>
          <w:sz w:val="17"/>
          <w:szCs w:val="17"/>
          <w:color w:val="auto"/>
        </w:rPr>
        <w:t>The relative one-year and three-year performance of TI as compared with competitor companies, as measured by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-449580</wp:posOffset>
            </wp:positionV>
            <wp:extent cx="58420" cy="584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-211455</wp:posOffset>
            </wp:positionV>
            <wp:extent cx="58420" cy="584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943" w:orient="portrait"/>
          <w:cols w:equalWidth="0" w:num="1">
            <w:col w:w="11440"/>
          </w:cols>
          <w:pgMar w:left="240" w:top="143" w:right="219" w:bottom="0" w:gutter="0" w:footer="0" w:header="0"/>
        </w:sectPr>
      </w:pPr>
    </w:p>
    <w:bookmarkStart w:id="12" w:name="page13"/>
    <w:bookmarkEnd w:id="12"/>
    <w:p>
      <w:pPr>
        <w:ind w:left="260"/>
        <w:spacing w:after="0"/>
        <w:rPr>
          <w:sz w:val="20"/>
          <w:szCs w:val="20"/>
          <w:color w:val="auto"/>
        </w:rPr>
      </w:pPr>
      <w:r>
        <w:rPr>
          <w:rFonts w:ascii="Arial" w:cs="Arial" w:eastAsia="Arial" w:hAnsi="Arial"/>
          <w:sz w:val="17"/>
          <w:szCs w:val="17"/>
          <w:color w:val="auto"/>
        </w:rPr>
        <w:t>operating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-88900</wp:posOffset>
            </wp:positionV>
            <wp:extent cx="58420" cy="58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total shareholder return;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-88900</wp:posOffset>
            </wp:positionV>
            <wp:extent cx="58420" cy="58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absolute one-year and three-year performance of TI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86" w:lineRule="exact"/>
        <w:rPr>
          <w:sz w:val="20"/>
          <w:szCs w:val="20"/>
          <w:color w:val="auto"/>
        </w:rPr>
      </w:pPr>
    </w:p>
    <w:p>
      <w:pPr>
        <w:ind w:right="740" w:firstLine="259"/>
        <w:spacing w:after="0" w:line="262" w:lineRule="auto"/>
        <w:rPr>
          <w:sz w:val="20"/>
          <w:szCs w:val="20"/>
          <w:color w:val="auto"/>
        </w:rPr>
      </w:pPr>
      <w:r>
        <w:rPr>
          <w:rFonts w:ascii="Arial" w:cs="Arial" w:eastAsia="Arial" w:hAnsi="Arial"/>
          <w:sz w:val="17"/>
          <w:szCs w:val="17"/>
          <w:color w:val="auto"/>
        </w:rPr>
        <w:t>In addition, the committee considered our strategic progress by reviewing how competitive we are in key markets with our core products and technologies, as well as the strength of our relationships with key customers.</w:t>
      </w:r>
    </w:p>
    <w:p>
      <w:pPr>
        <w:spacing w:after="0" w:line="1" w:lineRule="exact"/>
        <w:rPr>
          <w:sz w:val="20"/>
          <w:szCs w:val="20"/>
          <w:color w:val="auto"/>
        </w:rPr>
      </w:pPr>
    </w:p>
    <w:p>
      <w:pPr>
        <w:ind w:right="20" w:firstLine="259"/>
        <w:spacing w:after="0" w:line="241" w:lineRule="auto"/>
        <w:rPr>
          <w:sz w:val="20"/>
          <w:szCs w:val="20"/>
          <w:color w:val="auto"/>
        </w:rPr>
      </w:pPr>
      <w:r>
        <w:rPr>
          <w:rFonts w:ascii="Arial" w:cs="Arial" w:eastAsia="Arial" w:hAnsi="Arial"/>
          <w:sz w:val="17"/>
          <w:szCs w:val="17"/>
          <w:color w:val="auto"/>
        </w:rPr>
        <w:t>One-year relative performance on the three measures and one-year strategic progress were the primary considerations in the committee’s assessment of the company’s 2008 performance. In assessing performance, the committee did not use formulas or pre-set thresholds or multiples. Because market conditions can quickly change in our industry, thresholds established at the beginning of a year could prove irrelevant by year-end. We believe the committee’s approach, which assesses the company’s relative performance in hindsight after year-end, gave it the insight to judge results and encouraged executives to pursue strategies that serve the long-term interests of the company and its shareholders.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comparison of relative performance, the committee used the following companies (the “competitor companies”):</w:t>
      </w:r>
      <w:r>
        <w:rPr>
          <w:rFonts w:ascii="Arial" w:cs="Arial" w:eastAsia="Arial" w:hAnsi="Arial"/>
          <w:sz w:val="28"/>
          <w:szCs w:val="28"/>
          <w:color w:val="auto"/>
          <w:vertAlign w:val="superscript"/>
        </w:rPr>
        <w:t>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20"/>
                <w:szCs w:val="20"/>
                <w:color w:val="auto"/>
              </w:rPr>
            </w:pPr>
            <w:r>
              <w:rPr>
                <w:rFonts w:ascii="Arial" w:cs="Arial" w:eastAsia="Arial" w:hAnsi="Arial"/>
                <w:sz w:val="17"/>
                <w:szCs w:val="17"/>
                <w:color w:val="auto"/>
              </w:rPr>
              <w:t>Advanced Micro Devices, Inc.</w:t>
            </w:r>
          </w:p>
        </w:tc>
        <w:tc>
          <w:tcPr>
            <w:tcW w:w="3540" w:type="dxa"/>
            <w:vAlign w:val="bottom"/>
          </w:tcPr>
          <w:p>
            <w:pPr>
              <w:ind w:left="340"/>
              <w:spacing w:after="0"/>
              <w:rPr>
                <w:sz w:val="20"/>
                <w:szCs w:val="20"/>
                <w:color w:val="auto"/>
              </w:rPr>
            </w:pPr>
            <w:r>
              <w:rPr>
                <w:rFonts w:ascii="Arial" w:cs="Arial" w:eastAsia="Arial" w:hAnsi="Arial"/>
                <w:sz w:val="17"/>
                <w:szCs w:val="17"/>
                <w:color w:val="auto"/>
              </w:rPr>
              <w:t>Intel Corporation</w:t>
            </w:r>
          </w:p>
        </w:tc>
        <w:tc>
          <w:tcPr>
            <w:tcW w:w="3320" w:type="dxa"/>
            <w:vAlign w:val="bottom"/>
          </w:tcPr>
          <w:p>
            <w:pPr>
              <w:ind w:left="600"/>
              <w:spacing w:after="0"/>
              <w:rPr>
                <w:sz w:val="20"/>
                <w:szCs w:val="20"/>
                <w:color w:val="auto"/>
              </w:rPr>
            </w:pPr>
            <w:r>
              <w:rPr>
                <w:rFonts w:ascii="Arial" w:cs="Arial" w:eastAsia="Arial" w:hAnsi="Arial"/>
                <w:sz w:val="17"/>
                <w:szCs w:val="17"/>
                <w:color w:val="auto"/>
                <w:w w:val="98"/>
              </w:rPr>
              <w:t>National Semiconductor Corporation</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Altera Corporation</w:t>
            </w:r>
          </w:p>
        </w:tc>
        <w:tc>
          <w:tcPr>
            <w:tcW w:w="3540" w:type="dxa"/>
            <w:vAlign w:val="bottom"/>
          </w:tcPr>
          <w:p>
            <w:pPr>
              <w:ind w:left="340"/>
              <w:spacing w:after="0" w:line="194" w:lineRule="exact"/>
              <w:rPr>
                <w:sz w:val="20"/>
                <w:szCs w:val="20"/>
                <w:color w:val="auto"/>
              </w:rPr>
            </w:pPr>
            <w:r>
              <w:rPr>
                <w:rFonts w:ascii="Arial" w:cs="Arial" w:eastAsia="Arial" w:hAnsi="Arial"/>
                <w:sz w:val="17"/>
                <w:szCs w:val="17"/>
                <w:color w:val="auto"/>
              </w:rPr>
              <w:t>Intersil Corporation</w:t>
            </w:r>
          </w:p>
        </w:tc>
        <w:tc>
          <w:tcPr>
            <w:tcW w:w="3320" w:type="dxa"/>
            <w:vAlign w:val="bottom"/>
          </w:tcPr>
          <w:p>
            <w:pPr>
              <w:ind w:left="600"/>
              <w:spacing w:after="0" w:line="194" w:lineRule="exact"/>
              <w:rPr>
                <w:sz w:val="20"/>
                <w:szCs w:val="20"/>
                <w:color w:val="auto"/>
              </w:rPr>
            </w:pPr>
            <w:r>
              <w:rPr>
                <w:rFonts w:ascii="Arial" w:cs="Arial" w:eastAsia="Arial" w:hAnsi="Arial"/>
                <w:sz w:val="17"/>
                <w:szCs w:val="17"/>
                <w:color w:val="auto"/>
              </w:rPr>
              <w:t>NVIDIA Corporation</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Analog Devices, Inc.</w:t>
            </w:r>
          </w:p>
        </w:tc>
        <w:tc>
          <w:tcPr>
            <w:tcW w:w="3540" w:type="dxa"/>
            <w:vAlign w:val="bottom"/>
          </w:tcPr>
          <w:p>
            <w:pPr>
              <w:ind w:left="340"/>
              <w:spacing w:after="0" w:line="194" w:lineRule="exact"/>
              <w:rPr>
                <w:sz w:val="20"/>
                <w:szCs w:val="20"/>
                <w:color w:val="auto"/>
              </w:rPr>
            </w:pPr>
            <w:r>
              <w:rPr>
                <w:rFonts w:ascii="Arial" w:cs="Arial" w:eastAsia="Arial" w:hAnsi="Arial"/>
                <w:sz w:val="17"/>
                <w:szCs w:val="17"/>
                <w:color w:val="auto"/>
              </w:rPr>
              <w:t>Linear Technology Corporation</w:t>
            </w:r>
          </w:p>
        </w:tc>
        <w:tc>
          <w:tcPr>
            <w:tcW w:w="3320" w:type="dxa"/>
            <w:vAlign w:val="bottom"/>
          </w:tcPr>
          <w:p>
            <w:pPr>
              <w:ind w:left="600"/>
              <w:spacing w:after="0" w:line="194" w:lineRule="exact"/>
              <w:rPr>
                <w:sz w:val="20"/>
                <w:szCs w:val="20"/>
                <w:color w:val="auto"/>
              </w:rPr>
            </w:pPr>
            <w:r>
              <w:rPr>
                <w:rFonts w:ascii="Arial" w:cs="Arial" w:eastAsia="Arial" w:hAnsi="Arial"/>
                <w:sz w:val="17"/>
                <w:szCs w:val="17"/>
                <w:color w:val="auto"/>
              </w:rPr>
              <w:t>ON Semiconductor Corporation</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Broadcom Corporation</w:t>
            </w:r>
          </w:p>
        </w:tc>
        <w:tc>
          <w:tcPr>
            <w:tcW w:w="3540" w:type="dxa"/>
            <w:vAlign w:val="bottom"/>
          </w:tcPr>
          <w:p>
            <w:pPr>
              <w:ind w:left="340"/>
              <w:spacing w:after="0" w:line="194" w:lineRule="exact"/>
              <w:rPr>
                <w:sz w:val="20"/>
                <w:szCs w:val="20"/>
                <w:color w:val="auto"/>
              </w:rPr>
            </w:pPr>
            <w:r>
              <w:rPr>
                <w:rFonts w:ascii="Arial" w:cs="Arial" w:eastAsia="Arial" w:hAnsi="Arial"/>
                <w:sz w:val="17"/>
                <w:szCs w:val="17"/>
                <w:color w:val="auto"/>
              </w:rPr>
              <w:t>LSI Logic Corporation</w:t>
            </w:r>
          </w:p>
        </w:tc>
        <w:tc>
          <w:tcPr>
            <w:tcW w:w="3320" w:type="dxa"/>
            <w:vAlign w:val="bottom"/>
          </w:tcPr>
          <w:p>
            <w:pPr>
              <w:ind w:left="600"/>
              <w:spacing w:after="0" w:line="194" w:lineRule="exact"/>
              <w:rPr>
                <w:sz w:val="20"/>
                <w:szCs w:val="20"/>
                <w:color w:val="auto"/>
              </w:rPr>
            </w:pPr>
            <w:r>
              <w:rPr>
                <w:rFonts w:ascii="Arial" w:cs="Arial" w:eastAsia="Arial" w:hAnsi="Arial"/>
                <w:sz w:val="17"/>
                <w:szCs w:val="17"/>
                <w:color w:val="auto"/>
              </w:rPr>
              <w:t>QUALCOMM Incorporated</w:t>
            </w:r>
          </w:p>
        </w:tc>
      </w:tr>
      <w:tr>
        <w:trPr>
          <w:trHeight w:val="194"/>
        </w:trPr>
        <w:tc>
          <w:tcPr>
            <w:tcW w:w="3480" w:type="dxa"/>
            <w:vAlign w:val="bottom"/>
          </w:tcPr>
          <w:p>
            <w:pPr>
              <w:spacing w:after="0" w:line="194" w:lineRule="exact"/>
              <w:rPr>
                <w:sz w:val="20"/>
                <w:szCs w:val="20"/>
                <w:color w:val="auto"/>
              </w:rPr>
            </w:pPr>
            <w:r>
              <w:rPr>
                <w:rFonts w:ascii="Arial" w:cs="Arial" w:eastAsia="Arial" w:hAnsi="Arial"/>
                <w:sz w:val="17"/>
                <w:szCs w:val="17"/>
                <w:color w:val="auto"/>
              </w:rPr>
              <w:t>Conexant Systems, Inc.</w:t>
            </w:r>
          </w:p>
        </w:tc>
        <w:tc>
          <w:tcPr>
            <w:tcW w:w="3540" w:type="dxa"/>
            <w:vAlign w:val="bottom"/>
          </w:tcPr>
          <w:p>
            <w:pPr>
              <w:ind w:left="340"/>
              <w:spacing w:after="0" w:line="194" w:lineRule="exact"/>
              <w:rPr>
                <w:sz w:val="20"/>
                <w:szCs w:val="20"/>
                <w:color w:val="auto"/>
              </w:rPr>
            </w:pPr>
            <w:r>
              <w:rPr>
                <w:rFonts w:ascii="Arial" w:cs="Arial" w:eastAsia="Arial" w:hAnsi="Arial"/>
                <w:sz w:val="17"/>
                <w:szCs w:val="17"/>
                <w:color w:val="auto"/>
              </w:rPr>
              <w:t>Marvell Technology Group Ltd.</w:t>
            </w:r>
          </w:p>
        </w:tc>
        <w:tc>
          <w:tcPr>
            <w:tcW w:w="3320" w:type="dxa"/>
            <w:vAlign w:val="bottom"/>
          </w:tcPr>
          <w:p>
            <w:pPr>
              <w:ind w:left="600"/>
              <w:spacing w:after="0" w:line="194" w:lineRule="exact"/>
              <w:rPr>
                <w:sz w:val="20"/>
                <w:szCs w:val="20"/>
                <w:color w:val="auto"/>
              </w:rPr>
            </w:pPr>
            <w:r>
              <w:rPr>
                <w:rFonts w:ascii="Arial" w:cs="Arial" w:eastAsia="Arial" w:hAnsi="Arial"/>
                <w:sz w:val="17"/>
                <w:szCs w:val="17"/>
                <w:color w:val="auto"/>
              </w:rPr>
              <w:t>STMicroelectronics N.V.</w:t>
            </w:r>
          </w:p>
        </w:tc>
      </w:tr>
      <w:tr>
        <w:trPr>
          <w:trHeight w:val="202"/>
        </w:trPr>
        <w:tc>
          <w:tcPr>
            <w:tcW w:w="3480" w:type="dxa"/>
            <w:vAlign w:val="bottom"/>
          </w:tcPr>
          <w:p>
            <w:pPr>
              <w:spacing w:after="0"/>
              <w:rPr>
                <w:sz w:val="20"/>
                <w:szCs w:val="20"/>
                <w:color w:val="auto"/>
              </w:rPr>
            </w:pPr>
            <w:r>
              <w:rPr>
                <w:rFonts w:ascii="Arial" w:cs="Arial" w:eastAsia="Arial" w:hAnsi="Arial"/>
                <w:sz w:val="17"/>
                <w:szCs w:val="17"/>
                <w:color w:val="auto"/>
              </w:rPr>
              <w:t>Fairchild Semiconductor International, Inc.</w:t>
            </w:r>
          </w:p>
        </w:tc>
        <w:tc>
          <w:tcPr>
            <w:tcW w:w="3540" w:type="dxa"/>
            <w:vAlign w:val="bottom"/>
          </w:tcPr>
          <w:p>
            <w:pPr>
              <w:ind w:left="340"/>
              <w:spacing w:after="0"/>
              <w:rPr>
                <w:sz w:val="20"/>
                <w:szCs w:val="20"/>
                <w:color w:val="auto"/>
              </w:rPr>
            </w:pPr>
            <w:r>
              <w:rPr>
                <w:rFonts w:ascii="Arial" w:cs="Arial" w:eastAsia="Arial" w:hAnsi="Arial"/>
                <w:sz w:val="17"/>
                <w:szCs w:val="17"/>
                <w:color w:val="auto"/>
              </w:rPr>
              <w:t>Maxim Integrated Products, Inc.</w:t>
            </w:r>
          </w:p>
        </w:tc>
        <w:tc>
          <w:tcPr>
            <w:tcW w:w="3320" w:type="dxa"/>
            <w:vAlign w:val="bottom"/>
          </w:tcPr>
          <w:p>
            <w:pPr>
              <w:ind w:left="600"/>
              <w:spacing w:after="0"/>
              <w:rPr>
                <w:sz w:val="20"/>
                <w:szCs w:val="20"/>
                <w:color w:val="auto"/>
              </w:rPr>
            </w:pPr>
            <w:r>
              <w:rPr>
                <w:rFonts w:ascii="Arial" w:cs="Arial" w:eastAsia="Arial" w:hAnsi="Arial"/>
                <w:sz w:val="17"/>
                <w:szCs w:val="17"/>
                <w:color w:val="auto"/>
              </w:rPr>
              <w:t>Xilinx, Inc.</w:t>
            </w:r>
          </w:p>
        </w:tc>
      </w:tr>
      <w:tr>
        <w:trPr>
          <w:trHeight w:val="233"/>
        </w:trPr>
        <w:tc>
          <w:tcPr>
            <w:tcW w:w="3480" w:type="dxa"/>
            <w:vAlign w:val="bottom"/>
          </w:tcPr>
          <w:p>
            <w:pPr>
              <w:spacing w:after="0"/>
              <w:rPr>
                <w:sz w:val="20"/>
                <w:szCs w:val="20"/>
                <w:color w:val="auto"/>
              </w:rPr>
            </w:pPr>
            <w:r>
              <w:rPr>
                <w:rFonts w:ascii="Arial" w:cs="Arial" w:eastAsia="Arial" w:hAnsi="Arial"/>
                <w:sz w:val="17"/>
                <w:szCs w:val="17"/>
                <w:color w:val="auto"/>
              </w:rPr>
              <w:t>Infineon Technologies AG</w:t>
            </w:r>
          </w:p>
        </w:tc>
        <w:tc>
          <w:tcPr>
            <w:tcW w:w="3540" w:type="dxa"/>
            <w:vAlign w:val="bottom"/>
          </w:tcPr>
          <w:p>
            <w:pPr>
              <w:ind w:left="340"/>
              <w:spacing w:after="0"/>
              <w:rPr>
                <w:sz w:val="20"/>
                <w:szCs w:val="20"/>
                <w:color w:val="auto"/>
              </w:rPr>
            </w:pPr>
            <w:r>
              <w:rPr>
                <w:rFonts w:ascii="Arial" w:cs="Arial" w:eastAsia="Arial" w:hAnsi="Arial"/>
                <w:sz w:val="17"/>
                <w:szCs w:val="17"/>
                <w:color w:val="auto"/>
              </w:rPr>
              <w:t>Microchip Technology Incorporated</w:t>
            </w:r>
          </w:p>
        </w:tc>
        <w:tc>
          <w:tcPr>
            <w:tcW w:w="3320" w:type="dxa"/>
            <w:vAlign w:val="bottom"/>
          </w:tcPr>
          <w:p>
            <w:pPr>
              <w:spacing w:after="0"/>
              <w:rPr>
                <w:sz w:val="20"/>
                <w:szCs w:val="20"/>
                <w:color w:val="auto"/>
              </w:rPr>
            </w:pPr>
          </w:p>
        </w:tc>
      </w:tr>
    </w:tbl>
    <w:p>
      <w:pPr>
        <w:spacing w:after="0" w:line="200" w:lineRule="exact"/>
        <w:rPr>
          <w:sz w:val="20"/>
          <w:szCs w:val="20"/>
          <w:color w:val="auto"/>
        </w:rPr>
      </w:pPr>
    </w:p>
    <w:p>
      <w:pPr>
        <w:spacing w:after="0" w:line="232"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These companies include broad-based and niche suppliers that operate in our key markets or offer technology that competes with our products. This list of companies was unchanged from the list used by the committee in January 2008 in assessing TI performance for purposes of setting the bonuses for 2007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6" w:lineRule="exact"/>
        <w:rPr>
          <w:sz w:val="20"/>
          <w:szCs w:val="20"/>
          <w:color w:val="auto"/>
        </w:rPr>
      </w:pPr>
    </w:p>
    <w:p>
      <w:pPr>
        <w:ind w:left="360" w:right="160" w:hanging="356"/>
        <w:spacing w:after="0" w:line="246"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extent the companies had not released financial results for the year or most recent quarter, the committee based its evaluation on estimates and projections of the companies’ financial results for 2008.</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[ 66 ]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259"/>
        <w:spacing w:after="0" w:line="242" w:lineRule="auto"/>
        <w:rPr>
          <w:sz w:val="20"/>
          <w:szCs w:val="20"/>
          <w:color w:val="auto"/>
        </w:rPr>
      </w:pPr>
      <w:r>
        <w:rPr>
          <w:rFonts w:ascii="Arial" w:cs="Arial" w:eastAsia="Arial" w:hAnsi="Arial"/>
          <w:sz w:val="17"/>
          <w:szCs w:val="17"/>
          <w:color w:val="auto"/>
        </w:rPr>
        <w:t>Overall, the committee determined that TI’s performance in 2008 was below the median of the competitor companies. Specifically, revenue growth was below the median, operating margin was above the median, and total shareholder return was below the median. With regard to strategic position, the committee determined that once again the company strengthened in Analog and Embedded Processing, due to a broader portfolio of products and deeper relationships with customers. However, the company’s position weakened in cellular basebands for wireless phones, due both to market conditions and to loss of market share. After reviewing all these factors, the committee applied its judgment and determined that, in total, TI’s performance in 2008 was below that of the prior year when the committee determined performance was well above the median of the competitor companies. As a result, total cash compensation for the named executive officers for 2008 was 18 to 24 percent lower than for 2007.</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Below are details of the committee’s assessment.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and margin</w:t>
      </w:r>
    </w:p>
    <w:p>
      <w:pPr>
        <w:ind w:left="520" w:right="320"/>
        <w:spacing w:after="0" w:line="254" w:lineRule="auto"/>
        <w:rPr>
          <w:sz w:val="20"/>
          <w:szCs w:val="20"/>
          <w:color w:val="auto"/>
        </w:rPr>
      </w:pPr>
      <w:r>
        <w:rPr>
          <w:rFonts w:ascii="Arial" w:cs="Arial" w:eastAsia="Arial" w:hAnsi="Arial"/>
          <w:sz w:val="17"/>
          <w:szCs w:val="17"/>
          <w:color w:val="auto"/>
        </w:rPr>
        <w:t>TI’s 2008 revenue declined 9.6 percent, below the median. About 6 points of this decline reflect weaker wireless performance. Analog revenue declined about 1.4 percent, and Embedded Processing revenue grew about 2.7 percent. Three-year compounded annual revenue growth was 0.4 percent, below the median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-95885</wp:posOffset>
            </wp:positionV>
            <wp:extent cx="58420" cy="5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One-year operating profit margin was 19.5 percent, above the median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Three-year average operating profit margin was 22.8 percent, above the median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Total shareholder return (“TSR”)</w:t>
      </w:r>
    </w:p>
    <w:p>
      <w:pPr>
        <w:ind w:left="520"/>
        <w:spacing w:after="0"/>
        <w:rPr>
          <w:sz w:val="20"/>
          <w:szCs w:val="20"/>
          <w:color w:val="auto"/>
        </w:rPr>
      </w:pPr>
      <w:r>
        <w:rPr>
          <w:rFonts w:ascii="Arial" w:cs="Arial" w:eastAsia="Arial" w:hAnsi="Arial"/>
          <w:sz w:val="17"/>
          <w:szCs w:val="17"/>
          <w:color w:val="auto"/>
        </w:rPr>
        <w:t>One-year TSR declined 52.8 percent, below the median performance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Three-year TSR declined 20.7 percent on a compounded annual basis, the median performance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60"/>
        <w:spacing w:after="0" w:line="254" w:lineRule="auto"/>
        <w:rPr>
          <w:sz w:val="20"/>
          <w:szCs w:val="20"/>
          <w:color w:val="auto"/>
        </w:rPr>
      </w:pPr>
      <w:r>
        <w:rPr>
          <w:rFonts w:ascii="Arial" w:cs="Arial" w:eastAsia="Arial" w:hAnsi="Arial"/>
          <w:sz w:val="17"/>
          <w:szCs w:val="17"/>
          <w:color w:val="auto"/>
        </w:rPr>
        <w:t>The company returned cash to stockholders through stock repurchases of $2.1 billion, reducing outstanding shares by 6 percent. The company also increased the quarterly dividend rate by 10 percent, the sixth increase in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-227330</wp:posOffset>
            </wp:positionV>
            <wp:extent cx="58420" cy="58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20"/>
        <w:spacing w:after="0" w:line="262" w:lineRule="auto"/>
        <w:rPr>
          <w:sz w:val="20"/>
          <w:szCs w:val="20"/>
          <w:color w:val="auto"/>
        </w:rPr>
      </w:pPr>
      <w:r>
        <w:rPr>
          <w:rFonts w:ascii="Arial" w:cs="Arial" w:eastAsia="Arial" w:hAnsi="Arial"/>
          <w:sz w:val="17"/>
          <w:szCs w:val="17"/>
          <w:color w:val="auto"/>
        </w:rPr>
        <w:t>Even accounting for the above stock repurchases and dividend increases, the balance sheet remained robust, ending the year with cash and short-term investments of more than $2.5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-235585</wp:posOffset>
            </wp:positionV>
            <wp:extent cx="58420" cy="58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Strategic progress</w:t>
      </w:r>
    </w:p>
    <w:p>
      <w:pPr>
        <w:ind w:left="520" w:right="120"/>
        <w:spacing w:after="0" w:line="254" w:lineRule="auto"/>
        <w:rPr>
          <w:sz w:val="20"/>
          <w:szCs w:val="20"/>
          <w:color w:val="auto"/>
        </w:rPr>
      </w:pPr>
      <w:r>
        <w:rPr>
          <w:rFonts w:ascii="Arial" w:cs="Arial" w:eastAsia="Arial" w:hAnsi="Arial"/>
          <w:sz w:val="17"/>
          <w:szCs w:val="17"/>
          <w:color w:val="auto"/>
        </w:rPr>
        <w:t>TI’s strategic position in Analog and Embedded Processing strengthened in 2008 as the company put more of its attention and investment into these areas. Among the year’s results were acquisitions that broadened the company’s portfolio and the introduction of important new products. Through acquisitions, TI gained technology for improving energy efficiency and for medical applications. The company launched more than 700 new analog semiconductors and embedded processors, allowing it to reach new customers and deepen its relationships with existing customers. In total, TI remained the leading supplier of the complete chain of analog and digital semiconductors necessary for the electronic conversion and processing of real-world 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-753110</wp:posOffset>
            </wp:positionV>
            <wp:extent cx="58420" cy="584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left="520" w:right="20"/>
        <w:spacing w:after="0" w:line="254" w:lineRule="auto"/>
        <w:rPr>
          <w:sz w:val="20"/>
          <w:szCs w:val="20"/>
          <w:color w:val="auto"/>
        </w:rPr>
      </w:pPr>
      <w:r>
        <w:rPr>
          <w:rFonts w:ascii="Arial" w:cs="Arial" w:eastAsia="Arial" w:hAnsi="Arial"/>
          <w:sz w:val="17"/>
          <w:szCs w:val="17"/>
          <w:color w:val="auto"/>
        </w:rPr>
        <w:t>The company increased the intensity around growth initiatives for tens of new applications by creating small groups to design and market products for areas such as alternative energy, LED lighting and smart electric meters. TI also established Kilby Labs, where researchers and engineers can conduct early-stage experiments to determine the viability of new ideas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-358775</wp:posOffset>
            </wp:positionV>
            <wp:extent cx="58420" cy="58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left="520" w:right="80"/>
        <w:spacing w:after="0" w:line="254" w:lineRule="auto"/>
        <w:rPr>
          <w:sz w:val="20"/>
          <w:szCs w:val="20"/>
          <w:color w:val="auto"/>
        </w:rPr>
      </w:pPr>
      <w:r>
        <w:rPr>
          <w:rFonts w:ascii="Arial" w:cs="Arial" w:eastAsia="Arial" w:hAnsi="Arial"/>
          <w:sz w:val="17"/>
          <w:szCs w:val="17"/>
          <w:color w:val="auto"/>
        </w:rPr>
        <w:t>Customer-centricity again gained momentum as a defining component of TI’s culture. While this is primarily an outcome of employee commitment and dependable delivery of products, the further expansion of sales networks in the emerging markets of Asia and Eastern Europe contributed to TI’s ability to engage with a broader group of customers. More than 10 new sales offices were opened in these regions, including five in India, two each in China and Vietnam, and one each in Poland, Russia and 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-490220</wp:posOffset>
            </wp:positionV>
            <wp:extent cx="58420" cy="584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82" w:lineRule="auto"/>
        <w:rPr>
          <w:sz w:val="20"/>
          <w:szCs w:val="20"/>
          <w:color w:val="auto"/>
        </w:rPr>
      </w:pPr>
      <w:r>
        <w:rPr>
          <w:rFonts w:ascii="Arial" w:cs="Arial" w:eastAsia="Arial" w:hAnsi="Arial"/>
          <w:sz w:val="16"/>
          <w:szCs w:val="16"/>
          <w:color w:val="auto"/>
        </w:rPr>
        <w:t>With slowing growth in the market for cellular basebands, TI took hard but important steps to transform its wireless business and reduce investments by about $200 million annually when fully implemented. The company is running the cellular baseband part of its wireless product line to maximize its economic value to TI. Strategically, TI is focusing on applications processors for smartphones, which have strong growth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-376555</wp:posOffset>
            </wp:positionV>
            <wp:extent cx="58420" cy="584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20"/>
          </w:cols>
          <w:pgMar w:left="240" w:top="143" w:right="239" w:bottom="268"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Performance summary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20" w:type="dxa"/>
            <w:vAlign w:val="bottom"/>
          </w:tcPr>
          <w:p>
            <w:pPr>
              <w:spacing w:after="0"/>
              <w:rPr>
                <w:sz w:val="13"/>
                <w:szCs w:val="13"/>
                <w:color w:val="auto"/>
              </w:rPr>
            </w:pPr>
          </w:p>
        </w:tc>
        <w:tc>
          <w:tcPr>
            <w:tcW w:w="4140" w:type="dxa"/>
            <w:vAlign w:val="bottom"/>
          </w:tcPr>
          <w:p>
            <w:pPr>
              <w:jc w:val="right"/>
              <w:ind w:right="139"/>
              <w:spacing w:after="0"/>
              <w:rPr>
                <w:sz w:val="20"/>
                <w:szCs w:val="20"/>
                <w:color w:val="auto"/>
              </w:rPr>
            </w:pPr>
            <w:r>
              <w:rPr>
                <w:rFonts w:ascii="Arial" w:cs="Arial" w:eastAsia="Arial" w:hAnsi="Arial"/>
                <w:sz w:val="13"/>
                <w:szCs w:val="13"/>
                <w:b w:val="1"/>
                <w:bCs w:val="1"/>
                <w:color w:val="auto"/>
              </w:rPr>
              <w:t>1-Year</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3-Years</w:t>
            </w:r>
          </w:p>
        </w:tc>
      </w:tr>
      <w:tr>
        <w:trPr>
          <w:trHeight w:val="233"/>
        </w:trPr>
        <w:tc>
          <w:tcPr>
            <w:tcW w:w="6020" w:type="dxa"/>
            <w:vAlign w:val="bottom"/>
            <w:shd w:val="clear" w:color="auto" w:fill="E9E9E9"/>
          </w:tcPr>
          <w:p>
            <w:pPr>
              <w:spacing w:after="0"/>
              <w:rPr>
                <w:sz w:val="20"/>
                <w:szCs w:val="20"/>
                <w:color w:val="auto"/>
              </w:rPr>
            </w:pPr>
          </w:p>
        </w:tc>
        <w:tc>
          <w:tcPr>
            <w:tcW w:w="4140" w:type="dxa"/>
            <w:vAlign w:val="bottom"/>
            <w:shd w:val="clear" w:color="auto" w:fill="E9E9E9"/>
          </w:tcPr>
          <w:p>
            <w:pPr>
              <w:spacing w:after="0"/>
              <w:rPr>
                <w:sz w:val="20"/>
                <w:szCs w:val="20"/>
                <w:color w:val="auto"/>
              </w:rPr>
            </w:pPr>
          </w:p>
        </w:tc>
        <w:tc>
          <w:tcPr>
            <w:tcW w:w="1260" w:type="dxa"/>
            <w:vAlign w:val="bottom"/>
            <w:shd w:val="clear" w:color="auto" w:fill="E9E9E9"/>
          </w:tcPr>
          <w:p>
            <w:pPr>
              <w:spacing w:after="0"/>
              <w:rPr>
                <w:sz w:val="20"/>
                <w:szCs w:val="20"/>
                <w:color w:val="auto"/>
              </w:rPr>
            </w:pPr>
          </w:p>
        </w:tc>
      </w:tr>
      <w:tr>
        <w:trPr>
          <w:trHeight w:val="233"/>
        </w:trPr>
        <w:tc>
          <w:tcPr>
            <w:tcW w:w="6020" w:type="dxa"/>
            <w:vAlign w:val="bottom"/>
            <w:shd w:val="clear" w:color="auto" w:fill="C0C0C0"/>
          </w:tcPr>
          <w:p>
            <w:pPr>
              <w:spacing w:after="0"/>
              <w:rPr>
                <w:sz w:val="20"/>
                <w:szCs w:val="20"/>
                <w:color w:val="auto"/>
              </w:rPr>
            </w:pPr>
            <w:r>
              <w:rPr>
                <w:rFonts w:ascii="Arial" w:cs="Arial" w:eastAsia="Arial" w:hAnsi="Arial"/>
                <w:sz w:val="17"/>
                <w:szCs w:val="17"/>
                <w:color w:val="auto"/>
              </w:rPr>
              <w:t>Revenue growth</w:t>
            </w:r>
          </w:p>
        </w:tc>
        <w:tc>
          <w:tcPr>
            <w:tcW w:w="41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-9.6%</w:t>
            </w:r>
          </w:p>
        </w:tc>
        <w:tc>
          <w:tcPr>
            <w:tcW w:w="1260" w:type="dxa"/>
            <w:vAlign w:val="bottom"/>
            <w:shd w:val="clear" w:color="auto" w:fill="C0C0C0"/>
          </w:tcPr>
          <w:p>
            <w:pPr>
              <w:jc w:val="center"/>
              <w:ind w:left="59"/>
              <w:spacing w:after="0"/>
              <w:rPr>
                <w:sz w:val="20"/>
                <w:szCs w:val="20"/>
                <w:color w:val="auto"/>
              </w:rPr>
            </w:pPr>
            <w:r>
              <w:rPr>
                <w:rFonts w:ascii="Arial" w:cs="Arial" w:eastAsia="Arial" w:hAnsi="Arial"/>
                <w:sz w:val="17"/>
                <w:szCs w:val="17"/>
                <w:color w:val="auto"/>
                <w:w w:val="99"/>
              </w:rPr>
              <w:t>0.4% CAGR</w:t>
            </w:r>
          </w:p>
        </w:tc>
      </w:tr>
      <w:tr>
        <w:trPr>
          <w:trHeight w:val="233"/>
        </w:trPr>
        <w:tc>
          <w:tcPr>
            <w:tcW w:w="6020" w:type="dxa"/>
            <w:vAlign w:val="bottom"/>
          </w:tcPr>
          <w:p>
            <w:pPr>
              <w:spacing w:after="0"/>
              <w:rPr>
                <w:sz w:val="20"/>
                <w:szCs w:val="20"/>
                <w:color w:val="auto"/>
              </w:rPr>
            </w:pPr>
            <w:r>
              <w:rPr>
                <w:rFonts w:ascii="Arial" w:cs="Arial" w:eastAsia="Arial" w:hAnsi="Arial"/>
                <w:sz w:val="17"/>
                <w:szCs w:val="17"/>
                <w:color w:val="auto"/>
              </w:rPr>
              <w:t>Operating margin</w:t>
            </w:r>
          </w:p>
        </w:tc>
        <w:tc>
          <w:tcPr>
            <w:tcW w:w="4140" w:type="dxa"/>
            <w:vAlign w:val="bottom"/>
          </w:tcPr>
          <w:p>
            <w:pPr>
              <w:jc w:val="right"/>
              <w:ind w:right="59"/>
              <w:spacing w:after="0"/>
              <w:rPr>
                <w:sz w:val="20"/>
                <w:szCs w:val="20"/>
                <w:color w:val="auto"/>
              </w:rPr>
            </w:pPr>
            <w:r>
              <w:rPr>
                <w:rFonts w:ascii="Arial" w:cs="Arial" w:eastAsia="Arial" w:hAnsi="Arial"/>
                <w:sz w:val="17"/>
                <w:szCs w:val="17"/>
                <w:color w:val="auto"/>
              </w:rPr>
              <w:t>19.5%</w:t>
            </w:r>
          </w:p>
        </w:tc>
        <w:tc>
          <w:tcPr>
            <w:tcW w:w="1260" w:type="dxa"/>
            <w:vAlign w:val="bottom"/>
          </w:tcPr>
          <w:p>
            <w:pPr>
              <w:jc w:val="center"/>
              <w:ind w:left="39"/>
              <w:spacing w:after="0"/>
              <w:rPr>
                <w:sz w:val="20"/>
                <w:szCs w:val="20"/>
                <w:color w:val="auto"/>
              </w:rPr>
            </w:pPr>
            <w:r>
              <w:rPr>
                <w:rFonts w:ascii="Arial" w:cs="Arial" w:eastAsia="Arial" w:hAnsi="Arial"/>
                <w:sz w:val="17"/>
                <w:szCs w:val="17"/>
                <w:color w:val="auto"/>
                <w:w w:val="99"/>
              </w:rPr>
              <w:t>22.8% average</w:t>
            </w:r>
          </w:p>
        </w:tc>
      </w:tr>
      <w:tr>
        <w:trPr>
          <w:trHeight w:val="233"/>
        </w:trPr>
        <w:tc>
          <w:tcPr>
            <w:tcW w:w="6020" w:type="dxa"/>
            <w:vAlign w:val="bottom"/>
            <w:shd w:val="clear" w:color="auto" w:fill="C0C0C0"/>
          </w:tcPr>
          <w:p>
            <w:pPr>
              <w:spacing w:after="0"/>
              <w:rPr>
                <w:sz w:val="20"/>
                <w:szCs w:val="20"/>
                <w:color w:val="auto"/>
              </w:rPr>
            </w:pPr>
            <w:r>
              <w:rPr>
                <w:rFonts w:ascii="Arial" w:cs="Arial" w:eastAsia="Arial" w:hAnsi="Arial"/>
                <w:sz w:val="17"/>
                <w:szCs w:val="17"/>
                <w:color w:val="auto"/>
              </w:rPr>
              <w:t>Return on invested capital (ROIC)</w:t>
            </w:r>
          </w:p>
        </w:tc>
        <w:tc>
          <w:tcPr>
            <w:tcW w:w="41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20.2%</w:t>
            </w:r>
          </w:p>
        </w:tc>
        <w:tc>
          <w:tcPr>
            <w:tcW w:w="1260" w:type="dxa"/>
            <w:vAlign w:val="bottom"/>
            <w:shd w:val="clear" w:color="auto" w:fill="C0C0C0"/>
          </w:tcPr>
          <w:p>
            <w:pPr>
              <w:jc w:val="center"/>
              <w:ind w:left="39"/>
              <w:spacing w:after="0"/>
              <w:rPr>
                <w:sz w:val="20"/>
                <w:szCs w:val="20"/>
                <w:color w:val="auto"/>
              </w:rPr>
            </w:pPr>
            <w:r>
              <w:rPr>
                <w:rFonts w:ascii="Arial" w:cs="Arial" w:eastAsia="Arial" w:hAnsi="Arial"/>
                <w:sz w:val="17"/>
                <w:szCs w:val="17"/>
                <w:color w:val="auto"/>
                <w:w w:val="99"/>
              </w:rPr>
              <w:t>22.3% average</w:t>
            </w:r>
          </w:p>
        </w:tc>
      </w:tr>
      <w:tr>
        <w:trPr>
          <w:trHeight w:val="233"/>
        </w:trPr>
        <w:tc>
          <w:tcPr>
            <w:tcW w:w="6020" w:type="dxa"/>
            <w:vAlign w:val="bottom"/>
          </w:tcPr>
          <w:p>
            <w:pPr>
              <w:spacing w:after="0"/>
              <w:rPr>
                <w:sz w:val="20"/>
                <w:szCs w:val="20"/>
                <w:color w:val="auto"/>
              </w:rPr>
            </w:pPr>
            <w:r>
              <w:rPr>
                <w:rFonts w:ascii="Arial" w:cs="Arial" w:eastAsia="Arial" w:hAnsi="Arial"/>
                <w:sz w:val="17"/>
                <w:szCs w:val="17"/>
                <w:color w:val="auto"/>
              </w:rPr>
              <w:t>Dividend rate growth</w:t>
            </w:r>
          </w:p>
        </w:tc>
        <w:tc>
          <w:tcPr>
            <w:tcW w:w="4140" w:type="dxa"/>
            <w:vAlign w:val="bottom"/>
          </w:tcPr>
          <w:p>
            <w:pPr>
              <w:jc w:val="right"/>
              <w:ind w:right="59"/>
              <w:spacing w:after="0"/>
              <w:rPr>
                <w:sz w:val="20"/>
                <w:szCs w:val="20"/>
                <w:color w:val="auto"/>
              </w:rPr>
            </w:pPr>
            <w:r>
              <w:rPr>
                <w:rFonts w:ascii="Arial" w:cs="Arial" w:eastAsia="Arial" w:hAnsi="Arial"/>
                <w:sz w:val="17"/>
                <w:szCs w:val="17"/>
                <w:color w:val="auto"/>
              </w:rPr>
              <w:t>10%</w:t>
            </w:r>
          </w:p>
        </w:tc>
        <w:tc>
          <w:tcPr>
            <w:tcW w:w="1260" w:type="dxa"/>
            <w:vAlign w:val="bottom"/>
          </w:tcPr>
          <w:p>
            <w:pPr>
              <w:jc w:val="center"/>
              <w:ind w:left="39"/>
              <w:spacing w:after="0"/>
              <w:rPr>
                <w:sz w:val="20"/>
                <w:szCs w:val="20"/>
                <w:color w:val="auto"/>
              </w:rPr>
            </w:pPr>
            <w:r>
              <w:rPr>
                <w:rFonts w:ascii="Arial" w:cs="Arial" w:eastAsia="Arial" w:hAnsi="Arial"/>
                <w:sz w:val="17"/>
                <w:szCs w:val="17"/>
                <w:color w:val="auto"/>
                <w:w w:val="96"/>
              </w:rPr>
              <w:t>267%</w:t>
            </w:r>
          </w:p>
        </w:tc>
      </w:tr>
      <w:tr>
        <w:trPr>
          <w:trHeight w:val="233"/>
        </w:trPr>
        <w:tc>
          <w:tcPr>
            <w:tcW w:w="6020" w:type="dxa"/>
            <w:vAlign w:val="bottom"/>
            <w:shd w:val="clear" w:color="auto" w:fill="C0C0C0"/>
          </w:tcPr>
          <w:p>
            <w:pPr>
              <w:spacing w:after="0"/>
              <w:rPr>
                <w:sz w:val="20"/>
                <w:szCs w:val="20"/>
                <w:color w:val="auto"/>
              </w:rPr>
            </w:pPr>
            <w:r>
              <w:rPr>
                <w:rFonts w:ascii="Arial" w:cs="Arial" w:eastAsia="Arial" w:hAnsi="Arial"/>
                <w:sz w:val="17"/>
                <w:szCs w:val="17"/>
                <w:color w:val="auto"/>
              </w:rPr>
              <w:t>Total shareholder return (TSR)</w:t>
            </w:r>
          </w:p>
        </w:tc>
        <w:tc>
          <w:tcPr>
            <w:tcW w:w="41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-52.8%</w:t>
            </w:r>
          </w:p>
        </w:tc>
        <w:tc>
          <w:tcPr>
            <w:tcW w:w="1260" w:type="dxa"/>
            <w:vAlign w:val="bottom"/>
            <w:shd w:val="clear" w:color="auto" w:fill="C0C0C0"/>
          </w:tcPr>
          <w:p>
            <w:pPr>
              <w:jc w:val="center"/>
              <w:ind w:left="39"/>
              <w:spacing w:after="0"/>
              <w:rPr>
                <w:sz w:val="20"/>
                <w:szCs w:val="20"/>
                <w:color w:val="auto"/>
              </w:rPr>
            </w:pPr>
            <w:r>
              <w:rPr>
                <w:rFonts w:ascii="Arial" w:cs="Arial" w:eastAsia="Arial" w:hAnsi="Arial"/>
                <w:sz w:val="17"/>
                <w:szCs w:val="17"/>
                <w:color w:val="auto"/>
                <w:w w:val="98"/>
              </w:rPr>
              <w:t>-20.7% CAGR</w:t>
            </w: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CAGR = compound annual growth rate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ROIC = operating margin x (1 – tax rate) / (assets – non-debt liabilities)</w:t>
      </w:r>
    </w:p>
    <w:p>
      <w:pPr>
        <w:spacing w:after="0" w:line="206" w:lineRule="exact"/>
        <w:rPr>
          <w:sz w:val="20"/>
          <w:szCs w:val="20"/>
          <w:color w:val="auto"/>
        </w:rPr>
      </w:pPr>
    </w:p>
    <w:p>
      <w:pPr>
        <w:ind w:left="1540" w:right="260" w:hanging="1527"/>
        <w:spacing w:after="0" w:line="246" w:lineRule="auto"/>
        <w:rPr>
          <w:sz w:val="20"/>
          <w:szCs w:val="20"/>
          <w:color w:val="auto"/>
        </w:rPr>
      </w:pPr>
      <w:r>
        <w:rPr>
          <w:rFonts w:ascii="Arial" w:cs="Arial" w:eastAsia="Arial" w:hAnsi="Arial"/>
          <w:sz w:val="17"/>
          <w:szCs w:val="17"/>
          <w:color w:val="auto"/>
        </w:rPr>
        <w:t>One-year TSR % = [(Closing price of the company’s stock at year-end 2008, plus dividends paid during 2008) divided by 2007 year-end closing price] minus 1, multiplied by 100</w:t>
      </w:r>
    </w:p>
    <w:p>
      <w:pPr>
        <w:spacing w:after="0" w:line="31" w:lineRule="exact"/>
        <w:rPr>
          <w:sz w:val="20"/>
          <w:szCs w:val="20"/>
          <w:color w:val="auto"/>
        </w:rPr>
      </w:pPr>
    </w:p>
    <w:p>
      <w:pPr>
        <w:ind w:left="2180" w:right="300" w:hanging="2174"/>
        <w:spacing w:after="0" w:line="270" w:lineRule="auto"/>
        <w:rPr>
          <w:sz w:val="20"/>
          <w:szCs w:val="20"/>
          <w:color w:val="auto"/>
        </w:rPr>
      </w:pPr>
      <w:r>
        <w:rPr>
          <w:rFonts w:ascii="Arial" w:cs="Arial" w:eastAsia="Arial" w:hAnsi="Arial"/>
          <w:sz w:val="33"/>
          <w:szCs w:val="33"/>
          <w:color w:val="auto"/>
          <w:vertAlign w:val="subscript"/>
        </w:rPr>
        <w:t>Three-year TSR CAGR % =</w:t>
      </w:r>
      <w:r>
        <w:rPr>
          <w:rFonts w:ascii="Arial" w:cs="Arial" w:eastAsia="Arial" w:hAnsi="Arial"/>
          <w:sz w:val="17"/>
          <w:szCs w:val="17"/>
          <w:color w:val="auto"/>
        </w:rPr>
        <w:t xml:space="preserve"> [(Closing price of the company’s stock at year-end 2008, plus dividends paid during 2006 through 2008) divided by 2005 year-end closing price] </w:t>
      </w:r>
      <w:r>
        <w:rPr>
          <w:rFonts w:ascii="Arial" w:cs="Arial" w:eastAsia="Arial" w:hAnsi="Arial"/>
          <w:sz w:val="28"/>
          <w:szCs w:val="28"/>
          <w:color w:val="auto"/>
          <w:vertAlign w:val="superscript"/>
        </w:rPr>
        <w:t>1/3</w:t>
      </w:r>
      <w:r>
        <w:rPr>
          <w:rFonts w:ascii="Arial" w:cs="Arial" w:eastAsia="Arial" w:hAnsi="Arial"/>
          <w:sz w:val="17"/>
          <w:szCs w:val="17"/>
          <w:color w:val="auto"/>
        </w:rPr>
        <w:t xml:space="preserve"> minus 1, multiplied by 100</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Based on its assessment of company performance, the committee determined that the bonuses of the named executive officers for 2008 performance should be approximately 35 percent lower than for 2007. The committee considered the officers’ individual performance. The performance of the CEO was judged according to the performance of the company. For the other officers, the committee also considered the factors described below in assessing individual performance. In making this assessment, the committee did not apply any formula or performance targets.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Mr. March is the chief financial officer. The committee noted the financial management of the company.</w:t>
      </w:r>
    </w:p>
    <w:p>
      <w:pPr>
        <w:spacing w:after="0" w:line="38" w:lineRule="exact"/>
        <w:rPr>
          <w:sz w:val="20"/>
          <w:szCs w:val="20"/>
          <w:color w:val="auto"/>
        </w:rPr>
      </w:pPr>
    </w:p>
    <w:p>
      <w:pPr>
        <w:ind w:right="20" w:firstLine="259"/>
        <w:spacing w:after="0" w:line="262" w:lineRule="auto"/>
        <w:rPr>
          <w:sz w:val="20"/>
          <w:szCs w:val="20"/>
          <w:color w:val="auto"/>
        </w:rPr>
      </w:pPr>
      <w:r>
        <w:rPr>
          <w:rFonts w:ascii="Arial" w:cs="Arial" w:eastAsia="Arial" w:hAnsi="Arial"/>
          <w:sz w:val="17"/>
          <w:szCs w:val="17"/>
          <w:color w:val="auto"/>
        </w:rPr>
        <w:t>Mr. Lowe is responsible for the company’s analog semiconductor product lines. The committee noted the financial performance of those product lines, including the company’s analog market share, and the position of the operations strategically and with customers.</w:t>
      </w:r>
    </w:p>
    <w:p>
      <w:pPr>
        <w:spacing w:after="0" w:line="1" w:lineRule="exact"/>
        <w:rPr>
          <w:sz w:val="20"/>
          <w:szCs w:val="20"/>
          <w:color w:val="auto"/>
        </w:rPr>
      </w:pPr>
    </w:p>
    <w:p>
      <w:pPr>
        <w:ind w:right="700" w:firstLine="259"/>
        <w:spacing w:after="0" w:line="262" w:lineRule="auto"/>
        <w:rPr>
          <w:sz w:val="20"/>
          <w:szCs w:val="20"/>
          <w:color w:val="auto"/>
        </w:rPr>
      </w:pPr>
      <w:r>
        <w:rPr>
          <w:rFonts w:ascii="Arial" w:cs="Arial" w:eastAsia="Arial" w:hAnsi="Arial"/>
          <w:sz w:val="17"/>
          <w:szCs w:val="17"/>
          <w:color w:val="auto"/>
        </w:rPr>
        <w:t>Mr. Ritchie is responsible for the company’s semiconductor manufacturing operations. The committee noted the on-time delivery of products, inventory management and the implementation of manufacturing process technologies, as well as associated cost-competitiveness.</w:t>
      </w:r>
    </w:p>
    <w:p>
      <w:pPr>
        <w:spacing w:after="0" w:line="1" w:lineRule="exact"/>
        <w:rPr>
          <w:sz w:val="20"/>
          <w:szCs w:val="20"/>
          <w:color w:val="auto"/>
        </w:rPr>
      </w:pPr>
    </w:p>
    <w:p>
      <w:pPr>
        <w:ind w:right="20" w:firstLine="259"/>
        <w:spacing w:after="0" w:line="262" w:lineRule="auto"/>
        <w:rPr>
          <w:sz w:val="20"/>
          <w:szCs w:val="20"/>
          <w:color w:val="auto"/>
        </w:rPr>
      </w:pPr>
      <w:r>
        <w:rPr>
          <w:rFonts w:ascii="Arial" w:cs="Arial" w:eastAsia="Arial" w:hAnsi="Arial"/>
          <w:sz w:val="17"/>
          <w:szCs w:val="17"/>
          <w:color w:val="auto"/>
        </w:rPr>
        <w:t>Mr. Hames is responsible for the company’s Embedded Processing product lines. The committee noted the financial performance of the product lines, including the position of the product lines strategically and with customers.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committee determined that this assessment did not warrant a change to its preliminary bonus determination.</w:t>
      </w:r>
    </w:p>
    <w:p>
      <w:pPr>
        <w:spacing w:after="0" w:line="38" w:lineRule="exact"/>
        <w:rPr>
          <w:sz w:val="20"/>
          <w:szCs w:val="20"/>
          <w:color w:val="auto"/>
        </w:rPr>
      </w:pPr>
    </w:p>
    <w:p>
      <w:pPr>
        <w:ind w:right="80" w:firstLine="259"/>
        <w:spacing w:after="0" w:line="270" w:lineRule="auto"/>
        <w:rPr>
          <w:sz w:val="20"/>
          <w:szCs w:val="20"/>
          <w:color w:val="auto"/>
        </w:rPr>
      </w:pPr>
      <w:r>
        <w:rPr>
          <w:rFonts w:ascii="Arial" w:cs="Arial" w:eastAsia="Arial" w:hAnsi="Arial"/>
          <w:sz w:val="16"/>
          <w:szCs w:val="16"/>
          <w:color w:val="auto"/>
        </w:rPr>
        <w:t>The committee also compared the total cash compensation (salary, profit sharing and the proposed bonus) for each executive officer against the total cash compensation that the 2009 Comparator Group was expected to pay to similarly situated officers. Based on this review, the committee confirmed that the total cash compensation of the named executive officers was competitive and consistent with the relative performance of the company.</w:t>
      </w:r>
    </w:p>
    <w:p>
      <w:pPr>
        <w:spacing w:after="0" w:line="1" w:lineRule="exact"/>
        <w:rPr>
          <w:sz w:val="20"/>
          <w:szCs w:val="20"/>
          <w:color w:val="auto"/>
        </w:rPr>
      </w:pPr>
    </w:p>
    <w:p>
      <w:pPr>
        <w:ind w:right="100" w:firstLine="259"/>
        <w:spacing w:after="0" w:line="246" w:lineRule="auto"/>
        <w:rPr>
          <w:sz w:val="20"/>
          <w:szCs w:val="20"/>
          <w:color w:val="auto"/>
        </w:rPr>
      </w:pPr>
      <w:r>
        <w:rPr>
          <w:rFonts w:ascii="Arial" w:cs="Arial" w:eastAsia="Arial" w:hAnsi="Arial"/>
          <w:sz w:val="17"/>
          <w:szCs w:val="17"/>
          <w:color w:val="auto"/>
        </w:rPr>
        <w:t>Accordingly the bonuses for 2008 performance were set at approximately 35 percent lower than for 2007. The differences in the amounts awarded to the named executive officers were primarily the result of differences in the officers’ level of responsibility and the applicable market level of total cash compensation expected to be paid to similarly situated officers in the Comparator Group. The bonus of each named executive officer was paid under the Executive Officer Performance Plan described on page 63.</w:t>
      </w:r>
    </w:p>
    <w:p>
      <w:pPr>
        <w:spacing w:after="0" w:line="19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u w:val="single" w:color="auto"/>
          <w:color w:val="auto"/>
        </w:rPr>
        <w:t>Results of the compensation decisions</w:t>
      </w:r>
      <w:r>
        <w:rPr>
          <w:rFonts w:ascii="Arial" w:cs="Arial" w:eastAsia="Arial" w:hAnsi="Arial"/>
          <w:sz w:val="17"/>
          <w:szCs w:val="17"/>
          <w:color w:val="auto"/>
        </w:rPr>
        <w:t xml:space="preserve"> – Results of the compensation decisions made by the committee relating to the named executive officers for 2008 are summarized in the following table. This table is provided as a supplement to the Summary Compensation Table on page 72 for investors who may find it useful to see the data presented in this form. Although the committee does not target a specific level of total compensation, it considers information similar to that in the table in order to ensure that the sum of these elements is, in its judgment, in a reasonable range. The principal differences between this table and the Summary Compensation Table are explained in footnote 4 below.</w:t>
      </w:r>
      <w:r>
        <w:rPr>
          <w:rFonts w:ascii="Arial" w:cs="Arial" w:eastAsia="Arial" w:hAnsi="Arial"/>
          <w:sz w:val="28"/>
          <w:szCs w:val="28"/>
          <w:color w:val="auto"/>
          <w:vertAlign w:val="superscript"/>
        </w:rPr>
        <w:t>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00"/>
              <w:spacing w:after="0"/>
              <w:rPr>
                <w:sz w:val="20"/>
                <w:szCs w:val="20"/>
                <w:color w:val="auto"/>
              </w:rPr>
            </w:pPr>
            <w:r>
              <w:rPr>
                <w:rFonts w:ascii="Arial" w:cs="Arial" w:eastAsia="Arial" w:hAnsi="Arial"/>
                <w:sz w:val="13"/>
                <w:szCs w:val="13"/>
                <w:b w:val="1"/>
                <w:bCs w:val="1"/>
                <w:color w:val="auto"/>
              </w:rPr>
              <w:t>Equity</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9"/>
              </w:rPr>
              <w:t>Compensation</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3"/>
                <w:szCs w:val="13"/>
                <w:b w:val="1"/>
                <w:bCs w:val="1"/>
                <w:color w:val="auto"/>
              </w:rPr>
              <w:t>Salary</w:t>
            </w:r>
          </w:p>
        </w:tc>
        <w:tc>
          <w:tcPr>
            <w:tcW w:w="260" w:type="dxa"/>
            <w:vAlign w:val="bottom"/>
          </w:tcPr>
          <w:p>
            <w:pPr>
              <w:spacing w:after="0"/>
              <w:rPr>
                <w:sz w:val="14"/>
                <w:szCs w:val="14"/>
                <w:color w:val="auto"/>
              </w:rPr>
            </w:pPr>
          </w:p>
        </w:tc>
        <w:tc>
          <w:tcPr>
            <w:tcW w:w="740" w:type="dxa"/>
            <w:vAlign w:val="bottom"/>
          </w:tcPr>
          <w:p>
            <w:pPr>
              <w:jc w:val="right"/>
              <w:ind w:right="219"/>
              <w:spacing w:after="0"/>
              <w:rPr>
                <w:sz w:val="20"/>
                <w:szCs w:val="20"/>
                <w:color w:val="auto"/>
              </w:rPr>
            </w:pPr>
            <w:r>
              <w:rPr>
                <w:rFonts w:ascii="Arial" w:cs="Arial" w:eastAsia="Arial" w:hAnsi="Arial"/>
                <w:sz w:val="13"/>
                <w:szCs w:val="13"/>
                <w:b w:val="1"/>
                <w:bCs w:val="1"/>
                <w:color w:val="auto"/>
              </w:rPr>
              <w:t>Profit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120"/>
              <w:spacing w:after="0"/>
              <w:rPr>
                <w:sz w:val="20"/>
                <w:szCs w:val="20"/>
                <w:color w:val="auto"/>
              </w:rPr>
            </w:pPr>
            <w:r>
              <w:rPr>
                <w:rFonts w:ascii="Arial" w:cs="Arial" w:eastAsia="Arial" w:hAnsi="Arial"/>
                <w:sz w:val="13"/>
                <w:szCs w:val="13"/>
                <w:b w:val="1"/>
                <w:bCs w:val="1"/>
                <w:color w:val="auto"/>
                <w:w w:val="98"/>
              </w:rPr>
              <w:t>(Grant Date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1"/>
        </w:trPr>
        <w:tc>
          <w:tcPr>
            <w:tcW w:w="458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860" w:type="dxa"/>
            <w:vAlign w:val="bottom"/>
          </w:tcPr>
          <w:p>
            <w:pPr>
              <w:ind w:left="360"/>
              <w:spacing w:after="0"/>
              <w:rPr>
                <w:sz w:val="20"/>
                <w:szCs w:val="20"/>
                <w:color w:val="auto"/>
              </w:rPr>
            </w:pPr>
            <w:r>
              <w:rPr>
                <w:rFonts w:ascii="Arial" w:cs="Arial" w:eastAsia="Arial" w:hAnsi="Arial"/>
                <w:sz w:val="13"/>
                <w:szCs w:val="13"/>
                <w:b w:val="1"/>
                <w:bCs w:val="1"/>
                <w:color w:val="auto"/>
              </w:rPr>
              <w:t>Year</w:t>
            </w:r>
          </w:p>
        </w:tc>
        <w:tc>
          <w:tcPr>
            <w:tcW w:w="11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(Annual Rate)</w:t>
            </w:r>
          </w:p>
        </w:tc>
        <w:tc>
          <w:tcPr>
            <w:tcW w:w="260" w:type="dxa"/>
            <w:vAlign w:val="bottom"/>
          </w:tcPr>
          <w:p>
            <w:pPr>
              <w:spacing w:after="0"/>
              <w:rPr>
                <w:sz w:val="19"/>
                <w:szCs w:val="19"/>
                <w:color w:val="auto"/>
              </w:rPr>
            </w:pPr>
          </w:p>
        </w:tc>
        <w:tc>
          <w:tcPr>
            <w:tcW w:w="740" w:type="dxa"/>
            <w:vAlign w:val="bottom"/>
          </w:tcPr>
          <w:p>
            <w:pPr>
              <w:jc w:val="right"/>
              <w:ind w:right="139"/>
              <w:spacing w:after="0"/>
              <w:rPr>
                <w:sz w:val="20"/>
                <w:szCs w:val="20"/>
                <w:color w:val="auto"/>
              </w:rPr>
            </w:pPr>
            <w:r>
              <w:rPr>
                <w:rFonts w:ascii="Arial" w:cs="Arial" w:eastAsia="Arial" w:hAnsi="Arial"/>
                <w:sz w:val="13"/>
                <w:szCs w:val="13"/>
                <w:b w:val="1"/>
                <w:bCs w:val="1"/>
                <w:color w:val="auto"/>
              </w:rPr>
              <w:t>Sharing</w:t>
            </w:r>
          </w:p>
        </w:tc>
        <w:tc>
          <w:tcPr>
            <w:tcW w:w="300" w:type="dxa"/>
            <w:vAlign w:val="bottom"/>
          </w:tcPr>
          <w:p>
            <w:pPr>
              <w:spacing w:after="0"/>
              <w:rPr>
                <w:sz w:val="19"/>
                <w:szCs w:val="19"/>
                <w:color w:val="auto"/>
              </w:rPr>
            </w:pP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Bonus</w:t>
            </w:r>
          </w:p>
        </w:tc>
        <w:tc>
          <w:tcPr>
            <w:tcW w:w="28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9"/>
                <w:szCs w:val="19"/>
                <w:color w:val="auto"/>
              </w:rPr>
            </w:pPr>
          </w:p>
        </w:tc>
        <w:tc>
          <w:tcPr>
            <w:tcW w:w="980" w:type="dxa"/>
            <w:vAlign w:val="bottom"/>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233"/>
        </w:trPr>
        <w:tc>
          <w:tcPr>
            <w:tcW w:w="458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r>
      <w:tr>
        <w:trPr>
          <w:trHeight w:val="233"/>
        </w:trPr>
        <w:tc>
          <w:tcPr>
            <w:tcW w:w="4580" w:type="dxa"/>
            <w:vAlign w:val="bottom"/>
            <w:shd w:val="clear" w:color="auto" w:fill="C0C0C0"/>
          </w:tcPr>
          <w:p>
            <w:pPr>
              <w:spacing w:after="0"/>
              <w:rPr>
                <w:sz w:val="20"/>
                <w:szCs w:val="20"/>
                <w:color w:val="auto"/>
              </w:rPr>
            </w:pPr>
            <w:r>
              <w:rPr>
                <w:rFonts w:ascii="Arial" w:cs="Arial" w:eastAsia="Arial" w:hAnsi="Arial"/>
                <w:sz w:val="17"/>
                <w:szCs w:val="17"/>
                <w:color w:val="auto"/>
              </w:rPr>
              <w:t>Mr. Templeton</w:t>
            </w: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2008</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963,120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64,853</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1,500,000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6,866,100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9,394,073</w:t>
            </w:r>
          </w:p>
        </w:tc>
      </w:tr>
      <w:tr>
        <w:trPr>
          <w:trHeight w:val="233"/>
        </w:trPr>
        <w:tc>
          <w:tcPr>
            <w:tcW w:w="4580" w:type="dxa"/>
            <w:vAlign w:val="bottom"/>
            <w:shd w:val="clear" w:color="auto" w:fill="C0C0C0"/>
          </w:tcPr>
          <w:p>
            <w:pPr>
              <w:spacing w:after="0"/>
              <w:rPr>
                <w:sz w:val="20"/>
                <w:szCs w:val="20"/>
                <w:color w:val="auto"/>
              </w:rPr>
            </w:pP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2007</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935,040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95,822</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2,300,000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6,864,300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10,195,162</w:t>
            </w:r>
          </w:p>
        </w:tc>
      </w:tr>
      <w:tr>
        <w:trPr>
          <w:trHeight w:val="233"/>
        </w:trPr>
        <w:tc>
          <w:tcPr>
            <w:tcW w:w="4580" w:type="dxa"/>
            <w:vAlign w:val="bottom"/>
            <w:shd w:val="clear" w:color="auto" w:fill="C0C0C0"/>
          </w:tcPr>
          <w:p>
            <w:pPr>
              <w:spacing w:after="0"/>
              <w:rPr>
                <w:sz w:val="20"/>
                <w:szCs w:val="20"/>
                <w:color w:val="auto"/>
              </w:rPr>
            </w:pP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2006</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900,000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79,070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2,300,000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8,965,500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12,244,570</w:t>
            </w:r>
          </w:p>
        </w:tc>
      </w:tr>
      <w:tr>
        <w:trPr>
          <w:trHeight w:val="244"/>
        </w:trPr>
        <w:tc>
          <w:tcPr>
            <w:tcW w:w="4580" w:type="dxa"/>
            <w:vAlign w:val="bottom"/>
          </w:tcPr>
          <w:p>
            <w:pPr>
              <w:spacing w:after="0"/>
              <w:rPr>
                <w:sz w:val="20"/>
                <w:szCs w:val="20"/>
                <w:color w:val="auto"/>
              </w:rPr>
            </w:pPr>
            <w:r>
              <w:rPr>
                <w:rFonts w:ascii="Arial" w:cs="Arial" w:eastAsia="Arial" w:hAnsi="Arial"/>
                <w:sz w:val="17"/>
                <w:szCs w:val="17"/>
                <w:color w:val="auto"/>
              </w:rPr>
              <w:t>Mr. March</w:t>
            </w:r>
          </w:p>
        </w:tc>
        <w:tc>
          <w:tcPr>
            <w:tcW w:w="860" w:type="dxa"/>
            <w:vAlign w:val="bottom"/>
          </w:tcPr>
          <w:p>
            <w:pPr>
              <w:ind w:left="300"/>
              <w:spacing w:after="0"/>
              <w:rPr>
                <w:sz w:val="20"/>
                <w:szCs w:val="20"/>
                <w:color w:val="auto"/>
              </w:rPr>
            </w:pPr>
            <w:r>
              <w:rPr>
                <w:rFonts w:ascii="Arial" w:cs="Arial" w:eastAsia="Arial" w:hAnsi="Arial"/>
                <w:sz w:val="17"/>
                <w:szCs w:val="17"/>
                <w:color w:val="auto"/>
              </w:rPr>
              <w:t>2008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7"/>
              <w:spacing w:after="0"/>
              <w:rPr>
                <w:sz w:val="20"/>
                <w:szCs w:val="20"/>
                <w:color w:val="auto"/>
              </w:rPr>
            </w:pPr>
            <w:r>
              <w:rPr>
                <w:rFonts w:ascii="Arial" w:cs="Arial" w:eastAsia="Arial" w:hAnsi="Arial"/>
                <w:sz w:val="17"/>
                <w:szCs w:val="17"/>
                <w:color w:val="auto"/>
              </w:rPr>
              <w:t>465,000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9"/>
              <w:spacing w:after="0"/>
              <w:rPr>
                <w:sz w:val="20"/>
                <w:szCs w:val="20"/>
                <w:color w:val="auto"/>
              </w:rPr>
            </w:pPr>
            <w:r>
              <w:rPr>
                <w:rFonts w:ascii="Arial" w:cs="Arial" w:eastAsia="Arial" w:hAnsi="Arial"/>
                <w:sz w:val="17"/>
                <w:szCs w:val="17"/>
                <w:color w:val="auto"/>
              </w:rPr>
              <w:t>31,219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425,000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80"/>
              <w:spacing w:after="0"/>
              <w:rPr>
                <w:sz w:val="20"/>
                <w:szCs w:val="20"/>
                <w:color w:val="auto"/>
              </w:rPr>
            </w:pPr>
            <w:r>
              <w:rPr>
                <w:rFonts w:ascii="Arial" w:cs="Arial" w:eastAsia="Arial" w:hAnsi="Arial"/>
                <w:sz w:val="17"/>
                <w:szCs w:val="17"/>
                <w:color w:val="auto"/>
              </w:rPr>
              <w:t>1,797,450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2,718,669</w:t>
            </w:r>
          </w:p>
        </w:tc>
      </w:tr>
      <w:tr>
        <w:trPr>
          <w:trHeight w:val="233"/>
        </w:trPr>
        <w:tc>
          <w:tcPr>
            <w:tcW w:w="458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Arial" w:cs="Arial" w:eastAsia="Arial" w:hAnsi="Arial"/>
                <w:sz w:val="17"/>
                <w:szCs w:val="17"/>
                <w:color w:val="auto"/>
              </w:rPr>
              <w:t>2007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7"/>
              <w:spacing w:after="0"/>
              <w:rPr>
                <w:sz w:val="20"/>
                <w:szCs w:val="20"/>
                <w:color w:val="auto"/>
              </w:rPr>
            </w:pPr>
            <w:r>
              <w:rPr>
                <w:rFonts w:ascii="Arial" w:cs="Arial" w:eastAsia="Arial" w:hAnsi="Arial"/>
                <w:sz w:val="17"/>
                <w:szCs w:val="17"/>
                <w:color w:val="auto"/>
              </w:rPr>
              <w:t>435,000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9"/>
              <w:spacing w:after="0"/>
              <w:rPr>
                <w:sz w:val="20"/>
                <w:szCs w:val="20"/>
                <w:color w:val="auto"/>
              </w:rPr>
            </w:pPr>
            <w:r>
              <w:rPr>
                <w:rFonts w:ascii="Arial" w:cs="Arial" w:eastAsia="Arial" w:hAnsi="Arial"/>
                <w:sz w:val="17"/>
                <w:szCs w:val="17"/>
                <w:color w:val="auto"/>
              </w:rPr>
              <w:t>44,248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650,000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80"/>
              <w:spacing w:after="0"/>
              <w:rPr>
                <w:sz w:val="20"/>
                <w:szCs w:val="20"/>
                <w:color w:val="auto"/>
              </w:rPr>
            </w:pPr>
            <w:r>
              <w:rPr>
                <w:rFonts w:ascii="Arial" w:cs="Arial" w:eastAsia="Arial" w:hAnsi="Arial"/>
                <w:sz w:val="17"/>
                <w:szCs w:val="17"/>
                <w:color w:val="auto"/>
              </w:rPr>
              <w:t>1,814,850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2,944,098</w:t>
            </w:r>
          </w:p>
        </w:tc>
      </w:tr>
      <w:tr>
        <w:trPr>
          <w:trHeight w:val="222"/>
        </w:trPr>
        <w:tc>
          <w:tcPr>
            <w:tcW w:w="458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7"/>
                <w:szCs w:val="17"/>
                <w:color w:val="auto"/>
              </w:rPr>
              <w:t>2006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7"/>
              <w:spacing w:after="0"/>
              <w:rPr>
                <w:sz w:val="20"/>
                <w:szCs w:val="20"/>
                <w:color w:val="auto"/>
              </w:rPr>
            </w:pPr>
            <w:r>
              <w:rPr>
                <w:rFonts w:ascii="Arial" w:cs="Arial" w:eastAsia="Arial" w:hAnsi="Arial"/>
                <w:sz w:val="17"/>
                <w:szCs w:val="17"/>
                <w:color w:val="auto"/>
              </w:rPr>
              <w:t>380,160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9"/>
              <w:spacing w:after="0"/>
              <w:rPr>
                <w:sz w:val="20"/>
                <w:szCs w:val="20"/>
                <w:color w:val="auto"/>
              </w:rPr>
            </w:pPr>
            <w:r>
              <w:rPr>
                <w:rFonts w:ascii="Arial" w:cs="Arial" w:eastAsia="Arial" w:hAnsi="Arial"/>
                <w:sz w:val="17"/>
                <w:szCs w:val="17"/>
                <w:color w:val="auto"/>
              </w:rPr>
              <w:t>33,344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650,000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80"/>
              <w:spacing w:after="0"/>
              <w:rPr>
                <w:sz w:val="20"/>
                <w:szCs w:val="20"/>
                <w:color w:val="auto"/>
              </w:rPr>
            </w:pPr>
            <w:r>
              <w:rPr>
                <w:rFonts w:ascii="Arial" w:cs="Arial" w:eastAsia="Arial" w:hAnsi="Arial"/>
                <w:sz w:val="17"/>
                <w:szCs w:val="17"/>
                <w:color w:val="auto"/>
              </w:rPr>
              <w:t>1,970,850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3,034,354</w:t>
            </w:r>
          </w:p>
        </w:tc>
      </w:tr>
      <w:tr>
        <w:trPr>
          <w:trHeight w:val="233"/>
        </w:trPr>
        <w:tc>
          <w:tcPr>
            <w:tcW w:w="4580" w:type="dxa"/>
            <w:vAlign w:val="bottom"/>
            <w:shd w:val="clear" w:color="auto" w:fill="C0C0C0"/>
          </w:tcPr>
          <w:p>
            <w:pPr>
              <w:spacing w:after="0"/>
              <w:rPr>
                <w:sz w:val="20"/>
                <w:szCs w:val="20"/>
                <w:color w:val="auto"/>
              </w:rPr>
            </w:pPr>
            <w:r>
              <w:rPr>
                <w:rFonts w:ascii="Arial" w:cs="Arial" w:eastAsia="Arial" w:hAnsi="Arial"/>
                <w:sz w:val="17"/>
                <w:szCs w:val="17"/>
                <w:color w:val="auto"/>
              </w:rPr>
              <w:t>Mr. Lowe</w:t>
            </w: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2008</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535,020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35,945</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730,000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2,675,400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3,976,365</w:t>
            </w:r>
          </w:p>
        </w:tc>
      </w:tr>
      <w:tr>
        <w:trPr>
          <w:trHeight w:val="233"/>
        </w:trPr>
        <w:tc>
          <w:tcPr>
            <w:tcW w:w="4580" w:type="dxa"/>
            <w:vAlign w:val="bottom"/>
            <w:shd w:val="clear" w:color="auto" w:fill="C0C0C0"/>
          </w:tcPr>
          <w:p>
            <w:pPr>
              <w:spacing w:after="0"/>
              <w:rPr>
                <w:sz w:val="20"/>
                <w:szCs w:val="20"/>
                <w:color w:val="auto"/>
              </w:rPr>
            </w:pP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2007</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505,020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51,661</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1,100,000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2,668,200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4,324,881</w:t>
            </w:r>
          </w:p>
        </w:tc>
      </w:tr>
      <w:tr>
        <w:trPr>
          <w:trHeight w:val="233"/>
        </w:trPr>
        <w:tc>
          <w:tcPr>
            <w:tcW w:w="4580" w:type="dxa"/>
            <w:vAlign w:val="bottom"/>
            <w:shd w:val="clear" w:color="auto" w:fill="C0C0C0"/>
          </w:tcPr>
          <w:p>
            <w:pPr>
              <w:spacing w:after="0"/>
              <w:rPr>
                <w:sz w:val="20"/>
                <w:szCs w:val="20"/>
                <w:color w:val="auto"/>
              </w:rPr>
            </w:pP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2006*</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475,200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39,730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1,100,000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5,712,000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7,326,930</w:t>
            </w:r>
          </w:p>
        </w:tc>
      </w:tr>
      <w:tr>
        <w:trPr>
          <w:trHeight w:val="233"/>
        </w:trPr>
        <w:tc>
          <w:tcPr>
            <w:tcW w:w="4580" w:type="dxa"/>
            <w:vAlign w:val="bottom"/>
          </w:tcPr>
          <w:p>
            <w:pPr>
              <w:spacing w:after="0"/>
              <w:rPr>
                <w:sz w:val="20"/>
                <w:szCs w:val="20"/>
                <w:color w:val="auto"/>
              </w:rPr>
            </w:pPr>
            <w:r>
              <w:rPr>
                <w:rFonts w:ascii="Arial" w:cs="Arial" w:eastAsia="Arial" w:hAnsi="Arial"/>
                <w:sz w:val="17"/>
                <w:szCs w:val="17"/>
                <w:color w:val="auto"/>
              </w:rPr>
              <w:t>Mr. Ritchie</w:t>
            </w:r>
          </w:p>
        </w:tc>
        <w:tc>
          <w:tcPr>
            <w:tcW w:w="860" w:type="dxa"/>
            <w:vAlign w:val="bottom"/>
          </w:tcPr>
          <w:p>
            <w:pPr>
              <w:ind w:left="300"/>
              <w:spacing w:after="0"/>
              <w:rPr>
                <w:sz w:val="20"/>
                <w:szCs w:val="20"/>
                <w:color w:val="auto"/>
              </w:rPr>
            </w:pPr>
            <w:r>
              <w:rPr>
                <w:rFonts w:ascii="Arial" w:cs="Arial" w:eastAsia="Arial" w:hAnsi="Arial"/>
                <w:sz w:val="17"/>
                <w:szCs w:val="17"/>
                <w:color w:val="auto"/>
              </w:rPr>
              <w:t>2008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7"/>
              <w:spacing w:after="0"/>
              <w:rPr>
                <w:sz w:val="20"/>
                <w:szCs w:val="20"/>
                <w:color w:val="auto"/>
              </w:rPr>
            </w:pPr>
            <w:r>
              <w:rPr>
                <w:rFonts w:ascii="Arial" w:cs="Arial" w:eastAsia="Arial" w:hAnsi="Arial"/>
                <w:sz w:val="17"/>
                <w:szCs w:val="17"/>
                <w:color w:val="auto"/>
              </w:rPr>
              <w:t>448,080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9"/>
              <w:spacing w:after="0"/>
              <w:rPr>
                <w:sz w:val="20"/>
                <w:szCs w:val="20"/>
                <w:color w:val="auto"/>
              </w:rPr>
            </w:pPr>
            <w:r>
              <w:rPr>
                <w:rFonts w:ascii="Arial" w:cs="Arial" w:eastAsia="Arial" w:hAnsi="Arial"/>
                <w:sz w:val="17"/>
                <w:szCs w:val="17"/>
                <w:color w:val="auto"/>
              </w:rPr>
              <w:t>30,172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7"/>
              <w:spacing w:after="0"/>
              <w:rPr>
                <w:sz w:val="20"/>
                <w:szCs w:val="20"/>
                <w:color w:val="auto"/>
              </w:rPr>
            </w:pPr>
            <w:r>
              <w:rPr>
                <w:rFonts w:ascii="Arial" w:cs="Arial" w:eastAsia="Arial" w:hAnsi="Arial"/>
                <w:sz w:val="17"/>
                <w:szCs w:val="17"/>
                <w:color w:val="auto"/>
              </w:rPr>
              <w:t>520,000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80"/>
              <w:spacing w:after="0"/>
              <w:rPr>
                <w:sz w:val="20"/>
                <w:szCs w:val="20"/>
                <w:color w:val="auto"/>
              </w:rPr>
            </w:pPr>
            <w:r>
              <w:rPr>
                <w:rFonts w:ascii="Arial" w:cs="Arial" w:eastAsia="Arial" w:hAnsi="Arial"/>
                <w:sz w:val="17"/>
                <w:szCs w:val="17"/>
                <w:color w:val="auto"/>
              </w:rPr>
              <w:t>2,377,500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3,375,752</w:t>
            </w:r>
          </w:p>
        </w:tc>
      </w:tr>
      <w:tr>
        <w:trPr>
          <w:trHeight w:val="233"/>
        </w:trPr>
        <w:tc>
          <w:tcPr>
            <w:tcW w:w="4580" w:type="dxa"/>
            <w:vAlign w:val="bottom"/>
            <w:shd w:val="clear" w:color="auto" w:fill="C0C0C0"/>
          </w:tcPr>
          <w:p>
            <w:pPr>
              <w:spacing w:after="0"/>
              <w:rPr>
                <w:sz w:val="20"/>
                <w:szCs w:val="20"/>
                <w:color w:val="auto"/>
              </w:rPr>
            </w:pPr>
            <w:r>
              <w:rPr>
                <w:rFonts w:ascii="Arial" w:cs="Arial" w:eastAsia="Arial" w:hAnsi="Arial"/>
                <w:sz w:val="17"/>
                <w:szCs w:val="17"/>
                <w:color w:val="auto"/>
              </w:rPr>
              <w:t>Mr. Hames</w:t>
            </w: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2008</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463,500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31,210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490,000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2,006,550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2,991,260</w:t>
            </w:r>
          </w:p>
        </w:tc>
      </w:tr>
      <w:tr>
        <w:trPr>
          <w:trHeight w:val="233"/>
        </w:trPr>
        <w:tc>
          <w:tcPr>
            <w:tcW w:w="4580" w:type="dxa"/>
            <w:vAlign w:val="bottom"/>
            <w:shd w:val="clear" w:color="auto" w:fill="C0C0C0"/>
          </w:tcPr>
          <w:p>
            <w:pPr>
              <w:spacing w:after="0"/>
              <w:rPr>
                <w:sz w:val="20"/>
                <w:szCs w:val="20"/>
                <w:color w:val="auto"/>
              </w:rPr>
            </w:pPr>
          </w:p>
        </w:tc>
        <w:tc>
          <w:tcPr>
            <w:tcW w:w="8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2007</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77"/>
              <w:spacing w:after="0"/>
              <w:rPr>
                <w:sz w:val="20"/>
                <w:szCs w:val="20"/>
                <w:color w:val="auto"/>
              </w:rPr>
            </w:pPr>
            <w:r>
              <w:rPr>
                <w:rFonts w:ascii="Arial" w:cs="Arial" w:eastAsia="Arial" w:hAnsi="Arial"/>
                <w:sz w:val="17"/>
                <w:szCs w:val="17"/>
                <w:color w:val="auto"/>
              </w:rPr>
              <w:t>450,000</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46,132</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rPr>
              <w:t>750,000</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ind w:left="80"/>
              <w:spacing w:after="0"/>
              <w:rPr>
                <w:sz w:val="20"/>
                <w:szCs w:val="20"/>
                <w:color w:val="auto"/>
              </w:rPr>
            </w:pPr>
            <w:r>
              <w:rPr>
                <w:rFonts w:ascii="Arial" w:cs="Arial" w:eastAsia="Arial" w:hAnsi="Arial"/>
                <w:sz w:val="17"/>
                <w:szCs w:val="17"/>
                <w:color w:val="auto"/>
              </w:rPr>
              <w:t>2,001,150</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3,247,282</w:t>
            </w:r>
          </w:p>
        </w:tc>
      </w:tr>
      <w:tr>
        <w:trPr>
          <w:trHeight w:val="265"/>
        </w:trPr>
        <w:tc>
          <w:tcPr>
            <w:tcW w:w="4580" w:type="dxa"/>
            <w:vAlign w:val="bottom"/>
          </w:tcPr>
          <w:p>
            <w:pPr>
              <w:spacing w:after="0"/>
              <w:rPr>
                <w:sz w:val="20"/>
                <w:szCs w:val="20"/>
                <w:color w:val="auto"/>
              </w:rPr>
            </w:pPr>
            <w:r>
              <w:rPr>
                <w:rFonts w:ascii="Arial" w:cs="Arial" w:eastAsia="Arial" w:hAnsi="Arial"/>
                <w:sz w:val="21"/>
                <w:szCs w:val="21"/>
                <w:color w:val="auto"/>
              </w:rPr>
              <w:t>____________________</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05" w:lineRule="exact"/>
        <w:rPr>
          <w:sz w:val="20"/>
          <w:szCs w:val="20"/>
          <w:color w:val="auto"/>
        </w:rPr>
      </w:pPr>
    </w:p>
    <w:p>
      <w:pPr>
        <w:ind w:left="360" w:hanging="356"/>
        <w:spacing w:after="0" w:line="239"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table shows the annual rate of base salary as set by the committee (effective in February of the year). In the Summary Compensation Table, the “Salary” column shows the actual salary paid in the year. This table has separate columns for profit sharing and bonus. In the Summary Compensation Table, profit sharing and bonus are aggregated in the column for “Non- Equity Incentive Plan Compensation,” in accordance with SEC requirements. This table shows the grant-date fair value of equity compensation awarded in the year. Please see note 3 to the Grants of Plan-Based Awards in 2008 for information about how grant-date fair value was calculated. In the Summary Compensation Table, the “Stock Awards” and “Option Awards” columns show the expense recognized in the company’s financial statements for the year under SFAS 123(R) and include past restricted stock unit and stock option grants held by the officer.</w:t>
      </w:r>
    </w:p>
    <w:p>
      <w:pPr>
        <w:sectPr>
          <w:pgSz w:w="11900" w:h="16838" w:orient="portrait"/>
          <w:cols w:equalWidth="0" w:num="1">
            <w:col w:w="11420"/>
          </w:cols>
          <w:pgMar w:left="240" w:top="123" w:right="239" w:bottom="0" w:gutter="0" w:footer="0" w:header="0"/>
        </w:sectPr>
      </w:pPr>
    </w:p>
    <w:bookmarkStart w:id="14" w:name="page15"/>
    <w:bookmarkEnd w:id="14"/>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[ 68 ]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360" w:hanging="336"/>
        <w:spacing w:after="0" w:line="242"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June 2006, Mr. Lowe received a salary increase and a retention grant of restricted stock units in connection with his assuming additional responsibilities. For 2006, the amounts in the table are: his annual rate of salary as adjusted in June 2006; profit sharing for 2006; grant date fair value of all awards received in 2006; and bonus for 2006.</w:t>
      </w:r>
    </w:p>
    <w:p>
      <w:pPr>
        <w:spacing w:after="0" w:line="199"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For each of the officers, the “Total” shown in this table is lower for 2008 than for 2007 due to the lower level of total cash compensation primarily as a result of the lower bonus paid for 2008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dilution</w:t>
      </w:r>
    </w:p>
    <w:p>
      <w:pPr>
        <w:spacing w:after="0" w:line="1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2008 under the company’s equity-compensation program resulted in net annual dilution of 0.7 percent.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in 2009</w:t>
      </w:r>
    </w:p>
    <w:p>
      <w:pPr>
        <w:spacing w:after="0" w:line="1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Although 2009 equity compensation decisions would normally be discussed in next year’s proxy statement, we are providing the following information so that stockholders are aware of it as they consider the company’s proposal of a new long-term incentive plan (see page 86 below).</w:t>
      </w:r>
    </w:p>
    <w:p>
      <w:pPr>
        <w:spacing w:after="0" w:line="14" w:lineRule="exact"/>
        <w:rPr>
          <w:sz w:val="20"/>
          <w:szCs w:val="20"/>
          <w:color w:val="auto"/>
        </w:rPr>
      </w:pPr>
    </w:p>
    <w:p>
      <w:pPr>
        <w:ind w:right="100" w:firstLine="259"/>
        <w:spacing w:after="0" w:line="244" w:lineRule="auto"/>
        <w:rPr>
          <w:sz w:val="20"/>
          <w:szCs w:val="20"/>
          <w:color w:val="auto"/>
        </w:rPr>
      </w:pPr>
      <w:r>
        <w:rPr>
          <w:rFonts w:ascii="Arial" w:cs="Arial" w:eastAsia="Arial" w:hAnsi="Arial"/>
          <w:sz w:val="17"/>
          <w:szCs w:val="17"/>
          <w:color w:val="auto"/>
        </w:rPr>
        <w:t>At its January 2009 meeting, the committee approved an annual grant of stock options and restricted stock units to employees, including the named executive officers. At the same meeting, the committee also approved a separate grant to each employee who received an annual grant, again including the named executive officers. The separate grant was generally for the same number of shares as the annual grant. The exercise price of the options in both these grants was the closing price of TI stock on January 29, 2009, the third trading day after the company released its annual and fourth quarter financial results for 2008. The details of the grants to the named executive officers have been reported on Form 4s filed with the SEC.</w:t>
      </w:r>
    </w:p>
    <w:p>
      <w:pPr>
        <w:spacing w:after="0" w:line="16" w:lineRule="exact"/>
        <w:rPr>
          <w:sz w:val="20"/>
          <w:szCs w:val="20"/>
          <w:color w:val="auto"/>
        </w:rPr>
      </w:pPr>
    </w:p>
    <w:p>
      <w:pPr>
        <w:ind w:right="20" w:firstLine="259"/>
        <w:spacing w:after="0" w:line="246" w:lineRule="auto"/>
        <w:rPr>
          <w:sz w:val="20"/>
          <w:szCs w:val="20"/>
          <w:color w:val="auto"/>
        </w:rPr>
      </w:pPr>
      <w:r>
        <w:rPr>
          <w:rFonts w:ascii="Arial" w:cs="Arial" w:eastAsia="Arial" w:hAnsi="Arial"/>
          <w:sz w:val="17"/>
          <w:szCs w:val="17"/>
          <w:color w:val="auto"/>
        </w:rPr>
        <w:t>The committee decided on these actions to keep equity compensation competitive with anticipated market levels and increase the retention and incentive value of employees’ outstanding equity compensation. Even with the separate grant, the Committee expects to be well below its goal of keeping net annual dilution from equity compensation under 2 percent for 2009. The combined grant-date fair value of the annual and separate grants to Mr. Templeton is approximately the same as his 2008 equity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equity grant timing</w:t>
      </w:r>
    </w:p>
    <w:p>
      <w:pPr>
        <w:spacing w:after="0" w:line="19" w:lineRule="exact"/>
        <w:rPr>
          <w:sz w:val="20"/>
          <w:szCs w:val="20"/>
          <w:color w:val="auto"/>
        </w:rPr>
      </w:pPr>
    </w:p>
    <w:p>
      <w:pPr>
        <w:jc w:val="both"/>
        <w:ind w:right="360"/>
        <w:spacing w:after="0" w:line="242" w:lineRule="auto"/>
        <w:rPr>
          <w:sz w:val="20"/>
          <w:szCs w:val="20"/>
          <w:color w:val="auto"/>
        </w:rPr>
      </w:pPr>
      <w:r>
        <w:rPr>
          <w:rFonts w:ascii="Arial" w:cs="Arial" w:eastAsia="Arial" w:hAnsi="Arial"/>
          <w:sz w:val="17"/>
          <w:szCs w:val="17"/>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7" w:lineRule="exact"/>
        <w:rPr>
          <w:sz w:val="20"/>
          <w:szCs w:val="20"/>
          <w:color w:val="auto"/>
        </w:rPr>
      </w:pPr>
    </w:p>
    <w:p>
      <w:pPr>
        <w:ind w:right="20" w:firstLine="259"/>
        <w:spacing w:after="0" w:line="262" w:lineRule="auto"/>
        <w:rPr>
          <w:sz w:val="20"/>
          <w:szCs w:val="20"/>
          <w:color w:val="auto"/>
        </w:rPr>
      </w:pPr>
      <w:r>
        <w:rPr>
          <w:rFonts w:ascii="Arial" w:cs="Arial" w:eastAsia="Arial" w:hAnsi="Arial"/>
          <w:sz w:val="17"/>
          <w:szCs w:val="17"/>
          <w:color w:val="auto"/>
        </w:rPr>
        <w:t>On occasion, the committee may grant stock options or restricted stock units to executives at times other than January. For example, it has done so in connection with job promotions and for purposes of retention.</w:t>
      </w:r>
    </w:p>
    <w:p>
      <w:pPr>
        <w:spacing w:after="0" w:line="1" w:lineRule="exact"/>
        <w:rPr>
          <w:sz w:val="20"/>
          <w:szCs w:val="20"/>
          <w:color w:val="auto"/>
        </w:rPr>
      </w:pPr>
    </w:p>
    <w:p>
      <w:pPr>
        <w:ind w:right="240" w:firstLine="259"/>
        <w:spacing w:after="0" w:line="262" w:lineRule="auto"/>
        <w:rPr>
          <w:sz w:val="20"/>
          <w:szCs w:val="20"/>
          <w:color w:val="auto"/>
        </w:rPr>
      </w:pPr>
      <w:r>
        <w:rPr>
          <w:rFonts w:ascii="Arial" w:cs="Arial" w:eastAsia="Arial" w:hAnsi="Arial"/>
          <w:sz w:val="17"/>
          <w:szCs w:val="17"/>
          <w:color w:val="auto"/>
        </w:rPr>
        <w:t>We do not back-date stock options or restricted stock units. We do not accelerate or delay the release of information due to plans for making equity grants.</w:t>
      </w:r>
    </w:p>
    <w:p>
      <w:pPr>
        <w:spacing w:after="0" w:line="1" w:lineRule="exact"/>
        <w:rPr>
          <w:sz w:val="20"/>
          <w:szCs w:val="20"/>
          <w:color w:val="auto"/>
        </w:rPr>
      </w:pPr>
    </w:p>
    <w:p>
      <w:pPr>
        <w:ind w:right="20" w:firstLine="259"/>
        <w:spacing w:after="0" w:line="244" w:lineRule="auto"/>
        <w:rPr>
          <w:sz w:val="20"/>
          <w:szCs w:val="20"/>
          <w:color w:val="auto"/>
        </w:rPr>
      </w:pPr>
      <w:r>
        <w:rPr>
          <w:rFonts w:ascii="Arial" w:cs="Arial" w:eastAsia="Arial" w:hAnsi="Arial"/>
          <w:sz w:val="17"/>
          <w:szCs w:val="17"/>
          <w:color w:val="auto"/>
        </w:rPr>
        <w:t>In July 2007, the committee changed its grant-timing policy with effect in January 2008. Under the policy, if the committee meeting falls in the same month as the release of the company’s financial results, the grants approved at the meeting will be made effective on the later of (i) the meeting day or (ii) the third trading day after the release of results. Otherwise they will be made effective on the day of committee action. Previously all grants were made effective on the day of committee action. The exercise price of stock options continues to be the closing price of TI stock on the effective date of the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w:t>
      </w:r>
    </w:p>
    <w:p>
      <w:pPr>
        <w:spacing w:after="0" w:line="19" w:lineRule="exact"/>
        <w:rPr>
          <w:sz w:val="20"/>
          <w:szCs w:val="20"/>
          <w:color w:val="auto"/>
        </w:rPr>
      </w:pPr>
    </w:p>
    <w:p>
      <w:pPr>
        <w:jc w:val="both"/>
        <w:ind w:right="140"/>
        <w:spacing w:after="0" w:line="242" w:lineRule="auto"/>
        <w:rPr>
          <w:sz w:val="20"/>
          <w:szCs w:val="20"/>
          <w:color w:val="auto"/>
        </w:rPr>
      </w:pPr>
      <w:r>
        <w:rPr>
          <w:rFonts w:ascii="Arial" w:cs="Arial" w:eastAsia="Arial" w:hAnsi="Arial"/>
          <w:sz w:val="17"/>
          <w:szCs w:val="17"/>
          <w:color w:val="auto"/>
        </w:rPr>
        <w:t>Reflecting the company’s culture of respect and value for all employees, the financial and health benefits received by executive officers are the same as those received by other U.S. employees except for the few benefits described under the sub-heading Other Benefits below in the last paragraph of this section.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Retirement plans</w:t>
      </w:r>
    </w:p>
    <w:p>
      <w:pPr>
        <w:ind w:right="300"/>
        <w:spacing w:after="0" w:line="246" w:lineRule="auto"/>
        <w:rPr>
          <w:sz w:val="20"/>
          <w:szCs w:val="20"/>
          <w:color w:val="auto"/>
        </w:rPr>
      </w:pPr>
      <w:r>
        <w:rPr>
          <w:rFonts w:ascii="Arial" w:cs="Arial" w:eastAsia="Arial" w:hAnsi="Arial"/>
          <w:sz w:val="17"/>
          <w:szCs w:val="17"/>
          <w:color w:val="auto"/>
        </w:rPr>
        <w:t>The executive officers participate in our retirement plans under the same rules that apply to other U.S. employees. We maintain these plans to have a competitive benefits program and for retention.</w:t>
      </w:r>
    </w:p>
    <w:p>
      <w:pPr>
        <w:spacing w:after="0" w:line="14" w:lineRule="exact"/>
        <w:rPr>
          <w:sz w:val="20"/>
          <w:szCs w:val="20"/>
          <w:color w:val="auto"/>
        </w:rPr>
      </w:pPr>
    </w:p>
    <w:p>
      <w:pPr>
        <w:ind w:right="40" w:firstLine="259"/>
        <w:spacing w:after="0" w:line="242" w:lineRule="auto"/>
        <w:rPr>
          <w:sz w:val="20"/>
          <w:szCs w:val="20"/>
          <w:color w:val="auto"/>
        </w:rPr>
      </w:pPr>
      <w:r>
        <w:rPr>
          <w:rFonts w:ascii="Arial" w:cs="Arial" w:eastAsia="Arial" w:hAnsi="Arial"/>
          <w:sz w:val="17"/>
          <w:szCs w:val="17"/>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benefits frozen in that plan and begin participating in an enhanced defined contribution plan. Mr. Templeton chose not to remain in the defined benefit plan. As a result, his benefits under that plan were frozen in 1997 and he participates in the enhanced defined contribution plan. The other named executive officers have continued their participation in the defined benefit pension plan.</w:t>
      </w:r>
    </w:p>
    <w:p>
      <w:pPr>
        <w:spacing w:after="0" w:line="19" w:lineRule="exact"/>
        <w:rPr>
          <w:sz w:val="20"/>
          <w:szCs w:val="20"/>
          <w:color w:val="auto"/>
        </w:rPr>
      </w:pPr>
    </w:p>
    <w:p>
      <w:pPr>
        <w:ind w:right="520" w:firstLine="259"/>
        <w:spacing w:after="0" w:line="262" w:lineRule="auto"/>
        <w:rPr>
          <w:sz w:val="20"/>
          <w:szCs w:val="20"/>
          <w:color w:val="auto"/>
        </w:rPr>
      </w:pPr>
      <w:r>
        <w:rPr>
          <w:rFonts w:ascii="Arial" w:cs="Arial" w:eastAsia="Arial" w:hAnsi="Arial"/>
          <w:sz w:val="17"/>
          <w:szCs w:val="17"/>
          <w:color w:val="auto"/>
        </w:rPr>
        <w:t>The Internal Revenue Code (IRC) imposes certain limits on the retirement benefits that may be provided under a qualified plan. To maintain the desired level of benefits, we have a non-qualified defined benefit pension plan for participants in the qualified pension plan.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Under the non-qualified plan, participants receive a benefit that would ordinarily be paid under the qualified pension plan but for the limitations under the IRC. For additional information about the defined benefit plans, please see pages 78-79.</w:t>
      </w:r>
    </w:p>
    <w:p>
      <w:pPr>
        <w:spacing w:after="0" w:line="14" w:lineRule="exact"/>
        <w:rPr>
          <w:sz w:val="20"/>
          <w:szCs w:val="20"/>
          <w:color w:val="auto"/>
        </w:rPr>
      </w:pPr>
    </w:p>
    <w:p>
      <w:pPr>
        <w:ind w:right="260" w:firstLine="259"/>
        <w:spacing w:after="0" w:line="250" w:lineRule="auto"/>
        <w:rPr>
          <w:sz w:val="20"/>
          <w:szCs w:val="20"/>
          <w:color w:val="auto"/>
        </w:rPr>
      </w:pPr>
      <w:r>
        <w:rPr>
          <w:rFonts w:ascii="Arial" w:cs="Arial" w:eastAsia="Arial" w:hAnsi="Arial"/>
          <w:sz w:val="17"/>
          <w:szCs w:val="17"/>
          <w:color w:val="auto"/>
        </w:rPr>
        <w:t>Employees accruing benefits in the qualified pension plan, including the named executive officers other than Mr. Templeton, also are eligible to participate in a qualified defined contribution plan that provides employer matching contributions. The enhanced defined contribution plan, in which Mr. Templeton participates, provides for a fixed employer contribution plus an employer matching contribution.</w:t>
      </w:r>
    </w:p>
    <w:p>
      <w:pPr>
        <w:spacing w:after="0" w:line="11" w:lineRule="exact"/>
        <w:rPr>
          <w:sz w:val="20"/>
          <w:szCs w:val="20"/>
          <w:color w:val="auto"/>
        </w:rPr>
      </w:pPr>
    </w:p>
    <w:p>
      <w:pPr>
        <w:ind w:right="80" w:firstLine="259"/>
        <w:spacing w:after="0" w:line="246" w:lineRule="auto"/>
        <w:rPr>
          <w:sz w:val="20"/>
          <w:szCs w:val="20"/>
          <w:color w:val="auto"/>
        </w:rPr>
      </w:pPr>
      <w:r>
        <w:rPr>
          <w:rFonts w:ascii="Arial" w:cs="Arial" w:eastAsia="Arial" w:hAnsi="Arial"/>
          <w:sz w:val="17"/>
          <w:szCs w:val="17"/>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do not result in greater benefits for him under the company’s defined benefit pension plans because his benefits under those plans were frozen in 1997. The committee considers the potential effect on the executive’s retirement benefits when it sets salary and performance bonus levels.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compensation</w:t>
      </w:r>
    </w:p>
    <w:p>
      <w:pPr>
        <w:jc w:val="both"/>
        <w:ind w:right="200"/>
        <w:spacing w:after="0" w:line="241" w:lineRule="auto"/>
        <w:rPr>
          <w:sz w:val="20"/>
          <w:szCs w:val="20"/>
          <w:color w:val="auto"/>
        </w:rPr>
      </w:pPr>
      <w:r>
        <w:rPr>
          <w:rFonts w:ascii="Arial" w:cs="Arial" w:eastAsia="Arial" w:hAnsi="Arial"/>
          <w:sz w:val="17"/>
          <w:szCs w:val="17"/>
          <w:color w:val="auto"/>
        </w:rPr>
        <w:t>Any U.S. employee whose base salary exceeds a certain level may defer the receipt of a portion of his or her salary, bonus and profit sharing. Rules of the U.S. Department of Labor require that this plan be limited to a select group of management or highly compensated employees. The program allows employees to defer the receipt of their compensation in a tax-efficient manner. Eligible employees include, but are not limited to, the executive officers. We offer it to be competitive with the benefits packages offered by other companies.</w:t>
      </w:r>
    </w:p>
    <w:p>
      <w:pPr>
        <w:spacing w:after="0" w:line="18" w:lineRule="exact"/>
        <w:rPr>
          <w:sz w:val="20"/>
          <w:szCs w:val="20"/>
          <w:color w:val="auto"/>
        </w:rPr>
      </w:pPr>
    </w:p>
    <w:p>
      <w:pPr>
        <w:ind w:right="20" w:firstLine="259"/>
        <w:spacing w:after="0" w:line="273" w:lineRule="auto"/>
        <w:rPr>
          <w:sz w:val="20"/>
          <w:szCs w:val="20"/>
          <w:color w:val="auto"/>
        </w:rPr>
      </w:pPr>
      <w:r>
        <w:rPr>
          <w:rFonts w:ascii="Arial" w:cs="Arial" w:eastAsia="Arial" w:hAnsi="Arial"/>
          <w:sz w:val="16"/>
          <w:szCs w:val="16"/>
          <w:color w:val="auto"/>
        </w:rPr>
        <w:t>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w:t>
      </w:r>
    </w:p>
    <w:p>
      <w:pPr>
        <w:sectPr>
          <w:pgSz w:w="11900" w:h="16924" w:orient="portrait"/>
          <w:cols w:equalWidth="0" w:num="1">
            <w:col w:w="11420"/>
          </w:cols>
          <w:pgMar w:left="240" w:top="140" w:right="239" w:bottom="0" w:gutter="0" w:footer="0" w:header="0"/>
        </w:sectPr>
      </w:pPr>
    </w:p>
    <w:bookmarkStart w:id="15" w:name="page16"/>
    <w:bookmarkEnd w:id="15"/>
    <w:p>
      <w:pPr>
        <w:spacing w:after="0" w:line="3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rules, no earnings on deferred compensation are shown in the 2008 Summary Compensation Table on page 72 because no “above market” rates were earned on deferred amounts in 2008.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stock purchase plan</w:t>
      </w:r>
    </w:p>
    <w:p>
      <w:pPr>
        <w:ind w:right="280"/>
        <w:spacing w:after="0" w:line="241" w:lineRule="auto"/>
        <w:rPr>
          <w:sz w:val="20"/>
          <w:szCs w:val="20"/>
          <w:color w:val="auto"/>
        </w:rPr>
      </w:pPr>
      <w:r>
        <w:rPr>
          <w:rFonts w:ascii="Arial" w:cs="Arial" w:eastAsia="Arial" w:hAnsi="Arial"/>
          <w:sz w:val="17"/>
          <w:szCs w:val="17"/>
          <w:color w:val="auto"/>
        </w:rPr>
        <w:t>Our stockholders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stockholders. Consistent with our general approach to benefit programs, executive officers are also eligible to participate.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Health-related benefits</w:t>
      </w:r>
    </w:p>
    <w:p>
      <w:pPr>
        <w:ind w:right="220"/>
        <w:spacing w:after="0" w:line="246" w:lineRule="auto"/>
        <w:rPr>
          <w:sz w:val="20"/>
          <w:szCs w:val="20"/>
          <w:color w:val="auto"/>
        </w:rPr>
      </w:pPr>
      <w:r>
        <w:rPr>
          <w:rFonts w:ascii="Arial" w:cs="Arial" w:eastAsia="Arial" w:hAnsi="Arial"/>
          <w:sz w:val="17"/>
          <w:szCs w:val="17"/>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benefits</w:t>
      </w:r>
    </w:p>
    <w:p>
      <w:pPr>
        <w:ind w:right="220"/>
        <w:spacing w:after="0" w:line="246" w:lineRule="auto"/>
        <w:rPr>
          <w:sz w:val="20"/>
          <w:szCs w:val="20"/>
          <w:color w:val="auto"/>
        </w:rPr>
      </w:pPr>
      <w:r>
        <w:rPr>
          <w:rFonts w:ascii="Arial" w:cs="Arial" w:eastAsia="Arial" w:hAnsi="Arial"/>
          <w:sz w:val="17"/>
          <w:szCs w:val="17"/>
          <w:color w:val="auto"/>
        </w:rPr>
        <w:t>Executive officers receive only a few benefits that are not available to all other U.S. employees. These benefits fall into one of two categories: personal and security.</w:t>
      </w:r>
    </w:p>
    <w:p>
      <w:pPr>
        <w:spacing w:after="0" w:line="177" w:lineRule="exact"/>
        <w:rPr>
          <w:sz w:val="20"/>
          <w:szCs w:val="20"/>
          <w:color w:val="auto"/>
        </w:rPr>
      </w:pPr>
    </w:p>
    <w:p>
      <w:pPr>
        <w:ind w:left="260" w:right="240"/>
        <w:spacing w:after="0" w:line="249" w:lineRule="auto"/>
        <w:rPr>
          <w:sz w:val="20"/>
          <w:szCs w:val="20"/>
          <w:color w:val="auto"/>
        </w:rPr>
      </w:pPr>
      <w:r>
        <w:rPr>
          <w:rFonts w:ascii="Arial" w:cs="Arial" w:eastAsia="Arial" w:hAnsi="Arial"/>
          <w:sz w:val="17"/>
          <w:szCs w:val="17"/>
          <w:i w:val="1"/>
          <w:iCs w:val="1"/>
          <w:color w:val="auto"/>
        </w:rPr>
        <w:t xml:space="preserve">Personal benefits: </w:t>
      </w:r>
      <w:r>
        <w:rPr>
          <w:rFonts w:ascii="Arial" w:cs="Arial" w:eastAsia="Arial" w:hAnsi="Arial"/>
          <w:sz w:val="17"/>
          <w:szCs w:val="17"/>
          <w:color w:val="auto"/>
        </w:rPr>
        <w:t>We promote sustained good health by providing a company-paid physical for each executive officer, and we encourage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financial planning by providing financial counseling up to $8,000 per year for each executive officer.</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Security: </w:t>
      </w:r>
      <w:r>
        <w:rPr>
          <w:rFonts w:ascii="Arial" w:cs="Arial" w:eastAsia="Arial" w:hAnsi="Arial"/>
          <w:sz w:val="17"/>
          <w:szCs w:val="17"/>
          <w:color w:val="auto"/>
        </w:rPr>
        <w:t>We pay for maintenance and monitoring of home-security systems for certain executive officers to help ensure personal safety.</w:t>
      </w:r>
    </w:p>
    <w:p>
      <w:pPr>
        <w:spacing w:after="0" w:line="232" w:lineRule="exact"/>
        <w:rPr>
          <w:sz w:val="20"/>
          <w:szCs w:val="20"/>
          <w:color w:val="auto"/>
        </w:rPr>
      </w:pPr>
    </w:p>
    <w:p>
      <w:pPr>
        <w:ind w:right="20" w:firstLine="259"/>
        <w:spacing w:after="0" w:line="266" w:lineRule="auto"/>
        <w:rPr>
          <w:sz w:val="20"/>
          <w:szCs w:val="20"/>
          <w:color w:val="auto"/>
        </w:rPr>
      </w:pPr>
      <w:r>
        <w:rPr>
          <w:rFonts w:ascii="Arial" w:cs="Arial" w:eastAsia="Arial" w:hAnsi="Arial"/>
          <w:sz w:val="16"/>
          <w:szCs w:val="16"/>
          <w:color w:val="auto"/>
        </w:rPr>
        <w:t>The board of directors has determined that for security reasons, it is in the company’s interest to require the CEO to use company aircraft for personal air travel. Because this required use of the aircraft results in taxable income for the CEO, the company reimburses a portion of the tax expense that he incurs as a result of the requirement. Under SEC rules, Mr. Lowe is deemed to have received a personal benefit in 2008, because corporate aircraft incurred additional mileage in picking him up from, or delivering him to, his home outside Dallas in connection with some of his business trips.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following employment termination or change in control</w:t>
      </w:r>
    </w:p>
    <w:p>
      <w:pPr>
        <w:spacing w:after="0" w:line="19"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81. None of the few additional benefits that the executive officers receive continue after the year of termination of employment. The committee reviews the potential impact of these programs before finalizing the annual compensation for the named executive officers. The committee did not raise or lower compensation for 2008 based on this review.</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[ 70 ]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 and policy against hedging</w:t>
      </w:r>
    </w:p>
    <w:p>
      <w:pPr>
        <w:spacing w:after="0" w:line="19"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18" w:lineRule="exact"/>
        <w:rPr>
          <w:sz w:val="20"/>
          <w:szCs w:val="20"/>
          <w:color w:val="auto"/>
        </w:rPr>
      </w:pPr>
    </w:p>
    <w:p>
      <w:pPr>
        <w:ind w:right="220" w:firstLine="259"/>
        <w:spacing w:after="0" w:line="250"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 of tax and accounting treatment of compensation</w:t>
      </w:r>
    </w:p>
    <w:p>
      <w:pPr>
        <w:spacing w:after="0" w:line="1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its stockholders that restricted stock unit awards provide for the retention of our executive officers in all market conditions.</w:t>
      </w:r>
    </w:p>
    <w:p>
      <w:pPr>
        <w:spacing w:after="0" w:line="22" w:lineRule="exact"/>
        <w:rPr>
          <w:sz w:val="20"/>
          <w:szCs w:val="20"/>
          <w:color w:val="auto"/>
        </w:rPr>
      </w:pPr>
    </w:p>
    <w:p>
      <w:pPr>
        <w:ind w:right="180" w:firstLine="259"/>
        <w:spacing w:after="0" w:line="246" w:lineRule="auto"/>
        <w:rPr>
          <w:sz w:val="20"/>
          <w:szCs w:val="20"/>
          <w:color w:val="auto"/>
        </w:rPr>
      </w:pPr>
      <w:r>
        <w:rPr>
          <w:rFonts w:ascii="Arial" w:cs="Arial" w:eastAsia="Arial" w:hAnsi="Arial"/>
          <w:sz w:val="17"/>
          <w:szCs w:val="17"/>
          <w:color w:val="auto"/>
        </w:rPr>
        <w:t>The Texas Instruments Executive Officer Performance Plan (described on page 63) is intended to ensure that performance bonuses under the plan are fully tax deductible under Section 162(m). The committee’s general policy is to award bonuses within the plan, although the committee reserves the discretion to pay a bonus outside the plan if it determines that it is in our stockholders’ best interest to do so. It did not exercise this discretion for 2008 performance.</w:t>
      </w:r>
    </w:p>
    <w:p>
      <w:pPr>
        <w:spacing w:after="0" w:line="14" w:lineRule="exact"/>
        <w:rPr>
          <w:sz w:val="20"/>
          <w:szCs w:val="20"/>
          <w:color w:val="auto"/>
        </w:rPr>
      </w:pPr>
    </w:p>
    <w:p>
      <w:pPr>
        <w:ind w:right="220" w:firstLine="259"/>
        <w:spacing w:after="0" w:line="262" w:lineRule="auto"/>
        <w:rPr>
          <w:sz w:val="20"/>
          <w:szCs w:val="20"/>
          <w:color w:val="auto"/>
        </w:rPr>
      </w:pPr>
      <w:r>
        <w:rPr>
          <w:rFonts w:ascii="Arial" w:cs="Arial" w:eastAsia="Arial" w:hAnsi="Arial"/>
          <w:sz w:val="17"/>
          <w:szCs w:val="17"/>
          <w:color w:val="auto"/>
        </w:rPr>
        <w:t>When setting equity compensation, the committee considers the estimated cost for financial reporting purposes of equity compensation it intends to grant. Its consideration of the estimated cost of grants made in 2008 is discussed on pages 64-65 above.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 has furnished the following report:</w:t>
      </w:r>
    </w:p>
    <w:p>
      <w:pPr>
        <w:spacing w:after="0" w:line="25" w:lineRule="exact"/>
        <w:rPr>
          <w:sz w:val="20"/>
          <w:szCs w:val="20"/>
          <w:color w:val="auto"/>
        </w:rPr>
      </w:pPr>
    </w:p>
    <w:p>
      <w:pPr>
        <w:ind w:right="220" w:firstLine="259"/>
        <w:spacing w:after="0" w:line="250" w:lineRule="auto"/>
        <w:rPr>
          <w:sz w:val="20"/>
          <w:szCs w:val="20"/>
          <w:color w:val="auto"/>
        </w:rPr>
      </w:pPr>
      <w:r>
        <w:rPr>
          <w:rFonts w:ascii="Arial" w:cs="Arial" w:eastAsia="Arial" w:hAnsi="Arial"/>
          <w:sz w:val="17"/>
          <w:szCs w:val="17"/>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2008 and the company’s proxy statement for the 2009 annual meeting of stockholders.</w:t>
      </w:r>
    </w:p>
    <w:p>
      <w:pPr>
        <w:spacing w:after="0" w:line="218" w:lineRule="exact"/>
        <w:rPr>
          <w:sz w:val="20"/>
          <w:szCs w:val="20"/>
          <w:color w:val="auto"/>
        </w:rPr>
      </w:pPr>
    </w:p>
    <w:p>
      <w:pPr>
        <w:ind w:left="1080"/>
        <w:spacing w:after="0"/>
        <w:tabs>
          <w:tab w:leader="none" w:pos="5160" w:val="left"/>
          <w:tab w:leader="none" w:pos="8880" w:val="left"/>
        </w:tabs>
        <w:rPr>
          <w:sz w:val="20"/>
          <w:szCs w:val="20"/>
          <w:color w:val="auto"/>
        </w:rPr>
      </w:pPr>
      <w:r>
        <w:rPr>
          <w:rFonts w:ascii="Arial" w:cs="Arial" w:eastAsia="Arial" w:hAnsi="Arial"/>
          <w:sz w:val="17"/>
          <w:szCs w:val="17"/>
          <w:color w:val="auto"/>
        </w:rPr>
        <w:t>Daniel A. Carp, Chair</w:t>
      </w:r>
      <w:r>
        <w:rPr>
          <w:sz w:val="20"/>
          <w:szCs w:val="20"/>
          <w:color w:val="auto"/>
        </w:rPr>
        <w:tab/>
      </w:r>
      <w:r>
        <w:rPr>
          <w:rFonts w:ascii="Arial" w:cs="Arial" w:eastAsia="Arial" w:hAnsi="Arial"/>
          <w:sz w:val="17"/>
          <w:szCs w:val="17"/>
          <w:color w:val="auto"/>
        </w:rPr>
        <w:t>Carrie S. Cox</w:t>
      </w:r>
      <w:r>
        <w:rPr>
          <w:sz w:val="20"/>
          <w:szCs w:val="20"/>
          <w:color w:val="auto"/>
        </w:rPr>
        <w:tab/>
      </w:r>
      <w:r>
        <w:rPr>
          <w:rFonts w:ascii="Arial" w:cs="Arial" w:eastAsia="Arial" w:hAnsi="Arial"/>
          <w:sz w:val="16"/>
          <w:szCs w:val="16"/>
          <w:color w:val="auto"/>
        </w:rPr>
        <w:t>David R. Goode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summary compensation table</w:t>
      </w:r>
    </w:p>
    <w:p>
      <w:pPr>
        <w:spacing w:after="0" w:line="1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table below shows the compensation of the company’s chief executive officer, chief financial officer and each of the other three most highly compensated individuals who were executive officers during 2008 (collectively called the “named executive officers”) for services in all capacities to the company in 2008. For a discussion of the amount of a named executive officer’s salary and bonus in proportion to his total compensation, please see the Compensation Discussion and Analysis on pages 61-71.</w:t>
      </w:r>
    </w:p>
    <w:p>
      <w:pPr>
        <w:spacing w:after="0" w:line="18" w:lineRule="exact"/>
        <w:rPr>
          <w:sz w:val="20"/>
          <w:szCs w:val="20"/>
          <w:color w:val="auto"/>
        </w:rPr>
      </w:pPr>
    </w:p>
    <w:p>
      <w:pPr>
        <w:ind w:right="260" w:firstLine="259"/>
        <w:spacing w:after="0" w:line="243" w:lineRule="auto"/>
        <w:rPr>
          <w:sz w:val="20"/>
          <w:szCs w:val="20"/>
          <w:color w:val="auto"/>
        </w:rPr>
      </w:pPr>
      <w:r>
        <w:rPr>
          <w:rFonts w:ascii="Arial" w:cs="Arial" w:eastAsia="Arial" w:hAnsi="Arial"/>
          <w:sz w:val="17"/>
          <w:szCs w:val="17"/>
          <w:color w:val="auto"/>
        </w:rPr>
        <w:t>We believe that our compensation practices are fair and reasonable. Our executive officers do not have employment contracts. They are not guaranteed salary increases or bonus amounts. Pension benefits are calculated on salary and bonus only; the proceeds earned on equity or other performance awards are not part of the pension calculation. We do not guarantee a return or provide above-market returns on compensation that has been deferred. We have not repriced stock options, and we do not grant reload options. We do not provide excessive perquisites. Those few we do provide do not result in significant expense for TI. We believe our compensation program holds our executive officers accountable for the financial and competitive performance of TI, and for their individual contribution toward that performance.</w:t>
      </w:r>
    </w:p>
    <w:p>
      <w:pPr>
        <w:sectPr>
          <w:pgSz w:w="11900" w:h="16871" w:orient="portrait"/>
          <w:cols w:equalWidth="0" w:num="1">
            <w:col w:w="11420"/>
          </w:cols>
          <w:pgMar w:left="240" w:top="143" w:right="239" w:bottom="0" w:gutter="0" w:footer="0" w:header="0"/>
        </w:sectPr>
      </w:pPr>
    </w:p>
    <w:p>
      <w:pPr>
        <w:spacing w:after="0" w:line="194" w:lineRule="exact"/>
        <w:rPr>
          <w:sz w:val="20"/>
          <w:szCs w:val="20"/>
          <w:color w:val="auto"/>
        </w:rPr>
      </w:pPr>
    </w:p>
    <w:p>
      <w:pPr>
        <w:ind w:left="8100"/>
        <w:spacing w:after="0"/>
        <w:rPr>
          <w:sz w:val="20"/>
          <w:szCs w:val="20"/>
          <w:color w:val="auto"/>
        </w:rPr>
      </w:pPr>
      <w:r>
        <w:rPr>
          <w:rFonts w:ascii="Arial" w:cs="Arial" w:eastAsia="Arial" w:hAnsi="Arial"/>
          <w:sz w:val="12"/>
          <w:szCs w:val="12"/>
          <w:color w:val="auto"/>
        </w:rPr>
        <w:t>TEXAS INSTRUMENTS 2009 PROXY STATEMENT [ 71 ]</w:t>
      </w:r>
    </w:p>
    <w:p>
      <w:pPr>
        <w:sectPr>
          <w:pgSz w:w="11900" w:h="16871" w:orient="portrait"/>
          <w:cols w:equalWidth="0" w:num="1">
            <w:col w:w="11420"/>
          </w:cols>
          <w:pgMar w:left="240" w:top="143" w:right="239" w:bottom="0" w:gutter="0" w:footer="0" w:header="0"/>
          <w:type w:val="continuous"/>
        </w:sectPr>
      </w:pPr>
    </w:p>
    <w:bookmarkStart w:id="16" w:name="page17"/>
    <w:bookmarkEnd w:id="1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3290" cy="18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3"/>
              <w:spacing w:after="0"/>
              <w:rPr>
                <w:sz w:val="20"/>
                <w:szCs w:val="20"/>
                <w:color w:val="auto"/>
              </w:rPr>
            </w:pPr>
            <w:r>
              <w:rPr>
                <w:rFonts w:ascii="Arial" w:cs="Arial" w:eastAsia="Arial" w:hAnsi="Arial"/>
                <w:sz w:val="13"/>
                <w:szCs w:val="13"/>
                <w:b w:val="1"/>
                <w:bCs w:val="1"/>
                <w:color w:val="auto"/>
              </w:rPr>
              <w:t>Change in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2"/>
        </w:trPr>
        <w:tc>
          <w:tcPr>
            <w:tcW w:w="3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8"/>
              </w:rPr>
              <w:t>Pension Value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3"/>
              <w:spacing w:after="0" w:line="143"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3"/>
              <w:spacing w:after="0" w:line="143" w:lineRule="exact"/>
              <w:rPr>
                <w:sz w:val="20"/>
                <w:szCs w:val="20"/>
                <w:color w:val="auto"/>
              </w:rPr>
            </w:pPr>
            <w:r>
              <w:rPr>
                <w:rFonts w:ascii="Arial" w:cs="Arial" w:eastAsia="Arial" w:hAnsi="Arial"/>
                <w:sz w:val="13"/>
                <w:szCs w:val="13"/>
                <w:b w:val="1"/>
                <w:bCs w:val="1"/>
                <w:color w:val="auto"/>
              </w:rPr>
              <w:t>Non-qualified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3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3"/>
                <w:szCs w:val="13"/>
                <w:b w:val="1"/>
                <w:bCs w:val="1"/>
                <w:color w:val="auto"/>
              </w:rPr>
              <w:t>Non-equity</w:t>
            </w:r>
          </w:p>
        </w:tc>
        <w:tc>
          <w:tcPr>
            <w:tcW w:w="12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3"/>
                <w:szCs w:val="13"/>
                <w:b w:val="1"/>
                <w:bCs w:val="1"/>
                <w:color w:val="auto"/>
                <w:w w:val="97"/>
              </w:rPr>
              <w:t>Deferred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4"/>
        </w:trPr>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right="6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7"/>
                <w:szCs w:val="17"/>
                <w:color w:val="auto"/>
              </w:rPr>
            </w:pPr>
          </w:p>
        </w:tc>
        <w:tc>
          <w:tcPr>
            <w:tcW w:w="780" w:type="dxa"/>
            <w:vAlign w:val="bottom"/>
          </w:tcPr>
          <w:p>
            <w:pPr>
              <w:jc w:val="center"/>
              <w:ind w:right="40"/>
              <w:spacing w:after="0"/>
              <w:rPr>
                <w:sz w:val="20"/>
                <w:szCs w:val="20"/>
                <w:color w:val="auto"/>
              </w:rPr>
            </w:pPr>
            <w:r>
              <w:rPr>
                <w:rFonts w:ascii="Arial" w:cs="Arial" w:eastAsia="Arial" w:hAnsi="Arial"/>
                <w:sz w:val="13"/>
                <w:szCs w:val="13"/>
                <w:b w:val="1"/>
                <w:bCs w:val="1"/>
                <w:color w:val="auto"/>
              </w:rPr>
              <w:t>Option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Incentive Plan</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w w:val="99"/>
              </w:rPr>
              <w:t>Compensation</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3"/>
                <w:szCs w:val="13"/>
                <w:b w:val="1"/>
                <w:bCs w:val="1"/>
                <w:color w:val="auto"/>
              </w:rPr>
              <w:t>Name and Principal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Salary</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rPr>
              <w:t>Bonus</w:t>
            </w:r>
          </w:p>
        </w:tc>
        <w:tc>
          <w:tcPr>
            <w:tcW w:w="140" w:type="dxa"/>
            <w:vAlign w:val="bottom"/>
          </w:tcPr>
          <w:p>
            <w:pPr>
              <w:spacing w:after="0"/>
              <w:rPr>
                <w:sz w:val="14"/>
                <w:szCs w:val="14"/>
                <w:color w:val="auto"/>
              </w:rPr>
            </w:pPr>
          </w:p>
        </w:tc>
        <w:tc>
          <w:tcPr>
            <w:tcW w:w="800" w:type="dxa"/>
            <w:vAlign w:val="bottom"/>
          </w:tcPr>
          <w:p>
            <w:pPr>
              <w:jc w:val="center"/>
              <w:ind w:right="60"/>
              <w:spacing w:after="0"/>
              <w:rPr>
                <w:sz w:val="20"/>
                <w:szCs w:val="20"/>
                <w:color w:val="auto"/>
              </w:rPr>
            </w:pPr>
            <w:r>
              <w:rPr>
                <w:rFonts w:ascii="Arial" w:cs="Arial" w:eastAsia="Arial" w:hAnsi="Arial"/>
                <w:sz w:val="13"/>
                <w:szCs w:val="13"/>
                <w:b w:val="1"/>
                <w:bCs w:val="1"/>
                <w:color w:val="auto"/>
                <w:w w:val="97"/>
              </w:rPr>
              <w:t>Awards</w:t>
            </w:r>
          </w:p>
        </w:tc>
        <w:tc>
          <w:tcPr>
            <w:tcW w:w="140" w:type="dxa"/>
            <w:vAlign w:val="bottom"/>
          </w:tcPr>
          <w:p>
            <w:pPr>
              <w:spacing w:after="0"/>
              <w:rPr>
                <w:sz w:val="14"/>
                <w:szCs w:val="14"/>
                <w:color w:val="auto"/>
              </w:rPr>
            </w:pPr>
          </w:p>
        </w:tc>
        <w:tc>
          <w:tcPr>
            <w:tcW w:w="780" w:type="dxa"/>
            <w:vAlign w:val="bottom"/>
          </w:tcPr>
          <w:p>
            <w:pPr>
              <w:jc w:val="center"/>
              <w:ind w:right="60"/>
              <w:spacing w:after="0"/>
              <w:rPr>
                <w:sz w:val="20"/>
                <w:szCs w:val="20"/>
                <w:color w:val="auto"/>
              </w:rPr>
            </w:pPr>
            <w:r>
              <w:rPr>
                <w:rFonts w:ascii="Arial" w:cs="Arial" w:eastAsia="Arial" w:hAnsi="Arial"/>
                <w:sz w:val="13"/>
                <w:szCs w:val="13"/>
                <w:b w:val="1"/>
                <w:bCs w:val="1"/>
                <w:color w:val="auto"/>
              </w:rPr>
              <w:t>Awards</w:t>
            </w: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3"/>
                <w:szCs w:val="13"/>
                <w:b w:val="1"/>
                <w:bCs w:val="1"/>
                <w:color w:val="auto"/>
              </w:rPr>
              <w:t>Earnings</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1"/>
        </w:trPr>
        <w:tc>
          <w:tcPr>
            <w:tcW w:w="342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20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19"/>
                <w:szCs w:val="19"/>
                <w:color w:val="auto"/>
              </w:rPr>
            </w:pPr>
          </w:p>
        </w:tc>
        <w:tc>
          <w:tcPr>
            <w:tcW w:w="800" w:type="dxa"/>
            <w:vAlign w:val="bottom"/>
          </w:tcPr>
          <w:p>
            <w:pPr>
              <w:jc w:val="center"/>
              <w:ind w:right="60"/>
              <w:spacing w:after="0"/>
              <w:rPr>
                <w:sz w:val="20"/>
                <w:szCs w:val="20"/>
                <w:color w:val="auto"/>
              </w:rPr>
            </w:pPr>
            <w:r>
              <w:rPr>
                <w:rFonts w:ascii="Arial" w:cs="Arial" w:eastAsia="Arial" w:hAnsi="Arial"/>
                <w:sz w:val="13"/>
                <w:szCs w:val="13"/>
                <w:b w:val="1"/>
                <w:bCs w:val="1"/>
                <w:color w:val="auto"/>
                <w:w w:val="94"/>
              </w:rPr>
              <w:t>($)(3)</w:t>
            </w:r>
          </w:p>
        </w:tc>
        <w:tc>
          <w:tcPr>
            <w:tcW w:w="140" w:type="dxa"/>
            <w:vAlign w:val="bottom"/>
          </w:tcPr>
          <w:p>
            <w:pPr>
              <w:spacing w:after="0"/>
              <w:rPr>
                <w:sz w:val="19"/>
                <w:szCs w:val="19"/>
                <w:color w:val="auto"/>
              </w:rPr>
            </w:pPr>
          </w:p>
        </w:tc>
        <w:tc>
          <w:tcPr>
            <w:tcW w:w="780" w:type="dxa"/>
            <w:vAlign w:val="bottom"/>
          </w:tcPr>
          <w:p>
            <w:pPr>
              <w:jc w:val="center"/>
              <w:ind w:right="60"/>
              <w:spacing w:after="0"/>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9"/>
                <w:szCs w:val="19"/>
                <w:color w:val="auto"/>
              </w:rPr>
            </w:pPr>
          </w:p>
        </w:tc>
        <w:tc>
          <w:tcPr>
            <w:tcW w:w="860" w:type="dxa"/>
            <w:vAlign w:val="bottom"/>
          </w:tcPr>
          <w:p>
            <w:pPr>
              <w:jc w:val="center"/>
              <w:ind w:right="60"/>
              <w:spacing w:after="0"/>
              <w:rPr>
                <w:sz w:val="20"/>
                <w:szCs w:val="20"/>
                <w:color w:val="auto"/>
              </w:rPr>
            </w:pPr>
            <w:r>
              <w:rPr>
                <w:rFonts w:ascii="Arial" w:cs="Arial" w:eastAsia="Arial" w:hAnsi="Arial"/>
                <w:sz w:val="13"/>
                <w:szCs w:val="13"/>
                <w:b w:val="1"/>
                <w:bCs w:val="1"/>
                <w:color w:val="auto"/>
              </w:rPr>
              <w:t>($)(5)</w:t>
            </w:r>
          </w:p>
        </w:tc>
        <w:tc>
          <w:tcPr>
            <w:tcW w:w="120" w:type="dxa"/>
            <w:vAlign w:val="bottom"/>
          </w:tcPr>
          <w:p>
            <w:pPr>
              <w:spacing w:after="0"/>
              <w:rPr>
                <w:sz w:val="19"/>
                <w:szCs w:val="19"/>
                <w:color w:val="auto"/>
              </w:rPr>
            </w:pPr>
          </w:p>
        </w:tc>
        <w:tc>
          <w:tcPr>
            <w:tcW w:w="960" w:type="dxa"/>
            <w:vAlign w:val="bottom"/>
          </w:tcPr>
          <w:p>
            <w:pPr>
              <w:jc w:val="center"/>
              <w:ind w:right="43"/>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3"/>
                <w:szCs w:val="13"/>
                <w:b w:val="1"/>
                <w:bCs w:val="1"/>
                <w:color w:val="auto"/>
              </w:rPr>
              <w:t>($)(8)</w:t>
            </w:r>
          </w:p>
        </w:tc>
        <w:tc>
          <w:tcPr>
            <w:tcW w:w="200" w:type="dxa"/>
            <w:vAlign w:val="bottom"/>
          </w:tcPr>
          <w:p>
            <w:pPr>
              <w:spacing w:after="0"/>
              <w:rPr>
                <w:sz w:val="19"/>
                <w:szCs w:val="19"/>
                <w:color w:val="auto"/>
              </w:rPr>
            </w:pPr>
          </w:p>
        </w:tc>
        <w:tc>
          <w:tcPr>
            <w:tcW w:w="8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 ($)</w:t>
            </w:r>
          </w:p>
        </w:tc>
      </w:tr>
      <w:tr>
        <w:trPr>
          <w:trHeight w:val="233"/>
        </w:trPr>
        <w:tc>
          <w:tcPr>
            <w:tcW w:w="34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1020" w:type="dxa"/>
            <w:vAlign w:val="bottom"/>
            <w:gridSpan w:val="2"/>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r>
      <w:tr>
        <w:trPr>
          <w:trHeight w:val="233"/>
        </w:trPr>
        <w:tc>
          <w:tcPr>
            <w:tcW w:w="342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960,780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3,829,281</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3,726,796</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$ 1,564,853</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36,592</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231,857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6"/>
              </w:rPr>
              <w:t>10,350,159</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Chairman, President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932,120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3,526,500</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5,753,975</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$ 2,395,822</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63"/>
              <w:spacing w:after="0"/>
              <w:rPr>
                <w:sz w:val="20"/>
                <w:szCs w:val="20"/>
                <w:color w:val="auto"/>
              </w:rPr>
            </w:pPr>
            <w:r>
              <w:rPr>
                <w:rFonts w:ascii="Arial" w:cs="Arial" w:eastAsia="Arial" w:hAnsi="Arial"/>
                <w:sz w:val="17"/>
                <w:szCs w:val="17"/>
                <w:color w:val="auto"/>
              </w:rPr>
              <w:t>(7)</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111,417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6"/>
              </w:rPr>
              <w:t>12,719,834</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&amp; Chief Executive</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2006</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highlight w:val="lightGray"/>
              </w:rPr>
              <w:t>897,500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highlight w:val="lightGray"/>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w w:val="97"/>
              </w:rPr>
              <w:t>2,553,000</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w w:val="95"/>
              </w:rPr>
              <w:t>5,703,156</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highlight w:val="lightGray"/>
              </w:rPr>
              <w:t>$ 2,379,070</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highlight w:val="lightGray"/>
              </w:rPr>
              <w:t>17,578</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highlight w:val="lightGray"/>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173,769</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w w:val="96"/>
              </w:rPr>
              <w:t>11,724,073</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Officer</w:t>
            </w:r>
          </w:p>
        </w:tc>
        <w:tc>
          <w:tcPr>
            <w:tcW w:w="5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r>
      <w:tr>
        <w:trPr>
          <w:trHeight w:val="233"/>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3420" w:type="dxa"/>
            <w:vAlign w:val="bottom"/>
            <w:shd w:val="clear" w:color="auto" w:fill="C0C0C0"/>
          </w:tcPr>
          <w:p>
            <w:pPr>
              <w:spacing w:after="0"/>
              <w:rPr>
                <w:sz w:val="20"/>
                <w:szCs w:val="20"/>
                <w:color w:val="auto"/>
              </w:rPr>
            </w:pPr>
            <w:r>
              <w:rPr>
                <w:rFonts w:ascii="Arial" w:cs="Arial" w:eastAsia="Arial" w:hAnsi="Arial"/>
                <w:sz w:val="17"/>
                <w:szCs w:val="17"/>
                <w:color w:val="auto"/>
              </w:rPr>
              <w:t>K. P. March</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462,500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862,328</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871,125</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456,219</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385,214</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31,477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3,068,863</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Senior Vice President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430,430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810,788</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1,130,591</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694,248</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294,365</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21,758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3,382,180</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&amp; Chief Financial</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2006</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highlight w:val="lightGray"/>
              </w:rPr>
              <w:t>371,169</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highlight w:val="lightGray"/>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669,988</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w w:val="95"/>
              </w:rPr>
              <w:t>1,022,478</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highlight w:val="lightGray"/>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683,344</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highlight w:val="lightGray"/>
              </w:rPr>
              <w:t>234,690</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highlight w:val="lightGray"/>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33,414</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3,015,083</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Officer</w:t>
            </w:r>
          </w:p>
        </w:tc>
        <w:tc>
          <w:tcPr>
            <w:tcW w:w="5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r>
      <w:tr>
        <w:trPr>
          <w:trHeight w:val="233"/>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342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532,520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2,235,538</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1,042,531</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765,945</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429,163</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89,471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5,095,168</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Senior Vice President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502,535</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2,033,450</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1,389,313</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$ 1,151,661</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318,096</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7,103</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5,402,158</w:t>
            </w:r>
          </w:p>
        </w:tc>
      </w:tr>
      <w:tr>
        <w:trPr>
          <w:trHeight w:val="233"/>
        </w:trPr>
        <w:tc>
          <w:tcPr>
            <w:tcW w:w="342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2006</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highlight w:val="lightGray"/>
              </w:rPr>
              <w:t>450,970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highlight w:val="lightGray"/>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w w:val="97"/>
              </w:rPr>
              <w:t>1,676,175</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w w:val="95"/>
              </w:rPr>
              <w:t>1,311,938</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highlight w:val="lightGray"/>
              </w:rPr>
              <w:t>$ 1,139,730</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highlight w:val="lightGray"/>
              </w:rPr>
              <w:t>218,026</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highlight w:val="lightGray"/>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20,885</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4,817,724</w:t>
            </w:r>
          </w:p>
        </w:tc>
      </w:tr>
      <w:tr>
        <w:trPr>
          <w:trHeight w:val="233"/>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3420" w:type="dxa"/>
            <w:vAlign w:val="bottom"/>
            <w:shd w:val="clear" w:color="auto" w:fill="C0C0C0"/>
          </w:tcPr>
          <w:p>
            <w:pPr>
              <w:spacing w:after="0"/>
              <w:rPr>
                <w:sz w:val="20"/>
                <w:szCs w:val="20"/>
                <w:color w:val="auto"/>
              </w:rPr>
            </w:pPr>
            <w:r>
              <w:rPr>
                <w:rFonts w:ascii="Arial" w:cs="Arial" w:eastAsia="Arial" w:hAnsi="Arial"/>
                <w:sz w:val="17"/>
                <w:szCs w:val="17"/>
                <w:color w:val="auto"/>
              </w:rPr>
              <w:t>K. J. Ritchie (1)</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446,990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1,366,219</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1,066,194</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550,172</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540,851</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16,836</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3,987,262</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Senior Vice President</w:t>
            </w:r>
          </w:p>
        </w:tc>
        <w:tc>
          <w:tcPr>
            <w:tcW w:w="5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r>
      <w:tr>
        <w:trPr>
          <w:trHeight w:val="233"/>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3420" w:type="dxa"/>
            <w:vAlign w:val="bottom"/>
            <w:shd w:val="clear" w:color="auto" w:fill="C0C0C0"/>
          </w:tcPr>
          <w:p>
            <w:pPr>
              <w:spacing w:after="0"/>
              <w:rPr>
                <w:sz w:val="20"/>
                <w:szCs w:val="20"/>
                <w:color w:val="auto"/>
              </w:rPr>
            </w:pPr>
            <w:r>
              <w:rPr>
                <w:rFonts w:ascii="Arial" w:cs="Arial" w:eastAsia="Arial" w:hAnsi="Arial"/>
                <w:sz w:val="17"/>
                <w:szCs w:val="17"/>
                <w:color w:val="auto"/>
              </w:rPr>
              <w:t>M. J. Hames (1)</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462,375</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1,296,684</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871,844</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521,210</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405,104</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11,652</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3,568,869</w:t>
            </w:r>
          </w:p>
        </w:tc>
      </w:tr>
      <w:tr>
        <w:trPr>
          <w:trHeight w:val="233"/>
        </w:trPr>
        <w:tc>
          <w:tcPr>
            <w:tcW w:w="3420" w:type="dxa"/>
            <w:vAlign w:val="bottom"/>
            <w:shd w:val="clear" w:color="auto" w:fill="C0C0C0"/>
          </w:tcPr>
          <w:p>
            <w:pPr>
              <w:ind w:left="260"/>
              <w:spacing w:after="0"/>
              <w:rPr>
                <w:sz w:val="20"/>
                <w:szCs w:val="20"/>
                <w:color w:val="auto"/>
              </w:rPr>
            </w:pPr>
            <w:r>
              <w:rPr>
                <w:rFonts w:ascii="Arial" w:cs="Arial" w:eastAsia="Arial" w:hAnsi="Arial"/>
                <w:sz w:val="17"/>
                <w:szCs w:val="17"/>
                <w:color w:val="auto"/>
              </w:rPr>
              <w:t>Senior Vice President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2007</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ind w:left="60"/>
              <w:spacing w:after="0"/>
              <w:rPr>
                <w:sz w:val="20"/>
                <w:szCs w:val="20"/>
                <w:color w:val="auto"/>
              </w:rPr>
            </w:pPr>
            <w:r>
              <w:rPr>
                <w:rFonts w:ascii="Arial" w:cs="Arial" w:eastAsia="Arial" w:hAnsi="Arial"/>
                <w:sz w:val="17"/>
                <w:szCs w:val="17"/>
                <w:color w:val="auto"/>
              </w:rPr>
              <w:t>448,750</w:t>
            </w:r>
          </w:p>
        </w:tc>
        <w:tc>
          <w:tcPr>
            <w:tcW w:w="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1,367,800</w:t>
            </w:r>
          </w:p>
        </w:tc>
        <w:tc>
          <w:tcPr>
            <w:tcW w:w="1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1,283,016</w:t>
            </w:r>
          </w:p>
        </w:tc>
        <w:tc>
          <w:tcPr>
            <w:tcW w:w="16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796,132</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123"/>
              <w:spacing w:after="0"/>
              <w:rPr>
                <w:sz w:val="20"/>
                <w:szCs w:val="20"/>
                <w:color w:val="auto"/>
              </w:rPr>
            </w:pPr>
            <w:r>
              <w:rPr>
                <w:rFonts w:ascii="Arial" w:cs="Arial" w:eastAsia="Arial" w:hAnsi="Arial"/>
                <w:sz w:val="17"/>
                <w:szCs w:val="17"/>
                <w:color w:val="auto"/>
              </w:rPr>
              <w:t>296,953</w:t>
            </w:r>
          </w:p>
        </w:tc>
        <w:tc>
          <w:tcPr>
            <w:tcW w:w="180" w:type="dxa"/>
            <w:vAlign w:val="bottom"/>
            <w:shd w:val="clear" w:color="auto" w:fill="C0C0C0"/>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20,389</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4,213,040</w:t>
            </w:r>
          </w:p>
        </w:tc>
      </w:tr>
    </w:tbl>
    <w:p>
      <w:pPr>
        <w:spacing w:after="0" w:line="236" w:lineRule="exact"/>
        <w:rPr>
          <w:sz w:val="20"/>
          <w:szCs w:val="20"/>
          <w:color w:val="auto"/>
        </w:rPr>
      </w:pPr>
    </w:p>
    <w:p>
      <w:pPr>
        <w:ind w:left="460" w:hanging="456"/>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Ritchie was not a named executive officer in 2006 or 2007. Mr. Hames was not a named executive officer in 2006.</w:t>
      </w:r>
    </w:p>
    <w:p>
      <w:pPr>
        <w:spacing w:after="0" w:line="270" w:lineRule="exact"/>
        <w:rPr>
          <w:rFonts w:ascii="Arial" w:cs="Arial" w:eastAsia="Arial" w:hAnsi="Arial"/>
          <w:sz w:val="17"/>
          <w:szCs w:val="17"/>
          <w:color w:val="auto"/>
        </w:rPr>
      </w:pPr>
    </w:p>
    <w:p>
      <w:pPr>
        <w:ind w:left="460" w:right="20" w:hanging="456"/>
        <w:spacing w:after="0" w:line="24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Performance bonuses for 2008 were paid under the Texas Instruments Executive Officer Performance Plan. In accordance with SEC requirements, these amounts are reported in the Non-Equity Incentive Plan Compensation column.</w:t>
      </w:r>
    </w:p>
    <w:p>
      <w:pPr>
        <w:spacing w:after="0" w:line="220" w:lineRule="exact"/>
        <w:rPr>
          <w:rFonts w:ascii="Arial" w:cs="Arial" w:eastAsia="Arial" w:hAnsi="Arial"/>
          <w:sz w:val="17"/>
          <w:szCs w:val="17"/>
          <w:color w:val="auto"/>
        </w:rPr>
      </w:pPr>
    </w:p>
    <w:p>
      <w:pPr>
        <w:ind w:left="460" w:right="20" w:hanging="456"/>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Shown is the expense recognized in the company’s financial statements for 2008 under SFAS 123(R) for all outstanding restricted stock unit (RSU) awards held by the named executive officers. This amount consists of the portions of the fair values of RSUs granted in 2004-2008 that were allocated to service provided by the named executive officers during 2008. The discussion of the assumptions used for purposes of the valuation appears on pages 12-15 of Exhibit 13 to TI’s annual report on Form 10-K for the year ended December 31, 2008. In accordance with SEC rules, no estimates were made for forfeitures in calculating these amounts. For a description of the grant terms, please see pages 76-77.</w:t>
      </w:r>
    </w:p>
    <w:p>
      <w:pPr>
        <w:spacing w:after="0" w:line="226" w:lineRule="exact"/>
        <w:rPr>
          <w:rFonts w:ascii="Arial" w:cs="Arial" w:eastAsia="Arial" w:hAnsi="Arial"/>
          <w:sz w:val="17"/>
          <w:szCs w:val="17"/>
          <w:color w:val="auto"/>
        </w:rPr>
      </w:pPr>
    </w:p>
    <w:p>
      <w:pPr>
        <w:ind w:left="460" w:right="20" w:hanging="456"/>
        <w:spacing w:after="0" w:line="239"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Shown is the expense recognized in the company’s financial statements for 2008 under SFAS 123(R) for all outstanding options held by the named executive officers. This amount consists of the portions of the fair values of options granted in 2004-2008 that were allocated to service provided by the named executive officers in 2008. The discussion of the assumptions used for purposes of valuation appears on pages 12-15 of Exhibit 13 to TI’s annual report on Form 10-K for the year ended December 31, 2008. In accordance with SEC rules, no estimates were made for forfeitures in calculating these amounts. For a description of the grant terms, please see page 76. Mr. Ritchie was the only named executive officer for whom the company incurred retirement-eligible stock-based compensation expense in 2008, as he will become retirement eligible in 2011 (prior to his 2008 option grant becoming fully vested). Exhibit 13 to TI’s annual report on Form 10-K also discusses the assumptions used when calculating retirement-eligible stock-based compensation expense.</w:t>
      </w:r>
    </w:p>
    <w:p>
      <w:pPr>
        <w:spacing w:after="0" w:line="229" w:lineRule="exact"/>
        <w:rPr>
          <w:rFonts w:ascii="Arial" w:cs="Arial" w:eastAsia="Arial" w:hAnsi="Arial"/>
          <w:sz w:val="17"/>
          <w:szCs w:val="17"/>
          <w:color w:val="auto"/>
        </w:rPr>
      </w:pPr>
    </w:p>
    <w:p>
      <w:pPr>
        <w:ind w:left="460" w:right="160" w:hanging="456"/>
        <w:spacing w:after="0" w:line="24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performance bonus and profit sharing for 2008. Please see page 68 of the Compensation Discussion and Analysis for the amounts of bonus and profit sharing paid to each of the named executive officers for 2008.</w:t>
      </w:r>
    </w:p>
    <w:p>
      <w:pPr>
        <w:spacing w:after="0" w:line="220" w:lineRule="exact"/>
        <w:rPr>
          <w:rFonts w:ascii="Arial" w:cs="Arial" w:eastAsia="Arial" w:hAnsi="Arial"/>
          <w:sz w:val="17"/>
          <w:szCs w:val="17"/>
          <w:color w:val="auto"/>
        </w:rPr>
      </w:pPr>
    </w:p>
    <w:p>
      <w:pPr>
        <w:ind w:left="460" w:right="40" w:hanging="456"/>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 (TI Employees Non-Qualified Pension Plan) from December 31, 2007, through December 31, 2008. This “change in the actuarial value” is the difference between the 2007 and 2008 present value of the pension benefit accumulated as of year-end by the named executive officer, assuming that benefit is not paid until age 65. Mr. Templeton’s benefits under the company’s pension plans were frozen as of December 31, 1997.</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[ 72 ]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right="540" w:hanging="456"/>
        <w:spacing w:after="0" w:line="24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actuarial value of Mr. Templeton’s account decreased by $11,314 during 2007. In accordance with SEC rules, this amount has not been included in his total 2007 compensation shown in this table.</w:t>
      </w:r>
    </w:p>
    <w:p>
      <w:pPr>
        <w:spacing w:after="0" w:line="220" w:lineRule="exact"/>
        <w:rPr>
          <w:rFonts w:ascii="Arial" w:cs="Arial" w:eastAsia="Arial" w:hAnsi="Arial"/>
          <w:sz w:val="17"/>
          <w:szCs w:val="17"/>
          <w:color w:val="auto"/>
        </w:rPr>
      </w:pPr>
    </w:p>
    <w:p>
      <w:pPr>
        <w:ind w:left="460" w:right="280" w:hanging="456"/>
        <w:spacing w:after="0" w:line="24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interest of transparency, the value of perquisites and other personal benefits is provided in this column even if the amount is less than the reporting threshold established by the SEC. The table below shows the value of perquisites and other benefits for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Defined</w:t>
            </w:r>
          </w:p>
        </w:tc>
        <w:tc>
          <w:tcPr>
            <w:tcW w:w="94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Personal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2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Contribution</w:t>
            </w: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6"/>
              </w:rPr>
              <w:t>Unused</w:t>
            </w:r>
          </w:p>
        </w:tc>
        <w:tc>
          <w:tcPr>
            <w:tcW w:w="200" w:type="dxa"/>
            <w:vAlign w:val="bottom"/>
          </w:tcPr>
          <w:p>
            <w:pPr>
              <w:spacing w:after="0"/>
              <w:rPr>
                <w:sz w:val="12"/>
                <w:szCs w:val="12"/>
                <w:color w:val="auto"/>
              </w:rPr>
            </w:pPr>
          </w:p>
        </w:tc>
        <w:tc>
          <w:tcPr>
            <w:tcW w:w="720" w:type="dxa"/>
            <w:vAlign w:val="bottom"/>
          </w:tcPr>
          <w:p>
            <w:pPr>
              <w:jc w:val="center"/>
              <w:ind w:right="120"/>
              <w:spacing w:after="0" w:line="143" w:lineRule="exact"/>
              <w:rPr>
                <w:sz w:val="20"/>
                <w:szCs w:val="20"/>
                <w:color w:val="auto"/>
              </w:rPr>
            </w:pPr>
            <w:r>
              <w:rPr>
                <w:rFonts w:ascii="Arial" w:cs="Arial" w:eastAsia="Arial" w:hAnsi="Arial"/>
                <w:sz w:val="13"/>
                <w:szCs w:val="13"/>
                <w:b w:val="1"/>
                <w:bCs w:val="1"/>
                <w:color w:val="auto"/>
              </w:rPr>
              <w:t>Use of</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ind w:right="80"/>
              <w:spacing w:after="0" w:line="143" w:lineRule="exact"/>
              <w:rPr>
                <w:sz w:val="20"/>
                <w:szCs w:val="20"/>
                <w:color w:val="auto"/>
              </w:rPr>
            </w:pPr>
            <w:r>
              <w:rPr>
                <w:rFonts w:ascii="Arial" w:cs="Arial" w:eastAsia="Arial" w:hAnsi="Arial"/>
                <w:sz w:val="13"/>
                <w:szCs w:val="13"/>
                <w:b w:val="1"/>
                <w:bCs w:val="1"/>
                <w:color w:val="auto"/>
                <w:w w:val="94"/>
              </w:rPr>
              <w:t>Home</w:t>
            </w:r>
          </w:p>
        </w:tc>
      </w:tr>
      <w:tr>
        <w:trPr>
          <w:trHeight w:val="171"/>
        </w:trPr>
        <w:tc>
          <w:tcPr>
            <w:tcW w:w="2680" w:type="dxa"/>
            <w:vAlign w:val="bottom"/>
          </w:tcPr>
          <w:p>
            <w:pPr>
              <w:spacing w:after="0"/>
              <w:rPr>
                <w:sz w:val="14"/>
                <w:szCs w:val="14"/>
                <w:color w:val="auto"/>
              </w:rPr>
            </w:pPr>
          </w:p>
        </w:tc>
        <w:tc>
          <w:tcPr>
            <w:tcW w:w="2200" w:type="dxa"/>
            <w:vAlign w:val="bottom"/>
            <w:gridSpan w:val="2"/>
          </w:tcPr>
          <w:p>
            <w:pPr>
              <w:ind w:left="1480"/>
              <w:spacing w:after="0"/>
              <w:rPr>
                <w:sz w:val="20"/>
                <w:szCs w:val="20"/>
                <w:color w:val="auto"/>
              </w:rPr>
            </w:pPr>
            <w:r>
              <w:rPr>
                <w:rFonts w:ascii="Arial" w:cs="Arial" w:eastAsia="Arial" w:hAnsi="Arial"/>
                <w:sz w:val="13"/>
                <w:szCs w:val="13"/>
                <w:b w:val="1"/>
                <w:bCs w:val="1"/>
                <w:color w:val="auto"/>
              </w:rPr>
              <w:t>Insurance</w:t>
            </w:r>
          </w:p>
        </w:tc>
        <w:tc>
          <w:tcPr>
            <w:tcW w:w="240" w:type="dxa"/>
            <w:vAlign w:val="bottom"/>
          </w:tcPr>
          <w:p>
            <w:pPr>
              <w:spacing w:after="0"/>
              <w:rPr>
                <w:sz w:val="14"/>
                <w:szCs w:val="14"/>
                <w:color w:val="auto"/>
              </w:rPr>
            </w:pPr>
          </w:p>
        </w:tc>
        <w:tc>
          <w:tcPr>
            <w:tcW w:w="740" w:type="dxa"/>
            <w:vAlign w:val="bottom"/>
          </w:tcPr>
          <w:p>
            <w:pPr>
              <w:jc w:val="right"/>
              <w:ind w:right="220"/>
              <w:spacing w:after="0"/>
              <w:rPr>
                <w:sz w:val="20"/>
                <w:szCs w:val="20"/>
                <w:color w:val="auto"/>
              </w:rPr>
            </w:pPr>
            <w:r>
              <w:rPr>
                <w:rFonts w:ascii="Arial" w:cs="Arial" w:eastAsia="Arial" w:hAnsi="Arial"/>
                <w:sz w:val="13"/>
                <w:szCs w:val="13"/>
                <w:b w:val="1"/>
                <w:bCs w:val="1"/>
                <w:color w:val="auto"/>
              </w:rPr>
              <w:t>401(k)</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Retirement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Vacation</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Company</w:t>
            </w:r>
          </w:p>
        </w:tc>
        <w:tc>
          <w:tcPr>
            <w:tcW w:w="200" w:type="dxa"/>
            <w:vAlign w:val="bottom"/>
          </w:tcPr>
          <w:p>
            <w:pPr>
              <w:spacing w:after="0"/>
              <w:rPr>
                <w:sz w:val="14"/>
                <w:szCs w:val="14"/>
                <w:color w:val="auto"/>
              </w:rPr>
            </w:pPr>
          </w:p>
        </w:tc>
        <w:tc>
          <w:tcPr>
            <w:tcW w:w="860" w:type="dxa"/>
            <w:vAlign w:val="bottom"/>
          </w:tcPr>
          <w:p>
            <w:pPr>
              <w:jc w:val="right"/>
              <w:ind w:right="160"/>
              <w:spacing w:after="0"/>
              <w:rPr>
                <w:sz w:val="20"/>
                <w:szCs w:val="20"/>
                <w:color w:val="auto"/>
              </w:rPr>
            </w:pPr>
            <w:r>
              <w:rPr>
                <w:rFonts w:ascii="Arial" w:cs="Arial" w:eastAsia="Arial" w:hAnsi="Arial"/>
                <w:sz w:val="13"/>
                <w:szCs w:val="13"/>
                <w:b w:val="1"/>
                <w:bCs w:val="1"/>
                <w:color w:val="auto"/>
              </w:rPr>
              <w:t>Financial</w:t>
            </w:r>
          </w:p>
        </w:tc>
        <w:tc>
          <w:tcPr>
            <w:tcW w:w="840" w:type="dxa"/>
            <w:vAlign w:val="bottom"/>
          </w:tcPr>
          <w:p>
            <w:pPr>
              <w:jc w:val="right"/>
              <w:ind w:right="22"/>
              <w:spacing w:after="0"/>
              <w:rPr>
                <w:sz w:val="20"/>
                <w:szCs w:val="20"/>
                <w:color w:val="auto"/>
              </w:rPr>
            </w:pPr>
            <w:r>
              <w:rPr>
                <w:rFonts w:ascii="Arial" w:cs="Arial" w:eastAsia="Arial" w:hAnsi="Arial"/>
                <w:sz w:val="13"/>
                <w:szCs w:val="13"/>
                <w:b w:val="1"/>
                <w:bCs w:val="1"/>
                <w:color w:val="auto"/>
              </w:rPr>
              <w:t>Executive</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Security</w:t>
            </w:r>
          </w:p>
        </w:tc>
      </w:tr>
      <w:tr>
        <w:trPr>
          <w:trHeight w:val="221"/>
        </w:trPr>
        <w:tc>
          <w:tcPr>
            <w:tcW w:w="26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40" w:type="dxa"/>
            <w:vAlign w:val="bottom"/>
          </w:tcPr>
          <w:p>
            <w:pPr>
              <w:spacing w:after="0"/>
              <w:rPr>
                <w:sz w:val="19"/>
                <w:szCs w:val="19"/>
                <w:color w:val="auto"/>
              </w:rPr>
            </w:pPr>
          </w:p>
        </w:tc>
        <w:tc>
          <w:tcPr>
            <w:tcW w:w="560" w:type="dxa"/>
            <w:vAlign w:val="bottom"/>
          </w:tcPr>
          <w:p>
            <w:pPr>
              <w:jc w:val="right"/>
              <w:ind w:right="260"/>
              <w:spacing w:after="0"/>
              <w:rPr>
                <w:sz w:val="20"/>
                <w:szCs w:val="20"/>
                <w:color w:val="auto"/>
              </w:rPr>
            </w:pPr>
            <w:r>
              <w:rPr>
                <w:rFonts w:ascii="Arial" w:cs="Arial" w:eastAsia="Arial" w:hAnsi="Arial"/>
                <w:sz w:val="13"/>
                <w:szCs w:val="13"/>
                <w:b w:val="1"/>
                <w:bCs w:val="1"/>
                <w:color w:val="auto"/>
              </w:rPr>
              <w:t>(a)</w:t>
            </w: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Contribution</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Plan (b)</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Time (c)</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Aircraft (d)</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Counseling</w:t>
            </w:r>
          </w:p>
        </w:tc>
        <w:tc>
          <w:tcPr>
            <w:tcW w:w="840" w:type="dxa"/>
            <w:vAlign w:val="bottom"/>
          </w:tcPr>
          <w:p>
            <w:pPr>
              <w:jc w:val="right"/>
              <w:ind w:right="62"/>
              <w:spacing w:after="0"/>
              <w:rPr>
                <w:sz w:val="20"/>
                <w:szCs w:val="20"/>
                <w:color w:val="auto"/>
              </w:rPr>
            </w:pPr>
            <w:r>
              <w:rPr>
                <w:rFonts w:ascii="Arial" w:cs="Arial" w:eastAsia="Arial" w:hAnsi="Arial"/>
                <w:sz w:val="13"/>
                <w:szCs w:val="13"/>
                <w:b w:val="1"/>
                <w:bCs w:val="1"/>
                <w:color w:val="auto"/>
              </w:rPr>
              <w:t>Physical</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Monitoring</w:t>
            </w:r>
          </w:p>
        </w:tc>
      </w:tr>
      <w:tr>
        <w:trPr>
          <w:trHeight w:val="233"/>
        </w:trPr>
        <w:tc>
          <w:tcPr>
            <w:tcW w:w="2680" w:type="dxa"/>
            <w:vAlign w:val="bottom"/>
            <w:shd w:val="clear" w:color="auto" w:fill="E9E9E9"/>
          </w:tcPr>
          <w:p>
            <w:pPr>
              <w:spacing w:after="0"/>
              <w:rPr>
                <w:sz w:val="20"/>
                <w:szCs w:val="20"/>
                <w:color w:val="auto"/>
              </w:rPr>
            </w:pPr>
          </w:p>
        </w:tc>
        <w:tc>
          <w:tcPr>
            <w:tcW w:w="164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94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r>
      <w:tr>
        <w:trPr>
          <w:trHeight w:val="233"/>
        </w:trPr>
        <w:tc>
          <w:tcPr>
            <w:tcW w:w="268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1640" w:type="dxa"/>
            <w:vAlign w:val="bottom"/>
            <w:shd w:val="clear" w:color="auto" w:fill="C0C0C0"/>
          </w:tcPr>
          <w:p>
            <w:pPr>
              <w:ind w:left="14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rPr>
              <w:t>270</w:t>
            </w:r>
          </w:p>
        </w:tc>
        <w:tc>
          <w:tcPr>
            <w:tcW w:w="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9,200</w:t>
            </w:r>
          </w:p>
        </w:tc>
        <w:tc>
          <w:tcPr>
            <w:tcW w:w="10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9"/>
              </w:rPr>
              <w:t>$ 72,495</w:t>
            </w:r>
          </w:p>
        </w:tc>
        <w:tc>
          <w:tcPr>
            <w:tcW w:w="940" w:type="dxa"/>
            <w:vAlign w:val="bottom"/>
            <w:shd w:val="clear" w:color="auto" w:fill="C0C0C0"/>
          </w:tcPr>
          <w:p>
            <w:pPr>
              <w:jc w:val="right"/>
              <w:ind w:right="44"/>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w w:val="97"/>
              </w:rPr>
              <w:t>138,391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260"/>
              <w:spacing w:after="0"/>
              <w:rPr>
                <w:sz w:val="20"/>
                <w:szCs w:val="20"/>
                <w:color w:val="auto"/>
              </w:rPr>
            </w:pPr>
            <w:r>
              <w:rPr>
                <w:rFonts w:ascii="Arial" w:cs="Arial" w:eastAsia="Arial" w:hAnsi="Arial"/>
                <w:sz w:val="17"/>
                <w:szCs w:val="17"/>
                <w:color w:val="auto"/>
              </w:rPr>
              <w:t>8,000</w:t>
            </w:r>
          </w:p>
        </w:tc>
        <w:tc>
          <w:tcPr>
            <w:tcW w:w="84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$ 2,867</w:t>
            </w:r>
          </w:p>
        </w:tc>
        <w:tc>
          <w:tcPr>
            <w:tcW w:w="2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634</w:t>
            </w:r>
          </w:p>
        </w:tc>
      </w:tr>
      <w:tr>
        <w:trPr>
          <w:trHeight w:val="233"/>
        </w:trPr>
        <w:tc>
          <w:tcPr>
            <w:tcW w:w="2680" w:type="dxa"/>
            <w:vAlign w:val="bottom"/>
          </w:tcPr>
          <w:p>
            <w:pPr>
              <w:spacing w:after="0"/>
              <w:rPr>
                <w:sz w:val="20"/>
                <w:szCs w:val="20"/>
                <w:color w:val="auto"/>
              </w:rPr>
            </w:pPr>
            <w:r>
              <w:rPr>
                <w:rFonts w:ascii="Arial" w:cs="Arial" w:eastAsia="Arial" w:hAnsi="Arial"/>
                <w:sz w:val="17"/>
                <w:szCs w:val="17"/>
                <w:color w:val="auto"/>
              </w:rPr>
              <w:t>K. P. March</w:t>
            </w:r>
          </w:p>
        </w:tc>
        <w:tc>
          <w:tcPr>
            <w:tcW w:w="1640" w:type="dxa"/>
            <w:vAlign w:val="bottom"/>
          </w:tcPr>
          <w:p>
            <w:pPr>
              <w:ind w:left="148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40"/>
              <w:spacing w:after="0"/>
              <w:rPr>
                <w:sz w:val="20"/>
                <w:szCs w:val="20"/>
                <w:color w:val="auto"/>
              </w:rPr>
            </w:pPr>
            <w:r>
              <w:rPr>
                <w:rFonts w:ascii="Arial" w:cs="Arial" w:eastAsia="Arial" w:hAnsi="Arial"/>
                <w:sz w:val="17"/>
                <w:szCs w:val="17"/>
                <w:color w:val="auto"/>
              </w:rPr>
              <w:t>270</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0"/>
              <w:spacing w:after="0"/>
              <w:rPr>
                <w:sz w:val="20"/>
                <w:szCs w:val="20"/>
                <w:color w:val="auto"/>
              </w:rPr>
            </w:pPr>
            <w:r>
              <w:rPr>
                <w:rFonts w:ascii="Arial" w:cs="Arial" w:eastAsia="Arial" w:hAnsi="Arial"/>
                <w:sz w:val="17"/>
                <w:szCs w:val="17"/>
                <w:color w:val="auto"/>
              </w:rPr>
              <w:t>4,600</w:t>
            </w:r>
          </w:p>
        </w:tc>
        <w:tc>
          <w:tcPr>
            <w:tcW w:w="1020" w:type="dxa"/>
            <w:vAlign w:val="bottom"/>
          </w:tcPr>
          <w:p>
            <w:pPr>
              <w:ind w:left="320"/>
              <w:spacing w:after="0"/>
              <w:rPr>
                <w:sz w:val="20"/>
                <w:szCs w:val="20"/>
                <w:color w:val="auto"/>
              </w:rPr>
            </w:pPr>
            <w:r>
              <w:rPr>
                <w:rFonts w:ascii="Arial" w:cs="Arial" w:eastAsia="Arial" w:hAnsi="Arial"/>
                <w:sz w:val="17"/>
                <w:szCs w:val="17"/>
                <w:color w:val="auto"/>
              </w:rPr>
              <w:t>N/A</w:t>
            </w:r>
          </w:p>
        </w:tc>
        <w:tc>
          <w:tcPr>
            <w:tcW w:w="940" w:type="dxa"/>
            <w:vAlign w:val="bottom"/>
          </w:tcPr>
          <w:p>
            <w:pPr>
              <w:jc w:val="right"/>
              <w:ind w:right="44"/>
              <w:spacing w:after="0"/>
              <w:rPr>
                <w:sz w:val="20"/>
                <w:szCs w:val="20"/>
                <w:color w:val="auto"/>
              </w:rPr>
            </w:pPr>
            <w:r>
              <w:rPr>
                <w:rFonts w:ascii="Arial" w:cs="Arial" w:eastAsia="Arial" w:hAnsi="Arial"/>
                <w:sz w:val="17"/>
                <w:szCs w:val="17"/>
                <w:color w:val="auto"/>
              </w:rPr>
              <w:t>$ 23,465</w:t>
            </w: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60"/>
              <w:spacing w:after="0"/>
              <w:rPr>
                <w:sz w:val="20"/>
                <w:szCs w:val="20"/>
                <w:color w:val="auto"/>
              </w:rPr>
            </w:pPr>
            <w:r>
              <w:rPr>
                <w:rFonts w:ascii="Arial" w:cs="Arial" w:eastAsia="Arial" w:hAnsi="Arial"/>
                <w:sz w:val="17"/>
                <w:szCs w:val="17"/>
                <w:color w:val="auto"/>
              </w:rPr>
              <w:t>797</w:t>
            </w:r>
          </w:p>
        </w:tc>
        <w:tc>
          <w:tcPr>
            <w:tcW w:w="840" w:type="dxa"/>
            <w:vAlign w:val="bottom"/>
          </w:tcPr>
          <w:p>
            <w:pPr>
              <w:jc w:val="right"/>
              <w:ind w:right="22"/>
              <w:spacing w:after="0"/>
              <w:rPr>
                <w:sz w:val="20"/>
                <w:szCs w:val="20"/>
                <w:color w:val="auto"/>
              </w:rPr>
            </w:pPr>
            <w:r>
              <w:rPr>
                <w:rFonts w:ascii="Arial" w:cs="Arial" w:eastAsia="Arial" w:hAnsi="Arial"/>
                <w:sz w:val="17"/>
                <w:szCs w:val="17"/>
                <w:color w:val="auto"/>
              </w:rPr>
              <w:t>$ 1,891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33"/>
        </w:trPr>
        <w:tc>
          <w:tcPr>
            <w:tcW w:w="268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1640" w:type="dxa"/>
            <w:vAlign w:val="bottom"/>
            <w:shd w:val="clear" w:color="auto" w:fill="C0C0C0"/>
          </w:tcPr>
          <w:p>
            <w:pPr>
              <w:ind w:left="14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rPr>
              <w:t>270</w:t>
            </w:r>
          </w:p>
        </w:tc>
        <w:tc>
          <w:tcPr>
            <w:tcW w:w="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4,600</w:t>
            </w:r>
          </w:p>
        </w:tc>
        <w:tc>
          <w:tcPr>
            <w:tcW w:w="10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N/A</w:t>
            </w:r>
          </w:p>
        </w:tc>
        <w:tc>
          <w:tcPr>
            <w:tcW w:w="940" w:type="dxa"/>
            <w:vAlign w:val="bottom"/>
            <w:shd w:val="clear" w:color="auto" w:fill="C0C0C0"/>
          </w:tcPr>
          <w:p>
            <w:pPr>
              <w:jc w:val="right"/>
              <w:ind w:right="44"/>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71,678</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w w:val="98"/>
              </w:rPr>
              <w:t>11,183(e)</w:t>
            </w:r>
          </w:p>
        </w:tc>
        <w:tc>
          <w:tcPr>
            <w:tcW w:w="84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$ 1,740</w:t>
            </w:r>
          </w:p>
        </w:tc>
        <w:tc>
          <w:tcPr>
            <w:tcW w:w="260" w:type="dxa"/>
            <w:vAlign w:val="bottom"/>
            <w:shd w:val="clear" w:color="auto" w:fill="C0C0C0"/>
          </w:tcPr>
          <w:p>
            <w:pPr>
              <w:spacing w:after="0"/>
              <w:rPr>
                <w:sz w:val="20"/>
                <w:szCs w:val="20"/>
                <w:color w:val="auto"/>
              </w:rPr>
            </w:pPr>
          </w:p>
        </w:tc>
        <w:tc>
          <w:tcPr>
            <w:tcW w:w="52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rPr>
              <w:t>N/A</w:t>
            </w:r>
          </w:p>
        </w:tc>
      </w:tr>
      <w:tr>
        <w:trPr>
          <w:trHeight w:val="233"/>
        </w:trPr>
        <w:tc>
          <w:tcPr>
            <w:tcW w:w="2680" w:type="dxa"/>
            <w:vAlign w:val="bottom"/>
          </w:tcPr>
          <w:p>
            <w:pPr>
              <w:spacing w:after="0"/>
              <w:rPr>
                <w:sz w:val="20"/>
                <w:szCs w:val="20"/>
                <w:color w:val="auto"/>
              </w:rPr>
            </w:pPr>
            <w:r>
              <w:rPr>
                <w:rFonts w:ascii="Arial" w:cs="Arial" w:eastAsia="Arial" w:hAnsi="Arial"/>
                <w:sz w:val="17"/>
                <w:szCs w:val="17"/>
                <w:color w:val="auto"/>
              </w:rPr>
              <w:t>K. J. Ritchie</w:t>
            </w:r>
          </w:p>
        </w:tc>
        <w:tc>
          <w:tcPr>
            <w:tcW w:w="1640" w:type="dxa"/>
            <w:vAlign w:val="bottom"/>
          </w:tcPr>
          <w:p>
            <w:pPr>
              <w:ind w:left="148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40"/>
              <w:spacing w:after="0"/>
              <w:rPr>
                <w:sz w:val="20"/>
                <w:szCs w:val="20"/>
                <w:color w:val="auto"/>
              </w:rPr>
            </w:pPr>
            <w:r>
              <w:rPr>
                <w:rFonts w:ascii="Arial" w:cs="Arial" w:eastAsia="Arial" w:hAnsi="Arial"/>
                <w:sz w:val="17"/>
                <w:szCs w:val="17"/>
                <w:color w:val="auto"/>
              </w:rPr>
              <w:t>270</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0"/>
              <w:spacing w:after="0"/>
              <w:rPr>
                <w:sz w:val="20"/>
                <w:szCs w:val="20"/>
                <w:color w:val="auto"/>
              </w:rPr>
            </w:pPr>
            <w:r>
              <w:rPr>
                <w:rFonts w:ascii="Arial" w:cs="Arial" w:eastAsia="Arial" w:hAnsi="Arial"/>
                <w:sz w:val="17"/>
                <w:szCs w:val="17"/>
                <w:color w:val="auto"/>
              </w:rPr>
              <w:t>4,600</w:t>
            </w:r>
          </w:p>
        </w:tc>
        <w:tc>
          <w:tcPr>
            <w:tcW w:w="1020" w:type="dxa"/>
            <w:vAlign w:val="bottom"/>
          </w:tcPr>
          <w:p>
            <w:pPr>
              <w:ind w:left="320"/>
              <w:spacing w:after="0"/>
              <w:rPr>
                <w:sz w:val="20"/>
                <w:szCs w:val="20"/>
                <w:color w:val="auto"/>
              </w:rPr>
            </w:pPr>
            <w:r>
              <w:rPr>
                <w:rFonts w:ascii="Arial" w:cs="Arial" w:eastAsia="Arial" w:hAnsi="Arial"/>
                <w:sz w:val="17"/>
                <w:szCs w:val="17"/>
                <w:color w:val="auto"/>
              </w:rPr>
              <w:t>N/A</w:t>
            </w:r>
          </w:p>
        </w:tc>
        <w:tc>
          <w:tcPr>
            <w:tcW w:w="940" w:type="dxa"/>
            <w:vAlign w:val="bottom"/>
          </w:tcPr>
          <w:p>
            <w:pPr>
              <w:jc w:val="right"/>
              <w:ind w:right="44"/>
              <w:spacing w:after="0"/>
              <w:rPr>
                <w:sz w:val="20"/>
                <w:szCs w:val="20"/>
                <w:color w:val="auto"/>
              </w:rPr>
            </w:pPr>
            <w:r>
              <w:rPr>
                <w:rFonts w:ascii="Arial" w:cs="Arial" w:eastAsia="Arial" w:hAnsi="Arial"/>
                <w:sz w:val="17"/>
                <w:szCs w:val="17"/>
                <w:color w:val="auto"/>
              </w:rPr>
              <w:t>$ 10,289</w:t>
            </w: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60"/>
              <w:spacing w:after="0"/>
              <w:rPr>
                <w:sz w:val="20"/>
                <w:szCs w:val="20"/>
                <w:color w:val="auto"/>
              </w:rPr>
            </w:pPr>
            <w:r>
              <w:rPr>
                <w:rFonts w:ascii="Arial" w:cs="Arial" w:eastAsia="Arial" w:hAnsi="Arial"/>
                <w:sz w:val="17"/>
                <w:szCs w:val="17"/>
                <w:color w:val="auto"/>
              </w:rPr>
              <w:t>1,677</w:t>
            </w:r>
          </w:p>
        </w:tc>
        <w:tc>
          <w:tcPr>
            <w:tcW w:w="84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7"/>
                <w:szCs w:val="17"/>
                <w:color w:val="auto"/>
              </w:rPr>
              <w:t>N/A</w:t>
            </w:r>
          </w:p>
        </w:tc>
      </w:tr>
      <w:tr>
        <w:trPr>
          <w:trHeight w:val="128"/>
        </w:trPr>
        <w:tc>
          <w:tcPr>
            <w:tcW w:w="2680" w:type="dxa"/>
            <w:vAlign w:val="bottom"/>
            <w:shd w:val="clear" w:color="auto" w:fill="C0C0C0"/>
          </w:tcPr>
          <w:p>
            <w:pPr>
              <w:spacing w:after="0"/>
              <w:rPr>
                <w:sz w:val="11"/>
                <w:szCs w:val="11"/>
                <w:color w:val="auto"/>
              </w:rPr>
            </w:pPr>
          </w:p>
        </w:tc>
        <w:tc>
          <w:tcPr>
            <w:tcW w:w="1640" w:type="dxa"/>
            <w:vAlign w:val="bottom"/>
            <w:shd w:val="clear" w:color="auto" w:fill="C0C0C0"/>
          </w:tcPr>
          <w:p>
            <w:pPr>
              <w:spacing w:after="0"/>
              <w:rPr>
                <w:sz w:val="11"/>
                <w:szCs w:val="11"/>
                <w:color w:val="auto"/>
              </w:rPr>
            </w:pPr>
          </w:p>
        </w:tc>
        <w:tc>
          <w:tcPr>
            <w:tcW w:w="56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74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94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72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860" w:type="dxa"/>
            <w:vAlign w:val="bottom"/>
            <w:shd w:val="clear" w:color="auto" w:fill="C0C0C0"/>
          </w:tcPr>
          <w:p>
            <w:pPr>
              <w:spacing w:after="0"/>
              <w:rPr>
                <w:sz w:val="11"/>
                <w:szCs w:val="11"/>
                <w:color w:val="auto"/>
              </w:rPr>
            </w:pPr>
          </w:p>
        </w:tc>
        <w:tc>
          <w:tcPr>
            <w:tcW w:w="84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520" w:type="dxa"/>
            <w:vAlign w:val="bottom"/>
            <w:shd w:val="clear" w:color="auto" w:fill="C0C0C0"/>
          </w:tcPr>
          <w:p>
            <w:pPr>
              <w:spacing w:after="0"/>
              <w:rPr>
                <w:sz w:val="11"/>
                <w:szCs w:val="11"/>
                <w:color w:val="auto"/>
              </w:rPr>
            </w:pPr>
          </w:p>
        </w:tc>
      </w:tr>
    </w:tbl>
    <w:p>
      <w:pPr>
        <w:sectPr>
          <w:pgSz w:w="11900" w:h="16900" w:orient="portrait"/>
          <w:cols w:equalWidth="0" w:num="1">
            <w:col w:w="11420"/>
          </w:cols>
          <w:pgMar w:left="240" w:top="478" w:right="239" w:bottom="0" w:gutter="0" w:footer="0" w:header="0"/>
        </w:sectPr>
      </w:pPr>
    </w:p>
    <w:bookmarkStart w:id="17" w:name="page18"/>
    <w:bookmarkEnd w:id="17"/>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shd w:val="clear" w:color="auto" w:fill="C0C0C0"/>
          </w:tcPr>
          <w:p>
            <w:pPr>
              <w:spacing w:after="0"/>
              <w:rPr>
                <w:sz w:val="20"/>
                <w:szCs w:val="20"/>
                <w:color w:val="auto"/>
              </w:rPr>
            </w:pPr>
            <w:r>
              <w:rPr>
                <w:rFonts w:ascii="Arial" w:cs="Arial" w:eastAsia="Arial" w:hAnsi="Arial"/>
                <w:sz w:val="17"/>
                <w:szCs w:val="17"/>
                <w:color w:val="auto"/>
              </w:rPr>
              <w:t>M. J. Hames</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   270</w:t>
            </w:r>
          </w:p>
        </w:tc>
        <w:tc>
          <w:tcPr>
            <w:tcW w:w="22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   4,600</w:t>
            </w:r>
          </w:p>
        </w:tc>
        <w:tc>
          <w:tcPr>
            <w:tcW w:w="1280" w:type="dxa"/>
            <w:vAlign w:val="bottom"/>
            <w:shd w:val="clear" w:color="auto" w:fill="C0C0C0"/>
          </w:tcPr>
          <w:p>
            <w:pPr>
              <w:ind w:left="42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highlight w:val="lightGray"/>
                <w:w w:val="71"/>
              </w:rPr>
              <w:t>$</w:t>
            </w:r>
          </w:p>
        </w:tc>
        <w:tc>
          <w:tcPr>
            <w:tcW w:w="900" w:type="dxa"/>
            <w:vAlign w:val="bottom"/>
            <w:shd w:val="clear" w:color="auto" w:fill="C0C0C0"/>
          </w:tcPr>
          <w:p>
            <w:pPr>
              <w:jc w:val="right"/>
              <w:ind w:right="256"/>
              <w:spacing w:after="0"/>
              <w:rPr>
                <w:sz w:val="20"/>
                <w:szCs w:val="20"/>
                <w:color w:val="auto"/>
              </w:rPr>
            </w:pPr>
            <w:r>
              <w:rPr>
                <w:rFonts w:ascii="Arial" w:cs="Arial" w:eastAsia="Arial" w:hAnsi="Arial"/>
                <w:sz w:val="17"/>
                <w:szCs w:val="17"/>
                <w:color w:val="auto"/>
              </w:rPr>
              <w:t>1,558</w:t>
            </w:r>
          </w:p>
        </w:tc>
        <w:tc>
          <w:tcPr>
            <w:tcW w:w="600" w:type="dxa"/>
            <w:vAlign w:val="bottom"/>
            <w:shd w:val="clear" w:color="auto" w:fill="C0C0C0"/>
          </w:tcPr>
          <w:p>
            <w:pPr>
              <w:ind w:left="440"/>
              <w:spacing w:after="0"/>
              <w:rPr>
                <w:sz w:val="20"/>
                <w:szCs w:val="20"/>
                <w:color w:val="auto"/>
              </w:rPr>
            </w:pPr>
            <w:r>
              <w:rPr>
                <w:rFonts w:ascii="Arial" w:cs="Arial" w:eastAsia="Arial" w:hAnsi="Arial"/>
                <w:sz w:val="17"/>
                <w:szCs w:val="17"/>
                <w:color w:val="auto"/>
                <w:w w:val="82"/>
              </w:rPr>
              <w:t>—</w:t>
            </w:r>
          </w:p>
        </w:tc>
        <w:tc>
          <w:tcPr>
            <w:tcW w:w="320" w:type="dxa"/>
            <w:vAlign w:val="bottom"/>
            <w:shd w:val="clear" w:color="auto" w:fill="C0C0C0"/>
          </w:tcPr>
          <w:p>
            <w:pPr>
              <w:spacing w:after="0"/>
              <w:rPr>
                <w:sz w:val="20"/>
                <w:szCs w:val="20"/>
                <w:color w:val="auto"/>
              </w:rPr>
            </w:pPr>
          </w:p>
        </w:tc>
        <w:tc>
          <w:tcPr>
            <w:tcW w:w="500" w:type="dxa"/>
            <w:vAlign w:val="bottom"/>
            <w:shd w:val="clear" w:color="auto" w:fill="C0C0C0"/>
          </w:tcPr>
          <w:p>
            <w:pPr>
              <w:ind w:left="340"/>
              <w:spacing w:after="0"/>
              <w:rPr>
                <w:sz w:val="20"/>
                <w:szCs w:val="20"/>
                <w:color w:val="auto"/>
              </w:rPr>
            </w:pPr>
            <w:r>
              <w:rPr>
                <w:rFonts w:ascii="Arial" w:cs="Arial" w:eastAsia="Arial" w:hAnsi="Arial"/>
                <w:sz w:val="17"/>
                <w:szCs w:val="17"/>
                <w:color w:val="auto"/>
                <w:w w:val="82"/>
              </w:rPr>
              <w:t>—</w:t>
            </w:r>
          </w:p>
        </w:tc>
        <w:tc>
          <w:tcPr>
            <w:tcW w:w="48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highlight w:val="lightGray"/>
              </w:rPr>
              <w:t>$ 5,224</w:t>
            </w:r>
          </w:p>
        </w:tc>
        <w:tc>
          <w:tcPr>
            <w:tcW w:w="360" w:type="dxa"/>
            <w:vAlign w:val="bottom"/>
            <w:shd w:val="clear" w:color="auto" w:fill="C0C0C0"/>
          </w:tcPr>
          <w:p>
            <w:pPr>
              <w:spacing w:after="0"/>
              <w:rPr>
                <w:sz w:val="20"/>
                <w:szCs w:val="20"/>
                <w:color w:val="auto"/>
              </w:rPr>
            </w:pPr>
          </w:p>
        </w:tc>
        <w:tc>
          <w:tcPr>
            <w:tcW w:w="520" w:type="dxa"/>
            <w:vAlign w:val="bottom"/>
            <w:shd w:val="clear" w:color="auto" w:fill="C0C0C0"/>
          </w:tcPr>
          <w:p>
            <w:pPr>
              <w:ind w:left="120"/>
              <w:spacing w:after="0"/>
              <w:rPr>
                <w:sz w:val="20"/>
                <w:szCs w:val="20"/>
                <w:color w:val="auto"/>
              </w:rPr>
            </w:pPr>
            <w:r>
              <w:rPr>
                <w:rFonts w:ascii="Arial" w:cs="Arial" w:eastAsia="Arial" w:hAnsi="Arial"/>
                <w:sz w:val="17"/>
                <w:szCs w:val="17"/>
                <w:color w:val="auto"/>
              </w:rPr>
              <w:t>N/A</w:t>
            </w:r>
          </w:p>
        </w:tc>
      </w:tr>
      <w:tr>
        <w:trPr>
          <w:trHeight w:val="39"/>
        </w:trPr>
        <w:tc>
          <w:tcPr>
            <w:tcW w:w="4160" w:type="dxa"/>
            <w:vAlign w:val="bottom"/>
          </w:tcPr>
          <w:p>
            <w:pPr>
              <w:spacing w:after="0"/>
              <w:rPr>
                <w:sz w:val="3"/>
                <w:szCs w:val="3"/>
                <w:color w:val="auto"/>
              </w:rPr>
            </w:pPr>
          </w:p>
        </w:tc>
        <w:tc>
          <w:tcPr>
            <w:tcW w:w="600" w:type="dxa"/>
            <w:vAlign w:val="bottom"/>
            <w:shd w:val="clear" w:color="auto" w:fill="C0C0C0"/>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shd w:val="clear" w:color="auto" w:fill="C0C0C0"/>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shd w:val="clear" w:color="auto" w:fill="C0C0C0"/>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shd w:val="clear" w:color="auto" w:fill="C0C0C0"/>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shd w:val="clear" w:color="auto" w:fill="C0C0C0"/>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shd w:val="clear" w:color="auto" w:fill="C0C0C0"/>
          </w:tcPr>
          <w:p>
            <w:pPr>
              <w:spacing w:after="0"/>
              <w:rPr>
                <w:sz w:val="3"/>
                <w:szCs w:val="3"/>
                <w:color w:val="auto"/>
              </w:rPr>
            </w:pPr>
          </w:p>
        </w:tc>
      </w:tr>
    </w:tbl>
    <w:p>
      <w:pPr>
        <w:spacing w:after="0" w:line="197" w:lineRule="exact"/>
        <w:rPr>
          <w:sz w:val="20"/>
          <w:szCs w:val="20"/>
          <w:color w:val="auto"/>
        </w:rPr>
      </w:pPr>
    </w:p>
    <w:p>
      <w:pPr>
        <w:ind w:left="460" w:right="360" w:hanging="456"/>
        <w:spacing w:after="0" w:line="246"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Consists of payments made in connection with travel and accident policies of $20 and insurance premium contributions of $250 for each of the named executive officers.</w:t>
      </w:r>
    </w:p>
    <w:p>
      <w:pPr>
        <w:spacing w:after="0" w:line="220" w:lineRule="exact"/>
        <w:rPr>
          <w:rFonts w:ascii="Arial" w:cs="Arial" w:eastAsia="Arial" w:hAnsi="Arial"/>
          <w:sz w:val="17"/>
          <w:szCs w:val="17"/>
          <w:color w:val="auto"/>
        </w:rPr>
      </w:pPr>
    </w:p>
    <w:p>
      <w:pPr>
        <w:ind w:left="460" w:right="40" w:hanging="456"/>
        <w:spacing w:after="0" w:line="242"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Consists of (i) contributions under the company’s enhanced defined contribution retirement plan of $4,600, and (ii) an additional amount of $67,895 accrued by TI to offset IRC limitations on amounts that could be contributed to the enhanced defined contribution retirement plan. All of these amounts are also shown in the Non-qualified Deferred Compensation table on page 79.</w:t>
      </w:r>
    </w:p>
    <w:p>
      <w:pPr>
        <w:spacing w:after="0" w:line="224" w:lineRule="exact"/>
        <w:rPr>
          <w:rFonts w:ascii="Arial" w:cs="Arial" w:eastAsia="Arial" w:hAnsi="Arial"/>
          <w:sz w:val="17"/>
          <w:szCs w:val="17"/>
          <w:color w:val="auto"/>
        </w:rPr>
      </w:pPr>
    </w:p>
    <w:p>
      <w:pPr>
        <w:ind w:left="460" w:hanging="456"/>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payments for unused vacation time that could not be carried forward.</w:t>
      </w:r>
    </w:p>
    <w:p>
      <w:pPr>
        <w:spacing w:after="0" w:line="231" w:lineRule="exact"/>
        <w:rPr>
          <w:rFonts w:ascii="Arial" w:cs="Arial" w:eastAsia="Arial" w:hAnsi="Arial"/>
          <w:sz w:val="17"/>
          <w:szCs w:val="17"/>
          <w:color w:val="auto"/>
        </w:rPr>
      </w:pPr>
    </w:p>
    <w:p>
      <w:pPr>
        <w:ind w:left="460" w:right="40" w:hanging="456"/>
        <w:spacing w:after="0" w:line="25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of directors has determined that for security reasons, it is in TI’s interest to require the chief executive officer to use the company aircraft for personal air travel. The amount shown for Mr. Templeton includes $125,640 incremental cost of company-required personal use of aircraft and $12,751 for reimbursement of a portion of the tax related to the incremental cost of company-required personal use of aircraft. We valued the incremental cost of the personal use of company aircraft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cost of the company aircraft. The amount shown for Mr. Lowe was valued using the same methodology. Under SEC rules, Mr. Lowe is deemed to have received a personal benefit in 2008, because corporate aircraft incurred additional mileage in picking him up from, or delivering him to, his home outside Dallas in connection with some of his business trips. He was not reimbursed for any portion of the tax related to his personal use of corporate aircraft.</w:t>
      </w:r>
    </w:p>
    <w:p>
      <w:pPr>
        <w:spacing w:after="0" w:line="212" w:lineRule="exact"/>
        <w:rPr>
          <w:rFonts w:ascii="Arial" w:cs="Arial" w:eastAsia="Arial" w:hAnsi="Arial"/>
          <w:sz w:val="16"/>
          <w:szCs w:val="16"/>
          <w:color w:val="auto"/>
        </w:rPr>
      </w:pPr>
    </w:p>
    <w:p>
      <w:pPr>
        <w:ind w:left="460" w:hanging="456"/>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amounts for services rendered in 2007 that were not invoiced until 2008. In neither year did services exceed the $8,000 limit.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2008</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grants of plan-based awards to the named executive officers in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9"/>
              </w:rPr>
              <w:t>Estimated Possible Payouts</w:t>
            </w:r>
          </w:p>
        </w:tc>
        <w:tc>
          <w:tcPr>
            <w:tcW w:w="100" w:type="dxa"/>
            <w:vAlign w:val="bottom"/>
          </w:tcPr>
          <w:p>
            <w:pPr>
              <w:spacing w:after="0"/>
              <w:rPr>
                <w:sz w:val="12"/>
                <w:szCs w:val="12"/>
                <w:color w:val="auto"/>
              </w:rPr>
            </w:pPr>
          </w:p>
        </w:tc>
        <w:tc>
          <w:tcPr>
            <w:tcW w:w="184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w w:val="99"/>
              </w:rPr>
              <w:t>Estimated Future Payouts</w:t>
            </w: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rPr>
              <w:t>under Non-equity Incentive</w:t>
            </w:r>
          </w:p>
        </w:tc>
        <w:tc>
          <w:tcPr>
            <w:tcW w:w="100" w:type="dxa"/>
            <w:vAlign w:val="bottom"/>
          </w:tcPr>
          <w:p>
            <w:pPr>
              <w:spacing w:after="0"/>
              <w:rPr>
                <w:sz w:val="12"/>
                <w:szCs w:val="12"/>
                <w:color w:val="auto"/>
              </w:rPr>
            </w:pPr>
          </w:p>
        </w:tc>
        <w:tc>
          <w:tcPr>
            <w:tcW w:w="1840" w:type="dxa"/>
            <w:vAlign w:val="bottom"/>
            <w:gridSpan w:val="3"/>
          </w:tcPr>
          <w:p>
            <w:pPr>
              <w:jc w:val="center"/>
              <w:spacing w:after="0" w:line="143" w:lineRule="exact"/>
              <w:rPr>
                <w:sz w:val="20"/>
                <w:szCs w:val="20"/>
                <w:color w:val="auto"/>
              </w:rPr>
            </w:pPr>
            <w:r>
              <w:rPr>
                <w:rFonts w:ascii="Arial" w:cs="Arial" w:eastAsia="Arial" w:hAnsi="Arial"/>
                <w:sz w:val="13"/>
                <w:szCs w:val="13"/>
                <w:b w:val="1"/>
                <w:bCs w:val="1"/>
                <w:color w:val="auto"/>
              </w:rPr>
              <w:t>under Equity Incentive</w:t>
            </w: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7"/>
              </w:rPr>
              <w:t>Awards:</w:t>
            </w: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Awards:</w:t>
            </w: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Exercise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3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3"/>
                <w:szCs w:val="13"/>
                <w:color w:val="auto"/>
              </w:rPr>
            </w:pPr>
          </w:p>
        </w:tc>
        <w:tc>
          <w:tcPr>
            <w:tcW w:w="1380" w:type="dxa"/>
            <w:vAlign w:val="bottom"/>
            <w:tcBorders>
              <w:bottom w:val="single" w:sz="8" w:color="auto"/>
            </w:tcBorders>
            <w:gridSpan w:val="2"/>
          </w:tcPr>
          <w:p>
            <w:pPr>
              <w:jc w:val="center"/>
              <w:ind w:left="406"/>
              <w:spacing w:after="0"/>
              <w:rPr>
                <w:sz w:val="20"/>
                <w:szCs w:val="20"/>
                <w:color w:val="auto"/>
              </w:rPr>
            </w:pPr>
            <w:r>
              <w:rPr>
                <w:rFonts w:ascii="Arial" w:cs="Arial" w:eastAsia="Arial" w:hAnsi="Arial"/>
                <w:sz w:val="13"/>
                <w:szCs w:val="13"/>
                <w:b w:val="1"/>
                <w:bCs w:val="1"/>
                <w:color w:val="auto"/>
                <w:w w:val="99"/>
              </w:rPr>
              <w:t>Plan Awards</w:t>
            </w:r>
          </w:p>
        </w:tc>
        <w:tc>
          <w:tcPr>
            <w:tcW w:w="460" w:type="dxa"/>
            <w:vAlign w:val="bottom"/>
            <w:tcBorders>
              <w:bottom w:val="single" w:sz="8" w:color="auto"/>
            </w:tcBorders>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or Base</w:t>
            </w:r>
          </w:p>
        </w:tc>
        <w:tc>
          <w:tcPr>
            <w:tcW w:w="160" w:type="dxa"/>
            <w:vAlign w:val="bottom"/>
          </w:tcPr>
          <w:p>
            <w:pPr>
              <w:spacing w:after="0"/>
              <w:rPr>
                <w:sz w:val="13"/>
                <w:szCs w:val="13"/>
                <w:color w:val="auto"/>
              </w:rPr>
            </w:pPr>
          </w:p>
        </w:tc>
        <w:tc>
          <w:tcPr>
            <w:tcW w:w="800" w:type="dxa"/>
            <w:vAlign w:val="bottom"/>
          </w:tcPr>
          <w:p>
            <w:pPr>
              <w:jc w:val="center"/>
              <w:ind w:right="22"/>
              <w:spacing w:after="0"/>
              <w:rPr>
                <w:sz w:val="20"/>
                <w:szCs w:val="20"/>
                <w:color w:val="auto"/>
              </w:rPr>
            </w:pPr>
            <w:r>
              <w:rPr>
                <w:rFonts w:ascii="Arial" w:cs="Arial" w:eastAsia="Arial" w:hAnsi="Arial"/>
                <w:sz w:val="13"/>
                <w:szCs w:val="13"/>
                <w:b w:val="1"/>
                <w:bCs w:val="1"/>
                <w:color w:val="auto"/>
                <w:w w:val="99"/>
              </w:rPr>
              <w:t>Grant Date</w:t>
            </w:r>
          </w:p>
        </w:tc>
      </w:tr>
      <w:tr>
        <w:trPr>
          <w:trHeight w:val="151"/>
        </w:trPr>
        <w:tc>
          <w:tcPr>
            <w:tcW w:w="3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Shares of</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Price of</w:t>
            </w:r>
          </w:p>
        </w:tc>
        <w:tc>
          <w:tcPr>
            <w:tcW w:w="160" w:type="dxa"/>
            <w:vAlign w:val="bottom"/>
          </w:tcPr>
          <w:p>
            <w:pPr>
              <w:spacing w:after="0"/>
              <w:rPr>
                <w:sz w:val="13"/>
                <w:szCs w:val="13"/>
                <w:color w:val="auto"/>
              </w:rPr>
            </w:pPr>
          </w:p>
        </w:tc>
        <w:tc>
          <w:tcPr>
            <w:tcW w:w="800" w:type="dxa"/>
            <w:vAlign w:val="bottom"/>
          </w:tcPr>
          <w:p>
            <w:pPr>
              <w:jc w:val="center"/>
              <w:ind w:right="22"/>
              <w:spacing w:after="0"/>
              <w:rPr>
                <w:sz w:val="20"/>
                <w:szCs w:val="20"/>
                <w:color w:val="auto"/>
              </w:rPr>
            </w:pPr>
            <w:r>
              <w:rPr>
                <w:rFonts w:ascii="Arial" w:cs="Arial" w:eastAsia="Arial" w:hAnsi="Arial"/>
                <w:sz w:val="13"/>
                <w:szCs w:val="13"/>
                <w:b w:val="1"/>
                <w:bCs w:val="1"/>
                <w:color w:val="auto"/>
                <w:w w:val="99"/>
              </w:rPr>
              <w:t>Fair Value</w:t>
            </w:r>
          </w:p>
        </w:tc>
      </w:tr>
      <w:tr>
        <w:trPr>
          <w:trHeight w:val="229"/>
        </w:trPr>
        <w:tc>
          <w:tcPr>
            <w:tcW w:w="3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Stock or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9"/>
                <w:szCs w:val="19"/>
                <w:color w:val="auto"/>
              </w:rPr>
            </w:pPr>
          </w:p>
        </w:tc>
        <w:tc>
          <w:tcPr>
            <w:tcW w:w="800" w:type="dxa"/>
            <w:vAlign w:val="bottom"/>
          </w:tcPr>
          <w:p>
            <w:pPr>
              <w:jc w:val="center"/>
              <w:ind w:right="22"/>
              <w:spacing w:after="0"/>
              <w:rPr>
                <w:sz w:val="20"/>
                <w:szCs w:val="20"/>
                <w:color w:val="auto"/>
              </w:rPr>
            </w:pPr>
            <w:r>
              <w:rPr>
                <w:rFonts w:ascii="Arial" w:cs="Arial" w:eastAsia="Arial" w:hAnsi="Arial"/>
                <w:sz w:val="13"/>
                <w:szCs w:val="13"/>
                <w:b w:val="1"/>
                <w:bCs w:val="1"/>
                <w:color w:val="auto"/>
                <w:w w:val="97"/>
              </w:rPr>
              <w:t>of Stock</w:t>
            </w:r>
          </w:p>
        </w:tc>
      </w:tr>
      <w:tr>
        <w:trPr>
          <w:trHeight w:val="233"/>
        </w:trPr>
        <w:tc>
          <w:tcPr>
            <w:tcW w:w="35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c>
          <w:tcPr>
            <w:tcW w:w="680" w:type="dxa"/>
            <w:vAlign w:val="bottom"/>
          </w:tcPr>
          <w:p>
            <w:pPr>
              <w:spacing w:after="0"/>
              <w:rPr>
                <w:sz w:val="20"/>
                <w:szCs w:val="20"/>
                <w:color w:val="auto"/>
              </w:rPr>
            </w:pPr>
            <w:r>
              <w:rPr>
                <w:rFonts w:ascii="Arial" w:cs="Arial" w:eastAsia="Arial" w:hAnsi="Arial"/>
                <w:sz w:val="13"/>
                <w:szCs w:val="13"/>
                <w:b w:val="1"/>
                <w:bCs w:val="1"/>
                <w:color w:val="auto"/>
              </w:rPr>
              <w:t>Threshold</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60" w:type="dxa"/>
            <w:vAlign w:val="bottom"/>
          </w:tcPr>
          <w:p>
            <w:pPr>
              <w:ind w:left="60"/>
              <w:spacing w:after="0"/>
              <w:rPr>
                <w:sz w:val="20"/>
                <w:szCs w:val="20"/>
                <w:color w:val="auto"/>
              </w:rPr>
            </w:pPr>
            <w:r>
              <w:rPr>
                <w:rFonts w:ascii="Arial" w:cs="Arial" w:eastAsia="Arial" w:hAnsi="Arial"/>
                <w:sz w:val="13"/>
                <w:szCs w:val="13"/>
                <w:b w:val="1"/>
                <w:bCs w:val="1"/>
                <w:color w:val="auto"/>
                <w:w w:val="96"/>
              </w:rPr>
              <w:t>Maximum</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3"/>
                <w:szCs w:val="13"/>
                <w:b w:val="1"/>
                <w:bCs w:val="1"/>
                <w:color w:val="auto"/>
              </w:rPr>
              <w:t>Threshold</w:t>
            </w: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Target  Maximum</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Units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60" w:type="dxa"/>
            <w:vAlign w:val="bottom"/>
          </w:tcPr>
          <w:p>
            <w:pPr>
              <w:spacing w:after="0"/>
              <w:rPr>
                <w:sz w:val="20"/>
                <w:szCs w:val="20"/>
                <w:color w:val="auto"/>
              </w:rPr>
            </w:pPr>
          </w:p>
        </w:tc>
        <w:tc>
          <w:tcPr>
            <w:tcW w:w="800" w:type="dxa"/>
            <w:vAlign w:val="bottom"/>
          </w:tcPr>
          <w:p>
            <w:pPr>
              <w:jc w:val="center"/>
              <w:ind w:right="22"/>
              <w:spacing w:after="0"/>
              <w:rPr>
                <w:sz w:val="20"/>
                <w:szCs w:val="20"/>
                <w:color w:val="auto"/>
              </w:rPr>
            </w:pPr>
            <w:r>
              <w:rPr>
                <w:rFonts w:ascii="Arial" w:cs="Arial" w:eastAsia="Arial" w:hAnsi="Arial"/>
                <w:sz w:val="13"/>
                <w:szCs w:val="13"/>
                <w:b w:val="1"/>
                <w:bCs w:val="1"/>
                <w:color w:val="auto"/>
              </w:rPr>
              <w:t>and Option</w:t>
            </w:r>
          </w:p>
        </w:tc>
      </w:tr>
      <w:tr>
        <w:trPr>
          <w:trHeight w:val="221"/>
        </w:trPr>
        <w:tc>
          <w:tcPr>
            <w:tcW w:w="35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680" w:type="dxa"/>
            <w:vAlign w:val="bottom"/>
          </w:tcPr>
          <w:p>
            <w:pPr>
              <w:ind w:left="2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ind w:left="34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ind w:right="14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(#)(1)</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($/Sh)</w:t>
            </w:r>
          </w:p>
        </w:tc>
        <w:tc>
          <w:tcPr>
            <w:tcW w:w="160" w:type="dxa"/>
            <w:vAlign w:val="bottom"/>
          </w:tcPr>
          <w:p>
            <w:pPr>
              <w:spacing w:after="0"/>
              <w:rPr>
                <w:sz w:val="19"/>
                <w:szCs w:val="19"/>
                <w:color w:val="auto"/>
              </w:rPr>
            </w:pPr>
          </w:p>
        </w:tc>
        <w:tc>
          <w:tcPr>
            <w:tcW w:w="800" w:type="dxa"/>
            <w:vAlign w:val="bottom"/>
          </w:tcPr>
          <w:p>
            <w:pPr>
              <w:jc w:val="center"/>
              <w:ind w:right="22"/>
              <w:spacing w:after="0"/>
              <w:rPr>
                <w:sz w:val="20"/>
                <w:szCs w:val="20"/>
                <w:color w:val="auto"/>
              </w:rPr>
            </w:pPr>
            <w:r>
              <w:rPr>
                <w:rFonts w:ascii="Arial" w:cs="Arial" w:eastAsia="Arial" w:hAnsi="Arial"/>
                <w:sz w:val="13"/>
                <w:szCs w:val="13"/>
                <w:b w:val="1"/>
                <w:bCs w:val="1"/>
                <w:color w:val="auto"/>
                <w:w w:val="99"/>
              </w:rPr>
              <w:t>Awards (3)</w:t>
            </w:r>
          </w:p>
        </w:tc>
      </w:tr>
      <w:tr>
        <w:trPr>
          <w:trHeight w:val="233"/>
        </w:trPr>
        <w:tc>
          <w:tcPr>
            <w:tcW w:w="356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460" w:type="dxa"/>
            <w:vAlign w:val="bottom"/>
            <w:shd w:val="clear" w:color="auto" w:fill="E9E9E9"/>
          </w:tcPr>
          <w:p>
            <w:pPr>
              <w:spacing w:after="0"/>
              <w:rPr>
                <w:sz w:val="20"/>
                <w:szCs w:val="20"/>
                <w:color w:val="auto"/>
              </w:rPr>
            </w:pPr>
          </w:p>
        </w:tc>
        <w:tc>
          <w:tcPr>
            <w:tcW w:w="820" w:type="dxa"/>
            <w:vAlign w:val="bottom"/>
            <w:shd w:val="clear" w:color="auto" w:fill="E9E9E9"/>
          </w:tcPr>
          <w:p>
            <w:pPr>
              <w:spacing w:after="0"/>
              <w:rPr>
                <w:sz w:val="20"/>
                <w:szCs w:val="20"/>
                <w:color w:val="auto"/>
              </w:rPr>
            </w:pPr>
          </w:p>
        </w:tc>
        <w:tc>
          <w:tcPr>
            <w:tcW w:w="82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r>
      <w:tr>
        <w:trPr>
          <w:trHeight w:val="233"/>
        </w:trPr>
        <w:tc>
          <w:tcPr>
            <w:tcW w:w="356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w:t>
            </w:r>
          </w:p>
        </w:tc>
        <w:tc>
          <w:tcPr>
            <w:tcW w:w="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center"/>
              <w:ind w:right="102"/>
              <w:spacing w:after="0"/>
              <w:rPr>
                <w:sz w:val="20"/>
                <w:szCs w:val="20"/>
                <w:color w:val="auto"/>
              </w:rPr>
            </w:pPr>
            <w:r>
              <w:rPr>
                <w:rFonts w:ascii="Arial" w:cs="Arial" w:eastAsia="Arial" w:hAnsi="Arial"/>
                <w:sz w:val="17"/>
                <w:szCs w:val="17"/>
                <w:color w:val="auto"/>
                <w:w w:val="93"/>
              </w:rPr>
              <w:t>—</w:t>
            </w:r>
          </w:p>
        </w:tc>
        <w:tc>
          <w:tcPr>
            <w:tcW w:w="46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270,000</w:t>
            </w: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$ 29.79</w:t>
            </w:r>
          </w:p>
        </w:tc>
        <w:tc>
          <w:tcPr>
            <w:tcW w:w="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2,397,600</w:t>
            </w:r>
          </w:p>
        </w:tc>
      </w:tr>
      <w:tr>
        <w:trPr>
          <w:trHeight w:val="233"/>
        </w:trPr>
        <w:tc>
          <w:tcPr>
            <w:tcW w:w="3560" w:type="dxa"/>
            <w:vAlign w:val="bottom"/>
            <w:shd w:val="clear" w:color="auto" w:fill="C0C0C0"/>
          </w:tcPr>
          <w:p>
            <w:pPr>
              <w:spacing w:after="0"/>
              <w:rPr>
                <w:sz w:val="20"/>
                <w:szCs w:val="20"/>
                <w:color w:val="auto"/>
              </w:rPr>
            </w:pP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150,000</w:t>
            </w:r>
          </w:p>
        </w:tc>
        <w:tc>
          <w:tcPr>
            <w:tcW w:w="8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4,468,500</w:t>
            </w:r>
          </w:p>
        </w:tc>
      </w:tr>
      <w:tr>
        <w:trPr>
          <w:trHeight w:val="244"/>
        </w:trPr>
        <w:tc>
          <w:tcPr>
            <w:tcW w:w="3560" w:type="dxa"/>
            <w:vAlign w:val="bottom"/>
          </w:tcPr>
          <w:p>
            <w:pPr>
              <w:spacing w:after="0"/>
              <w:rPr>
                <w:sz w:val="20"/>
                <w:szCs w:val="20"/>
                <w:color w:val="auto"/>
              </w:rPr>
            </w:pPr>
            <w:r>
              <w:rPr>
                <w:rFonts w:ascii="Arial" w:cs="Arial" w:eastAsia="Arial" w:hAnsi="Arial"/>
                <w:sz w:val="17"/>
                <w:szCs w:val="17"/>
                <w:color w:val="auto"/>
              </w:rPr>
              <w:t>K. P. March</w:t>
            </w:r>
          </w:p>
        </w:tc>
        <w:tc>
          <w:tcPr>
            <w:tcW w:w="780" w:type="dxa"/>
            <w:vAlign w:val="bottom"/>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tcPr>
          <w:p>
            <w:pPr>
              <w:ind w:left="260"/>
              <w:spacing w:after="0"/>
              <w:rPr>
                <w:sz w:val="20"/>
                <w:szCs w:val="20"/>
                <w:color w:val="auto"/>
              </w:rPr>
            </w:pPr>
            <w:r>
              <w:rPr>
                <w:rFonts w:ascii="Arial" w:cs="Arial" w:eastAsia="Arial" w:hAnsi="Arial"/>
                <w:sz w:val="17"/>
                <w:szCs w:val="17"/>
                <w:color w:val="auto"/>
              </w:rPr>
              <w:t>*</w:t>
            </w:r>
          </w:p>
        </w:tc>
        <w:tc>
          <w:tcPr>
            <w:tcW w:w="50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660" w:type="dxa"/>
            <w:vAlign w:val="bottom"/>
          </w:tcPr>
          <w:p>
            <w:pPr>
              <w:ind w:lef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680" w:type="dxa"/>
            <w:vAlign w:val="bottom"/>
          </w:tcPr>
          <w:p>
            <w:pPr>
              <w:ind w:left="260"/>
              <w:spacing w:after="0"/>
              <w:rPr>
                <w:sz w:val="20"/>
                <w:szCs w:val="20"/>
                <w:color w:val="auto"/>
              </w:rPr>
            </w:pPr>
            <w:r>
              <w:rPr>
                <w:rFonts w:ascii="Arial" w:cs="Arial" w:eastAsia="Arial" w:hAnsi="Arial"/>
                <w:sz w:val="17"/>
                <w:szCs w:val="17"/>
                <w:color w:val="auto"/>
              </w:rPr>
              <w:t>—</w:t>
            </w:r>
          </w:p>
        </w:tc>
        <w:tc>
          <w:tcPr>
            <w:tcW w:w="700" w:type="dxa"/>
            <w:vAlign w:val="bottom"/>
          </w:tcPr>
          <w:p>
            <w:pPr>
              <w:jc w:val="center"/>
              <w:ind w:right="102"/>
              <w:spacing w:after="0"/>
              <w:rPr>
                <w:sz w:val="20"/>
                <w:szCs w:val="20"/>
                <w:color w:val="auto"/>
              </w:rPr>
            </w:pPr>
            <w:r>
              <w:rPr>
                <w:rFonts w:ascii="Arial" w:cs="Arial" w:eastAsia="Arial" w:hAnsi="Arial"/>
                <w:sz w:val="17"/>
                <w:szCs w:val="17"/>
                <w:color w:val="auto"/>
                <w:w w:val="93"/>
              </w:rPr>
              <w:t>—</w:t>
            </w:r>
          </w:p>
        </w:tc>
        <w:tc>
          <w:tcPr>
            <w:tcW w:w="46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85,000</w:t>
            </w:r>
          </w:p>
        </w:tc>
        <w:tc>
          <w:tcPr>
            <w:tcW w:w="700" w:type="dxa"/>
            <w:vAlign w:val="bottom"/>
          </w:tcPr>
          <w:p>
            <w:pPr>
              <w:jc w:val="center"/>
              <w:spacing w:after="0"/>
              <w:rPr>
                <w:sz w:val="20"/>
                <w:szCs w:val="20"/>
                <w:color w:val="auto"/>
              </w:rPr>
            </w:pPr>
            <w:r>
              <w:rPr>
                <w:rFonts w:ascii="Arial" w:cs="Arial" w:eastAsia="Arial" w:hAnsi="Arial"/>
                <w:sz w:val="17"/>
                <w:szCs w:val="17"/>
                <w:color w:val="auto"/>
              </w:rPr>
              <w:t>$ 29.79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754,800</w:t>
            </w:r>
          </w:p>
        </w:tc>
      </w:tr>
      <w:tr>
        <w:trPr>
          <w:trHeight w:val="222"/>
        </w:trPr>
        <w:tc>
          <w:tcPr>
            <w:tcW w:w="35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35,000</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1,042,650</w:t>
            </w:r>
          </w:p>
        </w:tc>
      </w:tr>
      <w:tr>
        <w:trPr>
          <w:trHeight w:val="233"/>
        </w:trPr>
        <w:tc>
          <w:tcPr>
            <w:tcW w:w="356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w:t>
            </w:r>
          </w:p>
        </w:tc>
        <w:tc>
          <w:tcPr>
            <w:tcW w:w="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center"/>
              <w:ind w:right="102"/>
              <w:spacing w:after="0"/>
              <w:rPr>
                <w:sz w:val="20"/>
                <w:szCs w:val="20"/>
                <w:color w:val="auto"/>
              </w:rPr>
            </w:pPr>
            <w:r>
              <w:rPr>
                <w:rFonts w:ascii="Arial" w:cs="Arial" w:eastAsia="Arial" w:hAnsi="Arial"/>
                <w:sz w:val="17"/>
                <w:szCs w:val="17"/>
                <w:color w:val="auto"/>
                <w:w w:val="93"/>
              </w:rPr>
              <w:t>—</w:t>
            </w:r>
          </w:p>
        </w:tc>
        <w:tc>
          <w:tcPr>
            <w:tcW w:w="46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100,000</w:t>
            </w: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$ 29.79</w:t>
            </w:r>
          </w:p>
        </w:tc>
        <w:tc>
          <w:tcPr>
            <w:tcW w:w="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888,000</w:t>
            </w:r>
          </w:p>
        </w:tc>
      </w:tr>
      <w:tr>
        <w:trPr>
          <w:trHeight w:val="233"/>
        </w:trPr>
        <w:tc>
          <w:tcPr>
            <w:tcW w:w="3560" w:type="dxa"/>
            <w:vAlign w:val="bottom"/>
            <w:shd w:val="clear" w:color="auto" w:fill="C0C0C0"/>
          </w:tcPr>
          <w:p>
            <w:pPr>
              <w:spacing w:after="0"/>
              <w:rPr>
                <w:sz w:val="20"/>
                <w:szCs w:val="20"/>
                <w:color w:val="auto"/>
              </w:rPr>
            </w:pP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60,000</w:t>
            </w:r>
          </w:p>
        </w:tc>
        <w:tc>
          <w:tcPr>
            <w:tcW w:w="8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1,787,400</w:t>
            </w:r>
          </w:p>
        </w:tc>
      </w:tr>
      <w:tr>
        <w:trPr>
          <w:trHeight w:val="244"/>
        </w:trPr>
        <w:tc>
          <w:tcPr>
            <w:tcW w:w="3560" w:type="dxa"/>
            <w:vAlign w:val="bottom"/>
          </w:tcPr>
          <w:p>
            <w:pPr>
              <w:spacing w:after="0"/>
              <w:rPr>
                <w:sz w:val="20"/>
                <w:szCs w:val="20"/>
                <w:color w:val="auto"/>
              </w:rPr>
            </w:pPr>
            <w:r>
              <w:rPr>
                <w:rFonts w:ascii="Arial" w:cs="Arial" w:eastAsia="Arial" w:hAnsi="Arial"/>
                <w:sz w:val="17"/>
                <w:szCs w:val="17"/>
                <w:color w:val="auto"/>
              </w:rPr>
              <w:t>K. J. Ritchie</w:t>
            </w:r>
          </w:p>
        </w:tc>
        <w:tc>
          <w:tcPr>
            <w:tcW w:w="780" w:type="dxa"/>
            <w:vAlign w:val="bottom"/>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100,000</w:t>
            </w:r>
          </w:p>
        </w:tc>
        <w:tc>
          <w:tcPr>
            <w:tcW w:w="700" w:type="dxa"/>
            <w:vAlign w:val="bottom"/>
          </w:tcPr>
          <w:p>
            <w:pPr>
              <w:jc w:val="center"/>
              <w:spacing w:after="0"/>
              <w:rPr>
                <w:sz w:val="20"/>
                <w:szCs w:val="20"/>
                <w:color w:val="auto"/>
              </w:rPr>
            </w:pPr>
            <w:r>
              <w:rPr>
                <w:rFonts w:ascii="Arial" w:cs="Arial" w:eastAsia="Arial" w:hAnsi="Arial"/>
                <w:sz w:val="17"/>
                <w:szCs w:val="17"/>
                <w:color w:val="auto"/>
              </w:rPr>
              <w:t>$ 29.79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888,000</w:t>
            </w:r>
          </w:p>
        </w:tc>
      </w:tr>
      <w:tr>
        <w:trPr>
          <w:trHeight w:val="222"/>
        </w:trPr>
        <w:tc>
          <w:tcPr>
            <w:tcW w:w="35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50,000</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1,489,500</w:t>
            </w:r>
          </w:p>
        </w:tc>
      </w:tr>
      <w:tr>
        <w:trPr>
          <w:trHeight w:val="233"/>
        </w:trPr>
        <w:tc>
          <w:tcPr>
            <w:tcW w:w="3560" w:type="dxa"/>
            <w:vAlign w:val="bottom"/>
            <w:shd w:val="clear" w:color="auto" w:fill="C0C0C0"/>
          </w:tcPr>
          <w:p>
            <w:pPr>
              <w:spacing w:after="0"/>
              <w:rPr>
                <w:sz w:val="20"/>
                <w:szCs w:val="20"/>
                <w:color w:val="auto"/>
              </w:rPr>
            </w:pPr>
            <w:r>
              <w:rPr>
                <w:rFonts w:ascii="Arial" w:cs="Arial" w:eastAsia="Arial" w:hAnsi="Arial"/>
                <w:sz w:val="17"/>
                <w:szCs w:val="17"/>
                <w:color w:val="auto"/>
              </w:rPr>
              <w:t>M. J. Hames</w:t>
            </w: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w:t>
            </w:r>
          </w:p>
        </w:tc>
        <w:tc>
          <w:tcPr>
            <w:tcW w:w="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center"/>
              <w:ind w:right="102"/>
              <w:spacing w:after="0"/>
              <w:rPr>
                <w:sz w:val="20"/>
                <w:szCs w:val="20"/>
                <w:color w:val="auto"/>
              </w:rPr>
            </w:pPr>
            <w:r>
              <w:rPr>
                <w:rFonts w:ascii="Arial" w:cs="Arial" w:eastAsia="Arial" w:hAnsi="Arial"/>
                <w:sz w:val="17"/>
                <w:szCs w:val="17"/>
                <w:color w:val="auto"/>
                <w:w w:val="93"/>
              </w:rPr>
              <w:t>—</w:t>
            </w:r>
          </w:p>
        </w:tc>
        <w:tc>
          <w:tcPr>
            <w:tcW w:w="460" w:type="dxa"/>
            <w:vAlign w:val="bottom"/>
            <w:shd w:val="clear" w:color="auto" w:fill="C0C0C0"/>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75,000</w:t>
            </w: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$ 29.79</w:t>
            </w:r>
          </w:p>
        </w:tc>
        <w:tc>
          <w:tcPr>
            <w:tcW w:w="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666,000</w:t>
            </w:r>
          </w:p>
        </w:tc>
      </w:tr>
      <w:tr>
        <w:trPr>
          <w:trHeight w:val="233"/>
        </w:trPr>
        <w:tc>
          <w:tcPr>
            <w:tcW w:w="3560" w:type="dxa"/>
            <w:vAlign w:val="bottom"/>
            <w:shd w:val="clear" w:color="auto" w:fill="C0C0C0"/>
          </w:tcPr>
          <w:p>
            <w:pPr>
              <w:spacing w:after="0"/>
              <w:rPr>
                <w:sz w:val="20"/>
                <w:szCs w:val="20"/>
                <w:color w:val="auto"/>
              </w:rPr>
            </w:pP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1/25/08</w:t>
            </w:r>
          </w:p>
        </w:tc>
        <w:tc>
          <w:tcPr>
            <w:tcW w:w="6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45,000</w:t>
            </w:r>
          </w:p>
        </w:tc>
        <w:tc>
          <w:tcPr>
            <w:tcW w:w="8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1,340,550</w:t>
            </w: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hanging="456"/>
        <w:spacing w:after="0" w:line="241"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2008.</w:t>
      </w:r>
    </w:p>
    <w:p>
      <w:pPr>
        <w:spacing w:after="0" w:line="225" w:lineRule="exact"/>
        <w:rPr>
          <w:sz w:val="20"/>
          <w:szCs w:val="20"/>
          <w:color w:val="auto"/>
        </w:rPr>
      </w:pPr>
    </w:p>
    <w:p>
      <w:pPr>
        <w:ind w:left="460" w:right="100" w:hanging="456"/>
        <w:spacing w:after="0" w:line="24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stock awards granted to the named executive officers in 2008 were RSU awards. These awards were made under the company’s 2000 Long-Term Incentive Plan. For information on the terms and conditions of these RSU awards, please see the discussion beginning on page 76.</w:t>
      </w:r>
    </w:p>
    <w:p>
      <w:pPr>
        <w:spacing w:after="0" w:line="220" w:lineRule="exact"/>
        <w:rPr>
          <w:rFonts w:ascii="Arial" w:cs="Arial" w:eastAsia="Arial" w:hAnsi="Arial"/>
          <w:sz w:val="17"/>
          <w:szCs w:val="17"/>
          <w:color w:val="auto"/>
        </w:rPr>
      </w:pPr>
    </w:p>
    <w:p>
      <w:pPr>
        <w:ind w:left="460" w:right="260" w:hanging="456"/>
        <w:spacing w:after="0" w:line="24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These options were granted under the company’s 2000 Long-Term Incentive Plan. For information on the terms and conditions of these options, please see the discussion on page 76.</w:t>
      </w:r>
    </w:p>
    <w:p>
      <w:pPr>
        <w:spacing w:after="0" w:line="220" w:lineRule="exact"/>
        <w:rPr>
          <w:rFonts w:ascii="Arial" w:cs="Arial" w:eastAsia="Arial" w:hAnsi="Arial"/>
          <w:sz w:val="17"/>
          <w:szCs w:val="17"/>
          <w:color w:val="auto"/>
        </w:rPr>
      </w:pPr>
    </w:p>
    <w:p>
      <w:pPr>
        <w:ind w:left="460" w:right="220" w:hanging="456"/>
        <w:spacing w:after="0" w:line="26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Shown is the aggregate grant date fair value computed in accordance with SFAS 123(R) for stock and option awards in 2008. The discussion of the assumptions used for purposes of the valuation appears on pages 12-15 of Exhibit 13 to TI’s annual report on Form 10-K for the year ended December 31, 2008. By contrast, the amount shown for stock and option awards in 2008 in the Summary Compensation Table is the amount recognized by the company for financial statement purposes in 2008 for awards granted in 2008 and prior years to the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None of the options or other equity awards granted to the named executive officers was repriced or modified by the company.</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additional information regarding TI’s equity compensation grant practices, please see the Compensation Discussion and Analysis on page 69.</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2008</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outstanding equity awards for each of the named executive officers as of December 31, 2008.</w:t>
      </w:r>
    </w:p>
    <w:p>
      <w:pPr>
        <w:spacing w:after="0" w:line="186" w:lineRule="exact"/>
        <w:rPr>
          <w:sz w:val="20"/>
          <w:szCs w:val="20"/>
          <w:color w:val="auto"/>
        </w:rPr>
      </w:pPr>
    </w:p>
    <w:tbl>
      <w:tblPr>
        <w:tblLayout w:type="fixed"/>
        <w:tblInd w:w="3260" w:type="dxa"/>
        <w:tblCellMar>
          <w:top w:w="0" w:type="dxa"/>
          <w:left w:w="0" w:type="dxa"/>
          <w:bottom w:w="0" w:type="dxa"/>
          <w:right w:w="0" w:type="dxa"/>
        </w:tblCellMar>
      </w:tblPr>
      <w:tr>
        <w:trPr>
          <w:trHeight w:val="159"/>
        </w:trPr>
        <w:tc>
          <w:tcPr>
            <w:tcW w:w="8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rPr>
              <w:t>Stock Awards</w:t>
            </w:r>
          </w:p>
        </w:tc>
        <w:tc>
          <w:tcPr>
            <w:tcW w:w="900" w:type="dxa"/>
            <w:vAlign w:val="bottom"/>
            <w:tcBorders>
              <w:bottom w:val="single" w:sz="8" w:color="auto"/>
            </w:tcBorders>
          </w:tcPr>
          <w:p>
            <w:pPr>
              <w:spacing w:after="0"/>
              <w:rPr>
                <w:sz w:val="13"/>
                <w:szCs w:val="13"/>
                <w:color w:val="auto"/>
              </w:rPr>
            </w:pPr>
          </w:p>
        </w:tc>
      </w:tr>
      <w:tr>
        <w:trPr>
          <w:trHeight w:val="119"/>
        </w:trPr>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900" w:type="dxa"/>
            <w:vAlign w:val="bottom"/>
          </w:tcPr>
          <w:p>
            <w:pPr>
              <w:spacing w:after="0"/>
              <w:rPr>
                <w:sz w:val="10"/>
                <w:szCs w:val="10"/>
                <w:color w:val="auto"/>
              </w:rPr>
            </w:pPr>
          </w:p>
        </w:tc>
      </w:tr>
      <w:tr>
        <w:trPr>
          <w:trHeight w:val="142"/>
        </w:trPr>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Incentive</w:t>
            </w:r>
          </w:p>
        </w:tc>
        <w:tc>
          <w:tcPr>
            <w:tcW w:w="900" w:type="dxa"/>
            <w:vAlign w:val="bottom"/>
          </w:tcPr>
          <w:p>
            <w:pPr>
              <w:jc w:val="center"/>
              <w:ind w:left="15"/>
              <w:spacing w:after="0" w:line="143"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jc w:val="center"/>
              <w:ind w:right="1495"/>
              <w:spacing w:after="0" w:line="143"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Plan</w:t>
            </w:r>
          </w:p>
        </w:tc>
        <w:tc>
          <w:tcPr>
            <w:tcW w:w="900" w:type="dxa"/>
            <w:vAlign w:val="bottom"/>
          </w:tcPr>
          <w:p>
            <w:pPr>
              <w:jc w:val="center"/>
              <w:ind w:left="15"/>
              <w:spacing w:after="0" w:line="143" w:lineRule="exact"/>
              <w:rPr>
                <w:sz w:val="20"/>
                <w:szCs w:val="20"/>
                <w:color w:val="auto"/>
              </w:rPr>
            </w:pPr>
            <w:r>
              <w:rPr>
                <w:rFonts w:ascii="Arial" w:cs="Arial" w:eastAsia="Arial" w:hAnsi="Arial"/>
                <w:sz w:val="13"/>
                <w:szCs w:val="13"/>
                <w:b w:val="1"/>
                <w:bCs w:val="1"/>
                <w:color w:val="auto"/>
              </w:rPr>
              <w:t>Incentive</w:t>
            </w:r>
          </w:p>
        </w:tc>
      </w:tr>
      <w:tr>
        <w:trPr>
          <w:trHeight w:val="142"/>
        </w:trPr>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jc w:val="center"/>
              <w:ind w:right="1495"/>
              <w:spacing w:after="0" w:line="143"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Awards:</w:t>
            </w:r>
          </w:p>
        </w:tc>
        <w:tc>
          <w:tcPr>
            <w:tcW w:w="900" w:type="dxa"/>
            <w:vAlign w:val="bottom"/>
          </w:tcPr>
          <w:p>
            <w:pPr>
              <w:jc w:val="center"/>
              <w:ind w:left="15"/>
              <w:spacing w:after="0" w:line="143" w:lineRule="exact"/>
              <w:rPr>
                <w:sz w:val="20"/>
                <w:szCs w:val="20"/>
                <w:color w:val="auto"/>
              </w:rPr>
            </w:pPr>
            <w:r>
              <w:rPr>
                <w:rFonts w:ascii="Arial" w:cs="Arial" w:eastAsia="Arial" w:hAnsi="Arial"/>
                <w:sz w:val="13"/>
                <w:szCs w:val="13"/>
                <w:b w:val="1"/>
                <w:bCs w:val="1"/>
                <w:color w:val="auto"/>
                <w:w w:val="99"/>
              </w:rPr>
              <w:t>Plan Awards:</w:t>
            </w:r>
          </w:p>
        </w:tc>
      </w:tr>
      <w:tr>
        <w:trPr>
          <w:trHeight w:val="171"/>
        </w:trPr>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jc w:val="center"/>
              <w:ind w:right="1515"/>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900" w:type="dxa"/>
            <w:vAlign w:val="bottom"/>
          </w:tcPr>
          <w:p>
            <w:pPr>
              <w:jc w:val="center"/>
              <w:ind w:left="15"/>
              <w:spacing w:after="0"/>
              <w:rPr>
                <w:sz w:val="20"/>
                <w:szCs w:val="20"/>
                <w:color w:val="auto"/>
              </w:rPr>
            </w:pPr>
            <w:r>
              <w:rPr>
                <w:rFonts w:ascii="Arial" w:cs="Arial" w:eastAsia="Arial" w:hAnsi="Arial"/>
                <w:sz w:val="13"/>
                <w:szCs w:val="13"/>
                <w:b w:val="1"/>
                <w:bCs w:val="1"/>
                <w:color w:val="auto"/>
                <w:w w:val="99"/>
              </w:rPr>
              <w:t>Market or</w:t>
            </w:r>
          </w:p>
        </w:tc>
      </w:tr>
      <w:tr>
        <w:trPr>
          <w:trHeight w:val="204"/>
        </w:trPr>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20" w:type="dxa"/>
            <w:vAlign w:val="bottom"/>
          </w:tcPr>
          <w:p>
            <w:pPr>
              <w:jc w:val="center"/>
              <w:ind w:right="1515"/>
              <w:spacing w:after="0"/>
              <w:rPr>
                <w:sz w:val="20"/>
                <w:szCs w:val="20"/>
                <w:color w:val="auto"/>
              </w:rPr>
            </w:pPr>
            <w:r>
              <w:rPr>
                <w:rFonts w:ascii="Arial" w:cs="Arial" w:eastAsia="Arial" w:hAnsi="Arial"/>
                <w:sz w:val="13"/>
                <w:szCs w:val="13"/>
                <w:b w:val="1"/>
                <w:bCs w:val="1"/>
                <w:color w:val="auto"/>
                <w:w w:val="97"/>
              </w:rPr>
              <w:t>Awards: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900" w:type="dxa"/>
            <w:vAlign w:val="bottom"/>
          </w:tcPr>
          <w:p>
            <w:pPr>
              <w:jc w:val="center"/>
              <w:ind w:left="15"/>
              <w:spacing w:after="0"/>
              <w:rPr>
                <w:sz w:val="20"/>
                <w:szCs w:val="20"/>
                <w:color w:val="auto"/>
              </w:rPr>
            </w:pPr>
            <w:r>
              <w:rPr>
                <w:rFonts w:ascii="Arial" w:cs="Arial" w:eastAsia="Arial" w:hAnsi="Arial"/>
                <w:sz w:val="13"/>
                <w:szCs w:val="13"/>
                <w:b w:val="1"/>
                <w:bCs w:val="1"/>
                <w:color w:val="auto"/>
              </w:rPr>
              <w:t>Payout Value</w:t>
            </w:r>
          </w:p>
        </w:tc>
      </w:tr>
      <w:tr>
        <w:trPr>
          <w:trHeight w:val="142"/>
        </w:trPr>
        <w:tc>
          <w:tcPr>
            <w:tcW w:w="86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Number of</w:t>
            </w:r>
          </w:p>
        </w:tc>
        <w:tc>
          <w:tcPr>
            <w:tcW w:w="840" w:type="dxa"/>
            <w:vAlign w:val="bottom"/>
          </w:tcPr>
          <w:p>
            <w:pPr>
              <w:ind w:left="140"/>
              <w:spacing w:after="0" w:line="143" w:lineRule="exact"/>
              <w:rPr>
                <w:sz w:val="20"/>
                <w:szCs w:val="20"/>
                <w:color w:val="auto"/>
              </w:rPr>
            </w:pPr>
            <w:r>
              <w:rPr>
                <w:rFonts w:ascii="Arial" w:cs="Arial" w:eastAsia="Arial" w:hAnsi="Arial"/>
                <w:sz w:val="13"/>
                <w:szCs w:val="13"/>
                <w:b w:val="1"/>
                <w:bCs w:val="1"/>
                <w:color w:val="auto"/>
              </w:rPr>
              <w:t>Number of</w:t>
            </w:r>
          </w:p>
        </w:tc>
        <w:tc>
          <w:tcPr>
            <w:tcW w:w="2720" w:type="dxa"/>
            <w:vAlign w:val="bottom"/>
          </w:tcPr>
          <w:p>
            <w:pPr>
              <w:jc w:val="center"/>
              <w:ind w:right="1515"/>
              <w:spacing w:after="0" w:line="143"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ind w:left="140"/>
              <w:spacing w:after="0" w:line="143" w:lineRule="exact"/>
              <w:rPr>
                <w:sz w:val="20"/>
                <w:szCs w:val="20"/>
                <w:color w:val="auto"/>
              </w:rPr>
            </w:pPr>
            <w:r>
              <w:rPr>
                <w:rFonts w:ascii="Arial" w:cs="Arial" w:eastAsia="Arial" w:hAnsi="Arial"/>
                <w:sz w:val="13"/>
                <w:szCs w:val="13"/>
                <w:b w:val="1"/>
                <w:bCs w:val="1"/>
                <w:color w:val="auto"/>
              </w:rPr>
              <w:t>Market Value</w:t>
            </w: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Shares,</w:t>
            </w:r>
          </w:p>
        </w:tc>
        <w:tc>
          <w:tcPr>
            <w:tcW w:w="900" w:type="dxa"/>
            <w:vAlign w:val="bottom"/>
          </w:tcPr>
          <w:p>
            <w:pPr>
              <w:jc w:val="center"/>
              <w:ind w:left="15"/>
              <w:spacing w:after="0" w:line="143" w:lineRule="exact"/>
              <w:rPr>
                <w:sz w:val="20"/>
                <w:szCs w:val="20"/>
                <w:color w:val="auto"/>
              </w:rPr>
            </w:pPr>
            <w:r>
              <w:rPr>
                <w:rFonts w:ascii="Arial" w:cs="Arial" w:eastAsia="Arial" w:hAnsi="Arial"/>
                <w:sz w:val="13"/>
                <w:szCs w:val="13"/>
                <w:b w:val="1"/>
                <w:bCs w:val="1"/>
                <w:color w:val="auto"/>
                <w:w w:val="97"/>
              </w:rPr>
              <w:t>of Unearned</w:t>
            </w:r>
          </w:p>
        </w:tc>
      </w:tr>
      <w:tr>
        <w:trPr>
          <w:trHeight w:val="171"/>
        </w:trPr>
        <w:tc>
          <w:tcPr>
            <w:tcW w:w="860" w:type="dxa"/>
            <w:vAlign w:val="bottom"/>
          </w:tcPr>
          <w:p>
            <w:pPr>
              <w:ind w:left="80"/>
              <w:spacing w:after="0"/>
              <w:rPr>
                <w:sz w:val="20"/>
                <w:szCs w:val="20"/>
                <w:color w:val="auto"/>
              </w:rPr>
            </w:pPr>
            <w:r>
              <w:rPr>
                <w:rFonts w:ascii="Arial" w:cs="Arial" w:eastAsia="Arial" w:hAnsi="Arial"/>
                <w:sz w:val="13"/>
                <w:szCs w:val="13"/>
                <w:b w:val="1"/>
                <w:bCs w:val="1"/>
                <w:color w:val="auto"/>
              </w:rPr>
              <w:t>Securities</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auto"/>
              </w:rPr>
              <w:t>Securities</w:t>
            </w:r>
          </w:p>
        </w:tc>
        <w:tc>
          <w:tcPr>
            <w:tcW w:w="2720" w:type="dxa"/>
            <w:vAlign w:val="bottom"/>
          </w:tcPr>
          <w:p>
            <w:pPr>
              <w:jc w:val="center"/>
              <w:ind w:right="1515"/>
              <w:spacing w:after="0"/>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b w:val="1"/>
                <w:bCs w:val="1"/>
                <w:color w:val="auto"/>
              </w:rPr>
              <w:t>Number of</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of Shares or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900" w:type="dxa"/>
            <w:vAlign w:val="bottom"/>
          </w:tcPr>
          <w:p>
            <w:pPr>
              <w:jc w:val="center"/>
              <w:ind w:left="15"/>
              <w:spacing w:after="0"/>
              <w:rPr>
                <w:sz w:val="20"/>
                <w:szCs w:val="20"/>
                <w:color w:val="auto"/>
              </w:rPr>
            </w:pPr>
            <w:r>
              <w:rPr>
                <w:rFonts w:ascii="Arial" w:cs="Arial" w:eastAsia="Arial" w:hAnsi="Arial"/>
                <w:sz w:val="13"/>
                <w:szCs w:val="13"/>
                <w:b w:val="1"/>
                <w:bCs w:val="1"/>
                <w:color w:val="auto"/>
                <w:w w:val="98"/>
              </w:rPr>
              <w:t>Shares, Units</w:t>
            </w:r>
          </w:p>
        </w:tc>
      </w:tr>
    </w:tbl>
    <w:p>
      <w:pPr>
        <w:sectPr>
          <w:pgSz w:w="11900" w:h="16849" w:orient="portrait"/>
          <w:cols w:equalWidth="0" w:num="1">
            <w:col w:w="11420"/>
          </w:cols>
          <w:pgMar w:left="240" w:top="140" w:right="239" w:bottom="0" w:gutter="0" w:footer="0" w:header="0"/>
        </w:sectPr>
      </w:pPr>
    </w:p>
    <w:bookmarkStart w:id="18" w:name="page19"/>
    <w:bookmarkEnd w:id="1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50" w:type="dxa"/>
            <w:vAlign w:val="bottom"/>
          </w:tcPr>
          <w:p>
            <w:pPr>
              <w:spacing w:after="0"/>
              <w:rPr>
                <w:sz w:val="14"/>
                <w:szCs w:val="14"/>
                <w:color w:val="auto"/>
              </w:rPr>
            </w:pPr>
          </w:p>
        </w:tc>
        <w:tc>
          <w:tcPr>
            <w:tcW w:w="99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95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Shares or</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Units of Stock</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or Other</w:t>
            </w:r>
          </w:p>
        </w:tc>
      </w:tr>
      <w:tr>
        <w:trPr>
          <w:trHeight w:val="204"/>
        </w:trPr>
        <w:tc>
          <w:tcPr>
            <w:tcW w:w="3150" w:type="dxa"/>
            <w:vAlign w:val="bottom"/>
          </w:tcPr>
          <w:p>
            <w:pPr>
              <w:spacing w:after="0"/>
              <w:rPr>
                <w:sz w:val="17"/>
                <w:szCs w:val="17"/>
                <w:color w:val="auto"/>
              </w:rPr>
            </w:pPr>
          </w:p>
        </w:tc>
        <w:tc>
          <w:tcPr>
            <w:tcW w:w="990" w:type="dxa"/>
            <w:vAlign w:val="bottom"/>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95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200" w:type="dxa"/>
            <w:vAlign w:val="bottom"/>
          </w:tcPr>
          <w:p>
            <w:pPr>
              <w:spacing w:after="0"/>
              <w:rPr>
                <w:sz w:val="17"/>
                <w:szCs w:val="17"/>
                <w:color w:val="auto"/>
              </w:rPr>
            </w:pPr>
          </w:p>
        </w:tc>
        <w:tc>
          <w:tcPr>
            <w:tcW w:w="600" w:type="dxa"/>
            <w:vAlign w:val="bottom"/>
          </w:tcPr>
          <w:p>
            <w:pPr>
              <w:jc w:val="center"/>
              <w:ind w:right="17"/>
              <w:spacing w:after="0"/>
              <w:rPr>
                <w:sz w:val="20"/>
                <w:szCs w:val="20"/>
                <w:color w:val="auto"/>
              </w:rPr>
            </w:pPr>
            <w:r>
              <w:rPr>
                <w:rFonts w:ascii="Arial" w:cs="Arial" w:eastAsia="Arial" w:hAnsi="Arial"/>
                <w:sz w:val="13"/>
                <w:szCs w:val="13"/>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Units of Stock</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That Have Not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Rights That</w:t>
            </w:r>
          </w:p>
        </w:tc>
      </w:tr>
      <w:tr>
        <w:trPr>
          <w:trHeight w:val="171"/>
        </w:trPr>
        <w:tc>
          <w:tcPr>
            <w:tcW w:w="3150" w:type="dxa"/>
            <w:vAlign w:val="bottom"/>
          </w:tcPr>
          <w:p>
            <w:pPr>
              <w:spacing w:after="0"/>
              <w:rPr>
                <w:sz w:val="14"/>
                <w:szCs w:val="14"/>
                <w:color w:val="auto"/>
              </w:rPr>
            </w:pPr>
          </w:p>
        </w:tc>
        <w:tc>
          <w:tcPr>
            <w:tcW w:w="99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95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80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Expiration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That Have Not</w:t>
            </w:r>
          </w:p>
        </w:tc>
        <w:tc>
          <w:tcPr>
            <w:tcW w:w="180" w:type="dxa"/>
            <w:vAlign w:val="bottom"/>
          </w:tcPr>
          <w:p>
            <w:pPr>
              <w:spacing w:after="0"/>
              <w:rPr>
                <w:sz w:val="14"/>
                <w:szCs w:val="14"/>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Vested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r>
      <w:tr>
        <w:trPr>
          <w:trHeight w:val="221"/>
        </w:trPr>
        <w:tc>
          <w:tcPr>
            <w:tcW w:w="315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90" w:type="dxa"/>
            <w:vAlign w:val="bottom"/>
          </w:tcPr>
          <w:p>
            <w:pPr>
              <w:jc w:val="center"/>
              <w:spacing w:after="0"/>
              <w:rPr>
                <w:sz w:val="20"/>
                <w:szCs w:val="20"/>
                <w:color w:val="auto"/>
              </w:rPr>
            </w:pPr>
            <w:r>
              <w:rPr>
                <w:rFonts w:ascii="Arial" w:cs="Arial" w:eastAsia="Arial" w:hAnsi="Arial"/>
                <w:sz w:val="13"/>
                <w:szCs w:val="13"/>
                <w:b w:val="1"/>
                <w:bCs w:val="1"/>
                <w:color w:val="auto"/>
                <w:w w:val="99"/>
              </w:rPr>
              <w:t>Exercisable</w:t>
            </w:r>
          </w:p>
        </w:tc>
        <w:tc>
          <w:tcPr>
            <w:tcW w:w="950" w:type="dxa"/>
            <w:vAlign w:val="bottom"/>
          </w:tcPr>
          <w:p>
            <w:pPr>
              <w:jc w:val="center"/>
              <w:spacing w:after="0"/>
              <w:rPr>
                <w:sz w:val="20"/>
                <w:szCs w:val="20"/>
                <w:color w:val="auto"/>
              </w:rPr>
            </w:pPr>
            <w:r>
              <w:rPr>
                <w:rFonts w:ascii="Arial" w:cs="Arial" w:eastAsia="Arial" w:hAnsi="Arial"/>
                <w:sz w:val="13"/>
                <w:szCs w:val="13"/>
                <w:b w:val="1"/>
                <w:bCs w:val="1"/>
                <w:color w:val="auto"/>
                <w:w w:val="99"/>
              </w:rPr>
              <w:t>Unexercisable</w:t>
            </w:r>
          </w:p>
        </w:tc>
        <w:tc>
          <w:tcPr>
            <w:tcW w:w="83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200" w:type="dxa"/>
            <w:vAlign w:val="bottom"/>
          </w:tcPr>
          <w:p>
            <w:pPr>
              <w:spacing w:after="0"/>
              <w:rPr>
                <w:sz w:val="19"/>
                <w:szCs w:val="19"/>
                <w:color w:val="auto"/>
              </w:rPr>
            </w:pPr>
          </w:p>
        </w:tc>
        <w:tc>
          <w:tcPr>
            <w:tcW w:w="60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Price ($)</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180" w:type="dxa"/>
            <w:vAlign w:val="bottom"/>
          </w:tcPr>
          <w:p>
            <w:pPr>
              <w:spacing w:after="0"/>
              <w:rPr>
                <w:sz w:val="19"/>
                <w:szCs w:val="19"/>
                <w:color w:val="auto"/>
              </w:rPr>
            </w:pPr>
          </w:p>
        </w:tc>
        <w:tc>
          <w:tcPr>
            <w:tcW w:w="800" w:type="dxa"/>
            <w:vAlign w:val="bottom"/>
          </w:tcPr>
          <w:p>
            <w:pPr>
              <w:jc w:val="right"/>
              <w:ind w:right="257"/>
              <w:spacing w:after="0"/>
              <w:rPr>
                <w:sz w:val="20"/>
                <w:szCs w:val="20"/>
                <w:color w:val="auto"/>
              </w:rPr>
            </w:pPr>
            <w:r>
              <w:rPr>
                <w:rFonts w:ascii="Arial" w:cs="Arial" w:eastAsia="Arial" w:hAnsi="Arial"/>
                <w:sz w:val="13"/>
                <w:szCs w:val="13"/>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r>
      <w:tr>
        <w:trPr>
          <w:trHeight w:val="233"/>
        </w:trPr>
        <w:tc>
          <w:tcPr>
            <w:tcW w:w="3150" w:type="dxa"/>
            <w:vAlign w:val="bottom"/>
            <w:shd w:val="clear" w:color="auto" w:fill="E9E9E9"/>
          </w:tcPr>
          <w:p>
            <w:pPr>
              <w:spacing w:after="0"/>
              <w:rPr>
                <w:sz w:val="20"/>
                <w:szCs w:val="20"/>
                <w:color w:val="auto"/>
              </w:rPr>
            </w:pPr>
          </w:p>
        </w:tc>
        <w:tc>
          <w:tcPr>
            <w:tcW w:w="990" w:type="dxa"/>
            <w:vAlign w:val="bottom"/>
            <w:shd w:val="clear" w:color="auto" w:fill="E9E9E9"/>
          </w:tcPr>
          <w:p>
            <w:pPr>
              <w:spacing w:after="0"/>
              <w:rPr>
                <w:sz w:val="20"/>
                <w:szCs w:val="20"/>
                <w:color w:val="auto"/>
              </w:rPr>
            </w:pPr>
          </w:p>
        </w:tc>
        <w:tc>
          <w:tcPr>
            <w:tcW w:w="950" w:type="dxa"/>
            <w:vAlign w:val="bottom"/>
            <w:shd w:val="clear" w:color="auto" w:fill="E9E9E9"/>
          </w:tcPr>
          <w:p>
            <w:pPr>
              <w:spacing w:after="0"/>
              <w:rPr>
                <w:sz w:val="20"/>
                <w:szCs w:val="20"/>
                <w:color w:val="auto"/>
              </w:rPr>
            </w:pPr>
          </w:p>
        </w:tc>
        <w:tc>
          <w:tcPr>
            <w:tcW w:w="83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60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10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r>
      <w:tr>
        <w:trPr>
          <w:trHeight w:val="233"/>
        </w:trPr>
        <w:tc>
          <w:tcPr>
            <w:tcW w:w="315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99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270,000(2)</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29.79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1/25/2018</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150,000(6)</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2,328,000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67,500</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202,500(3)</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28.32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1/18/2017</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150,000(7)</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2,328,000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175,000</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175,000(4)</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1/19/2016</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150,000(8)</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2,328,000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375,000</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125,000(5)</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1/20/2015</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100,000(9)</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1,552,000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700,000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32.39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1/14/2014</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375,000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16.25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2/20/2013</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625,000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16.11</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1/15/2013</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625,000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26.50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1/16/2012</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210,000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31.30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11/29/2011</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325,000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50.38</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1/17/2011</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400,000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55.22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1/19/2010</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600,000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24.90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1/20/2009</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tcPr>
          <w:p>
            <w:pPr>
              <w:spacing w:after="0"/>
              <w:rPr>
                <w:sz w:val="20"/>
                <w:szCs w:val="20"/>
                <w:color w:val="auto"/>
              </w:rPr>
            </w:pPr>
          </w:p>
        </w:tc>
        <w:tc>
          <w:tcPr>
            <w:tcW w:w="990" w:type="dxa"/>
            <w:vAlign w:val="bottom"/>
          </w:tcPr>
          <w:p>
            <w:pPr>
              <w:spacing w:after="0"/>
              <w:rPr>
                <w:sz w:val="20"/>
                <w:szCs w:val="20"/>
                <w:color w:val="auto"/>
              </w:rPr>
            </w:pPr>
          </w:p>
        </w:tc>
        <w:tc>
          <w:tcPr>
            <w:tcW w:w="950" w:type="dxa"/>
            <w:vAlign w:val="bottom"/>
          </w:tcPr>
          <w:p>
            <w:pPr>
              <w:spacing w:after="0"/>
              <w:rPr>
                <w:sz w:val="20"/>
                <w:szCs w:val="20"/>
                <w:color w:val="auto"/>
              </w:rPr>
            </w:pPr>
          </w:p>
        </w:tc>
        <w:tc>
          <w:tcPr>
            <w:tcW w:w="83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3"/>
        </w:trPr>
        <w:tc>
          <w:tcPr>
            <w:tcW w:w="3150" w:type="dxa"/>
            <w:vAlign w:val="bottom"/>
            <w:shd w:val="clear" w:color="auto" w:fill="C0C0C0"/>
          </w:tcPr>
          <w:p>
            <w:pPr>
              <w:spacing w:after="0"/>
              <w:rPr>
                <w:sz w:val="20"/>
                <w:szCs w:val="20"/>
                <w:color w:val="auto"/>
              </w:rPr>
            </w:pPr>
            <w:r>
              <w:rPr>
                <w:rFonts w:ascii="Arial" w:cs="Arial" w:eastAsia="Arial" w:hAnsi="Arial"/>
                <w:sz w:val="17"/>
                <w:szCs w:val="17"/>
                <w:color w:val="auto"/>
              </w:rPr>
              <w:t>K. P. March</w:t>
            </w:r>
          </w:p>
        </w:tc>
        <w:tc>
          <w:tcPr>
            <w:tcW w:w="99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85,000(2)</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29.79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1/25/2018</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35,000(6)</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543,200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21,250</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63,750(3)</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28.32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1/18/2017</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35,000(7)</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543,200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42,500</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42,500(4)</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1/19/2016</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30,000(8)</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465,600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60,000</w:t>
            </w:r>
          </w:p>
        </w:tc>
        <w:tc>
          <w:tcPr>
            <w:tcW w:w="9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20,000(5)</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1/20/2015</w:t>
            </w:r>
          </w:p>
        </w:tc>
        <w:tc>
          <w:tcPr>
            <w:tcW w:w="100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25,000(9)</w:t>
            </w:r>
          </w:p>
        </w:tc>
        <w:tc>
          <w:tcPr>
            <w:tcW w:w="180" w:type="dxa"/>
            <w:vAlign w:val="bottom"/>
            <w:shd w:val="clear" w:color="auto" w:fill="C0C0C0"/>
          </w:tcPr>
          <w:p>
            <w:pPr>
              <w:ind w:left="1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388,000</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120,000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32.39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1/14/2014</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16.25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2/20/2013</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60,000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16.11</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1/15/2013</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100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29.19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2/21/2012</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30,000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26.50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1/16/2012</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12,700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35.13</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7/31/2011</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20,000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50.38</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1/17/2011</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24,000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55.22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1/19/2010</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3150" w:type="dxa"/>
            <w:vAlign w:val="bottom"/>
            <w:shd w:val="clear" w:color="auto" w:fill="C0C0C0"/>
          </w:tcPr>
          <w:p>
            <w:pPr>
              <w:spacing w:after="0"/>
              <w:rPr>
                <w:sz w:val="20"/>
                <w:szCs w:val="20"/>
                <w:color w:val="auto"/>
              </w:rPr>
            </w:pPr>
          </w:p>
        </w:tc>
        <w:tc>
          <w:tcPr>
            <w:tcW w:w="99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15,000</w:t>
            </w:r>
          </w:p>
        </w:tc>
        <w:tc>
          <w:tcPr>
            <w:tcW w:w="950" w:type="dxa"/>
            <w:vAlign w:val="bottom"/>
            <w:shd w:val="clear" w:color="auto" w:fill="C0C0C0"/>
          </w:tcPr>
          <w:p>
            <w:pPr>
              <w:jc w:val="right"/>
              <w:ind w:right="169"/>
              <w:spacing w:after="0"/>
              <w:rPr>
                <w:sz w:val="20"/>
                <w:szCs w:val="20"/>
                <w:color w:val="auto"/>
              </w:rPr>
            </w:pPr>
            <w:r>
              <w:rPr>
                <w:rFonts w:ascii="Arial" w:cs="Arial" w:eastAsia="Arial" w:hAnsi="Arial"/>
                <w:sz w:val="17"/>
                <w:szCs w:val="17"/>
                <w:color w:val="auto"/>
              </w:rPr>
              <w:t>—</w:t>
            </w:r>
          </w:p>
        </w:tc>
        <w:tc>
          <w:tcPr>
            <w:tcW w:w="83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24.90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1/20/2009</w:t>
            </w:r>
          </w:p>
        </w:tc>
        <w:tc>
          <w:tcPr>
            <w:tcW w:w="1000" w:type="dxa"/>
            <w:vAlign w:val="bottom"/>
            <w:shd w:val="clear" w:color="auto" w:fill="C0C0C0"/>
          </w:tcPr>
          <w:p>
            <w:pPr>
              <w:jc w:val="right"/>
              <w:ind w:right="259"/>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8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[ 74 ]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2008 (cont’d)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Option Awards</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Stock Awards</w:t>
            </w:r>
          </w:p>
        </w:tc>
        <w:tc>
          <w:tcPr>
            <w:tcW w:w="900" w:type="dxa"/>
            <w:vAlign w:val="bottom"/>
            <w:tcBorders>
              <w:bottom w:val="single" w:sz="8" w:color="auto"/>
            </w:tcBorders>
          </w:tcPr>
          <w:p>
            <w:pPr>
              <w:spacing w:after="0"/>
              <w:rPr>
                <w:sz w:val="12"/>
                <w:szCs w:val="12"/>
                <w:color w:val="auto"/>
              </w:rPr>
            </w:pPr>
          </w:p>
        </w:tc>
      </w:tr>
      <w:tr>
        <w:trPr>
          <w:trHeight w:val="119"/>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900" w:type="dxa"/>
            <w:vAlign w:val="bottom"/>
          </w:tcPr>
          <w:p>
            <w:pPr>
              <w:spacing w:after="0"/>
              <w:rPr>
                <w:sz w:val="10"/>
                <w:szCs w:val="10"/>
                <w:color w:val="auto"/>
              </w:rPr>
            </w:pPr>
          </w:p>
        </w:tc>
      </w:tr>
      <w:tr>
        <w:trPr>
          <w:trHeight w:val="142"/>
        </w:trPr>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Incentive</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Plan</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rPr>
              <w:t>Incentive</w:t>
            </w:r>
          </w:p>
        </w:tc>
      </w:tr>
      <w:tr>
        <w:trPr>
          <w:trHeight w:val="142"/>
        </w:trPr>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jc w:val="center"/>
              <w:ind w:left="102"/>
              <w:spacing w:after="0" w:line="143" w:lineRule="exact"/>
              <w:rPr>
                <w:sz w:val="20"/>
                <w:szCs w:val="20"/>
                <w:color w:val="auto"/>
              </w:rPr>
            </w:pPr>
            <w:r>
              <w:rPr>
                <w:rFonts w:ascii="Arial" w:cs="Arial" w:eastAsia="Arial" w:hAnsi="Arial"/>
                <w:sz w:val="13"/>
                <w:szCs w:val="13"/>
                <w:b w:val="1"/>
                <w:bCs w:val="1"/>
                <w:color w:val="auto"/>
              </w:rPr>
              <w:t>Equity</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Awards:</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w w:val="99"/>
              </w:rPr>
              <w:t>Plan Awards:</w:t>
            </w:r>
          </w:p>
        </w:tc>
      </w:tr>
      <w:tr>
        <w:trPr>
          <w:trHeight w:val="142"/>
        </w:trPr>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jc w:val="center"/>
              <w:ind w:left="102"/>
              <w:spacing w:after="0" w:line="143" w:lineRule="exact"/>
              <w:rPr>
                <w:sz w:val="20"/>
                <w:szCs w:val="20"/>
                <w:color w:val="auto"/>
              </w:rPr>
            </w:pPr>
            <w:r>
              <w:rPr>
                <w:rFonts w:ascii="Arial" w:cs="Arial" w:eastAsia="Arial" w:hAnsi="Arial"/>
                <w:sz w:val="13"/>
                <w:szCs w:val="13"/>
                <w:b w:val="1"/>
                <w:bCs w:val="1"/>
                <w:color w:val="auto"/>
                <w:w w:val="99"/>
              </w:rPr>
              <w:t>Incentive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8"/>
              </w:rPr>
              <w:t>Number of</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w w:val="99"/>
              </w:rPr>
              <w:t>Market or</w:t>
            </w:r>
          </w:p>
        </w:tc>
      </w:tr>
      <w:tr>
        <w:trPr>
          <w:trHeight w:val="142"/>
        </w:trPr>
        <w:tc>
          <w:tcPr>
            <w:tcW w:w="2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jc w:val="center"/>
              <w:ind w:left="82"/>
              <w:spacing w:after="0" w:line="143" w:lineRule="exact"/>
              <w:rPr>
                <w:sz w:val="20"/>
                <w:szCs w:val="20"/>
                <w:color w:val="auto"/>
              </w:rPr>
            </w:pPr>
            <w:r>
              <w:rPr>
                <w:rFonts w:ascii="Arial" w:cs="Arial" w:eastAsia="Arial" w:hAnsi="Arial"/>
                <w:sz w:val="13"/>
                <w:szCs w:val="13"/>
                <w:b w:val="1"/>
                <w:bCs w:val="1"/>
                <w:color w:val="auto"/>
                <w:w w:val="99"/>
              </w:rPr>
              <w:t>Plan Awards: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Unearned</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rPr>
              <w:t>Payout Value</w:t>
            </w:r>
          </w:p>
        </w:tc>
      </w:tr>
      <w:tr>
        <w:trPr>
          <w:trHeight w:val="142"/>
        </w:trPr>
        <w:tc>
          <w:tcPr>
            <w:tcW w:w="2700" w:type="dxa"/>
            <w:vAlign w:val="bottom"/>
          </w:tcPr>
          <w:p>
            <w:pPr>
              <w:spacing w:after="0"/>
              <w:rPr>
                <w:sz w:val="12"/>
                <w:szCs w:val="12"/>
                <w:color w:val="auto"/>
              </w:rPr>
            </w:pPr>
          </w:p>
        </w:tc>
        <w:tc>
          <w:tcPr>
            <w:tcW w:w="920" w:type="dxa"/>
            <w:vAlign w:val="bottom"/>
          </w:tcPr>
          <w:p>
            <w:pPr>
              <w:jc w:val="center"/>
              <w:ind w:right="80"/>
              <w:spacing w:after="0" w:line="143" w:lineRule="exact"/>
              <w:rPr>
                <w:sz w:val="20"/>
                <w:szCs w:val="20"/>
                <w:color w:val="auto"/>
              </w:rPr>
            </w:pPr>
            <w:r>
              <w:rPr>
                <w:rFonts w:ascii="Arial" w:cs="Arial" w:eastAsia="Arial" w:hAnsi="Arial"/>
                <w:sz w:val="13"/>
                <w:szCs w:val="13"/>
                <w:b w:val="1"/>
                <w:bCs w:val="1"/>
                <w:color w:val="auto"/>
                <w:w w:val="98"/>
              </w:rPr>
              <w:t>Number of</w:t>
            </w: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Number of</w:t>
            </w:r>
          </w:p>
        </w:tc>
        <w:tc>
          <w:tcPr>
            <w:tcW w:w="1020" w:type="dxa"/>
            <w:vAlign w:val="bottom"/>
          </w:tcPr>
          <w:p>
            <w:pPr>
              <w:jc w:val="center"/>
              <w:ind w:left="102"/>
              <w:spacing w:after="0" w:line="143" w:lineRule="exact"/>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7"/>
              </w:rPr>
              <w:t>Market Value</w:t>
            </w: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7"/>
              </w:rPr>
              <w:t>Shares,</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w w:val="97"/>
              </w:rPr>
              <w:t>of Unearned</w:t>
            </w:r>
          </w:p>
        </w:tc>
      </w:tr>
      <w:tr>
        <w:trPr>
          <w:trHeight w:val="142"/>
        </w:trPr>
        <w:tc>
          <w:tcPr>
            <w:tcW w:w="2700" w:type="dxa"/>
            <w:vAlign w:val="bottom"/>
          </w:tcPr>
          <w:p>
            <w:pPr>
              <w:spacing w:after="0"/>
              <w:rPr>
                <w:sz w:val="12"/>
                <w:szCs w:val="12"/>
                <w:color w:val="auto"/>
              </w:rPr>
            </w:pPr>
          </w:p>
        </w:tc>
        <w:tc>
          <w:tcPr>
            <w:tcW w:w="920" w:type="dxa"/>
            <w:vAlign w:val="bottom"/>
          </w:tcPr>
          <w:p>
            <w:pPr>
              <w:jc w:val="center"/>
              <w:ind w:right="60"/>
              <w:spacing w:after="0" w:line="143" w:lineRule="exact"/>
              <w:rPr>
                <w:sz w:val="20"/>
                <w:szCs w:val="20"/>
                <w:color w:val="auto"/>
              </w:rPr>
            </w:pPr>
            <w:r>
              <w:rPr>
                <w:rFonts w:ascii="Arial" w:cs="Arial" w:eastAsia="Arial" w:hAnsi="Arial"/>
                <w:sz w:val="13"/>
                <w:szCs w:val="13"/>
                <w:b w:val="1"/>
                <w:bCs w:val="1"/>
                <w:color w:val="auto"/>
                <w:w w:val="99"/>
              </w:rPr>
              <w:t>Securities</w:t>
            </w: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Securities</w:t>
            </w:r>
          </w:p>
        </w:tc>
        <w:tc>
          <w:tcPr>
            <w:tcW w:w="1020" w:type="dxa"/>
            <w:vAlign w:val="bottom"/>
          </w:tcPr>
          <w:p>
            <w:pPr>
              <w:jc w:val="center"/>
              <w:ind w:left="82"/>
              <w:spacing w:after="0" w:line="143" w:lineRule="exact"/>
              <w:rPr>
                <w:sz w:val="20"/>
                <w:szCs w:val="20"/>
                <w:color w:val="auto"/>
              </w:rPr>
            </w:pPr>
            <w:r>
              <w:rPr>
                <w:rFonts w:ascii="Arial" w:cs="Arial" w:eastAsia="Arial" w:hAnsi="Arial"/>
                <w:sz w:val="13"/>
                <w:szCs w:val="13"/>
                <w:b w:val="1"/>
                <w:bCs w:val="1"/>
                <w:color w:val="auto"/>
                <w:w w:val="99"/>
              </w:rPr>
              <w:t>Securities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
              <w:spacing w:after="0" w:line="143" w:lineRule="exact"/>
              <w:rPr>
                <w:sz w:val="20"/>
                <w:szCs w:val="20"/>
                <w:color w:val="auto"/>
              </w:rPr>
            </w:pPr>
            <w:r>
              <w:rPr>
                <w:rFonts w:ascii="Arial" w:cs="Arial" w:eastAsia="Arial" w:hAnsi="Arial"/>
                <w:sz w:val="13"/>
                <w:szCs w:val="13"/>
                <w:b w:val="1"/>
                <w:bCs w:val="1"/>
                <w:color w:val="auto"/>
              </w:rPr>
              <w:t>Number of</w:t>
            </w:r>
          </w:p>
        </w:tc>
        <w:tc>
          <w:tcPr>
            <w:tcW w:w="1120" w:type="dxa"/>
            <w:vAlign w:val="bottom"/>
            <w:gridSpan w:val="2"/>
          </w:tcPr>
          <w:p>
            <w:pPr>
              <w:ind w:left="160"/>
              <w:spacing w:after="0" w:line="143" w:lineRule="exact"/>
              <w:rPr>
                <w:sz w:val="20"/>
                <w:szCs w:val="20"/>
                <w:color w:val="auto"/>
              </w:rPr>
            </w:pPr>
            <w:r>
              <w:rPr>
                <w:rFonts w:ascii="Arial" w:cs="Arial" w:eastAsia="Arial" w:hAnsi="Arial"/>
                <w:sz w:val="13"/>
                <w:szCs w:val="13"/>
                <w:b w:val="1"/>
                <w:bCs w:val="1"/>
                <w:color w:val="auto"/>
              </w:rPr>
              <w:t>of Shares or</w:t>
            </w: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7"/>
              </w:rPr>
              <w:t>Units or</w:t>
            </w:r>
          </w:p>
        </w:tc>
        <w:tc>
          <w:tcPr>
            <w:tcW w:w="900" w:type="dxa"/>
            <w:vAlign w:val="bottom"/>
          </w:tcPr>
          <w:p>
            <w:pPr>
              <w:jc w:val="center"/>
              <w:ind w:left="2"/>
              <w:spacing w:after="0" w:line="143" w:lineRule="exact"/>
              <w:rPr>
                <w:sz w:val="20"/>
                <w:szCs w:val="20"/>
                <w:color w:val="auto"/>
              </w:rPr>
            </w:pPr>
            <w:r>
              <w:rPr>
                <w:rFonts w:ascii="Arial" w:cs="Arial" w:eastAsia="Arial" w:hAnsi="Arial"/>
                <w:sz w:val="13"/>
                <w:szCs w:val="13"/>
                <w:b w:val="1"/>
                <w:bCs w:val="1"/>
                <w:color w:val="auto"/>
                <w:w w:val="98"/>
              </w:rPr>
              <w:t>Shares, Units</w:t>
            </w:r>
          </w:p>
        </w:tc>
      </w:tr>
      <w:tr>
        <w:trPr>
          <w:trHeight w:val="171"/>
        </w:trPr>
        <w:tc>
          <w:tcPr>
            <w:tcW w:w="270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20" w:type="dxa"/>
            <w:vAlign w:val="bottom"/>
          </w:tcPr>
          <w:p>
            <w:pPr>
              <w:jc w:val="center"/>
              <w:ind w:left="102"/>
              <w:spacing w:after="0"/>
              <w:rPr>
                <w:sz w:val="20"/>
                <w:szCs w:val="20"/>
                <w:color w:val="auto"/>
              </w:rPr>
            </w:pPr>
            <w:r>
              <w:rPr>
                <w:rFonts w:ascii="Arial" w:cs="Arial" w:eastAsia="Arial" w:hAnsi="Arial"/>
                <w:sz w:val="13"/>
                <w:szCs w:val="13"/>
                <w:b w:val="1"/>
                <w:bCs w:val="1"/>
                <w:color w:val="auto"/>
              </w:rPr>
              <w:t>Underlying</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3"/>
                <w:szCs w:val="13"/>
                <w:b w:val="1"/>
                <w:bCs w:val="1"/>
                <w:color w:val="auto"/>
                <w:w w:val="99"/>
              </w:rPr>
              <w:t>Shares or</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Units of Stock</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900" w:type="dxa"/>
            <w:vAlign w:val="bottom"/>
          </w:tcPr>
          <w:p>
            <w:pPr>
              <w:jc w:val="center"/>
              <w:ind w:left="2"/>
              <w:spacing w:after="0"/>
              <w:rPr>
                <w:sz w:val="20"/>
                <w:szCs w:val="20"/>
                <w:color w:val="auto"/>
              </w:rPr>
            </w:pPr>
            <w:r>
              <w:rPr>
                <w:rFonts w:ascii="Arial" w:cs="Arial" w:eastAsia="Arial" w:hAnsi="Arial"/>
                <w:sz w:val="13"/>
                <w:szCs w:val="13"/>
                <w:b w:val="1"/>
                <w:bCs w:val="1"/>
                <w:color w:val="auto"/>
                <w:w w:val="97"/>
              </w:rPr>
              <w:t>or Other</w:t>
            </w:r>
          </w:p>
        </w:tc>
      </w:tr>
      <w:tr>
        <w:trPr>
          <w:trHeight w:val="204"/>
        </w:trPr>
        <w:tc>
          <w:tcPr>
            <w:tcW w:w="2700" w:type="dxa"/>
            <w:vAlign w:val="bottom"/>
          </w:tcPr>
          <w:p>
            <w:pPr>
              <w:spacing w:after="0"/>
              <w:rPr>
                <w:sz w:val="17"/>
                <w:szCs w:val="17"/>
                <w:color w:val="auto"/>
              </w:rPr>
            </w:pPr>
          </w:p>
        </w:tc>
        <w:tc>
          <w:tcPr>
            <w:tcW w:w="920" w:type="dxa"/>
            <w:vAlign w:val="bottom"/>
          </w:tcPr>
          <w:p>
            <w:pPr>
              <w:jc w:val="center"/>
              <w:ind w:right="60"/>
              <w:spacing w:after="0"/>
              <w:rPr>
                <w:sz w:val="20"/>
                <w:szCs w:val="20"/>
                <w:color w:val="auto"/>
              </w:rPr>
            </w:pPr>
            <w:r>
              <w:rPr>
                <w:rFonts w:ascii="Arial" w:cs="Arial" w:eastAsia="Arial" w:hAnsi="Arial"/>
                <w:sz w:val="13"/>
                <w:szCs w:val="13"/>
                <w:b w:val="1"/>
                <w:bCs w:val="1"/>
                <w:color w:val="auto"/>
              </w:rPr>
              <w:t>Unexercised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020" w:type="dxa"/>
            <w:vAlign w:val="bottom"/>
          </w:tcPr>
          <w:p>
            <w:pPr>
              <w:jc w:val="center"/>
              <w:ind w:left="102"/>
              <w:spacing w:after="0"/>
              <w:rPr>
                <w:sz w:val="20"/>
                <w:szCs w:val="20"/>
                <w:color w:val="auto"/>
              </w:rPr>
            </w:pPr>
            <w:r>
              <w:rPr>
                <w:rFonts w:ascii="Arial" w:cs="Arial" w:eastAsia="Arial" w:hAnsi="Arial"/>
                <w:sz w:val="13"/>
                <w:szCs w:val="13"/>
                <w:b w:val="1"/>
                <w:bCs w:val="1"/>
                <w:color w:val="auto"/>
                <w:w w:val="98"/>
              </w:rPr>
              <w:t>Unexercised</w:t>
            </w:r>
          </w:p>
        </w:tc>
        <w:tc>
          <w:tcPr>
            <w:tcW w:w="2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20" w:type="dxa"/>
            <w:vAlign w:val="bottom"/>
          </w:tcPr>
          <w:p>
            <w:pPr>
              <w:jc w:val="center"/>
              <w:ind w:left="78"/>
              <w:spacing w:after="0"/>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7"/>
                <w:szCs w:val="17"/>
                <w:color w:val="auto"/>
              </w:rPr>
            </w:pP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w w:val="98"/>
              </w:rPr>
              <w:t>Units of Stock</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That Have Not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900" w:type="dxa"/>
            <w:vAlign w:val="bottom"/>
          </w:tcPr>
          <w:p>
            <w:pPr>
              <w:jc w:val="center"/>
              <w:ind w:left="2"/>
              <w:spacing w:after="0"/>
              <w:rPr>
                <w:sz w:val="20"/>
                <w:szCs w:val="20"/>
                <w:color w:val="auto"/>
              </w:rPr>
            </w:pPr>
            <w:r>
              <w:rPr>
                <w:rFonts w:ascii="Arial" w:cs="Arial" w:eastAsia="Arial" w:hAnsi="Arial"/>
                <w:sz w:val="13"/>
                <w:szCs w:val="13"/>
                <w:b w:val="1"/>
                <w:bCs w:val="1"/>
                <w:color w:val="auto"/>
                <w:w w:val="97"/>
              </w:rPr>
              <w:t>Rights That</w:t>
            </w:r>
          </w:p>
        </w:tc>
      </w:tr>
      <w:tr>
        <w:trPr>
          <w:trHeight w:val="171"/>
        </w:trPr>
        <w:tc>
          <w:tcPr>
            <w:tcW w:w="270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3"/>
                <w:szCs w:val="13"/>
                <w:b w:val="1"/>
                <w:bCs w:val="1"/>
                <w:color w:val="auto"/>
                <w:w w:val="99"/>
              </w:rPr>
              <w:t>Options (#)</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1020" w:type="dxa"/>
            <w:vAlign w:val="bottom"/>
          </w:tcPr>
          <w:p>
            <w:pPr>
              <w:jc w:val="center"/>
              <w:ind w:left="102"/>
              <w:spacing w:after="0"/>
              <w:rPr>
                <w:sz w:val="20"/>
                <w:szCs w:val="20"/>
                <w:color w:val="auto"/>
              </w:rPr>
            </w:pPr>
            <w:r>
              <w:rPr>
                <w:rFonts w:ascii="Arial" w:cs="Arial" w:eastAsia="Arial" w:hAnsi="Arial"/>
                <w:sz w:val="13"/>
                <w:szCs w:val="13"/>
                <w:b w:val="1"/>
                <w:bCs w:val="1"/>
                <w:color w:val="auto"/>
                <w:w w:val="99"/>
              </w:rPr>
              <w:t>Unearned</w:t>
            </w:r>
          </w:p>
        </w:tc>
        <w:tc>
          <w:tcPr>
            <w:tcW w:w="78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rPr>
              <w:t>Exercise</w:t>
            </w:r>
          </w:p>
        </w:tc>
        <w:tc>
          <w:tcPr>
            <w:tcW w:w="1020" w:type="dxa"/>
            <w:vAlign w:val="bottom"/>
          </w:tcPr>
          <w:p>
            <w:pPr>
              <w:jc w:val="center"/>
              <w:ind w:left="58"/>
              <w:spacing w:after="0"/>
              <w:rPr>
                <w:sz w:val="20"/>
                <w:szCs w:val="20"/>
                <w:color w:val="auto"/>
              </w:rPr>
            </w:pPr>
            <w:r>
              <w:rPr>
                <w:rFonts w:ascii="Arial" w:cs="Arial" w:eastAsia="Arial" w:hAnsi="Arial"/>
                <w:sz w:val="13"/>
                <w:szCs w:val="13"/>
                <w:b w:val="1"/>
                <w:bCs w:val="1"/>
                <w:color w:val="auto"/>
              </w:rPr>
              <w:t>Expiration</w:t>
            </w:r>
          </w:p>
        </w:tc>
        <w:tc>
          <w:tcPr>
            <w:tcW w:w="140" w:type="dxa"/>
            <w:vAlign w:val="bottom"/>
          </w:tcPr>
          <w:p>
            <w:pPr>
              <w:spacing w:after="0"/>
              <w:rPr>
                <w:sz w:val="14"/>
                <w:szCs w:val="14"/>
                <w:color w:val="auto"/>
              </w:rPr>
            </w:pP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w w:val="98"/>
              </w:rPr>
              <w:t>That Have Not</w:t>
            </w:r>
          </w:p>
        </w:tc>
        <w:tc>
          <w:tcPr>
            <w:tcW w:w="320" w:type="dxa"/>
            <w:vAlign w:val="bottom"/>
          </w:tcPr>
          <w:p>
            <w:pPr>
              <w:spacing w:after="0"/>
              <w:rPr>
                <w:sz w:val="14"/>
                <w:szCs w:val="14"/>
                <w:color w:val="auto"/>
              </w:rPr>
            </w:pPr>
          </w:p>
        </w:tc>
        <w:tc>
          <w:tcPr>
            <w:tcW w:w="800" w:type="dxa"/>
            <w:vAlign w:val="bottom"/>
          </w:tcPr>
          <w:p>
            <w:pPr>
              <w:jc w:val="center"/>
              <w:ind w:right="258"/>
              <w:spacing w:after="0"/>
              <w:rPr>
                <w:sz w:val="20"/>
                <w:szCs w:val="20"/>
                <w:color w:val="auto"/>
              </w:rPr>
            </w:pPr>
            <w:r>
              <w:rPr>
                <w:rFonts w:ascii="Arial" w:cs="Arial" w:eastAsia="Arial" w:hAnsi="Arial"/>
                <w:sz w:val="13"/>
                <w:szCs w:val="13"/>
                <w:b w:val="1"/>
                <w:bCs w:val="1"/>
                <w:color w:val="auto"/>
                <w:w w:val="98"/>
              </w:rPr>
              <w:t>Vested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900" w:type="dxa"/>
            <w:vAlign w:val="bottom"/>
          </w:tcPr>
          <w:p>
            <w:pPr>
              <w:jc w:val="center"/>
              <w:ind w:left="2"/>
              <w:spacing w:after="0"/>
              <w:rPr>
                <w:sz w:val="20"/>
                <w:szCs w:val="20"/>
                <w:color w:val="auto"/>
              </w:rPr>
            </w:pPr>
            <w:r>
              <w:rPr>
                <w:rFonts w:ascii="Arial" w:cs="Arial" w:eastAsia="Arial" w:hAnsi="Arial"/>
                <w:sz w:val="13"/>
                <w:szCs w:val="13"/>
                <w:b w:val="1"/>
                <w:bCs w:val="1"/>
                <w:color w:val="auto"/>
              </w:rPr>
              <w:t>Have Not</w:t>
            </w:r>
          </w:p>
        </w:tc>
      </w:tr>
      <w:tr>
        <w:trPr>
          <w:trHeight w:val="221"/>
        </w:trPr>
        <w:tc>
          <w:tcPr>
            <w:tcW w:w="2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ind w:right="80"/>
              <w:spacing w:after="0"/>
              <w:rPr>
                <w:sz w:val="20"/>
                <w:szCs w:val="20"/>
                <w:color w:val="auto"/>
              </w:rPr>
            </w:pPr>
            <w:r>
              <w:rPr>
                <w:rFonts w:ascii="Arial" w:cs="Arial" w:eastAsia="Arial" w:hAnsi="Arial"/>
                <w:sz w:val="13"/>
                <w:szCs w:val="13"/>
                <w:b w:val="1"/>
                <w:bCs w:val="1"/>
                <w:color w:val="auto"/>
                <w:w w:val="99"/>
              </w:rPr>
              <w:t>Exercisable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Unexercisable</w:t>
            </w:r>
          </w:p>
        </w:tc>
        <w:tc>
          <w:tcPr>
            <w:tcW w:w="1020" w:type="dxa"/>
            <w:vAlign w:val="bottom"/>
          </w:tcPr>
          <w:p>
            <w:pPr>
              <w:jc w:val="center"/>
              <w:ind w:left="102"/>
              <w:spacing w:after="0"/>
              <w:rPr>
                <w:sz w:val="20"/>
                <w:szCs w:val="20"/>
                <w:color w:val="auto"/>
              </w:rPr>
            </w:pPr>
            <w:r>
              <w:rPr>
                <w:rFonts w:ascii="Arial" w:cs="Arial" w:eastAsia="Arial" w:hAnsi="Arial"/>
                <w:sz w:val="13"/>
                <w:szCs w:val="13"/>
                <w:b w:val="1"/>
                <w:bCs w:val="1"/>
                <w:color w:val="auto"/>
                <w:w w:val="99"/>
              </w:rPr>
              <w:t>Options (#)</w:t>
            </w:r>
          </w:p>
        </w:tc>
        <w:tc>
          <w:tcPr>
            <w:tcW w:w="78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rPr>
              <w:t>Price ($)</w:t>
            </w:r>
          </w:p>
        </w:tc>
        <w:tc>
          <w:tcPr>
            <w:tcW w:w="1020" w:type="dxa"/>
            <w:vAlign w:val="bottom"/>
          </w:tcPr>
          <w:p>
            <w:pPr>
              <w:jc w:val="center"/>
              <w:ind w:left="58"/>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9"/>
                <w:szCs w:val="19"/>
                <w:color w:val="auto"/>
              </w:rPr>
            </w:pP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w w:val="99"/>
              </w:rPr>
              <w:t>Vested (#)</w:t>
            </w:r>
          </w:p>
        </w:tc>
        <w:tc>
          <w:tcPr>
            <w:tcW w:w="320" w:type="dxa"/>
            <w:vAlign w:val="bottom"/>
          </w:tcPr>
          <w:p>
            <w:pPr>
              <w:spacing w:after="0"/>
              <w:rPr>
                <w:sz w:val="19"/>
                <w:szCs w:val="19"/>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900" w:type="dxa"/>
            <w:vAlign w:val="bottom"/>
          </w:tcPr>
          <w:p>
            <w:pPr>
              <w:jc w:val="center"/>
              <w:ind w:left="2"/>
              <w:spacing w:after="0"/>
              <w:rPr>
                <w:sz w:val="20"/>
                <w:szCs w:val="20"/>
                <w:color w:val="auto"/>
              </w:rPr>
            </w:pPr>
            <w:r>
              <w:rPr>
                <w:rFonts w:ascii="Arial" w:cs="Arial" w:eastAsia="Arial" w:hAnsi="Arial"/>
                <w:sz w:val="13"/>
                <w:szCs w:val="13"/>
                <w:b w:val="1"/>
                <w:bCs w:val="1"/>
                <w:color w:val="auto"/>
                <w:w w:val="99"/>
              </w:rPr>
              <w:t>Vested ($)</w:t>
            </w:r>
          </w:p>
        </w:tc>
      </w:tr>
      <w:tr>
        <w:trPr>
          <w:trHeight w:val="233"/>
        </w:trPr>
        <w:tc>
          <w:tcPr>
            <w:tcW w:w="270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94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1160" w:type="dxa"/>
            <w:vAlign w:val="bottom"/>
            <w:gridSpan w:val="2"/>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r>
      <w:tr>
        <w:trPr>
          <w:trHeight w:val="220"/>
        </w:trPr>
        <w:tc>
          <w:tcPr>
            <w:tcW w:w="270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100,000(2)</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29.79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1/25/2018</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60,000(6)</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931,200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46"/>
        </w:trPr>
        <w:tc>
          <w:tcPr>
            <w:tcW w:w="27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75,000(3)</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28.32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1/18/2017</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60,000(7)</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931,200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50,000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50,000(4)</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1/19/2016</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50,000(8)</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75,000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25,000(5)</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1/20/2015</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50,000(9)</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150,000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32.39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1/14/2014</w:t>
            </w:r>
          </w:p>
        </w:tc>
        <w:tc>
          <w:tcPr>
            <w:tcW w:w="1160" w:type="dxa"/>
            <w:vAlign w:val="bottom"/>
            <w:gridSpan w:val="2"/>
            <w:shd w:val="clear" w:color="auto" w:fill="C0C0C0"/>
          </w:tcPr>
          <w:p>
            <w:pPr>
              <w:jc w:val="right"/>
              <w:ind w:right="21"/>
              <w:spacing w:after="0"/>
              <w:rPr>
                <w:sz w:val="20"/>
                <w:szCs w:val="20"/>
                <w:color w:val="auto"/>
              </w:rPr>
            </w:pPr>
            <w:r>
              <w:rPr>
                <w:rFonts w:ascii="Arial" w:cs="Arial" w:eastAsia="Arial" w:hAnsi="Arial"/>
                <w:sz w:val="17"/>
                <w:szCs w:val="17"/>
                <w:color w:val="auto"/>
              </w:rPr>
              <w:t>100,000(10)</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$1,552,000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125,000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26.50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1/16/2012</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70,000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31.30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11/29/2011</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60,000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50.38</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1/17/2011</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80,000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55.22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1/19/2010</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2700" w:type="dxa"/>
            <w:vAlign w:val="bottom"/>
            <w:shd w:val="clear" w:color="auto" w:fill="C0C0C0"/>
          </w:tcPr>
          <w:p>
            <w:pPr>
              <w:spacing w:after="0"/>
              <w:rPr>
                <w:sz w:val="20"/>
                <w:szCs w:val="20"/>
                <w:color w:val="auto"/>
              </w:rPr>
            </w:pPr>
            <w:r>
              <w:rPr>
                <w:rFonts w:ascii="Arial" w:cs="Arial" w:eastAsia="Arial" w:hAnsi="Arial"/>
                <w:sz w:val="17"/>
                <w:szCs w:val="17"/>
                <w:color w:val="auto"/>
              </w:rPr>
              <w:t>K. J. Ritchie</w:t>
            </w: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100,000(2)</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29.79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1/25/2018</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50,000(6)</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75,000(3)</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28.32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1/18/2017</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50,000(7)</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50,000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50,000(4)</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1/19/2016</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50,000(8)</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75,000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25,000(5)</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21.55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1/20/2015</w:t>
            </w:r>
          </w:p>
        </w:tc>
        <w:tc>
          <w:tcPr>
            <w:tcW w:w="1160" w:type="dxa"/>
            <w:vAlign w:val="bottom"/>
            <w:gridSpan w:val="2"/>
            <w:shd w:val="clear" w:color="auto" w:fill="C0C0C0"/>
          </w:tcPr>
          <w:p>
            <w:pPr>
              <w:jc w:val="right"/>
              <w:ind w:right="121"/>
              <w:spacing w:after="0"/>
              <w:rPr>
                <w:sz w:val="20"/>
                <w:szCs w:val="20"/>
                <w:color w:val="auto"/>
              </w:rPr>
            </w:pPr>
            <w:r>
              <w:rPr>
                <w:rFonts w:ascii="Arial" w:cs="Arial" w:eastAsia="Arial" w:hAnsi="Arial"/>
                <w:sz w:val="17"/>
                <w:szCs w:val="17"/>
                <w:color w:val="auto"/>
              </w:rPr>
              <w:t>50,000(9)</w:t>
            </w:r>
          </w:p>
        </w:tc>
        <w:tc>
          <w:tcPr>
            <w:tcW w:w="32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150,000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32.39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1/14/2014</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90,000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16.25</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2/20/2013</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175,000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16.11</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1/15/2013</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100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29.19</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2/21/2012</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125,000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26.50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1/16/2012</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40,000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31.30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11/19/2011</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50,000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50.38</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1/17/2011</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50,000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55.22</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1/19/2010</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2700" w:type="dxa"/>
            <w:vAlign w:val="bottom"/>
            <w:shd w:val="clear" w:color="auto" w:fill="C0C0C0"/>
          </w:tcPr>
          <w:p>
            <w:pPr>
              <w:spacing w:after="0"/>
              <w:rPr>
                <w:sz w:val="20"/>
                <w:szCs w:val="20"/>
                <w:color w:val="auto"/>
              </w:rPr>
            </w:pPr>
          </w:p>
        </w:tc>
        <w:tc>
          <w:tcPr>
            <w:tcW w:w="920" w:type="dxa"/>
            <w:vAlign w:val="bottom"/>
            <w:shd w:val="clear" w:color="auto" w:fill="C0C0C0"/>
          </w:tcPr>
          <w:p>
            <w:pPr>
              <w:jc w:val="right"/>
              <w:ind w:right="60"/>
              <w:spacing w:after="0"/>
              <w:rPr>
                <w:sz w:val="20"/>
                <w:szCs w:val="20"/>
                <w:color w:val="auto"/>
              </w:rPr>
            </w:pPr>
            <w:r>
              <w:rPr>
                <w:rFonts w:ascii="Arial" w:cs="Arial" w:eastAsia="Arial" w:hAnsi="Arial"/>
                <w:sz w:val="17"/>
                <w:szCs w:val="17"/>
                <w:color w:val="auto"/>
              </w:rPr>
              <w:t>60,000</w:t>
            </w:r>
          </w:p>
        </w:tc>
        <w:tc>
          <w:tcPr>
            <w:tcW w:w="940" w:type="dxa"/>
            <w:vAlign w:val="bottom"/>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ind w:lef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24.90</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1/20/2009</w:t>
            </w:r>
          </w:p>
        </w:tc>
        <w:tc>
          <w:tcPr>
            <w:tcW w:w="140" w:type="dxa"/>
            <w:vAlign w:val="bottom"/>
            <w:shd w:val="clear" w:color="auto" w:fill="C0C0C0"/>
          </w:tcPr>
          <w:p>
            <w:pPr>
              <w:spacing w:after="0"/>
              <w:rPr>
                <w:sz w:val="20"/>
                <w:szCs w:val="20"/>
                <w:color w:val="auto"/>
              </w:rPr>
            </w:pPr>
          </w:p>
        </w:tc>
        <w:tc>
          <w:tcPr>
            <w:tcW w:w="1020" w:type="dxa"/>
            <w:vAlign w:val="bottom"/>
            <w:shd w:val="clear" w:color="auto" w:fill="C0C0C0"/>
          </w:tcPr>
          <w:p>
            <w:pPr>
              <w:jc w:val="right"/>
              <w:ind w:right="321"/>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233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335" cy="163195"/>
                    </a:xfrm>
                    <a:prstGeom prst="rect">
                      <a:avLst/>
                    </a:prstGeom>
                    <a:noFill/>
                  </pic:spPr>
                </pic:pic>
              </a:graphicData>
            </a:graphic>
          </wp:anchor>
        </w:drawing>
      </w:r>
    </w:p>
    <w:p>
      <w:pPr>
        <w:sectPr>
          <w:pgSz w:w="11900" w:h="16867" w:orient="portrait"/>
          <w:cols w:equalWidth="0" w:num="1">
            <w:col w:w="11420"/>
          </w:cols>
          <w:pgMar w:left="240" w:top="124" w:right="239" w:bottom="0" w:gutter="0" w:footer="0" w:header="0"/>
        </w:sectPr>
      </w:pPr>
    </w:p>
    <w:p>
      <w:pPr>
        <w:spacing w:after="0" w:line="262" w:lineRule="exact"/>
        <w:rPr>
          <w:sz w:val="20"/>
          <w:szCs w:val="20"/>
          <w:color w:val="auto"/>
        </w:rPr>
      </w:pPr>
    </w:p>
    <w:p>
      <w:pPr>
        <w:spacing w:after="0"/>
        <w:tabs>
          <w:tab w:leader="none" w:pos="3280" w:val="left"/>
          <w:tab w:leader="none" w:pos="3800" w:val="left"/>
          <w:tab w:leader="none" w:pos="5020" w:val="left"/>
          <w:tab w:leader="none" w:pos="5700" w:val="left"/>
          <w:tab w:leader="none" w:pos="6600" w:val="left"/>
          <w:tab w:leader="none" w:pos="7600" w:val="left"/>
          <w:tab w:leader="none" w:pos="8700" w:val="left"/>
          <w:tab w:leader="none" w:pos="8940" w:val="left"/>
          <w:tab w:leader="none" w:pos="9960" w:val="left"/>
          <w:tab w:leader="none" w:pos="10880" w:val="left"/>
        </w:tabs>
        <w:rPr>
          <w:sz w:val="20"/>
          <w:szCs w:val="20"/>
          <w:color w:val="auto"/>
        </w:rPr>
      </w:pPr>
      <w:r>
        <w:rPr>
          <w:rFonts w:ascii="Arial" w:cs="Arial" w:eastAsia="Arial" w:hAnsi="Arial"/>
          <w:sz w:val="17"/>
          <w:szCs w:val="17"/>
          <w:color w:val="auto"/>
        </w:rPr>
        <w:t>M. J. Hames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75,000(2)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29.79</w:t>
        <w:tab/>
        <w:t>1/25/2018</w:t>
        <w:tab/>
        <w:t>45,000(6)</w:t>
      </w:r>
      <w:r>
        <w:rPr>
          <w:sz w:val="20"/>
          <w:szCs w:val="20"/>
          <w:color w:val="auto"/>
        </w:rPr>
        <w:tab/>
      </w:r>
      <w:r>
        <w:rPr>
          <w:rFonts w:ascii="Arial" w:cs="Arial" w:eastAsia="Arial" w:hAnsi="Arial"/>
          <w:sz w:val="17"/>
          <w:szCs w:val="17"/>
          <w:color w:val="auto"/>
        </w:rPr>
        <w:t>$</w:t>
        <w:tab/>
        <w:t>698,400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w:t>
      </w:r>
    </w:p>
    <w:p>
      <w:pPr>
        <w:sectPr>
          <w:pgSz w:w="11900" w:h="16867" w:orient="portrait"/>
          <w:cols w:equalWidth="0" w:num="1">
            <w:col w:w="11420"/>
          </w:cols>
          <w:pgMar w:left="240" w:top="124"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1"/>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18,750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56,250</w:t>
            </w:r>
          </w:p>
        </w:tc>
        <w:tc>
          <w:tcPr>
            <w:tcW w:w="340" w:type="dxa"/>
            <w:vAlign w:val="bottom"/>
            <w:shd w:val="clear" w:color="auto" w:fill="C0C0C0"/>
          </w:tcPr>
          <w:p>
            <w:pPr>
              <w:jc w:val="right"/>
              <w:ind w:right="36"/>
              <w:spacing w:after="0"/>
              <w:rPr>
                <w:sz w:val="20"/>
                <w:szCs w:val="20"/>
                <w:color w:val="auto"/>
              </w:rPr>
            </w:pPr>
            <w:r>
              <w:rPr>
                <w:rFonts w:ascii="Arial" w:cs="Arial" w:eastAsia="Arial" w:hAnsi="Arial"/>
                <w:sz w:val="17"/>
                <w:szCs w:val="17"/>
                <w:color w:val="auto"/>
                <w:w w:val="96"/>
              </w:rPr>
              <w:t>(3)</w:t>
            </w: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28.32</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1/18/2017</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45,000</w:t>
            </w:r>
          </w:p>
        </w:tc>
        <w:tc>
          <w:tcPr>
            <w:tcW w:w="380" w:type="dxa"/>
            <w:vAlign w:val="bottom"/>
            <w:shd w:val="clear" w:color="auto" w:fill="C0C0C0"/>
          </w:tcPr>
          <w:p>
            <w:pPr>
              <w:jc w:val="right"/>
              <w:ind w:right="96"/>
              <w:spacing w:after="0"/>
              <w:rPr>
                <w:sz w:val="20"/>
                <w:szCs w:val="20"/>
                <w:color w:val="auto"/>
              </w:rPr>
            </w:pPr>
            <w:r>
              <w:rPr>
                <w:rFonts w:ascii="Arial" w:cs="Arial" w:eastAsia="Arial" w:hAnsi="Arial"/>
                <w:sz w:val="17"/>
                <w:szCs w:val="17"/>
                <w:color w:val="auto"/>
                <w:w w:val="86"/>
              </w:rPr>
              <w:t>(7)</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698,400</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5"/>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40,000</w:t>
            </w:r>
          </w:p>
        </w:tc>
        <w:tc>
          <w:tcPr>
            <w:tcW w:w="1110" w:type="dxa"/>
            <w:vAlign w:val="bottom"/>
            <w:gridSpan w:val="2"/>
            <w:shd w:val="clear" w:color="auto" w:fill="C0C0C0"/>
          </w:tcPr>
          <w:p>
            <w:pPr>
              <w:jc w:val="right"/>
              <w:ind w:right="36"/>
              <w:spacing w:after="0"/>
              <w:rPr>
                <w:sz w:val="20"/>
                <w:szCs w:val="20"/>
                <w:color w:val="auto"/>
              </w:rPr>
            </w:pPr>
            <w:r>
              <w:rPr>
                <w:rFonts w:ascii="Arial" w:cs="Arial" w:eastAsia="Arial" w:hAnsi="Arial"/>
                <w:sz w:val="17"/>
                <w:szCs w:val="17"/>
                <w:color w:val="auto"/>
              </w:rPr>
              <w:t>40,000(4)</w:t>
            </w: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32.55</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1/19/2016</w:t>
            </w:r>
          </w:p>
        </w:tc>
        <w:tc>
          <w:tcPr>
            <w:tcW w:w="1140" w:type="dxa"/>
            <w:vAlign w:val="bottom"/>
            <w:gridSpan w:val="2"/>
            <w:shd w:val="clear" w:color="auto" w:fill="C0C0C0"/>
          </w:tcPr>
          <w:p>
            <w:pPr>
              <w:jc w:val="right"/>
              <w:ind w:right="96"/>
              <w:spacing w:after="0"/>
              <w:rPr>
                <w:sz w:val="20"/>
                <w:szCs w:val="20"/>
                <w:color w:val="auto"/>
              </w:rPr>
            </w:pPr>
            <w:r>
              <w:rPr>
                <w:rFonts w:ascii="Arial" w:cs="Arial" w:eastAsia="Arial" w:hAnsi="Arial"/>
                <w:sz w:val="17"/>
                <w:szCs w:val="17"/>
                <w:color w:val="auto"/>
              </w:rPr>
              <w:t>50,000(8)</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75,000</w:t>
            </w:r>
          </w:p>
        </w:tc>
        <w:tc>
          <w:tcPr>
            <w:tcW w:w="1110" w:type="dxa"/>
            <w:vAlign w:val="bottom"/>
            <w:gridSpan w:val="2"/>
            <w:shd w:val="clear" w:color="auto" w:fill="C0C0C0"/>
          </w:tcPr>
          <w:p>
            <w:pPr>
              <w:jc w:val="right"/>
              <w:ind w:right="36"/>
              <w:spacing w:after="0"/>
              <w:rPr>
                <w:sz w:val="20"/>
                <w:szCs w:val="20"/>
                <w:color w:val="auto"/>
              </w:rPr>
            </w:pPr>
            <w:r>
              <w:rPr>
                <w:rFonts w:ascii="Arial" w:cs="Arial" w:eastAsia="Arial" w:hAnsi="Arial"/>
                <w:sz w:val="17"/>
                <w:szCs w:val="17"/>
                <w:color w:val="auto"/>
              </w:rPr>
              <w:t>25,000(5)</w:t>
            </w: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21.55</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1/20/2015</w:t>
            </w:r>
          </w:p>
        </w:tc>
        <w:tc>
          <w:tcPr>
            <w:tcW w:w="1140" w:type="dxa"/>
            <w:vAlign w:val="bottom"/>
            <w:gridSpan w:val="2"/>
            <w:shd w:val="clear" w:color="auto" w:fill="C0C0C0"/>
          </w:tcPr>
          <w:p>
            <w:pPr>
              <w:jc w:val="right"/>
              <w:ind w:right="96"/>
              <w:spacing w:after="0"/>
              <w:rPr>
                <w:sz w:val="20"/>
                <w:szCs w:val="20"/>
                <w:color w:val="auto"/>
              </w:rPr>
            </w:pPr>
            <w:r>
              <w:rPr>
                <w:rFonts w:ascii="Arial" w:cs="Arial" w:eastAsia="Arial" w:hAnsi="Arial"/>
                <w:sz w:val="17"/>
                <w:szCs w:val="17"/>
                <w:color w:val="auto"/>
              </w:rPr>
              <w:t>50,000(9)</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776,000</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150,000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20"/>
                <w:szCs w:val="20"/>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32.39</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1/14/2014</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44"/>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21"/>
                <w:szCs w:val="21"/>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16.25</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2/20/2013</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20"/>
                <w:szCs w:val="20"/>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16.11</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1/15/2013</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20"/>
                <w:szCs w:val="20"/>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26.50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1/16/2012</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20"/>
                <w:szCs w:val="20"/>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31.30</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11/29/2011</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33"/>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20"/>
                <w:szCs w:val="20"/>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50.38</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1/17/2011</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r>
        <w:trPr>
          <w:trHeight w:val="222"/>
        </w:trPr>
        <w:tc>
          <w:tcPr>
            <w:tcW w:w="355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100,000</w:t>
            </w:r>
          </w:p>
        </w:tc>
        <w:tc>
          <w:tcPr>
            <w:tcW w:w="77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0C0C0"/>
          </w:tcPr>
          <w:p>
            <w:pPr>
              <w:spacing w:after="0"/>
              <w:rPr>
                <w:sz w:val="19"/>
                <w:szCs w:val="19"/>
                <w:color w:val="auto"/>
              </w:rPr>
            </w:pPr>
          </w:p>
        </w:tc>
        <w:tc>
          <w:tcPr>
            <w:tcW w:w="106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55.22</w:t>
            </w:r>
          </w:p>
        </w:tc>
        <w:tc>
          <w:tcPr>
            <w:tcW w:w="9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1/19/2010</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79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70" w:type="dxa"/>
            <w:vAlign w:val="bottom"/>
            <w:shd w:val="clear" w:color="auto" w:fill="C0C0C0"/>
          </w:tcPr>
          <w:p>
            <w:pPr>
              <w:ind w:left="330"/>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ind w:left="380"/>
              <w:spacing w:after="0"/>
              <w:rPr>
                <w:sz w:val="20"/>
                <w:szCs w:val="20"/>
                <w:color w:val="auto"/>
              </w:rPr>
            </w:pPr>
            <w:r>
              <w:rPr>
                <w:rFonts w:ascii="Arial" w:cs="Arial" w:eastAsia="Arial" w:hAnsi="Arial"/>
                <w:sz w:val="17"/>
                <w:szCs w:val="17"/>
                <w:color w:val="auto"/>
              </w:rPr>
              <w:t>—</w:t>
            </w:r>
          </w:p>
        </w:tc>
      </w:tr>
    </w:tbl>
    <w:p>
      <w:pPr>
        <w:spacing w:after="0" w:line="236" w:lineRule="exact"/>
        <w:rPr>
          <w:sz w:val="20"/>
          <w:szCs w:val="20"/>
          <w:color w:val="auto"/>
        </w:rPr>
      </w:pPr>
    </w:p>
    <w:p>
      <w:pPr>
        <w:ind w:left="460" w:hanging="456"/>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Calculated by multiplying the number of restricted stock units by the closing price of TI’s common stock on December 31, 2008 ($15.52).</w:t>
      </w:r>
    </w:p>
    <w:p>
      <w:pPr>
        <w:spacing w:after="0" w:line="270" w:lineRule="exact"/>
        <w:rPr>
          <w:rFonts w:ascii="Arial" w:cs="Arial" w:eastAsia="Arial" w:hAnsi="Arial"/>
          <w:sz w:val="17"/>
          <w:szCs w:val="17"/>
          <w:color w:val="auto"/>
        </w:rPr>
      </w:pPr>
    </w:p>
    <w:p>
      <w:pPr>
        <w:ind w:left="460" w:right="420" w:hanging="456"/>
        <w:spacing w:after="0" w:line="24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One-quarter of the shares became exercisable on January 25, 2009, and one-quarter of the remaining shares become exercisable on each of January 25, 2010, January 25, 2011, and January 25, 2012.</w:t>
      </w:r>
    </w:p>
    <w:p>
      <w:pPr>
        <w:spacing w:after="0" w:line="220" w:lineRule="exact"/>
        <w:rPr>
          <w:rFonts w:ascii="Arial" w:cs="Arial" w:eastAsia="Arial" w:hAnsi="Arial"/>
          <w:sz w:val="17"/>
          <w:szCs w:val="17"/>
          <w:color w:val="auto"/>
        </w:rPr>
      </w:pPr>
    </w:p>
    <w:p>
      <w:pPr>
        <w:ind w:left="460" w:right="180" w:hanging="456"/>
        <w:spacing w:after="0" w:line="24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One-third of the shares became exercisable on January 18, 2009, and one-third of the remaining shares become exercisable on each of January 18, 2010, and January 18, 2011.</w:t>
      </w:r>
    </w:p>
    <w:p>
      <w:pPr>
        <w:spacing w:after="0" w:line="220" w:lineRule="exact"/>
        <w:rPr>
          <w:rFonts w:ascii="Arial" w:cs="Arial" w:eastAsia="Arial" w:hAnsi="Arial"/>
          <w:sz w:val="17"/>
          <w:szCs w:val="17"/>
          <w:color w:val="auto"/>
        </w:rPr>
      </w:pPr>
    </w:p>
    <w:p>
      <w:pPr>
        <w:ind w:left="460" w:hanging="456"/>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19, 2009, and the remaining one-half become exercisable on January 19, 2010.</w:t>
      </w:r>
    </w:p>
    <w:p>
      <w:pPr>
        <w:spacing w:after="0" w:line="231" w:lineRule="exact"/>
        <w:rPr>
          <w:rFonts w:ascii="Arial" w:cs="Arial" w:eastAsia="Arial" w:hAnsi="Arial"/>
          <w:sz w:val="17"/>
          <w:szCs w:val="17"/>
          <w:color w:val="auto"/>
        </w:rPr>
      </w:pPr>
    </w:p>
    <w:p>
      <w:pPr>
        <w:ind w:left="460" w:hanging="456"/>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Became fully exercisable on January 20, 2009.</w:t>
      </w:r>
    </w:p>
    <w:p>
      <w:pPr>
        <w:spacing w:after="0" w:line="202" w:lineRule="exact"/>
        <w:rPr>
          <w:sz w:val="20"/>
          <w:szCs w:val="20"/>
          <w:color w:val="auto"/>
        </w:rPr>
      </w:pPr>
    </w:p>
    <w:p>
      <w:pPr>
        <w:ind w:left="8100"/>
        <w:spacing w:after="0"/>
        <w:rPr>
          <w:sz w:val="20"/>
          <w:szCs w:val="20"/>
          <w:color w:val="auto"/>
        </w:rPr>
      </w:pPr>
      <w:r>
        <w:rPr>
          <w:rFonts w:ascii="Arial" w:cs="Arial" w:eastAsia="Arial" w:hAnsi="Arial"/>
          <w:sz w:val="12"/>
          <w:szCs w:val="12"/>
          <w:color w:val="auto"/>
        </w:rPr>
        <w:t>TEXAS INSTRUMENTS 2009 PROXY STATEMENT [ 75 ]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329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80" w:hanging="576"/>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Vesting date is January 31, 2012. Dividend equivalents are paid on these restricted stock units.</w:t>
      </w:r>
    </w:p>
    <w:p>
      <w:pPr>
        <w:spacing w:after="0" w:line="270" w:lineRule="exact"/>
        <w:rPr>
          <w:rFonts w:ascii="Arial" w:cs="Arial" w:eastAsia="Arial" w:hAnsi="Arial"/>
          <w:sz w:val="17"/>
          <w:szCs w:val="17"/>
          <w:color w:val="auto"/>
        </w:rPr>
      </w:pPr>
    </w:p>
    <w:p>
      <w:pPr>
        <w:ind w:left="580" w:hanging="576"/>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Vesting date is January 31, 2011. Dividend equivalents are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Vesting date is January 29, 2010. Dividend equivalents are not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Vested on January 30, 2009. Dividend equivalents were paid on these restricted stock units.</w:t>
      </w:r>
    </w:p>
    <w:p>
      <w:pPr>
        <w:spacing w:after="0" w:line="231" w:lineRule="exact"/>
        <w:rPr>
          <w:rFonts w:ascii="Arial" w:cs="Arial" w:eastAsia="Arial" w:hAnsi="Arial"/>
          <w:sz w:val="17"/>
          <w:szCs w:val="17"/>
          <w:color w:val="auto"/>
        </w:rPr>
      </w:pPr>
    </w:p>
    <w:p>
      <w:pPr>
        <w:ind w:left="580" w:hanging="576"/>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Vesting date is July 30, 2010. Dividend equivalents are not paid on these restricted stock units.</w:t>
      </w:r>
    </w:p>
    <w:p>
      <w:pPr>
        <w:spacing w:after="0" w:line="18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Option Awards</w:t>
      </w:r>
      <w:r>
        <w:rPr>
          <w:rFonts w:ascii="Arial" w:cs="Arial" w:eastAsia="Arial" w:hAnsi="Arial"/>
          <w:sz w:val="17"/>
          <w:szCs w:val="17"/>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outstanding stock options as of December 31, 2008. The Compensation Committee of the board of directors established these termination provisions to promote employee retention while offering competitive terms.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9"/>
              </w:rPr>
              <w:t>Employment</w:t>
            </w:r>
          </w:p>
        </w:tc>
        <w:tc>
          <w:tcPr>
            <w:tcW w:w="1960" w:type="dxa"/>
            <w:vAlign w:val="bottom"/>
          </w:tcPr>
          <w:p>
            <w:pPr>
              <w:ind w:left="120"/>
              <w:spacing w:after="0"/>
              <w:rPr>
                <w:sz w:val="20"/>
                <w:szCs w:val="20"/>
                <w:color w:val="auto"/>
              </w:rPr>
            </w:pPr>
            <w:r>
              <w:rPr>
                <w:rFonts w:ascii="Arial" w:cs="Arial" w:eastAsia="Arial" w:hAnsi="Arial"/>
                <w:sz w:val="13"/>
                <w:szCs w:val="13"/>
                <w:b w:val="1"/>
                <w:bCs w:val="1"/>
                <w:color w:val="auto"/>
              </w:rPr>
              <w:t>Employment Termination (at</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3"/>
        </w:trPr>
        <w:tc>
          <w:tcPr>
            <w:tcW w:w="2740" w:type="dxa"/>
            <w:vAlign w:val="bottom"/>
          </w:tcPr>
          <w:p>
            <w:pPr>
              <w:spacing w:after="0"/>
              <w:rPr>
                <w:sz w:val="20"/>
                <w:szCs w:val="20"/>
                <w:color w:val="auto"/>
              </w:rPr>
            </w:pPr>
          </w:p>
        </w:tc>
        <w:tc>
          <w:tcPr>
            <w:tcW w:w="2700" w:type="dxa"/>
            <w:vAlign w:val="bottom"/>
          </w:tcPr>
          <w:p>
            <w:pPr>
              <w:jc w:val="center"/>
              <w:ind w:left="1161"/>
              <w:spacing w:after="0"/>
              <w:rPr>
                <w:sz w:val="20"/>
                <w:szCs w:val="20"/>
                <w:color w:val="auto"/>
              </w:rPr>
            </w:pPr>
            <w:r>
              <w:rPr>
                <w:rFonts w:ascii="Arial" w:cs="Arial" w:eastAsia="Arial" w:hAnsi="Arial"/>
                <w:sz w:val="13"/>
                <w:szCs w:val="13"/>
                <w:b w:val="1"/>
                <w:bCs w:val="1"/>
                <w:color w:val="auto"/>
                <w:w w:val="99"/>
              </w:rPr>
              <w:t>Employment</w:t>
            </w:r>
          </w:p>
        </w:tc>
        <w:tc>
          <w:tcPr>
            <w:tcW w:w="1520" w:type="dxa"/>
            <w:vAlign w:val="bottom"/>
          </w:tcPr>
          <w:p>
            <w:pPr>
              <w:ind w:left="120"/>
              <w:spacing w:after="0"/>
              <w:rPr>
                <w:sz w:val="20"/>
                <w:szCs w:val="20"/>
                <w:color w:val="auto"/>
              </w:rPr>
            </w:pPr>
            <w:r>
              <w:rPr>
                <w:rFonts w:ascii="Arial" w:cs="Arial" w:eastAsia="Arial" w:hAnsi="Arial"/>
                <w:sz w:val="13"/>
                <w:szCs w:val="13"/>
                <w:b w:val="1"/>
                <w:bCs w:val="1"/>
                <w:color w:val="auto"/>
              </w:rPr>
              <w:t>Termination (at Least</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9"/>
              </w:rPr>
              <w:t>Least 6 Months after Grant)</w:t>
            </w:r>
          </w:p>
        </w:tc>
        <w:tc>
          <w:tcPr>
            <w:tcW w:w="1260" w:type="dxa"/>
            <w:vAlign w:val="bottom"/>
          </w:tcPr>
          <w:p>
            <w:pPr>
              <w:spacing w:after="0"/>
              <w:rPr>
                <w:sz w:val="20"/>
                <w:szCs w:val="20"/>
                <w:color w:val="auto"/>
              </w:rPr>
            </w:pPr>
          </w:p>
        </w:tc>
        <w:tc>
          <w:tcPr>
            <w:tcW w:w="1240" w:type="dxa"/>
            <w:vAlign w:val="bottom"/>
          </w:tcPr>
          <w:p>
            <w:pPr>
              <w:jc w:val="center"/>
              <w:ind w:left="62"/>
              <w:spacing w:after="0"/>
              <w:rPr>
                <w:sz w:val="20"/>
                <w:szCs w:val="20"/>
                <w:color w:val="auto"/>
              </w:rPr>
            </w:pPr>
            <w:r>
              <w:rPr>
                <w:rFonts w:ascii="Arial" w:cs="Arial" w:eastAsia="Arial" w:hAnsi="Arial"/>
                <w:sz w:val="13"/>
                <w:szCs w:val="13"/>
                <w:b w:val="1"/>
                <w:bCs w:val="1"/>
                <w:color w:val="auto"/>
                <w:w w:val="97"/>
              </w:rPr>
              <w:t>Other</w:t>
            </w:r>
          </w:p>
        </w:tc>
      </w:tr>
      <w:tr>
        <w:trPr>
          <w:trHeight w:val="233"/>
        </w:trPr>
        <w:tc>
          <w:tcPr>
            <w:tcW w:w="2740" w:type="dxa"/>
            <w:vAlign w:val="bottom"/>
          </w:tcPr>
          <w:p>
            <w:pPr>
              <w:spacing w:after="0"/>
              <w:rPr>
                <w:sz w:val="20"/>
                <w:szCs w:val="20"/>
                <w:color w:val="auto"/>
              </w:rPr>
            </w:pPr>
          </w:p>
        </w:tc>
        <w:tc>
          <w:tcPr>
            <w:tcW w:w="2700" w:type="dxa"/>
            <w:vAlign w:val="bottom"/>
          </w:tcPr>
          <w:p>
            <w:pPr>
              <w:jc w:val="center"/>
              <w:ind w:left="1161"/>
              <w:spacing w:after="0"/>
              <w:rPr>
                <w:sz w:val="20"/>
                <w:szCs w:val="20"/>
                <w:color w:val="auto"/>
              </w:rPr>
            </w:pPr>
            <w:r>
              <w:rPr>
                <w:rFonts w:ascii="Arial" w:cs="Arial" w:eastAsia="Arial" w:hAnsi="Arial"/>
                <w:sz w:val="13"/>
                <w:szCs w:val="13"/>
                <w:b w:val="1"/>
                <w:bCs w:val="1"/>
                <w:color w:val="auto"/>
                <w:w w:val="99"/>
              </w:rPr>
              <w:t>Termination Due to</w:t>
            </w:r>
          </w:p>
        </w:tc>
        <w:tc>
          <w:tcPr>
            <w:tcW w:w="1520" w:type="dxa"/>
            <w:vAlign w:val="bottom"/>
          </w:tcPr>
          <w:p>
            <w:pPr>
              <w:ind w:left="120"/>
              <w:spacing w:after="0"/>
              <w:rPr>
                <w:sz w:val="20"/>
                <w:szCs w:val="20"/>
                <w:color w:val="auto"/>
              </w:rPr>
            </w:pPr>
            <w:r>
              <w:rPr>
                <w:rFonts w:ascii="Arial" w:cs="Arial" w:eastAsia="Arial" w:hAnsi="Arial"/>
                <w:sz w:val="13"/>
                <w:szCs w:val="13"/>
                <w:b w:val="1"/>
                <w:bCs w:val="1"/>
                <w:color w:val="auto"/>
              </w:rPr>
              <w:t>6 Months after Grant)</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9"/>
              </w:rPr>
              <w:t>with 20 Years of Credited</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9"/>
              </w:rPr>
              <w:t>Employment</w:t>
            </w:r>
          </w:p>
        </w:tc>
        <w:tc>
          <w:tcPr>
            <w:tcW w:w="1240" w:type="dxa"/>
            <w:vAlign w:val="bottom"/>
          </w:tcPr>
          <w:p>
            <w:pPr>
              <w:jc w:val="center"/>
              <w:ind w:left="82"/>
              <w:spacing w:after="0"/>
              <w:rPr>
                <w:sz w:val="20"/>
                <w:szCs w:val="20"/>
                <w:color w:val="auto"/>
              </w:rPr>
            </w:pPr>
            <w:r>
              <w:rPr>
                <w:rFonts w:ascii="Arial" w:cs="Arial" w:eastAsia="Arial" w:hAnsi="Arial"/>
                <w:sz w:val="13"/>
                <w:szCs w:val="13"/>
                <w:b w:val="1"/>
                <w:bCs w:val="1"/>
                <w:color w:val="auto"/>
                <w:w w:val="98"/>
              </w:rPr>
              <w:t>Circumstances</w:t>
            </w:r>
          </w:p>
        </w:tc>
      </w:tr>
      <w:tr>
        <w:trPr>
          <w:trHeight w:val="233"/>
        </w:trPr>
        <w:tc>
          <w:tcPr>
            <w:tcW w:w="2740" w:type="dxa"/>
            <w:vAlign w:val="bottom"/>
          </w:tcPr>
          <w:p>
            <w:pPr>
              <w:spacing w:after="0"/>
              <w:rPr>
                <w:sz w:val="20"/>
                <w:szCs w:val="20"/>
                <w:color w:val="auto"/>
              </w:rPr>
            </w:pPr>
          </w:p>
        </w:tc>
        <w:tc>
          <w:tcPr>
            <w:tcW w:w="2700" w:type="dxa"/>
            <w:vAlign w:val="bottom"/>
          </w:tcPr>
          <w:p>
            <w:pPr>
              <w:ind w:left="1360"/>
              <w:spacing w:after="0"/>
              <w:rPr>
                <w:sz w:val="20"/>
                <w:szCs w:val="20"/>
                <w:color w:val="auto"/>
              </w:rPr>
            </w:pPr>
            <w:r>
              <w:rPr>
                <w:rFonts w:ascii="Arial" w:cs="Arial" w:eastAsia="Arial" w:hAnsi="Arial"/>
                <w:sz w:val="13"/>
                <w:szCs w:val="13"/>
                <w:b w:val="1"/>
                <w:bCs w:val="1"/>
                <w:color w:val="auto"/>
              </w:rPr>
              <w:t>Death or Permanent</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9"/>
              </w:rPr>
              <w:t>When Retirement</w:t>
            </w:r>
          </w:p>
        </w:tc>
        <w:tc>
          <w:tcPr>
            <w:tcW w:w="1960" w:type="dxa"/>
            <w:vAlign w:val="bottom"/>
          </w:tcPr>
          <w:p>
            <w:pPr>
              <w:ind w:left="140"/>
              <w:spacing w:after="0"/>
              <w:rPr>
                <w:sz w:val="20"/>
                <w:szCs w:val="20"/>
                <w:color w:val="auto"/>
              </w:rPr>
            </w:pPr>
            <w:r>
              <w:rPr>
                <w:rFonts w:ascii="Arial" w:cs="Arial" w:eastAsia="Arial" w:hAnsi="Arial"/>
                <w:sz w:val="13"/>
                <w:szCs w:val="13"/>
                <w:b w:val="1"/>
                <w:bCs w:val="1"/>
                <w:color w:val="auto"/>
              </w:rPr>
              <w:t>Service, but Not Retirement</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8"/>
              </w:rPr>
              <w:t>Termination for</w:t>
            </w:r>
          </w:p>
        </w:tc>
        <w:tc>
          <w:tcPr>
            <w:tcW w:w="1240" w:type="dxa"/>
            <w:vAlign w:val="bottom"/>
          </w:tcPr>
          <w:p>
            <w:pPr>
              <w:jc w:val="center"/>
              <w:ind w:left="62"/>
              <w:spacing w:after="0"/>
              <w:rPr>
                <w:sz w:val="20"/>
                <w:szCs w:val="20"/>
                <w:color w:val="auto"/>
              </w:rPr>
            </w:pPr>
            <w:r>
              <w:rPr>
                <w:rFonts w:ascii="Arial" w:cs="Arial" w:eastAsia="Arial" w:hAnsi="Arial"/>
                <w:sz w:val="13"/>
                <w:szCs w:val="13"/>
                <w:b w:val="1"/>
                <w:bCs w:val="1"/>
                <w:color w:val="auto"/>
              </w:rPr>
              <w:t>of Employment</w:t>
            </w:r>
          </w:p>
        </w:tc>
      </w:tr>
      <w:tr>
        <w:trPr>
          <w:trHeight w:val="221"/>
        </w:trPr>
        <w:tc>
          <w:tcPr>
            <w:tcW w:w="2740" w:type="dxa"/>
            <w:vAlign w:val="bottom"/>
          </w:tcPr>
          <w:p>
            <w:pPr>
              <w:spacing w:after="0"/>
              <w:rPr>
                <w:sz w:val="20"/>
                <w:szCs w:val="20"/>
                <w:color w:val="auto"/>
              </w:rPr>
            </w:pPr>
            <w:r>
              <w:rPr>
                <w:rFonts w:ascii="Arial" w:cs="Arial" w:eastAsia="Arial" w:hAnsi="Arial"/>
                <w:sz w:val="13"/>
                <w:szCs w:val="13"/>
                <w:b w:val="1"/>
                <w:bCs w:val="1"/>
                <w:color w:val="auto"/>
              </w:rPr>
              <w:t>Grant</w:t>
            </w:r>
          </w:p>
        </w:tc>
        <w:tc>
          <w:tcPr>
            <w:tcW w:w="2700" w:type="dxa"/>
            <w:vAlign w:val="bottom"/>
          </w:tcPr>
          <w:p>
            <w:pPr>
              <w:jc w:val="center"/>
              <w:ind w:left="1161"/>
              <w:spacing w:after="0"/>
              <w:rPr>
                <w:sz w:val="20"/>
                <w:szCs w:val="20"/>
                <w:color w:val="auto"/>
              </w:rPr>
            </w:pPr>
            <w:r>
              <w:rPr>
                <w:rFonts w:ascii="Arial" w:cs="Arial" w:eastAsia="Arial" w:hAnsi="Arial"/>
                <w:sz w:val="13"/>
                <w:szCs w:val="13"/>
                <w:b w:val="1"/>
                <w:bCs w:val="1"/>
                <w:color w:val="auto"/>
              </w:rPr>
              <w:t>Disability</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9"/>
              </w:rPr>
              <w:t>Eligible</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9"/>
              </w:rPr>
              <w:t>Eligible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Cause</w:t>
            </w:r>
          </w:p>
        </w:tc>
        <w:tc>
          <w:tcPr>
            <w:tcW w:w="1240" w:type="dxa"/>
            <w:vAlign w:val="bottom"/>
          </w:tcPr>
          <w:p>
            <w:pPr>
              <w:jc w:val="center"/>
              <w:ind w:left="62"/>
              <w:spacing w:after="0"/>
              <w:rPr>
                <w:sz w:val="20"/>
                <w:szCs w:val="20"/>
                <w:color w:val="auto"/>
              </w:rPr>
            </w:pPr>
            <w:r>
              <w:rPr>
                <w:rFonts w:ascii="Arial" w:cs="Arial" w:eastAsia="Arial" w:hAnsi="Arial"/>
                <w:sz w:val="13"/>
                <w:szCs w:val="13"/>
                <w:b w:val="1"/>
                <w:bCs w:val="1"/>
                <w:color w:val="auto"/>
                <w:w w:val="99"/>
              </w:rPr>
              <w:t>Termination</w:t>
            </w:r>
          </w:p>
        </w:tc>
      </w:tr>
      <w:tr>
        <w:trPr>
          <w:trHeight w:val="233"/>
        </w:trPr>
        <w:tc>
          <w:tcPr>
            <w:tcW w:w="2740" w:type="dxa"/>
            <w:vAlign w:val="bottom"/>
            <w:shd w:val="clear" w:color="auto" w:fill="E9E9E9"/>
          </w:tcPr>
          <w:p>
            <w:pPr>
              <w:spacing w:after="0"/>
              <w:rPr>
                <w:sz w:val="20"/>
                <w:szCs w:val="20"/>
                <w:color w:val="auto"/>
              </w:rPr>
            </w:pPr>
          </w:p>
        </w:tc>
        <w:tc>
          <w:tcPr>
            <w:tcW w:w="2700" w:type="dxa"/>
            <w:vAlign w:val="bottom"/>
            <w:shd w:val="clear" w:color="auto" w:fill="E9E9E9"/>
          </w:tcPr>
          <w:p>
            <w:pPr>
              <w:spacing w:after="0"/>
              <w:rPr>
                <w:sz w:val="20"/>
                <w:szCs w:val="20"/>
                <w:color w:val="auto"/>
              </w:rPr>
            </w:pPr>
          </w:p>
        </w:tc>
        <w:tc>
          <w:tcPr>
            <w:tcW w:w="1520" w:type="dxa"/>
            <w:vAlign w:val="bottom"/>
            <w:shd w:val="clear" w:color="auto" w:fill="E9E9E9"/>
          </w:tcPr>
          <w:p>
            <w:pPr>
              <w:spacing w:after="0"/>
              <w:rPr>
                <w:sz w:val="20"/>
                <w:szCs w:val="20"/>
                <w:color w:val="auto"/>
              </w:rPr>
            </w:pPr>
          </w:p>
        </w:tc>
        <w:tc>
          <w:tcPr>
            <w:tcW w:w="1960" w:type="dxa"/>
            <w:vAlign w:val="bottom"/>
            <w:shd w:val="clear" w:color="auto" w:fill="E9E9E9"/>
          </w:tcPr>
          <w:p>
            <w:pPr>
              <w:spacing w:after="0"/>
              <w:rPr>
                <w:sz w:val="20"/>
                <w:szCs w:val="20"/>
                <w:color w:val="auto"/>
              </w:rPr>
            </w:pPr>
          </w:p>
        </w:tc>
        <w:tc>
          <w:tcPr>
            <w:tcW w:w="1260" w:type="dxa"/>
            <w:vAlign w:val="bottom"/>
            <w:shd w:val="clear" w:color="auto" w:fill="E9E9E9"/>
          </w:tcPr>
          <w:p>
            <w:pPr>
              <w:spacing w:after="0"/>
              <w:rPr>
                <w:sz w:val="20"/>
                <w:szCs w:val="20"/>
                <w:color w:val="auto"/>
              </w:rPr>
            </w:pPr>
          </w:p>
        </w:tc>
        <w:tc>
          <w:tcPr>
            <w:tcW w:w="1240" w:type="dxa"/>
            <w:vAlign w:val="bottom"/>
            <w:shd w:val="clear" w:color="auto" w:fill="E9E9E9"/>
          </w:tcPr>
          <w:p>
            <w:pPr>
              <w:spacing w:after="0"/>
              <w:rPr>
                <w:sz w:val="20"/>
                <w:szCs w:val="20"/>
                <w:color w:val="auto"/>
              </w:rPr>
            </w:pPr>
          </w:p>
        </w:tc>
      </w:tr>
      <w:tr>
        <w:trPr>
          <w:trHeight w:val="197"/>
        </w:trPr>
        <w:tc>
          <w:tcPr>
            <w:tcW w:w="2740" w:type="dxa"/>
            <w:vAlign w:val="bottom"/>
            <w:shd w:val="clear" w:color="auto" w:fill="C0C0C0"/>
          </w:tcPr>
          <w:p>
            <w:pPr>
              <w:spacing w:after="0"/>
              <w:rPr>
                <w:sz w:val="20"/>
                <w:szCs w:val="20"/>
                <w:color w:val="auto"/>
              </w:rPr>
            </w:pPr>
            <w:r>
              <w:rPr>
                <w:rFonts w:ascii="Arial" w:cs="Arial" w:eastAsia="Arial" w:hAnsi="Arial"/>
                <w:sz w:val="17"/>
                <w:szCs w:val="17"/>
                <w:color w:val="auto"/>
              </w:rPr>
              <w:t>Before</w:t>
            </w:r>
          </w:p>
        </w:tc>
        <w:tc>
          <w:tcPr>
            <w:tcW w:w="2700" w:type="dxa"/>
            <w:vAlign w:val="bottom"/>
            <w:shd w:val="clear" w:color="auto" w:fill="C0C0C0"/>
          </w:tcPr>
          <w:p>
            <w:pPr>
              <w:spacing w:after="0"/>
              <w:rPr>
                <w:sz w:val="17"/>
                <w:szCs w:val="17"/>
                <w:color w:val="auto"/>
              </w:rPr>
            </w:pPr>
          </w:p>
        </w:tc>
        <w:tc>
          <w:tcPr>
            <w:tcW w:w="1520" w:type="dxa"/>
            <w:vAlign w:val="bottom"/>
            <w:shd w:val="clear" w:color="auto" w:fill="C0C0C0"/>
          </w:tcPr>
          <w:p>
            <w:pPr>
              <w:spacing w:after="0"/>
              <w:rPr>
                <w:sz w:val="17"/>
                <w:szCs w:val="17"/>
                <w:color w:val="auto"/>
              </w:rPr>
            </w:pPr>
          </w:p>
        </w:tc>
        <w:tc>
          <w:tcPr>
            <w:tcW w:w="1960" w:type="dxa"/>
            <w:vAlign w:val="bottom"/>
            <w:shd w:val="clear" w:color="auto" w:fill="C0C0C0"/>
          </w:tcPr>
          <w:p>
            <w:pPr>
              <w:spacing w:after="0"/>
              <w:rPr>
                <w:sz w:val="17"/>
                <w:szCs w:val="17"/>
                <w:color w:val="auto"/>
              </w:rPr>
            </w:pPr>
          </w:p>
        </w:tc>
        <w:tc>
          <w:tcPr>
            <w:tcW w:w="126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r>
      <w:tr>
        <w:trPr>
          <w:trHeight w:val="194"/>
        </w:trPr>
        <w:tc>
          <w:tcPr>
            <w:tcW w:w="27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February 20, 2003</w:t>
            </w: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Vesting</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Vesting</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Vesting continues;</w:t>
            </w:r>
          </w:p>
        </w:tc>
        <w:tc>
          <w:tcPr>
            <w:tcW w:w="126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Option</w:t>
            </w: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Option</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continues;</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continues; option</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option remains in effect</w:t>
            </w:r>
          </w:p>
        </w:tc>
        <w:tc>
          <w:tcPr>
            <w:tcW w:w="126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cancels</w:t>
            </w: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remains</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option remains</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remains in effect</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to end of term</w:t>
            </w: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w w:val="97"/>
              </w:rPr>
              <w:t>exercisable for</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in effect to end</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to end of term</w:t>
            </w:r>
          </w:p>
        </w:tc>
        <w:tc>
          <w:tcPr>
            <w:tcW w:w="1960" w:type="dxa"/>
            <w:vAlign w:val="bottom"/>
            <w:shd w:val="clear" w:color="auto" w:fill="C0C0C0"/>
          </w:tcPr>
          <w:p>
            <w:pPr>
              <w:spacing w:after="0"/>
              <w:rPr>
                <w:sz w:val="16"/>
                <w:szCs w:val="16"/>
                <w:color w:val="auto"/>
              </w:rPr>
            </w:pP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30 days</w:t>
            </w:r>
          </w:p>
        </w:tc>
      </w:tr>
      <w:tr>
        <w:trPr>
          <w:trHeight w:val="191"/>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1" w:lineRule="exact"/>
              <w:rPr>
                <w:sz w:val="20"/>
                <w:szCs w:val="20"/>
                <w:color w:val="auto"/>
              </w:rPr>
            </w:pPr>
            <w:r>
              <w:rPr>
                <w:rFonts w:ascii="Arial" w:cs="Arial" w:eastAsia="Arial" w:hAnsi="Arial"/>
                <w:sz w:val="17"/>
                <w:szCs w:val="17"/>
                <w:color w:val="auto"/>
              </w:rPr>
              <w:t>of term</w:t>
            </w:r>
          </w:p>
        </w:tc>
        <w:tc>
          <w:tcPr>
            <w:tcW w:w="1520" w:type="dxa"/>
            <w:vAlign w:val="bottom"/>
            <w:shd w:val="clear" w:color="auto" w:fill="C0C0C0"/>
          </w:tcPr>
          <w:p>
            <w:pPr>
              <w:spacing w:after="0"/>
              <w:rPr>
                <w:sz w:val="16"/>
                <w:szCs w:val="16"/>
                <w:color w:val="auto"/>
              </w:rPr>
            </w:pPr>
          </w:p>
        </w:tc>
        <w:tc>
          <w:tcPr>
            <w:tcW w:w="1960" w:type="dxa"/>
            <w:vAlign w:val="bottom"/>
            <w:shd w:val="clear" w:color="auto" w:fill="C0C0C0"/>
          </w:tcPr>
          <w:p>
            <w:pPr>
              <w:spacing w:after="0"/>
              <w:rPr>
                <w:sz w:val="16"/>
                <w:szCs w:val="16"/>
                <w:color w:val="auto"/>
              </w:rPr>
            </w:pP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spacing w:after="0"/>
              <w:rPr>
                <w:sz w:val="16"/>
                <w:szCs w:val="16"/>
                <w:color w:val="auto"/>
              </w:rPr>
            </w:pPr>
          </w:p>
        </w:tc>
      </w:tr>
      <w:tr>
        <w:trPr>
          <w:trHeight w:val="233"/>
        </w:trPr>
        <w:tc>
          <w:tcPr>
            <w:tcW w:w="2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97"/>
        </w:trPr>
        <w:tc>
          <w:tcPr>
            <w:tcW w:w="2740" w:type="dxa"/>
            <w:vAlign w:val="bottom"/>
            <w:shd w:val="clear" w:color="auto" w:fill="C0C0C0"/>
          </w:tcPr>
          <w:p>
            <w:pPr>
              <w:spacing w:after="0"/>
              <w:rPr>
                <w:sz w:val="20"/>
                <w:szCs w:val="20"/>
                <w:color w:val="auto"/>
              </w:rPr>
            </w:pPr>
            <w:r>
              <w:rPr>
                <w:rFonts w:ascii="Arial" w:cs="Arial" w:eastAsia="Arial" w:hAnsi="Arial"/>
                <w:sz w:val="17"/>
                <w:szCs w:val="17"/>
                <w:color w:val="auto"/>
              </w:rPr>
              <w:t>On or after</w:t>
            </w:r>
          </w:p>
        </w:tc>
        <w:tc>
          <w:tcPr>
            <w:tcW w:w="2700" w:type="dxa"/>
            <w:vAlign w:val="bottom"/>
            <w:shd w:val="clear" w:color="auto" w:fill="C0C0C0"/>
          </w:tcPr>
          <w:p>
            <w:pPr>
              <w:spacing w:after="0"/>
              <w:rPr>
                <w:sz w:val="17"/>
                <w:szCs w:val="17"/>
                <w:color w:val="auto"/>
              </w:rPr>
            </w:pPr>
          </w:p>
        </w:tc>
        <w:tc>
          <w:tcPr>
            <w:tcW w:w="1520" w:type="dxa"/>
            <w:vAlign w:val="bottom"/>
            <w:shd w:val="clear" w:color="auto" w:fill="C0C0C0"/>
          </w:tcPr>
          <w:p>
            <w:pPr>
              <w:spacing w:after="0"/>
              <w:rPr>
                <w:sz w:val="17"/>
                <w:szCs w:val="17"/>
                <w:color w:val="auto"/>
              </w:rPr>
            </w:pPr>
          </w:p>
        </w:tc>
        <w:tc>
          <w:tcPr>
            <w:tcW w:w="1960" w:type="dxa"/>
            <w:vAlign w:val="bottom"/>
            <w:shd w:val="clear" w:color="auto" w:fill="C0C0C0"/>
          </w:tcPr>
          <w:p>
            <w:pPr>
              <w:spacing w:after="0"/>
              <w:rPr>
                <w:sz w:val="17"/>
                <w:szCs w:val="17"/>
                <w:color w:val="auto"/>
              </w:rPr>
            </w:pPr>
          </w:p>
        </w:tc>
        <w:tc>
          <w:tcPr>
            <w:tcW w:w="1260" w:type="dxa"/>
            <w:vAlign w:val="bottom"/>
            <w:shd w:val="clear" w:color="auto" w:fill="C0C0C0"/>
          </w:tcPr>
          <w:p>
            <w:pPr>
              <w:spacing w:after="0"/>
              <w:rPr>
                <w:sz w:val="17"/>
                <w:szCs w:val="17"/>
                <w:color w:val="auto"/>
              </w:rPr>
            </w:pPr>
          </w:p>
        </w:tc>
        <w:tc>
          <w:tcPr>
            <w:tcW w:w="1240" w:type="dxa"/>
            <w:vAlign w:val="bottom"/>
            <w:shd w:val="clear" w:color="auto" w:fill="C0C0C0"/>
          </w:tcPr>
          <w:p>
            <w:pPr>
              <w:spacing w:after="0"/>
              <w:rPr>
                <w:sz w:val="17"/>
                <w:szCs w:val="17"/>
                <w:color w:val="auto"/>
              </w:rPr>
            </w:pPr>
          </w:p>
        </w:tc>
      </w:tr>
      <w:tr>
        <w:trPr>
          <w:trHeight w:val="194"/>
        </w:trPr>
        <w:tc>
          <w:tcPr>
            <w:tcW w:w="27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February 20, 2003</w:t>
            </w: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Vesting</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Vesting</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Option remains in</w:t>
            </w:r>
          </w:p>
        </w:tc>
        <w:tc>
          <w:tcPr>
            <w:tcW w:w="126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Option</w:t>
            </w: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Option</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continues;</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continues; option</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effect to the end of the</w:t>
            </w:r>
          </w:p>
        </w:tc>
        <w:tc>
          <w:tcPr>
            <w:tcW w:w="126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cancels</w:t>
            </w: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remains</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option remains</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remains in effect</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term; vesting does not</w:t>
            </w: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w w:val="97"/>
              </w:rPr>
              <w:t>exercisable for</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in effect to end</w:t>
            </w:r>
          </w:p>
        </w:tc>
        <w:tc>
          <w:tcPr>
            <w:tcW w:w="152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to end of its term</w:t>
            </w: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continue after</w:t>
            </w: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ind w:left="140"/>
              <w:spacing w:after="0" w:line="194" w:lineRule="exact"/>
              <w:rPr>
                <w:sz w:val="20"/>
                <w:szCs w:val="20"/>
                <w:color w:val="auto"/>
              </w:rPr>
            </w:pPr>
            <w:r>
              <w:rPr>
                <w:rFonts w:ascii="Arial" w:cs="Arial" w:eastAsia="Arial" w:hAnsi="Arial"/>
                <w:sz w:val="17"/>
                <w:szCs w:val="17"/>
                <w:color w:val="auto"/>
              </w:rPr>
              <w:t>30 days</w:t>
            </w:r>
          </w:p>
        </w:tc>
      </w:tr>
      <w:tr>
        <w:trPr>
          <w:trHeight w:val="194"/>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ind w:left="1340"/>
              <w:spacing w:after="0" w:line="194" w:lineRule="exact"/>
              <w:rPr>
                <w:sz w:val="20"/>
                <w:szCs w:val="20"/>
                <w:color w:val="auto"/>
              </w:rPr>
            </w:pPr>
            <w:r>
              <w:rPr>
                <w:rFonts w:ascii="Arial" w:cs="Arial" w:eastAsia="Arial" w:hAnsi="Arial"/>
                <w:sz w:val="17"/>
                <w:szCs w:val="17"/>
                <w:color w:val="auto"/>
              </w:rPr>
              <w:t>of term</w:t>
            </w:r>
          </w:p>
        </w:tc>
        <w:tc>
          <w:tcPr>
            <w:tcW w:w="1520" w:type="dxa"/>
            <w:vAlign w:val="bottom"/>
            <w:shd w:val="clear" w:color="auto" w:fill="C0C0C0"/>
          </w:tcPr>
          <w:p>
            <w:pPr>
              <w:spacing w:after="0"/>
              <w:rPr>
                <w:sz w:val="16"/>
                <w:szCs w:val="16"/>
                <w:color w:val="auto"/>
              </w:rPr>
            </w:pPr>
          </w:p>
        </w:tc>
        <w:tc>
          <w:tcPr>
            <w:tcW w:w="19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employment</w:t>
            </w: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spacing w:after="0"/>
              <w:rPr>
                <w:sz w:val="16"/>
                <w:szCs w:val="16"/>
                <w:color w:val="auto"/>
              </w:rPr>
            </w:pPr>
          </w:p>
        </w:tc>
      </w:tr>
      <w:tr>
        <w:trPr>
          <w:trHeight w:val="191"/>
        </w:trPr>
        <w:tc>
          <w:tcPr>
            <w:tcW w:w="2740" w:type="dxa"/>
            <w:vAlign w:val="bottom"/>
            <w:shd w:val="clear" w:color="auto" w:fill="C0C0C0"/>
          </w:tcPr>
          <w:p>
            <w:pPr>
              <w:spacing w:after="0"/>
              <w:rPr>
                <w:sz w:val="16"/>
                <w:szCs w:val="16"/>
                <w:color w:val="auto"/>
              </w:rPr>
            </w:pPr>
          </w:p>
        </w:tc>
        <w:tc>
          <w:tcPr>
            <w:tcW w:w="2700" w:type="dxa"/>
            <w:vAlign w:val="bottom"/>
            <w:shd w:val="clear" w:color="auto" w:fill="C0C0C0"/>
          </w:tcPr>
          <w:p>
            <w:pPr>
              <w:spacing w:after="0"/>
              <w:rPr>
                <w:sz w:val="16"/>
                <w:szCs w:val="16"/>
                <w:color w:val="auto"/>
              </w:rPr>
            </w:pPr>
          </w:p>
        </w:tc>
        <w:tc>
          <w:tcPr>
            <w:tcW w:w="1520" w:type="dxa"/>
            <w:vAlign w:val="bottom"/>
            <w:shd w:val="clear" w:color="auto" w:fill="C0C0C0"/>
          </w:tcPr>
          <w:p>
            <w:pPr>
              <w:spacing w:after="0"/>
              <w:rPr>
                <w:sz w:val="16"/>
                <w:szCs w:val="16"/>
                <w:color w:val="auto"/>
              </w:rPr>
            </w:pPr>
          </w:p>
        </w:tc>
        <w:tc>
          <w:tcPr>
            <w:tcW w:w="1960" w:type="dxa"/>
            <w:vAlign w:val="bottom"/>
            <w:shd w:val="clear" w:color="auto" w:fill="C0C0C0"/>
          </w:tcPr>
          <w:p>
            <w:pPr>
              <w:ind w:left="120"/>
              <w:spacing w:after="0" w:line="191" w:lineRule="exact"/>
              <w:rPr>
                <w:sz w:val="20"/>
                <w:szCs w:val="20"/>
                <w:color w:val="auto"/>
              </w:rPr>
            </w:pPr>
            <w:r>
              <w:rPr>
                <w:rFonts w:ascii="Arial" w:cs="Arial" w:eastAsia="Arial" w:hAnsi="Arial"/>
                <w:sz w:val="17"/>
                <w:szCs w:val="17"/>
                <w:color w:val="auto"/>
              </w:rPr>
              <w:t>termination</w:t>
            </w:r>
          </w:p>
        </w:tc>
        <w:tc>
          <w:tcPr>
            <w:tcW w:w="1260" w:type="dxa"/>
            <w:vAlign w:val="bottom"/>
            <w:shd w:val="clear" w:color="auto" w:fill="C0C0C0"/>
          </w:tcPr>
          <w:p>
            <w:pPr>
              <w:spacing w:after="0"/>
              <w:rPr>
                <w:sz w:val="16"/>
                <w:szCs w:val="16"/>
                <w:color w:val="auto"/>
              </w:rPr>
            </w:pPr>
          </w:p>
        </w:tc>
        <w:tc>
          <w:tcPr>
            <w:tcW w:w="1240" w:type="dxa"/>
            <w:vAlign w:val="bottom"/>
            <w:shd w:val="clear" w:color="auto" w:fill="C0C0C0"/>
          </w:tcPr>
          <w:p>
            <w:pPr>
              <w:spacing w:after="0"/>
              <w:rPr>
                <w:sz w:val="16"/>
                <w:szCs w:val="16"/>
                <w:color w:val="auto"/>
              </w:rPr>
            </w:pPr>
          </w:p>
        </w:tc>
      </w:tr>
    </w:tbl>
    <w:p>
      <w:pPr>
        <w:spacing w:after="0" w:line="200" w:lineRule="exact"/>
        <w:rPr>
          <w:sz w:val="20"/>
          <w:szCs w:val="20"/>
          <w:color w:val="auto"/>
        </w:rPr>
      </w:pPr>
    </w:p>
    <w:p>
      <w:pPr>
        <w:spacing w:after="0" w:line="24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Options may be cancelled if the grantee competes with TI during the two years after employment termination or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or disclosure of our confidential information.</w:t>
      </w:r>
    </w:p>
    <w:p>
      <w:pPr>
        <w:spacing w:after="0" w:line="18" w:lineRule="exact"/>
        <w:rPr>
          <w:sz w:val="20"/>
          <w:szCs w:val="20"/>
          <w:color w:val="auto"/>
        </w:rPr>
      </w:pPr>
    </w:p>
    <w:p>
      <w:pPr>
        <w:ind w:right="80" w:firstLine="259"/>
        <w:spacing w:after="0" w:line="243" w:lineRule="auto"/>
        <w:rPr>
          <w:sz w:val="20"/>
          <w:szCs w:val="20"/>
          <w:color w:val="auto"/>
        </w:rPr>
      </w:pPr>
      <w:r>
        <w:rPr>
          <w:rFonts w:ascii="Arial" w:cs="Arial" w:eastAsia="Arial" w:hAnsi="Arial"/>
          <w:sz w:val="17"/>
          <w:szCs w:val="17"/>
          <w:color w:val="auto"/>
        </w:rPr>
        <w:t>The stock option terms also provide that upon a change in control of TI, the option becomes fully vested to the extent it is then outstanding. Further, if employment termination (except for cause) has occurred within 30 days before the change in control, the change in control is deemed to have occurred first. “Change in control” is defined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“standard definition”). TI stock options have had these change-in-control terms for many years. They are intended to reduce employee uncertainty and distraction in the period leading up to a change in control, if such an event were to occur.</w:t>
      </w:r>
    </w:p>
    <w:p>
      <w:pPr>
        <w:sectPr>
          <w:pgSz w:w="11900" w:h="16838" w:orient="portrait"/>
          <w:cols w:equalWidth="0" w:num="1">
            <w:col w:w="11420"/>
          </w:cols>
          <w:pgMar w:left="240" w:top="140" w:right="239" w:bottom="13" w:gutter="0" w:footer="0" w:header="0"/>
        </w:sectPr>
      </w:pPr>
    </w:p>
    <w:bookmarkStart w:id="20" w:name="page21"/>
    <w:bookmarkEnd w:id="20"/>
    <w:p>
      <w:pPr>
        <w:spacing w:after="0" w:line="6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Stock Awards</w:t>
      </w:r>
      <w:r>
        <w:rPr>
          <w:rFonts w:ascii="Arial" w:cs="Arial" w:eastAsia="Arial" w:hAnsi="Arial"/>
          <w:sz w:val="17"/>
          <w:szCs w:val="17"/>
          <w:color w:val="auto"/>
        </w:rPr>
        <w:t>” in the table of Outstanding Equity Awards at Fiscal Year-End 2008 are restricted stock unit (RSU) awards. Each RSU represents the right to receive one share of TI common stock on a stated date (the “vesting date”) unless the award is terminated earlier under terms summarized below. In general, the vesting date is approximately four years after the grant date. Except for 2006 grants, each RSU includes the right to receive dividend equivalents, which are paid annually in cash at a rate equal to the amount paid to stockholders in dividends. The table below shows the termination provisions of outstanding RSUs as of December 31, 2008.</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[ 76 ]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4000" w:type="dxa"/>
            <w:vAlign w:val="bottom"/>
          </w:tcPr>
          <w:p>
            <w:pPr>
              <w:ind w:left="2280"/>
              <w:spacing w:after="0"/>
              <w:rPr>
                <w:sz w:val="20"/>
                <w:szCs w:val="20"/>
                <w:color w:val="auto"/>
              </w:rPr>
            </w:pPr>
            <w:r>
              <w:rPr>
                <w:rFonts w:ascii="Arial" w:cs="Arial" w:eastAsia="Arial" w:hAnsi="Arial"/>
                <w:sz w:val="13"/>
                <w:szCs w:val="13"/>
                <w:b w:val="1"/>
                <w:bCs w:val="1"/>
                <w:color w:val="auto"/>
              </w:rPr>
              <w:t>Employment Termination</w:t>
            </w:r>
          </w:p>
        </w:tc>
        <w:tc>
          <w:tcPr>
            <w:tcW w:w="2160" w:type="dxa"/>
            <w:vAlign w:val="bottom"/>
          </w:tcPr>
          <w:p>
            <w:pPr>
              <w:spacing w:after="0"/>
              <w:rPr>
                <w:sz w:val="13"/>
                <w:szCs w:val="13"/>
                <w:color w:val="auto"/>
              </w:rPr>
            </w:pPr>
          </w:p>
        </w:tc>
        <w:tc>
          <w:tcPr>
            <w:tcW w:w="1780" w:type="dxa"/>
            <w:vAlign w:val="bottom"/>
          </w:tcPr>
          <w:p>
            <w:pPr>
              <w:ind w:left="100"/>
              <w:spacing w:after="0"/>
              <w:rPr>
                <w:sz w:val="20"/>
                <w:szCs w:val="20"/>
                <w:color w:val="auto"/>
              </w:rPr>
            </w:pPr>
            <w:r>
              <w:rPr>
                <w:rFonts w:ascii="Arial" w:cs="Arial" w:eastAsia="Arial" w:hAnsi="Arial"/>
                <w:sz w:val="13"/>
                <w:szCs w:val="13"/>
                <w:b w:val="1"/>
                <w:bCs w:val="1"/>
                <w:color w:val="auto"/>
              </w:rPr>
              <w:t>Other Circumstances</w:t>
            </w:r>
          </w:p>
        </w:tc>
      </w:tr>
      <w:tr>
        <w:trPr>
          <w:trHeight w:val="171"/>
        </w:trPr>
        <w:tc>
          <w:tcPr>
            <w:tcW w:w="3480" w:type="dxa"/>
            <w:vAlign w:val="bottom"/>
          </w:tcPr>
          <w:p>
            <w:pPr>
              <w:spacing w:after="0"/>
              <w:rPr>
                <w:sz w:val="14"/>
                <w:szCs w:val="14"/>
                <w:color w:val="auto"/>
              </w:rPr>
            </w:pPr>
          </w:p>
        </w:tc>
        <w:tc>
          <w:tcPr>
            <w:tcW w:w="4000" w:type="dxa"/>
            <w:vAlign w:val="bottom"/>
          </w:tcPr>
          <w:p>
            <w:pPr>
              <w:ind w:left="2220"/>
              <w:spacing w:after="0"/>
              <w:rPr>
                <w:sz w:val="20"/>
                <w:szCs w:val="20"/>
                <w:color w:val="auto"/>
              </w:rPr>
            </w:pPr>
            <w:r>
              <w:rPr>
                <w:rFonts w:ascii="Arial" w:cs="Arial" w:eastAsia="Arial" w:hAnsi="Arial"/>
                <w:sz w:val="13"/>
                <w:szCs w:val="13"/>
                <w:b w:val="1"/>
                <w:bCs w:val="1"/>
                <w:color w:val="auto"/>
              </w:rPr>
              <w:t>Due to Death or Permanent</w:t>
            </w:r>
          </w:p>
        </w:tc>
        <w:tc>
          <w:tcPr>
            <w:tcW w:w="2160" w:type="dxa"/>
            <w:vAlign w:val="bottom"/>
          </w:tcPr>
          <w:p>
            <w:pPr>
              <w:ind w:left="120"/>
              <w:spacing w:after="0"/>
              <w:rPr>
                <w:sz w:val="20"/>
                <w:szCs w:val="20"/>
                <w:color w:val="auto"/>
              </w:rPr>
            </w:pPr>
            <w:r>
              <w:rPr>
                <w:rFonts w:ascii="Arial" w:cs="Arial" w:eastAsia="Arial" w:hAnsi="Arial"/>
                <w:sz w:val="13"/>
                <w:szCs w:val="13"/>
                <w:b w:val="1"/>
                <w:bCs w:val="1"/>
                <w:color w:val="auto"/>
              </w:rPr>
              <w:t>Employment Termination When</w:t>
            </w:r>
          </w:p>
        </w:tc>
        <w:tc>
          <w:tcPr>
            <w:tcW w:w="1780" w:type="dxa"/>
            <w:vAlign w:val="bottom"/>
          </w:tcPr>
          <w:p>
            <w:pPr>
              <w:ind w:left="480"/>
              <w:spacing w:after="0"/>
              <w:rPr>
                <w:sz w:val="20"/>
                <w:szCs w:val="20"/>
                <w:color w:val="auto"/>
              </w:rPr>
            </w:pPr>
            <w:r>
              <w:rPr>
                <w:rFonts w:ascii="Arial" w:cs="Arial" w:eastAsia="Arial" w:hAnsi="Arial"/>
                <w:sz w:val="13"/>
                <w:szCs w:val="13"/>
                <w:b w:val="1"/>
                <w:bCs w:val="1"/>
                <w:color w:val="auto"/>
              </w:rPr>
              <w:t>of Employment</w:t>
            </w:r>
          </w:p>
        </w:tc>
      </w:tr>
      <w:tr>
        <w:trPr>
          <w:trHeight w:val="221"/>
        </w:trPr>
        <w:tc>
          <w:tcPr>
            <w:tcW w:w="3480" w:type="dxa"/>
            <w:vAlign w:val="bottom"/>
          </w:tcPr>
          <w:p>
            <w:pPr>
              <w:spacing w:after="0"/>
              <w:rPr>
                <w:sz w:val="20"/>
                <w:szCs w:val="20"/>
                <w:color w:val="auto"/>
              </w:rPr>
            </w:pPr>
            <w:r>
              <w:rPr>
                <w:rFonts w:ascii="Arial" w:cs="Arial" w:eastAsia="Arial" w:hAnsi="Arial"/>
                <w:sz w:val="13"/>
                <w:szCs w:val="13"/>
                <w:b w:val="1"/>
                <w:bCs w:val="1"/>
                <w:color w:val="auto"/>
              </w:rPr>
              <w:t>Grant</w:t>
            </w:r>
          </w:p>
        </w:tc>
        <w:tc>
          <w:tcPr>
            <w:tcW w:w="4000" w:type="dxa"/>
            <w:vAlign w:val="bottom"/>
          </w:tcPr>
          <w:p>
            <w:pPr>
              <w:ind w:left="2760"/>
              <w:spacing w:after="0"/>
              <w:rPr>
                <w:sz w:val="20"/>
                <w:szCs w:val="20"/>
                <w:color w:val="auto"/>
              </w:rPr>
            </w:pPr>
            <w:r>
              <w:rPr>
                <w:rFonts w:ascii="Arial" w:cs="Arial" w:eastAsia="Arial" w:hAnsi="Arial"/>
                <w:sz w:val="13"/>
                <w:szCs w:val="13"/>
                <w:b w:val="1"/>
                <w:bCs w:val="1"/>
                <w:color w:val="auto"/>
              </w:rPr>
              <w:t>Disability</w:t>
            </w:r>
          </w:p>
        </w:tc>
        <w:tc>
          <w:tcPr>
            <w:tcW w:w="2160" w:type="dxa"/>
            <w:vAlign w:val="bottom"/>
          </w:tcPr>
          <w:p>
            <w:pPr>
              <w:ind w:left="500"/>
              <w:spacing w:after="0"/>
              <w:rPr>
                <w:sz w:val="20"/>
                <w:szCs w:val="20"/>
                <w:color w:val="auto"/>
              </w:rPr>
            </w:pPr>
            <w:r>
              <w:rPr>
                <w:rFonts w:ascii="Arial" w:cs="Arial" w:eastAsia="Arial" w:hAnsi="Arial"/>
                <w:sz w:val="13"/>
                <w:szCs w:val="13"/>
                <w:b w:val="1"/>
                <w:bCs w:val="1"/>
                <w:color w:val="auto"/>
              </w:rPr>
              <w:t>Retirement Eligible</w:t>
            </w:r>
          </w:p>
        </w:tc>
        <w:tc>
          <w:tcPr>
            <w:tcW w:w="1780" w:type="dxa"/>
            <w:vAlign w:val="bottom"/>
          </w:tcPr>
          <w:p>
            <w:pPr>
              <w:ind w:left="580"/>
              <w:spacing w:after="0"/>
              <w:rPr>
                <w:sz w:val="20"/>
                <w:szCs w:val="20"/>
                <w:color w:val="auto"/>
              </w:rPr>
            </w:pPr>
            <w:r>
              <w:rPr>
                <w:rFonts w:ascii="Arial" w:cs="Arial" w:eastAsia="Arial" w:hAnsi="Arial"/>
                <w:sz w:val="13"/>
                <w:szCs w:val="13"/>
                <w:b w:val="1"/>
                <w:bCs w:val="1"/>
                <w:color w:val="auto"/>
              </w:rPr>
              <w:t>Termination</w:t>
            </w:r>
          </w:p>
        </w:tc>
      </w:tr>
      <w:tr>
        <w:trPr>
          <w:trHeight w:val="233"/>
        </w:trPr>
        <w:tc>
          <w:tcPr>
            <w:tcW w:w="3480" w:type="dxa"/>
            <w:vAlign w:val="bottom"/>
            <w:shd w:val="clear" w:color="auto" w:fill="E9E9E9"/>
          </w:tcPr>
          <w:p>
            <w:pPr>
              <w:spacing w:after="0"/>
              <w:rPr>
                <w:sz w:val="20"/>
                <w:szCs w:val="20"/>
                <w:color w:val="auto"/>
              </w:rPr>
            </w:pPr>
          </w:p>
        </w:tc>
        <w:tc>
          <w:tcPr>
            <w:tcW w:w="4000" w:type="dxa"/>
            <w:vAlign w:val="bottom"/>
            <w:shd w:val="clear" w:color="auto" w:fill="E9E9E9"/>
          </w:tcPr>
          <w:p>
            <w:pPr>
              <w:spacing w:after="0"/>
              <w:rPr>
                <w:sz w:val="20"/>
                <w:szCs w:val="20"/>
                <w:color w:val="auto"/>
              </w:rPr>
            </w:pPr>
          </w:p>
        </w:tc>
        <w:tc>
          <w:tcPr>
            <w:tcW w:w="2160" w:type="dxa"/>
            <w:vAlign w:val="bottom"/>
            <w:shd w:val="clear" w:color="auto" w:fill="E9E9E9"/>
          </w:tcPr>
          <w:p>
            <w:pPr>
              <w:spacing w:after="0"/>
              <w:rPr>
                <w:sz w:val="20"/>
                <w:szCs w:val="20"/>
                <w:color w:val="auto"/>
              </w:rPr>
            </w:pPr>
          </w:p>
        </w:tc>
        <w:tc>
          <w:tcPr>
            <w:tcW w:w="1780" w:type="dxa"/>
            <w:vAlign w:val="bottom"/>
            <w:shd w:val="clear" w:color="auto" w:fill="E9E9E9"/>
          </w:tcPr>
          <w:p>
            <w:pPr>
              <w:spacing w:after="0"/>
              <w:rPr>
                <w:sz w:val="20"/>
                <w:szCs w:val="20"/>
                <w:color w:val="auto"/>
              </w:rPr>
            </w:pPr>
          </w:p>
        </w:tc>
      </w:tr>
      <w:tr>
        <w:trPr>
          <w:trHeight w:val="197"/>
        </w:trPr>
        <w:tc>
          <w:tcPr>
            <w:tcW w:w="3480" w:type="dxa"/>
            <w:vAlign w:val="bottom"/>
            <w:shd w:val="clear" w:color="auto" w:fill="C0C0C0"/>
          </w:tcPr>
          <w:p>
            <w:pPr>
              <w:spacing w:after="0"/>
              <w:rPr>
                <w:sz w:val="20"/>
                <w:szCs w:val="20"/>
                <w:color w:val="auto"/>
              </w:rPr>
            </w:pPr>
            <w:r>
              <w:rPr>
                <w:rFonts w:ascii="Arial" w:cs="Arial" w:eastAsia="Arial" w:hAnsi="Arial"/>
                <w:sz w:val="17"/>
                <w:szCs w:val="17"/>
                <w:color w:val="auto"/>
              </w:rPr>
              <w:t>Before</w:t>
            </w:r>
          </w:p>
        </w:tc>
        <w:tc>
          <w:tcPr>
            <w:tcW w:w="4000" w:type="dxa"/>
            <w:vAlign w:val="bottom"/>
            <w:shd w:val="clear" w:color="auto" w:fill="C0C0C0"/>
          </w:tcPr>
          <w:p>
            <w:pPr>
              <w:spacing w:after="0"/>
              <w:rPr>
                <w:sz w:val="17"/>
                <w:szCs w:val="17"/>
                <w:color w:val="auto"/>
              </w:rPr>
            </w:pPr>
          </w:p>
        </w:tc>
        <w:tc>
          <w:tcPr>
            <w:tcW w:w="2160" w:type="dxa"/>
            <w:vAlign w:val="bottom"/>
            <w:shd w:val="clear" w:color="auto" w:fill="C0C0C0"/>
          </w:tcPr>
          <w:p>
            <w:pPr>
              <w:spacing w:after="0"/>
              <w:rPr>
                <w:sz w:val="17"/>
                <w:szCs w:val="17"/>
                <w:color w:val="auto"/>
              </w:rPr>
            </w:pPr>
          </w:p>
        </w:tc>
        <w:tc>
          <w:tcPr>
            <w:tcW w:w="1780" w:type="dxa"/>
            <w:vAlign w:val="bottom"/>
            <w:shd w:val="clear" w:color="auto" w:fill="C0C0C0"/>
          </w:tcPr>
          <w:p>
            <w:pPr>
              <w:spacing w:after="0"/>
              <w:rPr>
                <w:sz w:val="17"/>
                <w:szCs w:val="17"/>
                <w:color w:val="auto"/>
              </w:rPr>
            </w:pPr>
          </w:p>
        </w:tc>
      </w:tr>
      <w:tr>
        <w:trPr>
          <w:trHeight w:val="194"/>
        </w:trPr>
        <w:tc>
          <w:tcPr>
            <w:tcW w:w="34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January 19, 2006</w:t>
            </w: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Vesting continues;</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Grant terminates unless</w:t>
            </w:r>
          </w:p>
        </w:tc>
        <w:tc>
          <w:tcPr>
            <w:tcW w:w="17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Grant cancels; no</w:t>
            </w: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shares are paid at the</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the Compensation</w:t>
            </w:r>
          </w:p>
        </w:tc>
        <w:tc>
          <w:tcPr>
            <w:tcW w:w="17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shares are issued</w:t>
            </w: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scheduled vesting</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Committee determines</w:t>
            </w:r>
          </w:p>
        </w:tc>
        <w:tc>
          <w:tcPr>
            <w:tcW w:w="1780" w:type="dxa"/>
            <w:vAlign w:val="bottom"/>
            <w:shd w:val="clear" w:color="auto" w:fill="C0C0C0"/>
          </w:tcPr>
          <w:p>
            <w:pPr>
              <w:spacing w:after="0"/>
              <w:rPr>
                <w:sz w:val="16"/>
                <w:szCs w:val="16"/>
                <w:color w:val="auto"/>
              </w:rPr>
            </w:pPr>
          </w:p>
        </w:tc>
      </w:tr>
      <w:tr>
        <w:trPr>
          <w:trHeight w:val="191"/>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ind w:left="2200"/>
              <w:spacing w:after="0" w:line="191" w:lineRule="exact"/>
              <w:rPr>
                <w:sz w:val="20"/>
                <w:szCs w:val="20"/>
                <w:color w:val="auto"/>
              </w:rPr>
            </w:pPr>
            <w:r>
              <w:rPr>
                <w:rFonts w:ascii="Arial" w:cs="Arial" w:eastAsia="Arial" w:hAnsi="Arial"/>
                <w:sz w:val="17"/>
                <w:szCs w:val="17"/>
                <w:color w:val="auto"/>
              </w:rPr>
              <w:t>date</w:t>
            </w:r>
          </w:p>
        </w:tc>
        <w:tc>
          <w:tcPr>
            <w:tcW w:w="2160" w:type="dxa"/>
            <w:vAlign w:val="bottom"/>
            <w:shd w:val="clear" w:color="auto" w:fill="C0C0C0"/>
          </w:tcPr>
          <w:p>
            <w:pPr>
              <w:ind w:left="120"/>
              <w:spacing w:after="0" w:line="191" w:lineRule="exact"/>
              <w:rPr>
                <w:sz w:val="20"/>
                <w:szCs w:val="20"/>
                <w:color w:val="auto"/>
              </w:rPr>
            </w:pPr>
            <w:r>
              <w:rPr>
                <w:rFonts w:ascii="Arial" w:cs="Arial" w:eastAsia="Arial" w:hAnsi="Arial"/>
                <w:sz w:val="17"/>
                <w:szCs w:val="17"/>
                <w:color w:val="auto"/>
              </w:rPr>
              <w:t>otherwise case-by-case*</w:t>
            </w:r>
          </w:p>
        </w:tc>
        <w:tc>
          <w:tcPr>
            <w:tcW w:w="1780" w:type="dxa"/>
            <w:vAlign w:val="bottom"/>
            <w:shd w:val="clear" w:color="auto" w:fill="C0C0C0"/>
          </w:tcPr>
          <w:p>
            <w:pPr>
              <w:spacing w:after="0"/>
              <w:rPr>
                <w:sz w:val="16"/>
                <w:szCs w:val="16"/>
                <w:color w:val="auto"/>
              </w:rPr>
            </w:pPr>
          </w:p>
        </w:tc>
      </w:tr>
      <w:tr>
        <w:trPr>
          <w:trHeight w:val="233"/>
        </w:trPr>
        <w:tc>
          <w:tcPr>
            <w:tcW w:w="34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97"/>
        </w:trPr>
        <w:tc>
          <w:tcPr>
            <w:tcW w:w="3480" w:type="dxa"/>
            <w:vAlign w:val="bottom"/>
            <w:shd w:val="clear" w:color="auto" w:fill="C0C0C0"/>
          </w:tcPr>
          <w:p>
            <w:pPr>
              <w:spacing w:after="0"/>
              <w:rPr>
                <w:sz w:val="20"/>
                <w:szCs w:val="20"/>
                <w:color w:val="auto"/>
              </w:rPr>
            </w:pPr>
            <w:r>
              <w:rPr>
                <w:rFonts w:ascii="Arial" w:cs="Arial" w:eastAsia="Arial" w:hAnsi="Arial"/>
                <w:sz w:val="17"/>
                <w:szCs w:val="17"/>
                <w:color w:val="auto"/>
              </w:rPr>
              <w:t>On or after</w:t>
            </w:r>
          </w:p>
        </w:tc>
        <w:tc>
          <w:tcPr>
            <w:tcW w:w="4000" w:type="dxa"/>
            <w:vAlign w:val="bottom"/>
            <w:shd w:val="clear" w:color="auto" w:fill="C0C0C0"/>
          </w:tcPr>
          <w:p>
            <w:pPr>
              <w:spacing w:after="0"/>
              <w:rPr>
                <w:sz w:val="17"/>
                <w:szCs w:val="17"/>
                <w:color w:val="auto"/>
              </w:rPr>
            </w:pPr>
          </w:p>
        </w:tc>
        <w:tc>
          <w:tcPr>
            <w:tcW w:w="2160" w:type="dxa"/>
            <w:vAlign w:val="bottom"/>
            <w:shd w:val="clear" w:color="auto" w:fill="C0C0C0"/>
          </w:tcPr>
          <w:p>
            <w:pPr>
              <w:spacing w:after="0"/>
              <w:rPr>
                <w:sz w:val="17"/>
                <w:szCs w:val="17"/>
                <w:color w:val="auto"/>
              </w:rPr>
            </w:pPr>
          </w:p>
        </w:tc>
        <w:tc>
          <w:tcPr>
            <w:tcW w:w="1780" w:type="dxa"/>
            <w:vAlign w:val="bottom"/>
            <w:shd w:val="clear" w:color="auto" w:fill="C0C0C0"/>
          </w:tcPr>
          <w:p>
            <w:pPr>
              <w:spacing w:after="0"/>
              <w:rPr>
                <w:sz w:val="17"/>
                <w:szCs w:val="17"/>
                <w:color w:val="auto"/>
              </w:rPr>
            </w:pPr>
          </w:p>
        </w:tc>
      </w:tr>
      <w:tr>
        <w:trPr>
          <w:trHeight w:val="194"/>
        </w:trPr>
        <w:tc>
          <w:tcPr>
            <w:tcW w:w="34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January 19, 2006</w:t>
            </w: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Vesting continues;</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Grant stays in effect and</w:t>
            </w:r>
          </w:p>
        </w:tc>
        <w:tc>
          <w:tcPr>
            <w:tcW w:w="17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Grant cancels; no</w:t>
            </w: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shares are paid at the</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pays out shares at the</w:t>
            </w:r>
          </w:p>
        </w:tc>
        <w:tc>
          <w:tcPr>
            <w:tcW w:w="17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shares are issued</w:t>
            </w: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scheduled vesting</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scheduled vesting date.</w:t>
            </w:r>
          </w:p>
        </w:tc>
        <w:tc>
          <w:tcPr>
            <w:tcW w:w="1780" w:type="dxa"/>
            <w:vAlign w:val="bottom"/>
            <w:shd w:val="clear" w:color="auto" w:fill="C0C0C0"/>
          </w:tcPr>
          <w:p>
            <w:pPr>
              <w:spacing w:after="0"/>
              <w:rPr>
                <w:sz w:val="16"/>
                <w:szCs w:val="16"/>
                <w:color w:val="auto"/>
              </w:rPr>
            </w:pP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ind w:left="2200"/>
              <w:spacing w:after="0" w:line="194" w:lineRule="exact"/>
              <w:rPr>
                <w:sz w:val="20"/>
                <w:szCs w:val="20"/>
                <w:color w:val="auto"/>
              </w:rPr>
            </w:pPr>
            <w:r>
              <w:rPr>
                <w:rFonts w:ascii="Arial" w:cs="Arial" w:eastAsia="Arial" w:hAnsi="Arial"/>
                <w:sz w:val="17"/>
                <w:szCs w:val="17"/>
                <w:color w:val="auto"/>
              </w:rPr>
              <w:t>date</w:t>
            </w: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Number of shares</w:t>
            </w:r>
          </w:p>
        </w:tc>
        <w:tc>
          <w:tcPr>
            <w:tcW w:w="1780" w:type="dxa"/>
            <w:vAlign w:val="bottom"/>
            <w:shd w:val="clear" w:color="auto" w:fill="C0C0C0"/>
          </w:tcPr>
          <w:p>
            <w:pPr>
              <w:spacing w:after="0"/>
              <w:rPr>
                <w:sz w:val="16"/>
                <w:szCs w:val="16"/>
                <w:color w:val="auto"/>
              </w:rPr>
            </w:pP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spacing w:after="0"/>
              <w:rPr>
                <w:sz w:val="16"/>
                <w:szCs w:val="16"/>
                <w:color w:val="auto"/>
              </w:rPr>
            </w:pP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reduced according to the</w:t>
            </w:r>
          </w:p>
        </w:tc>
        <w:tc>
          <w:tcPr>
            <w:tcW w:w="1780" w:type="dxa"/>
            <w:vAlign w:val="bottom"/>
            <w:shd w:val="clear" w:color="auto" w:fill="C0C0C0"/>
          </w:tcPr>
          <w:p>
            <w:pPr>
              <w:spacing w:after="0"/>
              <w:rPr>
                <w:sz w:val="16"/>
                <w:szCs w:val="16"/>
                <w:color w:val="auto"/>
              </w:rPr>
            </w:pPr>
          </w:p>
        </w:tc>
      </w:tr>
      <w:tr>
        <w:trPr>
          <w:trHeight w:val="194"/>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spacing w:after="0"/>
              <w:rPr>
                <w:sz w:val="16"/>
                <w:szCs w:val="16"/>
                <w:color w:val="auto"/>
              </w:rPr>
            </w:pPr>
          </w:p>
        </w:tc>
        <w:tc>
          <w:tcPr>
            <w:tcW w:w="2160" w:type="dxa"/>
            <w:vAlign w:val="bottom"/>
            <w:shd w:val="clear" w:color="auto" w:fill="C0C0C0"/>
          </w:tcPr>
          <w:p>
            <w:pPr>
              <w:ind w:left="120"/>
              <w:spacing w:after="0" w:line="194" w:lineRule="exact"/>
              <w:rPr>
                <w:sz w:val="20"/>
                <w:szCs w:val="20"/>
                <w:color w:val="auto"/>
              </w:rPr>
            </w:pPr>
            <w:r>
              <w:rPr>
                <w:rFonts w:ascii="Arial" w:cs="Arial" w:eastAsia="Arial" w:hAnsi="Arial"/>
                <w:sz w:val="17"/>
                <w:szCs w:val="17"/>
                <w:color w:val="auto"/>
              </w:rPr>
              <w:t>duration of employment</w:t>
            </w:r>
          </w:p>
        </w:tc>
        <w:tc>
          <w:tcPr>
            <w:tcW w:w="1780" w:type="dxa"/>
            <w:vAlign w:val="bottom"/>
            <w:shd w:val="clear" w:color="auto" w:fill="C0C0C0"/>
          </w:tcPr>
          <w:p>
            <w:pPr>
              <w:spacing w:after="0"/>
              <w:rPr>
                <w:sz w:val="16"/>
                <w:szCs w:val="16"/>
                <w:color w:val="auto"/>
              </w:rPr>
            </w:pPr>
          </w:p>
        </w:tc>
      </w:tr>
      <w:tr>
        <w:trPr>
          <w:trHeight w:val="191"/>
        </w:trPr>
        <w:tc>
          <w:tcPr>
            <w:tcW w:w="3480" w:type="dxa"/>
            <w:vAlign w:val="bottom"/>
            <w:shd w:val="clear" w:color="auto" w:fill="C0C0C0"/>
          </w:tcPr>
          <w:p>
            <w:pPr>
              <w:spacing w:after="0"/>
              <w:rPr>
                <w:sz w:val="16"/>
                <w:szCs w:val="16"/>
                <w:color w:val="auto"/>
              </w:rPr>
            </w:pPr>
          </w:p>
        </w:tc>
        <w:tc>
          <w:tcPr>
            <w:tcW w:w="4000" w:type="dxa"/>
            <w:vAlign w:val="bottom"/>
            <w:shd w:val="clear" w:color="auto" w:fill="C0C0C0"/>
          </w:tcPr>
          <w:p>
            <w:pPr>
              <w:spacing w:after="0"/>
              <w:rPr>
                <w:sz w:val="16"/>
                <w:szCs w:val="16"/>
                <w:color w:val="auto"/>
              </w:rPr>
            </w:pPr>
          </w:p>
        </w:tc>
        <w:tc>
          <w:tcPr>
            <w:tcW w:w="2160" w:type="dxa"/>
            <w:vAlign w:val="bottom"/>
            <w:shd w:val="clear" w:color="auto" w:fill="C0C0C0"/>
          </w:tcPr>
          <w:p>
            <w:pPr>
              <w:ind w:left="120"/>
              <w:spacing w:after="0" w:line="191" w:lineRule="exact"/>
              <w:rPr>
                <w:sz w:val="20"/>
                <w:szCs w:val="20"/>
                <w:color w:val="auto"/>
              </w:rPr>
            </w:pPr>
            <w:r>
              <w:rPr>
                <w:rFonts w:ascii="Arial" w:cs="Arial" w:eastAsia="Arial" w:hAnsi="Arial"/>
                <w:sz w:val="17"/>
                <w:szCs w:val="17"/>
                <w:color w:val="auto"/>
              </w:rPr>
              <w:t>over the vesting period**</w:t>
            </w:r>
          </w:p>
        </w:tc>
        <w:tc>
          <w:tcPr>
            <w:tcW w:w="1780" w:type="dxa"/>
            <w:vAlign w:val="bottom"/>
            <w:shd w:val="clear" w:color="auto" w:fill="C0C0C0"/>
          </w:tcPr>
          <w:p>
            <w:pPr>
              <w:spacing w:after="0"/>
              <w:rPr>
                <w:sz w:val="16"/>
                <w:szCs w:val="16"/>
                <w:color w:val="auto"/>
              </w:rPr>
            </w:pPr>
          </w:p>
        </w:tc>
      </w:tr>
    </w:tbl>
    <w:p>
      <w:pPr>
        <w:spacing w:after="0" w:line="236" w:lineRule="exact"/>
        <w:rPr>
          <w:sz w:val="20"/>
          <w:szCs w:val="20"/>
          <w:color w:val="auto"/>
        </w:rPr>
      </w:pPr>
    </w:p>
    <w:p>
      <w:pPr>
        <w:ind w:left="400" w:hanging="396"/>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date, the Compensation Committee has made no such determination for any of the named executive officers.</w:t>
      </w:r>
    </w:p>
    <w:p>
      <w:pPr>
        <w:spacing w:after="0" w:line="232" w:lineRule="exact"/>
        <w:rPr>
          <w:sz w:val="20"/>
          <w:szCs w:val="20"/>
          <w:color w:val="auto"/>
        </w:rPr>
      </w:pPr>
    </w:p>
    <w:p>
      <w:pPr>
        <w:ind w:left="400" w:right="240" w:hanging="396"/>
        <w:spacing w:after="0" w:line="277"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Calculated by multiplying the number of RSUs by a fraction equal to the number of whole 365-day periods from the grant date to the employment termination date (or first day of any bridge leave of absence leading to retirement), divided by the number years in the vesting period.</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These termination provisions are intended to promote retention. RSU awards made after 2005 contain cancellation and “claw back” provisions, like those described above for stock options, in case of competition with TI or disclosure of TI trade secrets. The terms of awards after 2005 also provide for full vesting of the award upon a change in control of TI. Change in control is the standard definition unless the grant is subject to Section 409A of the Internal Revenue Code, in which event the definition under Section 409A applies. Section 409A defines a change in control as a change in the ownership or effective control of a corporation or a change in the ownership of a substantial portion of the assets of a corporation. These cancellation, “claw back” and change-in-control terms were added after 2005 to conform RSU terms with those of stock options (to the extent permitted by the Internal Revenue Code) and to achieve the objectives described above in the discussion of stock options.</w:t>
      </w:r>
    </w:p>
    <w:p>
      <w:pPr>
        <w:spacing w:after="0" w:line="23" w:lineRule="exact"/>
        <w:rPr>
          <w:sz w:val="20"/>
          <w:szCs w:val="20"/>
          <w:color w:val="auto"/>
        </w:rPr>
      </w:pPr>
    </w:p>
    <w:p>
      <w:pPr>
        <w:ind w:right="80" w:firstLine="259"/>
        <w:spacing w:after="0" w:line="244" w:lineRule="auto"/>
        <w:rPr>
          <w:sz w:val="20"/>
          <w:szCs w:val="20"/>
          <w:color w:val="auto"/>
        </w:rPr>
      </w:pPr>
      <w:r>
        <w:rPr>
          <w:rFonts w:ascii="Arial" w:cs="Arial" w:eastAsia="Arial" w:hAnsi="Arial"/>
          <w:sz w:val="17"/>
          <w:szCs w:val="17"/>
          <w:color w:val="auto"/>
        </w:rPr>
        <w:t>In addition to the “Stock Awards” shown in the Outstanding Equity Awards at Fiscal Year-End 2008 table above,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2008 Non-qualified Deferred Compensation table on page 79.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option exercises and stock vested</w:t>
      </w:r>
    </w:p>
    <w:p>
      <w:pPr>
        <w:spacing w:after="0" w:line="19"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2008 and the value of any restricted stock units that vested in 2008.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00" w:type="dxa"/>
            <w:vAlign w:val="bottom"/>
          </w:tcPr>
          <w:p>
            <w:pPr>
              <w:spacing w:after="0"/>
              <w:rPr>
                <w:sz w:val="13"/>
                <w:szCs w:val="13"/>
                <w:color w:val="auto"/>
              </w:rPr>
            </w:pPr>
          </w:p>
        </w:tc>
        <w:tc>
          <w:tcPr>
            <w:tcW w:w="2380" w:type="dxa"/>
            <w:vAlign w:val="bottom"/>
            <w:gridSpan w:val="3"/>
          </w:tcPr>
          <w:p>
            <w:pPr>
              <w:jc w:val="right"/>
              <w:ind w:right="840"/>
              <w:spacing w:after="0"/>
              <w:rPr>
                <w:sz w:val="20"/>
                <w:szCs w:val="20"/>
                <w:color w:val="auto"/>
              </w:rPr>
            </w:pPr>
            <w:r>
              <w:rPr>
                <w:rFonts w:ascii="Arial" w:cs="Arial" w:eastAsia="Arial" w:hAnsi="Arial"/>
                <w:sz w:val="13"/>
                <w:szCs w:val="13"/>
                <w:b w:val="1"/>
                <w:bCs w:val="1"/>
                <w:color w:val="auto"/>
              </w:rPr>
              <w:t>Option Awards</w:t>
            </w:r>
          </w:p>
        </w:tc>
        <w:tc>
          <w:tcPr>
            <w:tcW w:w="1520" w:type="dxa"/>
            <w:vAlign w:val="bottom"/>
            <w:gridSpan w:val="2"/>
          </w:tcPr>
          <w:p>
            <w:pPr>
              <w:ind w:left="640"/>
              <w:spacing w:after="0"/>
              <w:rPr>
                <w:sz w:val="20"/>
                <w:szCs w:val="20"/>
                <w:color w:val="auto"/>
              </w:rPr>
            </w:pPr>
            <w:r>
              <w:rPr>
                <w:rFonts w:ascii="Arial" w:cs="Arial" w:eastAsia="Arial" w:hAnsi="Arial"/>
                <w:sz w:val="13"/>
                <w:szCs w:val="13"/>
                <w:b w:val="1"/>
                <w:bCs w:val="1"/>
                <w:color w:val="auto"/>
                <w:w w:val="99"/>
              </w:rPr>
              <w:t>Stock Awards</w:t>
            </w:r>
          </w:p>
        </w:tc>
        <w:tc>
          <w:tcPr>
            <w:tcW w:w="620" w:type="dxa"/>
            <w:vAlign w:val="bottom"/>
          </w:tcPr>
          <w:p>
            <w:pPr>
              <w:spacing w:after="0"/>
              <w:rPr>
                <w:sz w:val="13"/>
                <w:szCs w:val="13"/>
                <w:color w:val="auto"/>
              </w:rPr>
            </w:pPr>
          </w:p>
        </w:tc>
      </w:tr>
      <w:tr>
        <w:trPr>
          <w:trHeight w:val="119"/>
        </w:trPr>
        <w:tc>
          <w:tcPr>
            <w:tcW w:w="6900" w:type="dxa"/>
            <w:vAlign w:val="bottom"/>
          </w:tcPr>
          <w:p>
            <w:pPr>
              <w:spacing w:after="0"/>
              <w:rPr>
                <w:sz w:val="10"/>
                <w:szCs w:val="10"/>
                <w:color w:val="auto"/>
              </w:rPr>
            </w:pPr>
          </w:p>
        </w:tc>
        <w:tc>
          <w:tcPr>
            <w:tcW w:w="114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w w:val="98"/>
              </w:rPr>
              <w:t>Number of</w:t>
            </w: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jc w:val="center"/>
              <w:ind w:right="44"/>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71"/>
        </w:trPr>
        <w:tc>
          <w:tcPr>
            <w:tcW w:w="6900" w:type="dxa"/>
            <w:vAlign w:val="bottom"/>
          </w:tcPr>
          <w:p>
            <w:pPr>
              <w:spacing w:after="0"/>
              <w:rPr>
                <w:sz w:val="14"/>
                <w:szCs w:val="14"/>
                <w:color w:val="auto"/>
              </w:rPr>
            </w:pPr>
          </w:p>
        </w:tc>
        <w:tc>
          <w:tcPr>
            <w:tcW w:w="1140" w:type="dxa"/>
            <w:vAlign w:val="bottom"/>
          </w:tcPr>
          <w:p>
            <w:pPr>
              <w:jc w:val="center"/>
              <w:ind w:right="24"/>
              <w:spacing w:after="0"/>
              <w:rPr>
                <w:sz w:val="20"/>
                <w:szCs w:val="20"/>
                <w:color w:val="auto"/>
              </w:rPr>
            </w:pPr>
            <w:r>
              <w:rPr>
                <w:rFonts w:ascii="Arial" w:cs="Arial" w:eastAsia="Arial" w:hAnsi="Arial"/>
                <w:sz w:val="13"/>
                <w:szCs w:val="13"/>
                <w:b w:val="1"/>
                <w:bCs w:val="1"/>
                <w:color w:val="auto"/>
              </w:rPr>
              <w:t>Shares Acquired</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Value Realized</w:t>
            </w:r>
          </w:p>
        </w:tc>
        <w:tc>
          <w:tcPr>
            <w:tcW w:w="1140" w:type="dxa"/>
            <w:vAlign w:val="bottom"/>
          </w:tcPr>
          <w:p>
            <w:pPr>
              <w:jc w:val="center"/>
              <w:ind w:right="44"/>
              <w:spacing w:after="0"/>
              <w:rPr>
                <w:sz w:val="20"/>
                <w:szCs w:val="20"/>
                <w:color w:val="auto"/>
              </w:rPr>
            </w:pPr>
            <w:r>
              <w:rPr>
                <w:rFonts w:ascii="Arial" w:cs="Arial" w:eastAsia="Arial" w:hAnsi="Arial"/>
                <w:sz w:val="13"/>
                <w:szCs w:val="13"/>
                <w:b w:val="1"/>
                <w:bCs w:val="1"/>
                <w:color w:val="auto"/>
                <w:w w:val="98"/>
              </w:rPr>
              <w:t>Shares Acquired</w:t>
            </w: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Value Realized</w:t>
            </w:r>
          </w:p>
        </w:tc>
      </w:tr>
      <w:tr>
        <w:trPr>
          <w:trHeight w:val="221"/>
        </w:trPr>
        <w:tc>
          <w:tcPr>
            <w:tcW w:w="69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140" w:type="dxa"/>
            <w:vAlign w:val="bottom"/>
          </w:tcPr>
          <w:p>
            <w:pPr>
              <w:jc w:val="center"/>
              <w:ind w:right="24"/>
              <w:spacing w:after="0"/>
              <w:rPr>
                <w:sz w:val="20"/>
                <w:szCs w:val="20"/>
                <w:color w:val="auto"/>
              </w:rPr>
            </w:pPr>
            <w:r>
              <w:rPr>
                <w:rFonts w:ascii="Arial" w:cs="Arial" w:eastAsia="Arial" w:hAnsi="Arial"/>
                <w:sz w:val="13"/>
                <w:szCs w:val="13"/>
                <w:b w:val="1"/>
                <w:bCs w:val="1"/>
                <w:color w:val="auto"/>
                <w:w w:val="99"/>
              </w:rPr>
              <w:t>on Exercise (#)</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on Exercise ($)</w:t>
            </w:r>
          </w:p>
        </w:tc>
        <w:tc>
          <w:tcPr>
            <w:tcW w:w="1140" w:type="dxa"/>
            <w:vAlign w:val="bottom"/>
          </w:tcPr>
          <w:p>
            <w:pPr>
              <w:jc w:val="center"/>
              <w:ind w:right="44"/>
              <w:spacing w:after="0"/>
              <w:rPr>
                <w:sz w:val="20"/>
                <w:szCs w:val="20"/>
                <w:color w:val="auto"/>
              </w:rPr>
            </w:pPr>
            <w:r>
              <w:rPr>
                <w:rFonts w:ascii="Arial" w:cs="Arial" w:eastAsia="Arial" w:hAnsi="Arial"/>
                <w:sz w:val="13"/>
                <w:szCs w:val="13"/>
                <w:b w:val="1"/>
                <w:bCs w:val="1"/>
                <w:color w:val="auto"/>
                <w:w w:val="99"/>
              </w:rPr>
              <w:t>on Vesting (#)</w:t>
            </w: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on Vesting ($)</w:t>
            </w:r>
          </w:p>
        </w:tc>
      </w:tr>
      <w:tr>
        <w:trPr>
          <w:trHeight w:val="233"/>
        </w:trPr>
        <w:tc>
          <w:tcPr>
            <w:tcW w:w="6900" w:type="dxa"/>
            <w:vAlign w:val="bottom"/>
            <w:shd w:val="clear" w:color="auto" w:fill="E9E9E9"/>
          </w:tcPr>
          <w:p>
            <w:pPr>
              <w:spacing w:after="0"/>
              <w:rPr>
                <w:sz w:val="20"/>
                <w:szCs w:val="20"/>
                <w:color w:val="auto"/>
              </w:rPr>
            </w:pPr>
          </w:p>
        </w:tc>
        <w:tc>
          <w:tcPr>
            <w:tcW w:w="1140" w:type="dxa"/>
            <w:vAlign w:val="bottom"/>
            <w:shd w:val="clear" w:color="auto" w:fill="E9E9E9"/>
          </w:tcPr>
          <w:p>
            <w:pPr>
              <w:spacing w:after="0"/>
              <w:rPr>
                <w:sz w:val="20"/>
                <w:szCs w:val="20"/>
                <w:color w:val="auto"/>
              </w:rPr>
            </w:pPr>
          </w:p>
        </w:tc>
        <w:tc>
          <w:tcPr>
            <w:tcW w:w="1240" w:type="dxa"/>
            <w:vAlign w:val="bottom"/>
            <w:gridSpan w:val="2"/>
            <w:shd w:val="clear" w:color="auto" w:fill="E9E9E9"/>
          </w:tcPr>
          <w:p>
            <w:pPr>
              <w:spacing w:after="0"/>
              <w:rPr>
                <w:sz w:val="20"/>
                <w:szCs w:val="20"/>
                <w:color w:val="auto"/>
              </w:rPr>
            </w:pPr>
          </w:p>
        </w:tc>
        <w:tc>
          <w:tcPr>
            <w:tcW w:w="1140" w:type="dxa"/>
            <w:vAlign w:val="bottom"/>
            <w:shd w:val="clear" w:color="auto" w:fill="E9E9E9"/>
          </w:tcPr>
          <w:p>
            <w:pPr>
              <w:spacing w:after="0"/>
              <w:rPr>
                <w:sz w:val="20"/>
                <w:szCs w:val="20"/>
                <w:color w:val="auto"/>
              </w:rPr>
            </w:pPr>
          </w:p>
        </w:tc>
        <w:tc>
          <w:tcPr>
            <w:tcW w:w="1000" w:type="dxa"/>
            <w:vAlign w:val="bottom"/>
            <w:gridSpan w:val="2"/>
            <w:shd w:val="clear" w:color="auto" w:fill="E9E9E9"/>
          </w:tcPr>
          <w:p>
            <w:pPr>
              <w:spacing w:after="0"/>
              <w:rPr>
                <w:sz w:val="20"/>
                <w:szCs w:val="20"/>
                <w:color w:val="auto"/>
              </w:rPr>
            </w:pPr>
          </w:p>
        </w:tc>
      </w:tr>
      <w:tr>
        <w:trPr>
          <w:trHeight w:val="233"/>
        </w:trPr>
        <w:tc>
          <w:tcPr>
            <w:tcW w:w="690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1140" w:type="dxa"/>
            <w:vAlign w:val="bottom"/>
            <w:shd w:val="clear" w:color="auto" w:fill="C0C0C0"/>
          </w:tcPr>
          <w:p>
            <w:pPr>
              <w:jc w:val="right"/>
              <w:ind w:right="24"/>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0C0C0"/>
          </w:tcPr>
          <w:p>
            <w:pPr>
              <w:jc w:val="right"/>
              <w:ind w:right="24"/>
              <w:spacing w:after="0"/>
              <w:rPr>
                <w:sz w:val="20"/>
                <w:szCs w:val="20"/>
                <w:color w:val="auto"/>
              </w:rPr>
            </w:pPr>
            <w:r>
              <w:rPr>
                <w:rFonts w:ascii="Arial" w:cs="Arial" w:eastAsia="Arial" w:hAnsi="Arial"/>
                <w:sz w:val="17"/>
                <w:szCs w:val="17"/>
                <w:color w:val="auto"/>
              </w:rPr>
              <w:t>100,000</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$ 3,085,000</w:t>
            </w:r>
          </w:p>
        </w:tc>
      </w:tr>
      <w:tr>
        <w:trPr>
          <w:trHeight w:val="233"/>
        </w:trPr>
        <w:tc>
          <w:tcPr>
            <w:tcW w:w="6900" w:type="dxa"/>
            <w:vAlign w:val="bottom"/>
          </w:tcPr>
          <w:p>
            <w:pPr>
              <w:spacing w:after="0"/>
              <w:rPr>
                <w:sz w:val="20"/>
                <w:szCs w:val="20"/>
                <w:color w:val="auto"/>
              </w:rPr>
            </w:pPr>
            <w:r>
              <w:rPr>
                <w:rFonts w:ascii="Arial" w:cs="Arial" w:eastAsia="Arial" w:hAnsi="Arial"/>
                <w:sz w:val="17"/>
                <w:szCs w:val="17"/>
                <w:color w:val="auto"/>
              </w:rPr>
              <w:t>K. P. March</w:t>
            </w:r>
          </w:p>
        </w:tc>
        <w:tc>
          <w:tcPr>
            <w:tcW w:w="1140" w:type="dxa"/>
            <w:vAlign w:val="bottom"/>
          </w:tcPr>
          <w:p>
            <w:pPr>
              <w:jc w:val="right"/>
              <w:ind w:right="24"/>
              <w:spacing w:after="0"/>
              <w:rPr>
                <w:sz w:val="20"/>
                <w:szCs w:val="20"/>
                <w:color w:val="auto"/>
              </w:rPr>
            </w:pPr>
            <w:r>
              <w:rPr>
                <w:rFonts w:ascii="Arial" w:cs="Arial" w:eastAsia="Arial" w:hAnsi="Arial"/>
                <w:sz w:val="17"/>
                <w:szCs w:val="17"/>
                <w:color w:val="auto"/>
              </w:rPr>
              <w:t>1,000</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   17,600</w:t>
            </w:r>
          </w:p>
        </w:tc>
        <w:tc>
          <w:tcPr>
            <w:tcW w:w="1140" w:type="dxa"/>
            <w:vAlign w:val="bottom"/>
          </w:tcPr>
          <w:p>
            <w:pPr>
              <w:jc w:val="right"/>
              <w:ind w:right="24"/>
              <w:spacing w:after="0"/>
              <w:rPr>
                <w:sz w:val="20"/>
                <w:szCs w:val="20"/>
                <w:color w:val="auto"/>
              </w:rPr>
            </w:pPr>
            <w:r>
              <w:rPr>
                <w:rFonts w:ascii="Arial" w:cs="Arial" w:eastAsia="Arial" w:hAnsi="Arial"/>
                <w:sz w:val="17"/>
                <w:szCs w:val="17"/>
                <w:color w:val="auto"/>
              </w:rPr>
              <w:t>20,000</w:t>
            </w:r>
          </w:p>
        </w:tc>
        <w:tc>
          <w:tcPr>
            <w:tcW w:w="380" w:type="dxa"/>
            <w:vAlign w:val="bottom"/>
          </w:tcPr>
          <w:p>
            <w:pPr>
              <w:ind w:lef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617,000</w:t>
            </w:r>
          </w:p>
        </w:tc>
      </w:tr>
      <w:tr>
        <w:trPr>
          <w:trHeight w:val="233"/>
        </w:trPr>
        <w:tc>
          <w:tcPr>
            <w:tcW w:w="690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1140" w:type="dxa"/>
            <w:vAlign w:val="bottom"/>
            <w:shd w:val="clear" w:color="auto" w:fill="C0C0C0"/>
          </w:tcPr>
          <w:p>
            <w:pPr>
              <w:jc w:val="right"/>
              <w:ind w:right="24"/>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0C0C0"/>
          </w:tcPr>
          <w:p>
            <w:pPr>
              <w:jc w:val="right"/>
              <w:ind w:right="24"/>
              <w:spacing w:after="0"/>
              <w:rPr>
                <w:sz w:val="20"/>
                <w:szCs w:val="20"/>
                <w:color w:val="auto"/>
              </w:rPr>
            </w:pPr>
            <w:r>
              <w:rPr>
                <w:rFonts w:ascii="Arial" w:cs="Arial" w:eastAsia="Arial" w:hAnsi="Arial"/>
                <w:sz w:val="17"/>
                <w:szCs w:val="17"/>
                <w:color w:val="auto"/>
              </w:rPr>
              <w:t>30,000</w:t>
            </w:r>
          </w:p>
        </w:tc>
        <w:tc>
          <w:tcPr>
            <w:tcW w:w="3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925,500</w:t>
            </w:r>
          </w:p>
        </w:tc>
      </w:tr>
      <w:tr>
        <w:trPr>
          <w:trHeight w:val="233"/>
        </w:trPr>
        <w:tc>
          <w:tcPr>
            <w:tcW w:w="6900" w:type="dxa"/>
            <w:vAlign w:val="bottom"/>
          </w:tcPr>
          <w:p>
            <w:pPr>
              <w:spacing w:after="0"/>
              <w:rPr>
                <w:sz w:val="20"/>
                <w:szCs w:val="20"/>
                <w:color w:val="auto"/>
              </w:rPr>
            </w:pPr>
            <w:r>
              <w:rPr>
                <w:rFonts w:ascii="Arial" w:cs="Arial" w:eastAsia="Arial" w:hAnsi="Arial"/>
                <w:sz w:val="17"/>
                <w:szCs w:val="17"/>
                <w:color w:val="auto"/>
              </w:rPr>
              <w:t>K. J. Ritchie</w:t>
            </w:r>
          </w:p>
        </w:tc>
        <w:tc>
          <w:tcPr>
            <w:tcW w:w="114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4"/>
              <w:spacing w:after="0"/>
              <w:rPr>
                <w:sz w:val="20"/>
                <w:szCs w:val="20"/>
                <w:color w:val="auto"/>
              </w:rPr>
            </w:pPr>
            <w:r>
              <w:rPr>
                <w:rFonts w:ascii="Arial" w:cs="Arial" w:eastAsia="Arial" w:hAnsi="Arial"/>
                <w:sz w:val="17"/>
                <w:szCs w:val="17"/>
                <w:color w:val="auto"/>
              </w:rPr>
              <w:t>30,000</w:t>
            </w:r>
          </w:p>
        </w:tc>
        <w:tc>
          <w:tcPr>
            <w:tcW w:w="380" w:type="dxa"/>
            <w:vAlign w:val="bottom"/>
          </w:tcPr>
          <w:p>
            <w:pPr>
              <w:ind w:lef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925,500</w:t>
            </w:r>
          </w:p>
        </w:tc>
      </w:tr>
      <w:tr>
        <w:trPr>
          <w:trHeight w:val="233"/>
        </w:trPr>
        <w:tc>
          <w:tcPr>
            <w:tcW w:w="6900" w:type="dxa"/>
            <w:vAlign w:val="bottom"/>
            <w:shd w:val="clear" w:color="auto" w:fill="C0C0C0"/>
          </w:tcPr>
          <w:p>
            <w:pPr>
              <w:spacing w:after="0"/>
              <w:rPr>
                <w:sz w:val="20"/>
                <w:szCs w:val="20"/>
                <w:color w:val="auto"/>
              </w:rPr>
            </w:pPr>
            <w:r>
              <w:rPr>
                <w:rFonts w:ascii="Arial" w:cs="Arial" w:eastAsia="Arial" w:hAnsi="Arial"/>
                <w:sz w:val="17"/>
                <w:szCs w:val="17"/>
                <w:color w:val="auto"/>
              </w:rPr>
              <w:t>M. J. Hames</w:t>
            </w:r>
          </w:p>
        </w:tc>
        <w:tc>
          <w:tcPr>
            <w:tcW w:w="1140" w:type="dxa"/>
            <w:vAlign w:val="bottom"/>
            <w:shd w:val="clear" w:color="auto" w:fill="C0C0C0"/>
          </w:tcPr>
          <w:p>
            <w:pPr>
              <w:jc w:val="right"/>
              <w:ind w:right="24"/>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0C0C0"/>
          </w:tcPr>
          <w:p>
            <w:pPr>
              <w:jc w:val="right"/>
              <w:ind w:right="24"/>
              <w:spacing w:after="0"/>
              <w:rPr>
                <w:sz w:val="20"/>
                <w:szCs w:val="20"/>
                <w:color w:val="auto"/>
              </w:rPr>
            </w:pPr>
            <w:r>
              <w:rPr>
                <w:rFonts w:ascii="Arial" w:cs="Arial" w:eastAsia="Arial" w:hAnsi="Arial"/>
                <w:sz w:val="17"/>
                <w:szCs w:val="17"/>
                <w:color w:val="auto"/>
              </w:rPr>
              <w:t>50,000</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$ 1,542,500</w:t>
            </w: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pension benefits</w:t>
      </w:r>
    </w:p>
    <w:p>
      <w:pPr>
        <w:spacing w:after="0" w:line="19"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following table shows the present value as of December 31, 2008, of the benefit of the named executive officers under our qualified defined benefit pension plan (TI Employees Pension Plan) and non-qualified defined benefit pension plan (TI Employees Non-Qualified Pension Plan).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center"/>
              <w:ind w:left="46"/>
              <w:spacing w:after="0"/>
              <w:rPr>
                <w:sz w:val="20"/>
                <w:szCs w:val="20"/>
                <w:color w:val="auto"/>
              </w:rPr>
            </w:pPr>
            <w:r>
              <w:rPr>
                <w:rFonts w:ascii="Arial" w:cs="Arial" w:eastAsia="Arial" w:hAnsi="Arial"/>
                <w:sz w:val="13"/>
                <w:szCs w:val="13"/>
                <w:b w:val="1"/>
                <w:bCs w:val="1"/>
                <w:color w:val="auto"/>
              </w:rPr>
              <w:t>Payments</w:t>
            </w:r>
          </w:p>
        </w:tc>
      </w:tr>
      <w:tr>
        <w:trPr>
          <w:trHeight w:val="233"/>
        </w:trPr>
        <w:tc>
          <w:tcPr>
            <w:tcW w:w="48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rPr>
              <w:t>Present</w:t>
            </w:r>
          </w:p>
        </w:tc>
        <w:tc>
          <w:tcPr>
            <w:tcW w:w="740" w:type="dxa"/>
            <w:vAlign w:val="bottom"/>
          </w:tcPr>
          <w:p>
            <w:pPr>
              <w:jc w:val="center"/>
              <w:ind w:left="46"/>
              <w:spacing w:after="0"/>
              <w:rPr>
                <w:sz w:val="20"/>
                <w:szCs w:val="20"/>
                <w:color w:val="auto"/>
              </w:rPr>
            </w:pPr>
            <w:r>
              <w:rPr>
                <w:rFonts w:ascii="Arial" w:cs="Arial" w:eastAsia="Arial" w:hAnsi="Arial"/>
                <w:sz w:val="13"/>
                <w:szCs w:val="13"/>
                <w:b w:val="1"/>
                <w:bCs w:val="1"/>
                <w:color w:val="auto"/>
              </w:rPr>
              <w:t>During</w:t>
            </w:r>
          </w:p>
        </w:tc>
      </w:tr>
      <w:tr>
        <w:trPr>
          <w:trHeight w:val="233"/>
        </w:trPr>
        <w:tc>
          <w:tcPr>
            <w:tcW w:w="48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20"/>
                <w:szCs w:val="20"/>
                <w:color w:val="auto"/>
              </w:rPr>
            </w:pPr>
          </w:p>
        </w:tc>
        <w:tc>
          <w:tcPr>
            <w:tcW w:w="980" w:type="dxa"/>
            <w:vAlign w:val="bottom"/>
          </w:tcPr>
          <w:p>
            <w:pPr>
              <w:jc w:val="center"/>
              <w:ind w:right="124"/>
              <w:spacing w:after="0"/>
              <w:rPr>
                <w:sz w:val="20"/>
                <w:szCs w:val="20"/>
                <w:color w:val="auto"/>
              </w:rPr>
            </w:pPr>
            <w:r>
              <w:rPr>
                <w:rFonts w:ascii="Arial" w:cs="Arial" w:eastAsia="Arial" w:hAnsi="Arial"/>
                <w:sz w:val="13"/>
                <w:szCs w:val="13"/>
                <w:b w:val="1"/>
                <w:bCs w:val="1"/>
                <w:color w:val="auto"/>
                <w:w w:val="98"/>
              </w:rPr>
              <w:t>Value of</w:t>
            </w:r>
          </w:p>
        </w:tc>
        <w:tc>
          <w:tcPr>
            <w:tcW w:w="740" w:type="dxa"/>
            <w:vAlign w:val="bottom"/>
          </w:tcPr>
          <w:p>
            <w:pPr>
              <w:ind w:left="300"/>
              <w:spacing w:after="0"/>
              <w:rPr>
                <w:sz w:val="20"/>
                <w:szCs w:val="20"/>
                <w:color w:val="auto"/>
              </w:rPr>
            </w:pPr>
            <w:r>
              <w:rPr>
                <w:rFonts w:ascii="Arial" w:cs="Arial" w:eastAsia="Arial" w:hAnsi="Arial"/>
                <w:sz w:val="13"/>
                <w:szCs w:val="13"/>
                <w:b w:val="1"/>
                <w:bCs w:val="1"/>
                <w:color w:val="auto"/>
              </w:rPr>
              <w:t>Last</w:t>
            </w:r>
          </w:p>
        </w:tc>
      </w:tr>
      <w:tr>
        <w:trPr>
          <w:trHeight w:val="233"/>
        </w:trPr>
        <w:tc>
          <w:tcPr>
            <w:tcW w:w="48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Years Credited</w:t>
            </w:r>
          </w:p>
        </w:tc>
        <w:tc>
          <w:tcPr>
            <w:tcW w:w="200" w:type="dxa"/>
            <w:vAlign w:val="bottom"/>
          </w:tcPr>
          <w:p>
            <w:pPr>
              <w:spacing w:after="0"/>
              <w:rPr>
                <w:sz w:val="20"/>
                <w:szCs w:val="20"/>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w w:val="97"/>
              </w:rPr>
              <w:t>Accumulated</w:t>
            </w:r>
          </w:p>
        </w:tc>
        <w:tc>
          <w:tcPr>
            <w:tcW w:w="740" w:type="dxa"/>
            <w:vAlign w:val="bottom"/>
          </w:tcPr>
          <w:p>
            <w:pPr>
              <w:jc w:val="center"/>
              <w:ind w:left="66"/>
              <w:spacing w:after="0"/>
              <w:rPr>
                <w:sz w:val="20"/>
                <w:szCs w:val="20"/>
                <w:color w:val="auto"/>
              </w:rPr>
            </w:pPr>
            <w:r>
              <w:rPr>
                <w:rFonts w:ascii="Arial" w:cs="Arial" w:eastAsia="Arial" w:hAnsi="Arial"/>
                <w:sz w:val="13"/>
                <w:szCs w:val="13"/>
                <w:b w:val="1"/>
                <w:bCs w:val="1"/>
                <w:color w:val="auto"/>
                <w:w w:val="97"/>
              </w:rPr>
              <w:t>Fiscal</w:t>
            </w:r>
          </w:p>
        </w:tc>
      </w:tr>
      <w:tr>
        <w:trPr>
          <w:trHeight w:val="221"/>
        </w:trPr>
        <w:tc>
          <w:tcPr>
            <w:tcW w:w="48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480" w:type="dxa"/>
            <w:vAlign w:val="bottom"/>
          </w:tcPr>
          <w:p>
            <w:pPr>
              <w:ind w:left="1480"/>
              <w:spacing w:after="0"/>
              <w:rPr>
                <w:sz w:val="20"/>
                <w:szCs w:val="20"/>
                <w:color w:val="auto"/>
              </w:rPr>
            </w:pPr>
            <w:r>
              <w:rPr>
                <w:rFonts w:ascii="Arial" w:cs="Arial" w:eastAsia="Arial" w:hAnsi="Arial"/>
                <w:sz w:val="13"/>
                <w:szCs w:val="13"/>
                <w:b w:val="1"/>
                <w:bCs w:val="1"/>
                <w:color w:val="auto"/>
              </w:rPr>
              <w:t>Plan Name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Service (#)(2)</w:t>
            </w:r>
          </w:p>
        </w:tc>
        <w:tc>
          <w:tcPr>
            <w:tcW w:w="200" w:type="dxa"/>
            <w:vAlign w:val="bottom"/>
          </w:tcPr>
          <w:p>
            <w:pPr>
              <w:spacing w:after="0"/>
              <w:rPr>
                <w:sz w:val="19"/>
                <w:szCs w:val="19"/>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rPr>
              <w:t>Benefit ($)(3)</w:t>
            </w:r>
          </w:p>
        </w:tc>
        <w:tc>
          <w:tcPr>
            <w:tcW w:w="740" w:type="dxa"/>
            <w:vAlign w:val="bottom"/>
          </w:tcPr>
          <w:p>
            <w:pPr>
              <w:jc w:val="center"/>
              <w:ind w:left="46"/>
              <w:spacing w:after="0"/>
              <w:rPr>
                <w:sz w:val="20"/>
                <w:szCs w:val="20"/>
                <w:color w:val="auto"/>
              </w:rPr>
            </w:pPr>
            <w:r>
              <w:rPr>
                <w:rFonts w:ascii="Arial" w:cs="Arial" w:eastAsia="Arial" w:hAnsi="Arial"/>
                <w:sz w:val="13"/>
                <w:szCs w:val="13"/>
                <w:b w:val="1"/>
                <w:bCs w:val="1"/>
                <w:color w:val="auto"/>
                <w:w w:val="96"/>
              </w:rPr>
              <w:t>Year ($)</w:t>
            </w:r>
          </w:p>
        </w:tc>
      </w:tr>
      <w:tr>
        <w:trPr>
          <w:trHeight w:val="233"/>
        </w:trPr>
        <w:tc>
          <w:tcPr>
            <w:tcW w:w="4860" w:type="dxa"/>
            <w:vAlign w:val="bottom"/>
            <w:shd w:val="clear" w:color="auto" w:fill="E9E9E9"/>
          </w:tcPr>
          <w:p>
            <w:pPr>
              <w:spacing w:after="0"/>
              <w:rPr>
                <w:sz w:val="20"/>
                <w:szCs w:val="20"/>
                <w:color w:val="auto"/>
              </w:rPr>
            </w:pPr>
          </w:p>
        </w:tc>
        <w:tc>
          <w:tcPr>
            <w:tcW w:w="348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r>
      <w:tr>
        <w:trPr>
          <w:trHeight w:val="231"/>
        </w:trPr>
        <w:tc>
          <w:tcPr>
            <w:tcW w:w="4860" w:type="dxa"/>
            <w:vAlign w:val="bottom"/>
            <w:shd w:val="clear" w:color="auto" w:fill="C0C0C0"/>
          </w:tcPr>
          <w:p>
            <w:pPr>
              <w:spacing w:after="0"/>
              <w:rPr>
                <w:sz w:val="20"/>
                <w:szCs w:val="20"/>
                <w:color w:val="auto"/>
              </w:rPr>
            </w:pPr>
            <w:r>
              <w:rPr>
                <w:rFonts w:ascii="Arial" w:cs="Arial" w:eastAsia="Arial" w:hAnsi="Arial"/>
                <w:sz w:val="17"/>
                <w:szCs w:val="17"/>
                <w:color w:val="auto"/>
              </w:rPr>
              <w:t>R. K. Templeton (1)</w:t>
            </w:r>
          </w:p>
        </w:tc>
        <w:tc>
          <w:tcPr>
            <w:tcW w:w="3480" w:type="dxa"/>
            <w:vAlign w:val="bottom"/>
            <w:shd w:val="clear" w:color="auto" w:fill="C0C0C0"/>
          </w:tcPr>
          <w:p>
            <w:pPr>
              <w:ind w:left="200"/>
              <w:spacing w:after="0"/>
              <w:rPr>
                <w:sz w:val="20"/>
                <w:szCs w:val="20"/>
                <w:color w:val="auto"/>
              </w:rPr>
            </w:pPr>
            <w:r>
              <w:rPr>
                <w:rFonts w:ascii="Arial" w:cs="Arial" w:eastAsia="Arial" w:hAnsi="Arial"/>
                <w:sz w:val="17"/>
                <w:szCs w:val="17"/>
                <w:color w:val="auto"/>
              </w:rPr>
              <w:t>TI Employees Pension Plan</w:t>
            </w:r>
          </w:p>
        </w:tc>
        <w:tc>
          <w:tcPr>
            <w:tcW w:w="1160" w:type="dxa"/>
            <w:vAlign w:val="bottom"/>
            <w:shd w:val="clear" w:color="auto" w:fill="C0C0C0"/>
          </w:tcPr>
          <w:p>
            <w:pPr>
              <w:jc w:val="right"/>
              <w:ind w:right="423"/>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64"/>
              <w:spacing w:after="0"/>
              <w:rPr>
                <w:sz w:val="20"/>
                <w:szCs w:val="20"/>
                <w:color w:val="auto"/>
              </w:rPr>
            </w:pPr>
            <w:r>
              <w:rPr>
                <w:rFonts w:ascii="Arial" w:cs="Arial" w:eastAsia="Arial" w:hAnsi="Arial"/>
                <w:sz w:val="17"/>
                <w:szCs w:val="17"/>
                <w:color w:val="auto"/>
              </w:rPr>
              <w:t>326,375</w:t>
            </w:r>
          </w:p>
        </w:tc>
        <w:tc>
          <w:tcPr>
            <w:tcW w:w="74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r>
      <w:tr>
        <w:trPr>
          <w:trHeight w:val="235"/>
        </w:trPr>
        <w:tc>
          <w:tcPr>
            <w:tcW w:w="4860" w:type="dxa"/>
            <w:vAlign w:val="bottom"/>
            <w:shd w:val="clear" w:color="auto" w:fill="C0C0C0"/>
          </w:tcPr>
          <w:p>
            <w:pPr>
              <w:spacing w:after="0"/>
              <w:rPr>
                <w:sz w:val="20"/>
                <w:szCs w:val="20"/>
                <w:color w:val="auto"/>
              </w:rPr>
            </w:pPr>
          </w:p>
        </w:tc>
        <w:tc>
          <w:tcPr>
            <w:tcW w:w="3480" w:type="dxa"/>
            <w:vAlign w:val="bottom"/>
            <w:shd w:val="clear" w:color="auto" w:fill="C0C0C0"/>
          </w:tcPr>
          <w:p>
            <w:pPr>
              <w:ind w:left="200"/>
              <w:spacing w:after="0"/>
              <w:rPr>
                <w:sz w:val="20"/>
                <w:szCs w:val="20"/>
                <w:color w:val="auto"/>
              </w:rPr>
            </w:pPr>
            <w:r>
              <w:rPr>
                <w:rFonts w:ascii="Arial" w:cs="Arial" w:eastAsia="Arial" w:hAnsi="Arial"/>
                <w:sz w:val="17"/>
                <w:szCs w:val="17"/>
                <w:color w:val="auto"/>
              </w:rPr>
              <w:t>TI Employees Non-Qualified Pension Plan</w:t>
            </w:r>
          </w:p>
        </w:tc>
        <w:tc>
          <w:tcPr>
            <w:tcW w:w="1160" w:type="dxa"/>
            <w:vAlign w:val="bottom"/>
            <w:shd w:val="clear" w:color="auto" w:fill="C0C0C0"/>
          </w:tcPr>
          <w:p>
            <w:pPr>
              <w:jc w:val="right"/>
              <w:ind w:right="423"/>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64"/>
              <w:spacing w:after="0"/>
              <w:rPr>
                <w:sz w:val="20"/>
                <w:szCs w:val="20"/>
                <w:color w:val="auto"/>
              </w:rPr>
            </w:pPr>
            <w:r>
              <w:rPr>
                <w:rFonts w:ascii="Arial" w:cs="Arial" w:eastAsia="Arial" w:hAnsi="Arial"/>
                <w:sz w:val="17"/>
                <w:szCs w:val="17"/>
                <w:color w:val="auto"/>
              </w:rPr>
              <w:t>240,099</w:t>
            </w:r>
          </w:p>
        </w:tc>
        <w:tc>
          <w:tcPr>
            <w:tcW w:w="74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r>
      <w:tr>
        <w:trPr>
          <w:trHeight w:val="244"/>
        </w:trPr>
        <w:tc>
          <w:tcPr>
            <w:tcW w:w="4860" w:type="dxa"/>
            <w:vAlign w:val="bottom"/>
          </w:tcPr>
          <w:p>
            <w:pPr>
              <w:spacing w:after="0"/>
              <w:rPr>
                <w:sz w:val="20"/>
                <w:szCs w:val="20"/>
                <w:color w:val="auto"/>
              </w:rPr>
            </w:pPr>
            <w:r>
              <w:rPr>
                <w:rFonts w:ascii="Arial" w:cs="Arial" w:eastAsia="Arial" w:hAnsi="Arial"/>
                <w:sz w:val="17"/>
                <w:szCs w:val="17"/>
                <w:color w:val="auto"/>
              </w:rPr>
              <w:t>K. P. March</w:t>
            </w:r>
          </w:p>
        </w:tc>
        <w:tc>
          <w:tcPr>
            <w:tcW w:w="3480" w:type="dxa"/>
            <w:vAlign w:val="bottom"/>
          </w:tcPr>
          <w:p>
            <w:pPr>
              <w:ind w:left="200"/>
              <w:spacing w:after="0"/>
              <w:rPr>
                <w:sz w:val="20"/>
                <w:szCs w:val="20"/>
                <w:color w:val="auto"/>
              </w:rPr>
            </w:pPr>
            <w:r>
              <w:rPr>
                <w:rFonts w:ascii="Arial" w:cs="Arial" w:eastAsia="Arial" w:hAnsi="Arial"/>
                <w:sz w:val="17"/>
                <w:szCs w:val="17"/>
                <w:color w:val="auto"/>
              </w:rPr>
              <w:t>TI Employees Pension Plan</w:t>
            </w:r>
          </w:p>
        </w:tc>
        <w:tc>
          <w:tcPr>
            <w:tcW w:w="1160" w:type="dxa"/>
            <w:vAlign w:val="bottom"/>
          </w:tcPr>
          <w:p>
            <w:pPr>
              <w:jc w:val="right"/>
              <w:ind w:right="423"/>
              <w:spacing w:after="0"/>
              <w:rPr>
                <w:sz w:val="20"/>
                <w:szCs w:val="20"/>
                <w:color w:val="auto"/>
              </w:rPr>
            </w:pPr>
            <w:r>
              <w:rPr>
                <w:rFonts w:ascii="Arial" w:cs="Arial" w:eastAsia="Arial" w:hAnsi="Arial"/>
                <w:sz w:val="17"/>
                <w:szCs w:val="17"/>
                <w:color w:val="auto"/>
              </w:rPr>
              <w:t>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64"/>
              <w:spacing w:after="0"/>
              <w:rPr>
                <w:sz w:val="20"/>
                <w:szCs w:val="20"/>
                <w:color w:val="auto"/>
              </w:rPr>
            </w:pPr>
            <w:r>
              <w:rPr>
                <w:rFonts w:ascii="Arial" w:cs="Arial" w:eastAsia="Arial" w:hAnsi="Arial"/>
                <w:sz w:val="17"/>
                <w:szCs w:val="17"/>
                <w:color w:val="auto"/>
              </w:rPr>
              <w:t>304,975</w:t>
            </w:r>
          </w:p>
        </w:tc>
        <w:tc>
          <w:tcPr>
            <w:tcW w:w="740" w:type="dxa"/>
            <w:vAlign w:val="bottom"/>
          </w:tcPr>
          <w:p>
            <w:pPr>
              <w:ind w:left="320"/>
              <w:spacing w:after="0"/>
              <w:rPr>
                <w:sz w:val="20"/>
                <w:szCs w:val="20"/>
                <w:color w:val="auto"/>
              </w:rPr>
            </w:pPr>
            <w:r>
              <w:rPr>
                <w:rFonts w:ascii="Arial" w:cs="Arial" w:eastAsia="Arial" w:hAnsi="Arial"/>
                <w:sz w:val="17"/>
                <w:szCs w:val="17"/>
                <w:color w:val="auto"/>
              </w:rPr>
              <w:t>—</w:t>
            </w:r>
          </w:p>
        </w:tc>
      </w:tr>
      <w:tr>
        <w:trPr>
          <w:trHeight w:val="222"/>
        </w:trPr>
        <w:tc>
          <w:tcPr>
            <w:tcW w:w="486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7"/>
                <w:szCs w:val="17"/>
                <w:color w:val="auto"/>
              </w:rPr>
              <w:t>TI Employees Non-Qualified Pension Plan</w:t>
            </w:r>
          </w:p>
        </w:tc>
        <w:tc>
          <w:tcPr>
            <w:tcW w:w="1160" w:type="dxa"/>
            <w:vAlign w:val="bottom"/>
          </w:tcPr>
          <w:p>
            <w:pPr>
              <w:jc w:val="right"/>
              <w:ind w:right="423"/>
              <w:spacing w:after="0"/>
              <w:rPr>
                <w:sz w:val="20"/>
                <w:szCs w:val="20"/>
                <w:color w:val="auto"/>
              </w:rPr>
            </w:pPr>
            <w:r>
              <w:rPr>
                <w:rFonts w:ascii="Arial" w:cs="Arial" w:eastAsia="Arial" w:hAnsi="Arial"/>
                <w:sz w:val="17"/>
                <w:szCs w:val="17"/>
                <w:color w:val="auto"/>
              </w:rPr>
              <w:t>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64"/>
              <w:spacing w:after="0"/>
              <w:rPr>
                <w:sz w:val="20"/>
                <w:szCs w:val="20"/>
                <w:color w:val="auto"/>
              </w:rPr>
            </w:pPr>
            <w:r>
              <w:rPr>
                <w:rFonts w:ascii="Arial" w:cs="Arial" w:eastAsia="Arial" w:hAnsi="Arial"/>
                <w:sz w:val="17"/>
                <w:szCs w:val="17"/>
                <w:color w:val="auto"/>
              </w:rPr>
              <w:t>1,076,148</w:t>
            </w:r>
          </w:p>
        </w:tc>
        <w:tc>
          <w:tcPr>
            <w:tcW w:w="740" w:type="dxa"/>
            <w:vAlign w:val="bottom"/>
          </w:tcPr>
          <w:p>
            <w:pPr>
              <w:ind w:left="320"/>
              <w:spacing w:after="0"/>
              <w:rPr>
                <w:sz w:val="20"/>
                <w:szCs w:val="20"/>
                <w:color w:val="auto"/>
              </w:rPr>
            </w:pPr>
            <w:r>
              <w:rPr>
                <w:rFonts w:ascii="Arial" w:cs="Arial" w:eastAsia="Arial" w:hAnsi="Arial"/>
                <w:sz w:val="17"/>
                <w:szCs w:val="17"/>
                <w:color w:val="auto"/>
              </w:rPr>
              <w:t>—</w:t>
            </w:r>
          </w:p>
        </w:tc>
      </w:tr>
      <w:tr>
        <w:trPr>
          <w:trHeight w:val="233"/>
        </w:trPr>
        <w:tc>
          <w:tcPr>
            <w:tcW w:w="486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3480" w:type="dxa"/>
            <w:vAlign w:val="bottom"/>
            <w:shd w:val="clear" w:color="auto" w:fill="C0C0C0"/>
          </w:tcPr>
          <w:p>
            <w:pPr>
              <w:ind w:left="200"/>
              <w:spacing w:after="0"/>
              <w:rPr>
                <w:sz w:val="20"/>
                <w:szCs w:val="20"/>
                <w:color w:val="auto"/>
              </w:rPr>
            </w:pPr>
            <w:r>
              <w:rPr>
                <w:rFonts w:ascii="Arial" w:cs="Arial" w:eastAsia="Arial" w:hAnsi="Arial"/>
                <w:sz w:val="17"/>
                <w:szCs w:val="17"/>
                <w:color w:val="auto"/>
              </w:rPr>
              <w:t>TI Employees Pension Plan</w:t>
            </w:r>
          </w:p>
        </w:tc>
        <w:tc>
          <w:tcPr>
            <w:tcW w:w="1160" w:type="dxa"/>
            <w:vAlign w:val="bottom"/>
            <w:shd w:val="clear" w:color="auto" w:fill="C0C0C0"/>
          </w:tcPr>
          <w:p>
            <w:pPr>
              <w:jc w:val="right"/>
              <w:ind w:right="423"/>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64"/>
              <w:spacing w:after="0"/>
              <w:rPr>
                <w:sz w:val="20"/>
                <w:szCs w:val="20"/>
                <w:color w:val="auto"/>
              </w:rPr>
            </w:pPr>
            <w:r>
              <w:rPr>
                <w:rFonts w:ascii="Arial" w:cs="Arial" w:eastAsia="Arial" w:hAnsi="Arial"/>
                <w:sz w:val="17"/>
                <w:szCs w:val="17"/>
                <w:color w:val="auto"/>
              </w:rPr>
              <w:t>323,405</w:t>
            </w:r>
          </w:p>
        </w:tc>
        <w:tc>
          <w:tcPr>
            <w:tcW w:w="740" w:type="dxa"/>
            <w:vAlign w:val="bottom"/>
            <w:shd w:val="clear" w:color="auto" w:fill="C0C0C0"/>
          </w:tcPr>
          <w:p>
            <w:pPr>
              <w:ind w:left="320"/>
              <w:spacing w:after="0"/>
              <w:rPr>
                <w:sz w:val="20"/>
                <w:szCs w:val="20"/>
                <w:color w:val="auto"/>
              </w:rPr>
            </w:pPr>
            <w:r>
              <w:rPr>
                <w:rFonts w:ascii="Arial" w:cs="Arial" w:eastAsia="Arial" w:hAnsi="Arial"/>
                <w:sz w:val="17"/>
                <w:szCs w:val="17"/>
                <w:color w:val="auto"/>
              </w:rPr>
              <w:t>—</w:t>
            </w:r>
          </w:p>
        </w:tc>
      </w:tr>
      <w:tr>
        <w:trPr>
          <w:trHeight w:val="89"/>
        </w:trPr>
        <w:tc>
          <w:tcPr>
            <w:tcW w:w="4860" w:type="dxa"/>
            <w:vAlign w:val="bottom"/>
            <w:shd w:val="clear" w:color="auto" w:fill="C0C0C0"/>
          </w:tcPr>
          <w:p>
            <w:pPr>
              <w:spacing w:after="0"/>
              <w:rPr>
                <w:sz w:val="7"/>
                <w:szCs w:val="7"/>
                <w:color w:val="auto"/>
              </w:rPr>
            </w:pPr>
          </w:p>
        </w:tc>
        <w:tc>
          <w:tcPr>
            <w:tcW w:w="3480" w:type="dxa"/>
            <w:vAlign w:val="bottom"/>
            <w:shd w:val="clear" w:color="auto" w:fill="C0C0C0"/>
          </w:tcPr>
          <w:p>
            <w:pPr>
              <w:spacing w:after="0"/>
              <w:rPr>
                <w:sz w:val="7"/>
                <w:szCs w:val="7"/>
                <w:color w:val="auto"/>
              </w:rPr>
            </w:pPr>
          </w:p>
        </w:tc>
        <w:tc>
          <w:tcPr>
            <w:tcW w:w="1160" w:type="dxa"/>
            <w:vAlign w:val="bottom"/>
            <w:shd w:val="clear" w:color="auto" w:fill="C0C0C0"/>
          </w:tcPr>
          <w:p>
            <w:pPr>
              <w:spacing w:after="0"/>
              <w:rPr>
                <w:sz w:val="7"/>
                <w:szCs w:val="7"/>
                <w:color w:val="auto"/>
              </w:rPr>
            </w:pPr>
          </w:p>
        </w:tc>
        <w:tc>
          <w:tcPr>
            <w:tcW w:w="200" w:type="dxa"/>
            <w:vAlign w:val="bottom"/>
            <w:shd w:val="clear" w:color="auto" w:fill="C0C0C0"/>
          </w:tcPr>
          <w:p>
            <w:pPr>
              <w:spacing w:after="0"/>
              <w:rPr>
                <w:sz w:val="7"/>
                <w:szCs w:val="7"/>
                <w:color w:val="auto"/>
              </w:rPr>
            </w:pPr>
          </w:p>
        </w:tc>
        <w:tc>
          <w:tcPr>
            <w:tcW w:w="980" w:type="dxa"/>
            <w:vAlign w:val="bottom"/>
            <w:shd w:val="clear" w:color="auto" w:fill="C0C0C0"/>
          </w:tcPr>
          <w:p>
            <w:pPr>
              <w:spacing w:after="0"/>
              <w:rPr>
                <w:sz w:val="7"/>
                <w:szCs w:val="7"/>
                <w:color w:val="auto"/>
              </w:rPr>
            </w:pPr>
          </w:p>
        </w:tc>
        <w:tc>
          <w:tcPr>
            <w:tcW w:w="740" w:type="dxa"/>
            <w:vAlign w:val="bottom"/>
            <w:shd w:val="clear" w:color="auto" w:fill="C0C0C0"/>
          </w:tcPr>
          <w:p>
            <w:pPr>
              <w:spacing w:after="0"/>
              <w:rPr>
                <w:sz w:val="7"/>
                <w:szCs w:val="7"/>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60" w:type="dxa"/>
            <w:vAlign w:val="bottom"/>
            <w:shd w:val="clear" w:color="auto" w:fill="C0C0C0"/>
          </w:tcPr>
          <w:p>
            <w:pPr>
              <w:spacing w:after="0"/>
              <w:rPr>
                <w:sz w:val="21"/>
                <w:szCs w:val="21"/>
                <w:color w:val="auto"/>
              </w:rPr>
            </w:pPr>
          </w:p>
        </w:tc>
        <w:tc>
          <w:tcPr>
            <w:tcW w:w="3660" w:type="dxa"/>
            <w:vAlign w:val="bottom"/>
            <w:shd w:val="clear" w:color="auto" w:fill="C0C0C0"/>
          </w:tcPr>
          <w:p>
            <w:pPr>
              <w:ind w:left="200"/>
              <w:spacing w:after="0"/>
              <w:rPr>
                <w:sz w:val="20"/>
                <w:szCs w:val="20"/>
                <w:color w:val="auto"/>
              </w:rPr>
            </w:pPr>
            <w:r>
              <w:rPr>
                <w:rFonts w:ascii="Arial" w:cs="Arial" w:eastAsia="Arial" w:hAnsi="Arial"/>
                <w:sz w:val="17"/>
                <w:szCs w:val="17"/>
                <w:color w:val="auto"/>
              </w:rPr>
              <w:t>TI Employees Non-Qualified Pension Plan</w:t>
            </w:r>
          </w:p>
        </w:tc>
        <w:tc>
          <w:tcPr>
            <w:tcW w:w="780" w:type="dxa"/>
            <w:vAlign w:val="bottom"/>
            <w:shd w:val="clear" w:color="auto" w:fill="C0C0C0"/>
          </w:tcPr>
          <w:p>
            <w:pPr>
              <w:jc w:val="right"/>
              <w:ind w:right="216"/>
              <w:spacing w:after="0"/>
              <w:rPr>
                <w:sz w:val="20"/>
                <w:szCs w:val="20"/>
                <w:color w:val="auto"/>
              </w:rPr>
            </w:pPr>
            <w:r>
              <w:rPr>
                <w:rFonts w:ascii="Arial" w:cs="Arial" w:eastAsia="Arial" w:hAnsi="Arial"/>
                <w:sz w:val="17"/>
                <w:szCs w:val="17"/>
                <w:color w:val="auto"/>
              </w:rPr>
              <w:t>23</w:t>
            </w:r>
          </w:p>
        </w:tc>
        <w:tc>
          <w:tcPr>
            <w:tcW w:w="300" w:type="dxa"/>
            <w:vAlign w:val="bottom"/>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jc w:val="right"/>
              <w:ind w:right="1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0C0C0"/>
          </w:tcPr>
          <w:p>
            <w:pPr>
              <w:jc w:val="right"/>
              <w:ind w:right="156"/>
              <w:spacing w:after="0"/>
              <w:rPr>
                <w:sz w:val="20"/>
                <w:szCs w:val="20"/>
                <w:color w:val="auto"/>
              </w:rPr>
            </w:pPr>
            <w:r>
              <w:rPr>
                <w:rFonts w:ascii="Arial" w:cs="Arial" w:eastAsia="Arial" w:hAnsi="Arial"/>
                <w:sz w:val="17"/>
                <w:szCs w:val="17"/>
                <w:color w:val="auto"/>
                <w:w w:val="95"/>
              </w:rPr>
              <w:t>1,194,243</w:t>
            </w:r>
          </w:p>
        </w:tc>
        <w:tc>
          <w:tcPr>
            <w:tcW w:w="640" w:type="dxa"/>
            <w:vAlign w:val="bottom"/>
            <w:shd w:val="clear" w:color="auto" w:fill="C0C0C0"/>
          </w:tcPr>
          <w:p>
            <w:pPr>
              <w:ind w:left="220"/>
              <w:spacing w:after="0"/>
              <w:rPr>
                <w:sz w:val="20"/>
                <w:szCs w:val="20"/>
                <w:color w:val="auto"/>
              </w:rPr>
            </w:pPr>
            <w:r>
              <w:rPr>
                <w:rFonts w:ascii="Arial" w:cs="Arial" w:eastAsia="Arial" w:hAnsi="Arial"/>
                <w:sz w:val="17"/>
                <w:szCs w:val="17"/>
                <w:color w:val="auto"/>
              </w:rPr>
              <w:t>—</w:t>
            </w:r>
          </w:p>
        </w:tc>
      </w:tr>
      <w:tr>
        <w:trPr>
          <w:trHeight w:val="205"/>
        </w:trPr>
        <w:tc>
          <w:tcPr>
            <w:tcW w:w="4860" w:type="dxa"/>
            <w:vAlign w:val="bottom"/>
          </w:tcPr>
          <w:p>
            <w:pPr>
              <w:spacing w:after="0" w:line="193" w:lineRule="exact"/>
              <w:rPr>
                <w:sz w:val="20"/>
                <w:szCs w:val="20"/>
                <w:color w:val="auto"/>
              </w:rPr>
            </w:pPr>
            <w:r>
              <w:rPr>
                <w:rFonts w:ascii="Arial" w:cs="Arial" w:eastAsia="Arial" w:hAnsi="Arial"/>
                <w:sz w:val="17"/>
                <w:szCs w:val="17"/>
                <w:color w:val="auto"/>
              </w:rPr>
              <w:t>K. J. Ritchie</w:t>
            </w:r>
          </w:p>
        </w:tc>
        <w:tc>
          <w:tcPr>
            <w:tcW w:w="3660" w:type="dxa"/>
            <w:vAlign w:val="bottom"/>
          </w:tcPr>
          <w:p>
            <w:pPr>
              <w:ind w:left="200"/>
              <w:spacing w:after="0" w:line="193" w:lineRule="exact"/>
              <w:rPr>
                <w:sz w:val="20"/>
                <w:szCs w:val="20"/>
                <w:color w:val="auto"/>
              </w:rPr>
            </w:pPr>
            <w:r>
              <w:rPr>
                <w:rFonts w:ascii="Arial" w:cs="Arial" w:eastAsia="Arial" w:hAnsi="Arial"/>
                <w:sz w:val="17"/>
                <w:szCs w:val="17"/>
                <w:color w:val="auto"/>
              </w:rPr>
              <w:t>TI Employees Pension Plan</w:t>
            </w:r>
          </w:p>
        </w:tc>
        <w:tc>
          <w:tcPr>
            <w:tcW w:w="780" w:type="dxa"/>
            <w:vAlign w:val="bottom"/>
          </w:tcPr>
          <w:p>
            <w:pPr>
              <w:jc w:val="right"/>
              <w:ind w:right="216"/>
              <w:spacing w:after="0" w:line="193" w:lineRule="exact"/>
              <w:rPr>
                <w:sz w:val="20"/>
                <w:szCs w:val="20"/>
                <w:color w:val="auto"/>
              </w:rPr>
            </w:pPr>
            <w:r>
              <w:rPr>
                <w:rFonts w:ascii="Arial" w:cs="Arial" w:eastAsia="Arial" w:hAnsi="Arial"/>
                <w:sz w:val="17"/>
                <w:szCs w:val="17"/>
                <w:color w:val="auto"/>
              </w:rPr>
              <w:t>29</w:t>
            </w:r>
          </w:p>
        </w:tc>
        <w:tc>
          <w:tcPr>
            <w:tcW w:w="50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6"/>
              <w:spacing w:after="0" w:line="193" w:lineRule="exact"/>
              <w:rPr>
                <w:sz w:val="20"/>
                <w:szCs w:val="20"/>
                <w:color w:val="auto"/>
              </w:rPr>
            </w:pPr>
            <w:r>
              <w:rPr>
                <w:rFonts w:ascii="Arial" w:cs="Arial" w:eastAsia="Arial" w:hAnsi="Arial"/>
                <w:sz w:val="17"/>
                <w:szCs w:val="17"/>
                <w:color w:val="auto"/>
              </w:rPr>
              <w:t>570,574</w:t>
            </w:r>
          </w:p>
        </w:tc>
        <w:tc>
          <w:tcPr>
            <w:tcW w:w="640" w:type="dxa"/>
            <w:vAlign w:val="bottom"/>
          </w:tcPr>
          <w:p>
            <w:pPr>
              <w:ind w:left="220"/>
              <w:spacing w:after="0" w:line="193" w:lineRule="exact"/>
              <w:rPr>
                <w:sz w:val="20"/>
                <w:szCs w:val="20"/>
                <w:color w:val="auto"/>
              </w:rPr>
            </w:pPr>
            <w:r>
              <w:rPr>
                <w:rFonts w:ascii="Arial" w:cs="Arial" w:eastAsia="Arial" w:hAnsi="Arial"/>
                <w:sz w:val="17"/>
                <w:szCs w:val="17"/>
                <w:color w:val="auto"/>
              </w:rPr>
              <w:t>—</w:t>
            </w:r>
          </w:p>
        </w:tc>
      </w:tr>
      <w:tr>
        <w:trPr>
          <w:trHeight w:val="222"/>
        </w:trPr>
        <w:tc>
          <w:tcPr>
            <w:tcW w:w="486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7"/>
                <w:szCs w:val="17"/>
                <w:color w:val="auto"/>
              </w:rPr>
              <w:t>TI Employees Non-Qualified Pension Plan</w:t>
            </w:r>
          </w:p>
        </w:tc>
        <w:tc>
          <w:tcPr>
            <w:tcW w:w="780" w:type="dxa"/>
            <w:vAlign w:val="bottom"/>
          </w:tcPr>
          <w:p>
            <w:pPr>
              <w:jc w:val="right"/>
              <w:ind w:right="216"/>
              <w:spacing w:after="0"/>
              <w:rPr>
                <w:sz w:val="20"/>
                <w:szCs w:val="20"/>
                <w:color w:val="auto"/>
              </w:rPr>
            </w:pPr>
            <w:r>
              <w:rPr>
                <w:rFonts w:ascii="Arial" w:cs="Arial" w:eastAsia="Arial" w:hAnsi="Arial"/>
                <w:sz w:val="17"/>
                <w:szCs w:val="17"/>
                <w:color w:val="auto"/>
              </w:rPr>
              <w:t>29</w:t>
            </w:r>
          </w:p>
        </w:tc>
        <w:tc>
          <w:tcPr>
            <w:tcW w:w="50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6"/>
              <w:spacing w:after="0"/>
              <w:rPr>
                <w:sz w:val="20"/>
                <w:szCs w:val="20"/>
                <w:color w:val="auto"/>
              </w:rPr>
            </w:pPr>
            <w:r>
              <w:rPr>
                <w:rFonts w:ascii="Arial" w:cs="Arial" w:eastAsia="Arial" w:hAnsi="Arial"/>
                <w:sz w:val="17"/>
                <w:szCs w:val="17"/>
                <w:color w:val="auto"/>
                <w:w w:val="95"/>
              </w:rPr>
              <w:t>1,753,211</w:t>
            </w:r>
          </w:p>
        </w:tc>
        <w:tc>
          <w:tcPr>
            <w:tcW w:w="640" w:type="dxa"/>
            <w:vAlign w:val="bottom"/>
          </w:tcPr>
          <w:p>
            <w:pPr>
              <w:ind w:left="220"/>
              <w:spacing w:after="0"/>
              <w:rPr>
                <w:sz w:val="20"/>
                <w:szCs w:val="20"/>
                <w:color w:val="auto"/>
              </w:rPr>
            </w:pPr>
            <w:r>
              <w:rPr>
                <w:rFonts w:ascii="Arial" w:cs="Arial" w:eastAsia="Arial" w:hAnsi="Arial"/>
                <w:sz w:val="17"/>
                <w:szCs w:val="17"/>
                <w:color w:val="auto"/>
              </w:rPr>
              <w:t>—</w:t>
            </w:r>
          </w:p>
        </w:tc>
      </w:tr>
      <w:tr>
        <w:trPr>
          <w:trHeight w:val="233"/>
        </w:trPr>
        <w:tc>
          <w:tcPr>
            <w:tcW w:w="4860" w:type="dxa"/>
            <w:vAlign w:val="bottom"/>
            <w:shd w:val="clear" w:color="auto" w:fill="C0C0C0"/>
          </w:tcPr>
          <w:p>
            <w:pPr>
              <w:spacing w:after="0"/>
              <w:rPr>
                <w:sz w:val="20"/>
                <w:szCs w:val="20"/>
                <w:color w:val="auto"/>
              </w:rPr>
            </w:pPr>
            <w:r>
              <w:rPr>
                <w:rFonts w:ascii="Arial" w:cs="Arial" w:eastAsia="Arial" w:hAnsi="Arial"/>
                <w:sz w:val="17"/>
                <w:szCs w:val="17"/>
                <w:color w:val="auto"/>
              </w:rPr>
              <w:t>M. J. Hames</w:t>
            </w:r>
          </w:p>
        </w:tc>
        <w:tc>
          <w:tcPr>
            <w:tcW w:w="3660" w:type="dxa"/>
            <w:vAlign w:val="bottom"/>
            <w:shd w:val="clear" w:color="auto" w:fill="C0C0C0"/>
          </w:tcPr>
          <w:p>
            <w:pPr>
              <w:ind w:left="200"/>
              <w:spacing w:after="0"/>
              <w:rPr>
                <w:sz w:val="20"/>
                <w:szCs w:val="20"/>
                <w:color w:val="auto"/>
              </w:rPr>
            </w:pPr>
            <w:r>
              <w:rPr>
                <w:rFonts w:ascii="Arial" w:cs="Arial" w:eastAsia="Arial" w:hAnsi="Arial"/>
                <w:sz w:val="17"/>
                <w:szCs w:val="17"/>
                <w:color w:val="auto"/>
              </w:rPr>
              <w:t>TI Employees Pension Plan</w:t>
            </w:r>
          </w:p>
        </w:tc>
        <w:tc>
          <w:tcPr>
            <w:tcW w:w="780" w:type="dxa"/>
            <w:vAlign w:val="bottom"/>
            <w:shd w:val="clear" w:color="auto" w:fill="C0C0C0"/>
          </w:tcPr>
          <w:p>
            <w:pPr>
              <w:jc w:val="right"/>
              <w:ind w:right="216"/>
              <w:spacing w:after="0"/>
              <w:rPr>
                <w:sz w:val="20"/>
                <w:szCs w:val="20"/>
                <w:color w:val="auto"/>
              </w:rPr>
            </w:pPr>
            <w:r>
              <w:rPr>
                <w:rFonts w:ascii="Arial" w:cs="Arial" w:eastAsia="Arial" w:hAnsi="Arial"/>
                <w:sz w:val="17"/>
                <w:szCs w:val="17"/>
                <w:color w:val="auto"/>
              </w:rPr>
              <w:t>27</w:t>
            </w:r>
          </w:p>
        </w:tc>
        <w:tc>
          <w:tcPr>
            <w:tcW w:w="50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56"/>
              <w:spacing w:after="0"/>
              <w:rPr>
                <w:sz w:val="20"/>
                <w:szCs w:val="20"/>
                <w:color w:val="auto"/>
              </w:rPr>
            </w:pPr>
            <w:r>
              <w:rPr>
                <w:rFonts w:ascii="Arial" w:cs="Arial" w:eastAsia="Arial" w:hAnsi="Arial"/>
                <w:sz w:val="17"/>
                <w:szCs w:val="17"/>
                <w:color w:val="auto"/>
              </w:rPr>
              <w:t>469,166</w:t>
            </w:r>
          </w:p>
        </w:tc>
        <w:tc>
          <w:tcPr>
            <w:tcW w:w="640" w:type="dxa"/>
            <w:vAlign w:val="bottom"/>
            <w:shd w:val="clear" w:color="auto" w:fill="C0C0C0"/>
          </w:tcPr>
          <w:p>
            <w:pPr>
              <w:ind w:left="220"/>
              <w:spacing w:after="0"/>
              <w:rPr>
                <w:sz w:val="20"/>
                <w:szCs w:val="20"/>
                <w:color w:val="auto"/>
              </w:rPr>
            </w:pPr>
            <w:r>
              <w:rPr>
                <w:rFonts w:ascii="Arial" w:cs="Arial" w:eastAsia="Arial" w:hAnsi="Arial"/>
                <w:sz w:val="17"/>
                <w:szCs w:val="17"/>
                <w:color w:val="auto"/>
              </w:rPr>
              <w:t>—</w:t>
            </w:r>
          </w:p>
        </w:tc>
      </w:tr>
      <w:tr>
        <w:trPr>
          <w:trHeight w:val="233"/>
        </w:trPr>
        <w:tc>
          <w:tcPr>
            <w:tcW w:w="4860" w:type="dxa"/>
            <w:vAlign w:val="bottom"/>
            <w:shd w:val="clear" w:color="auto" w:fill="C0C0C0"/>
          </w:tcPr>
          <w:p>
            <w:pPr>
              <w:spacing w:after="0"/>
              <w:rPr>
                <w:sz w:val="20"/>
                <w:szCs w:val="20"/>
                <w:color w:val="auto"/>
              </w:rPr>
            </w:pPr>
          </w:p>
        </w:tc>
        <w:tc>
          <w:tcPr>
            <w:tcW w:w="3660" w:type="dxa"/>
            <w:vAlign w:val="bottom"/>
            <w:shd w:val="clear" w:color="auto" w:fill="C0C0C0"/>
          </w:tcPr>
          <w:p>
            <w:pPr>
              <w:ind w:left="200"/>
              <w:spacing w:after="0"/>
              <w:rPr>
                <w:sz w:val="20"/>
                <w:szCs w:val="20"/>
                <w:color w:val="auto"/>
              </w:rPr>
            </w:pPr>
            <w:r>
              <w:rPr>
                <w:rFonts w:ascii="Arial" w:cs="Arial" w:eastAsia="Arial" w:hAnsi="Arial"/>
                <w:sz w:val="17"/>
                <w:szCs w:val="17"/>
                <w:color w:val="auto"/>
              </w:rPr>
              <w:t>TI Employees Non-Qualified Pension Plan</w:t>
            </w:r>
          </w:p>
        </w:tc>
        <w:tc>
          <w:tcPr>
            <w:tcW w:w="780" w:type="dxa"/>
            <w:vAlign w:val="bottom"/>
            <w:shd w:val="clear" w:color="auto" w:fill="C0C0C0"/>
          </w:tcPr>
          <w:p>
            <w:pPr>
              <w:jc w:val="right"/>
              <w:ind w:right="216"/>
              <w:spacing w:after="0"/>
              <w:rPr>
                <w:sz w:val="20"/>
                <w:szCs w:val="20"/>
                <w:color w:val="auto"/>
              </w:rPr>
            </w:pPr>
            <w:r>
              <w:rPr>
                <w:rFonts w:ascii="Arial" w:cs="Arial" w:eastAsia="Arial" w:hAnsi="Arial"/>
                <w:sz w:val="17"/>
                <w:szCs w:val="17"/>
                <w:color w:val="auto"/>
              </w:rPr>
              <w:t>27</w:t>
            </w:r>
          </w:p>
        </w:tc>
        <w:tc>
          <w:tcPr>
            <w:tcW w:w="50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56"/>
              <w:spacing w:after="0"/>
              <w:rPr>
                <w:sz w:val="20"/>
                <w:szCs w:val="20"/>
                <w:color w:val="auto"/>
              </w:rPr>
            </w:pPr>
            <w:r>
              <w:rPr>
                <w:rFonts w:ascii="Arial" w:cs="Arial" w:eastAsia="Arial" w:hAnsi="Arial"/>
                <w:sz w:val="17"/>
                <w:szCs w:val="17"/>
                <w:color w:val="auto"/>
                <w:w w:val="95"/>
              </w:rPr>
              <w:t>1,344,952</w:t>
            </w:r>
          </w:p>
        </w:tc>
        <w:tc>
          <w:tcPr>
            <w:tcW w:w="640" w:type="dxa"/>
            <w:vAlign w:val="bottom"/>
            <w:shd w:val="clear" w:color="auto" w:fill="C0C0C0"/>
          </w:tcPr>
          <w:p>
            <w:pPr>
              <w:ind w:left="220"/>
              <w:spacing w:after="0"/>
              <w:rPr>
                <w:sz w:val="20"/>
                <w:szCs w:val="20"/>
                <w:color w:val="auto"/>
              </w:rPr>
            </w:pPr>
            <w:r>
              <w:rPr>
                <w:rFonts w:ascii="Arial" w:cs="Arial" w:eastAsia="Arial" w:hAnsi="Arial"/>
                <w:sz w:val="17"/>
                <w:szCs w:val="17"/>
                <w:color w:val="auto"/>
              </w:rPr>
              <w:t>—</w:t>
            </w:r>
          </w:p>
        </w:tc>
      </w:tr>
    </w:tbl>
    <w:p>
      <w:pPr>
        <w:spacing w:after="0" w:line="236" w:lineRule="exact"/>
        <w:rPr>
          <w:sz w:val="20"/>
          <w:szCs w:val="20"/>
          <w:color w:val="auto"/>
        </w:rPr>
      </w:pPr>
    </w:p>
    <w:p>
      <w:pPr>
        <w:ind w:left="460" w:right="80" w:hanging="456"/>
        <w:spacing w:after="0" w:line="241"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Mr. Templeton chose to participate in the defined contribution plan. Accordingly, his accrued pension benefits were frozen as of December 31, 1997. Contributions to the defined contribution plan for Mr. Templeton’s benefit are included in the 2008 Summary Compensation Table.</w:t>
      </w:r>
    </w:p>
    <w:p>
      <w:pPr>
        <w:spacing w:after="0" w:line="224" w:lineRule="exact"/>
        <w:rPr>
          <w:rFonts w:ascii="Arial" w:cs="Arial" w:eastAsia="Arial" w:hAnsi="Arial"/>
          <w:sz w:val="17"/>
          <w:szCs w:val="17"/>
          <w:color w:val="auto"/>
        </w:rPr>
      </w:pPr>
    </w:p>
    <w:p>
      <w:pPr>
        <w:ind w:left="460" w:right="180" w:hanging="456"/>
        <w:spacing w:after="0" w:line="241"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Credited service began on the date the officer became eligible to participate in the plan. Eligibility to participate began on the earlier of 18 months of employment, or January 1 following the completion of one year of employment. Accordingly, each of the named executive officers has been employed by TI for longer than the years of credited service shown above. Because Mr. Templeton’s benefits were frozen as of December 31, 1997, he accumulates no additional years of credited service beyond that date.</w:t>
      </w:r>
    </w:p>
    <w:p>
      <w:pPr>
        <w:spacing w:after="0" w:line="224" w:lineRule="exact"/>
        <w:rPr>
          <w:rFonts w:ascii="Arial" w:cs="Arial" w:eastAsia="Arial" w:hAnsi="Arial"/>
          <w:sz w:val="17"/>
          <w:szCs w:val="17"/>
          <w:color w:val="auto"/>
        </w:rPr>
      </w:pPr>
    </w:p>
    <w:p>
      <w:pPr>
        <w:ind w:left="460" w:hanging="456"/>
        <w:spacing w:after="0" w:line="239"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assumptions and valuation methods used to calculate the present value of the accumulated pension benefits shown are the same as those used by TI for financial reporting purposes and are described in Note 12 to Exhibit 13 to TI’s annual report on Form 10-K for the year ended December 31, 2008, except that a named executive officer’s retirement is assumed (in accordance with SEC rules) for purposes of this table to occur at age 65 and no assumption for termination prior to that date is used. The amount of the lump sum benefit earned as of December 31, 2008, is determined using either (i) the Pension Benefit Guaranty Corporation (PBGC) interest assumption of 3.75 percent or (ii) the Pension Protection Act of 2006 (PPA) corporate bond yield interest assumption of 6.14 percent for the TI Employees Pension Plan and 6.16 percent for the TI Employees Non-Qualified Pension Plan, whichever rate produces the higher lump sum amount. A discount rate assumption of 6.14 percent for the TI Employees Pension Plan and 6.16 percent for the TI Employees Non-Qualified Pension Plan were used to determine the present value of the lump sum.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Pension Plan</w:t>
      </w:r>
    </w:p>
    <w:p>
      <w:pPr>
        <w:ind w:right="140"/>
        <w:spacing w:after="0" w:line="242" w:lineRule="auto"/>
        <w:rPr>
          <w:sz w:val="20"/>
          <w:szCs w:val="20"/>
          <w:color w:val="auto"/>
        </w:rPr>
      </w:pPr>
      <w:r>
        <w:rPr>
          <w:rFonts w:ascii="Arial" w:cs="Arial" w:eastAsia="Arial" w:hAnsi="Arial"/>
          <w:sz w:val="17"/>
          <w:szCs w:val="17"/>
          <w:color w:val="auto"/>
        </w:rPr>
        <w:t>The TI Employees Pension Plan is a qualified defined benefit pension plan. Please see page 69 under the Benefits heading of the Compensation Discussion and Analysis for a discussion of the origin and purpose of the plan. Employees who joined the U.S. payroll after November 30, 1997, are not eligible to participate in this plan.</w:t>
      </w:r>
    </w:p>
    <w:p>
      <w:pPr>
        <w:spacing w:after="0" w:line="17"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A plan participant is eligible for normal retirement under the terms of the plan if he is at least 65 years of age with one year of credited service. 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participant is eligible for early retirement if he is at least 55 years of age with 20 years of employment or 60 years of age with five years of employment.</w:t>
      </w:r>
    </w:p>
    <w:p>
      <w:pPr>
        <w:spacing w:after="0"/>
        <w:rPr>
          <w:sz w:val="20"/>
          <w:szCs w:val="20"/>
          <w:color w:val="auto"/>
        </w:rPr>
      </w:pPr>
      <w:r>
        <w:rPr>
          <w:rFonts w:ascii="Arial" w:cs="Arial" w:eastAsia="Arial" w:hAnsi="Arial"/>
          <w:sz w:val="17"/>
          <w:szCs w:val="17"/>
          <w:color w:val="auto"/>
        </w:rPr>
        <w:t>None of the named executive officers are currently eligible for early or normal retirement.</w:t>
      </w:r>
    </w:p>
    <w:p>
      <w:pPr>
        <w:spacing w:after="0" w:line="25" w:lineRule="exact"/>
        <w:rPr>
          <w:sz w:val="20"/>
          <w:szCs w:val="20"/>
          <w:color w:val="auto"/>
        </w:rPr>
      </w:pPr>
    </w:p>
    <w:p>
      <w:pPr>
        <w:jc w:val="both"/>
        <w:ind w:right="140" w:firstLine="259"/>
        <w:spacing w:after="0" w:line="261" w:lineRule="auto"/>
        <w:rPr>
          <w:sz w:val="20"/>
          <w:szCs w:val="20"/>
          <w:color w:val="auto"/>
        </w:rPr>
      </w:pPr>
      <w:r>
        <w:rPr>
          <w:rFonts w:ascii="Arial" w:cs="Arial" w:eastAsia="Arial" w:hAnsi="Arial"/>
          <w:sz w:val="16"/>
          <w:szCs w:val="16"/>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w:t>
      </w:r>
    </w:p>
    <w:p>
      <w:pPr>
        <w:spacing w:after="0" w:line="1" w:lineRule="exact"/>
        <w:rPr>
          <w:sz w:val="20"/>
          <w:szCs w:val="20"/>
          <w:color w:val="auto"/>
        </w:rPr>
      </w:pPr>
    </w:p>
    <w:p>
      <w:pPr>
        <w:jc w:val="both"/>
        <w:ind w:right="60" w:firstLine="4"/>
        <w:spacing w:after="0" w:line="242" w:lineRule="auto"/>
        <w:tabs>
          <w:tab w:leader="none" w:pos="2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17" w:lineRule="exact"/>
        <w:rPr>
          <w:rFonts w:ascii="Arial" w:cs="Arial" w:eastAsia="Arial" w:hAnsi="Arial"/>
          <w:sz w:val="17"/>
          <w:szCs w:val="17"/>
          <w:color w:val="auto"/>
        </w:rPr>
      </w:pPr>
    </w:p>
    <w:p>
      <w:pPr>
        <w:ind w:right="40" w:firstLine="259"/>
        <w:spacing w:after="0" w:line="246" w:lineRule="auto"/>
        <w:rPr>
          <w:rFonts w:ascii="Arial" w:cs="Arial" w:eastAsia="Arial" w:hAnsi="Arial"/>
          <w:sz w:val="17"/>
          <w:szCs w:val="17"/>
          <w:color w:val="auto"/>
        </w:rPr>
      </w:pPr>
      <w:r>
        <w:rPr>
          <w:rFonts w:ascii="Arial" w:cs="Arial" w:eastAsia="Arial" w:hAnsi="Arial"/>
          <w:sz w:val="17"/>
          <w:szCs w:val="17"/>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[ 78 ]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300" w:firstLine="259"/>
        <w:spacing w:after="0" w:line="262" w:lineRule="auto"/>
        <w:rPr>
          <w:sz w:val="20"/>
          <w:szCs w:val="20"/>
          <w:color w:val="auto"/>
        </w:rPr>
      </w:pPr>
      <w:r>
        <w:rPr>
          <w:rFonts w:ascii="Arial" w:cs="Arial" w:eastAsia="Arial" w:hAnsi="Arial"/>
          <w:sz w:val="17"/>
          <w:szCs w:val="17"/>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 w:lineRule="exact"/>
        <w:rPr>
          <w:sz w:val="20"/>
          <w:szCs w:val="20"/>
          <w:color w:val="auto"/>
        </w:rPr>
      </w:pPr>
    </w:p>
    <w:p>
      <w:pPr>
        <w:ind w:right="80" w:firstLine="259"/>
        <w:spacing w:after="0" w:line="246" w:lineRule="auto"/>
        <w:rPr>
          <w:sz w:val="20"/>
          <w:szCs w:val="20"/>
          <w:color w:val="auto"/>
        </w:rPr>
      </w:pPr>
      <w:r>
        <w:rPr>
          <w:rFonts w:ascii="Arial" w:cs="Arial" w:eastAsia="Arial" w:hAnsi="Arial"/>
          <w:sz w:val="17"/>
          <w:szCs w:val="17"/>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14" w:lineRule="exact"/>
        <w:rPr>
          <w:sz w:val="20"/>
          <w:szCs w:val="20"/>
          <w:color w:val="auto"/>
        </w:rPr>
      </w:pPr>
    </w:p>
    <w:p>
      <w:pPr>
        <w:ind w:right="220" w:firstLine="259"/>
        <w:spacing w:after="0" w:line="250" w:lineRule="auto"/>
        <w:rPr>
          <w:sz w:val="20"/>
          <w:szCs w:val="20"/>
          <w:color w:val="auto"/>
        </w:rPr>
      </w:pPr>
      <w:r>
        <w:rPr>
          <w:rFonts w:ascii="Arial" w:cs="Arial" w:eastAsia="Arial" w:hAnsi="Arial"/>
          <w:sz w:val="17"/>
          <w:szCs w:val="17"/>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1" w:lineRule="exact"/>
        <w:rPr>
          <w:sz w:val="20"/>
          <w:szCs w:val="20"/>
          <w:color w:val="auto"/>
        </w:rPr>
      </w:pPr>
    </w:p>
    <w:p>
      <w:pPr>
        <w:ind w:right="160" w:firstLine="259"/>
        <w:spacing w:after="0" w:line="262" w:lineRule="auto"/>
        <w:rPr>
          <w:sz w:val="20"/>
          <w:szCs w:val="20"/>
          <w:color w:val="auto"/>
        </w:rPr>
      </w:pPr>
      <w:r>
        <w:rPr>
          <w:rFonts w:ascii="Arial" w:cs="Arial" w:eastAsia="Arial" w:hAnsi="Arial"/>
          <w:sz w:val="17"/>
          <w:szCs w:val="17"/>
          <w:color w:val="auto"/>
        </w:rPr>
        <w:t>Leaves of absence, including a bridge to retirement, are credited to years of service under the qualified and non-qualified pension plans. Please see the discussion of leaves of absence on page 84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Non-Qualified Pension Plan</w:t>
      </w:r>
    </w:p>
    <w:p>
      <w:pPr>
        <w:ind w:right="20"/>
        <w:spacing w:after="0" w:line="241" w:lineRule="auto"/>
        <w:rPr>
          <w:sz w:val="20"/>
          <w:szCs w:val="20"/>
          <w:color w:val="auto"/>
        </w:rPr>
      </w:pPr>
      <w:r>
        <w:rPr>
          <w:rFonts w:ascii="Arial" w:cs="Arial" w:eastAsia="Arial" w:hAnsi="Arial"/>
          <w:sz w:val="17"/>
          <w:szCs w:val="17"/>
          <w:color w:val="auto"/>
        </w:rPr>
        <w:t>The TI Employees Non-Qualified Pension Plan is a non-qualified defined benefit pension plan. Please see pages 69-70 under the Benefits heading of the Compensation Discussion and Analysis for a discussion of the purpose of this plan. As with the qualified defined benefit pension plan, employees who joined the U.S. payroll after November 30, 1997, are not eligible to participate in this Plan. Eligibility for normal and early retirement under this plan is the same as under the qualified plan (please see page 69). Benefits under this plan are paid in a lump sum.</w:t>
      </w:r>
    </w:p>
    <w:p>
      <w:pPr>
        <w:spacing w:after="0" w:line="18" w:lineRule="exact"/>
        <w:rPr>
          <w:sz w:val="20"/>
          <w:szCs w:val="20"/>
          <w:color w:val="auto"/>
        </w:rPr>
      </w:pPr>
    </w:p>
    <w:p>
      <w:pPr>
        <w:ind w:right="80" w:firstLine="259"/>
        <w:spacing w:after="0" w:line="244" w:lineRule="auto"/>
        <w:rPr>
          <w:sz w:val="20"/>
          <w:szCs w:val="20"/>
          <w:color w:val="auto"/>
        </w:rPr>
      </w:pPr>
      <w:r>
        <w:rPr>
          <w:rFonts w:ascii="Arial" w:cs="Arial" w:eastAsia="Arial" w:hAnsi="Arial"/>
          <w:sz w:val="17"/>
          <w:szCs w:val="17"/>
          <w:color w:val="auto"/>
        </w:rPr>
        <w:t>A participant’s benefit under the non-qualified pension plan is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this plan. Once this non-qualified benefit amount has been determined using the formula described above, the individual’s qualified benefit is subtracted from it. The resulting difference is multiplied by an age-based factor to obtain the amount of the lump sum benefit payable to an individual under this non-qualified plan.</w:t>
      </w:r>
    </w:p>
    <w:p>
      <w:pPr>
        <w:spacing w:after="0" w:line="16" w:lineRule="exact"/>
        <w:rPr>
          <w:sz w:val="20"/>
          <w:szCs w:val="20"/>
          <w:color w:val="auto"/>
        </w:rPr>
      </w:pPr>
    </w:p>
    <w:p>
      <w:pPr>
        <w:ind w:right="120" w:firstLine="259"/>
        <w:spacing w:after="0" w:line="246" w:lineRule="auto"/>
        <w:rPr>
          <w:sz w:val="20"/>
          <w:szCs w:val="20"/>
          <w:color w:val="auto"/>
        </w:rPr>
      </w:pPr>
      <w:r>
        <w:rPr>
          <w:rFonts w:ascii="Arial" w:cs="Arial" w:eastAsia="Arial" w:hAnsi="Arial"/>
          <w:sz w:val="17"/>
          <w:szCs w:val="17"/>
          <w:color w:val="auto"/>
        </w:rPr>
        <w:t>Amounts earned before 2005 will be distributed when payment of the participant’s benefit under the qualified pension plan commences. Amounts earned after 2004 will be distributed subject to the requirements of Section 409A of the IRC. Because the named executive officers are among the 50 most highly compensated officers of the company, Section 409A of the IRC requires that they not receive any lump sum distribution payments under the non-qualified pension plan before the first day of the seventh month following termination of employment.</w:t>
      </w:r>
    </w:p>
    <w:p>
      <w:pPr>
        <w:spacing w:after="0" w:line="14" w:lineRule="exact"/>
        <w:rPr>
          <w:sz w:val="20"/>
          <w:szCs w:val="20"/>
          <w:color w:val="auto"/>
        </w:rPr>
      </w:pPr>
    </w:p>
    <w:p>
      <w:pPr>
        <w:ind w:right="280" w:firstLine="259"/>
        <w:spacing w:after="0" w:line="250" w:lineRule="auto"/>
        <w:rPr>
          <w:sz w:val="20"/>
          <w:szCs w:val="20"/>
          <w:color w:val="auto"/>
        </w:rPr>
      </w:pPr>
      <w:r>
        <w:rPr>
          <w:rFonts w:ascii="Arial" w:cs="Arial" w:eastAsia="Arial" w:hAnsi="Arial"/>
          <w:sz w:val="17"/>
          <w:szCs w:val="17"/>
          <w:color w:val="auto"/>
        </w:rPr>
        <w:t>If a participant terminates due to disability, amounts earned prior to 2005 will be distributed when payment of the participant’s benefit under the qualified plan commences. For amounts earned after 2004, distribution is governed by Section 409A of the IRC as discussed above, and the disability benefit is reduced to reflect the payment of the benefit prior to age 65.</w:t>
      </w:r>
    </w:p>
    <w:p>
      <w:pPr>
        <w:spacing w:after="0" w:line="11" w:lineRule="exact"/>
        <w:rPr>
          <w:sz w:val="20"/>
          <w:szCs w:val="20"/>
          <w:color w:val="auto"/>
        </w:rPr>
      </w:pPr>
    </w:p>
    <w:p>
      <w:pPr>
        <w:ind w:right="160" w:firstLine="259"/>
        <w:spacing w:after="0" w:line="262" w:lineRule="auto"/>
        <w:rPr>
          <w:sz w:val="20"/>
          <w:szCs w:val="20"/>
          <w:color w:val="auto"/>
        </w:rPr>
      </w:pPr>
      <w:r>
        <w:rPr>
          <w:rFonts w:ascii="Arial" w:cs="Arial" w:eastAsia="Arial" w:hAnsi="Arial"/>
          <w:sz w:val="17"/>
          <w:szCs w:val="17"/>
          <w:color w:val="auto"/>
        </w:rPr>
        <w:t>In the event of death, payment is based on salary and bonus, years of credited service and age at the time of death and will be in the form of a lump sum. The earliest date of payment is the first day of the second calendar month following the month of death.</w:t>
      </w:r>
    </w:p>
    <w:p>
      <w:pPr>
        <w:spacing w:after="0" w:line="1" w:lineRule="exact"/>
        <w:rPr>
          <w:sz w:val="20"/>
          <w:szCs w:val="20"/>
          <w:color w:val="auto"/>
        </w:rPr>
      </w:pPr>
    </w:p>
    <w:p>
      <w:pPr>
        <w:ind w:right="140" w:firstLine="259"/>
        <w:spacing w:after="0" w:line="273" w:lineRule="auto"/>
        <w:rPr>
          <w:sz w:val="20"/>
          <w:szCs w:val="20"/>
          <w:color w:val="auto"/>
        </w:rPr>
      </w:pPr>
      <w:r>
        <w:rPr>
          <w:rFonts w:ascii="Arial" w:cs="Arial" w:eastAsia="Arial" w:hAnsi="Arial"/>
          <w:sz w:val="16"/>
          <w:szCs w:val="16"/>
          <w:color w:val="auto"/>
        </w:rPr>
        <w:t>Balances in this plan are unsecured obligations of the company. For amounts accrued prior to 2005, in the event of a change in control, the present value of the individual’s benefit would be paid not later than the month following the month in which the change in control occurred. For such amounts, the standard definition of a change in control (please see page 76) applied. For amounts accrued after 2004, the change in control definition required by</w:t>
      </w:r>
    </w:p>
    <w:p>
      <w:pPr>
        <w:sectPr>
          <w:pgSz w:w="11900" w:h="16838" w:orient="portrait"/>
          <w:cols w:equalWidth="0" w:num="1">
            <w:col w:w="11420"/>
          </w:cols>
          <w:pgMar w:left="240" w:top="140" w:right="239" w:bottom="0" w:gutter="0" w:footer="0" w:header="0"/>
        </w:sectPr>
      </w:pPr>
    </w:p>
    <w:bookmarkStart w:id="22" w:name="page23"/>
    <w:bookmarkEnd w:id="22"/>
    <w:p>
      <w:pPr>
        <w:spacing w:after="0" w:line="6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Section 409A of the IRC applied. For all amounts accrued under this plan, if a sale of substantially all of the assets of the company occurred, the present value of the individual’s benefit would be distributed in a lump sum as soon as reasonably practicable following the sale of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2008 non-qualified deferred compensation</w:t>
      </w:r>
    </w:p>
    <w:p>
      <w:pPr>
        <w:spacing w:after="0" w:line="19" w:lineRule="exact"/>
        <w:rPr>
          <w:sz w:val="20"/>
          <w:szCs w:val="20"/>
          <w:color w:val="auto"/>
        </w:rPr>
      </w:pPr>
    </w:p>
    <w:p>
      <w:pPr>
        <w:ind w:right="600"/>
        <w:spacing w:after="0" w:line="246" w:lineRule="auto"/>
        <w:rPr>
          <w:sz w:val="20"/>
          <w:szCs w:val="20"/>
          <w:color w:val="auto"/>
        </w:rPr>
      </w:pPr>
      <w:r>
        <w:rPr>
          <w:rFonts w:ascii="Arial" w:cs="Arial" w:eastAsia="Arial" w:hAnsi="Arial"/>
          <w:sz w:val="17"/>
          <w:szCs w:val="17"/>
          <w:color w:val="auto"/>
        </w:rPr>
        <w:t>The following table shows contributions to the named executive officer’s deferred compensation account in 2008 and the aggregate amount of his deferred compensation as of December 31, 2008.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820" w:type="dxa"/>
            <w:vAlign w:val="bottom"/>
          </w:tcPr>
          <w:p>
            <w:pPr>
              <w:jc w:val="center"/>
              <w:ind w:left="1623"/>
              <w:spacing w:after="0"/>
              <w:rPr>
                <w:sz w:val="20"/>
                <w:szCs w:val="20"/>
                <w:color w:val="auto"/>
              </w:rPr>
            </w:pPr>
            <w:r>
              <w:rPr>
                <w:rFonts w:ascii="Arial" w:cs="Arial" w:eastAsia="Arial" w:hAnsi="Arial"/>
                <w:sz w:val="13"/>
                <w:szCs w:val="13"/>
                <w:b w:val="1"/>
                <w:bCs w:val="1"/>
                <w:color w:val="auto"/>
                <w:w w:val="98"/>
              </w:rPr>
              <w:t>Executive</w:t>
            </w:r>
          </w:p>
        </w:tc>
        <w:tc>
          <w:tcPr>
            <w:tcW w:w="280" w:type="dxa"/>
            <w:vAlign w:val="bottom"/>
          </w:tcPr>
          <w:p>
            <w:pPr>
              <w:spacing w:after="0"/>
              <w:rPr>
                <w:sz w:val="14"/>
                <w:szCs w:val="14"/>
                <w:color w:val="auto"/>
              </w:rPr>
            </w:pPr>
          </w:p>
        </w:tc>
        <w:tc>
          <w:tcPr>
            <w:tcW w:w="960" w:type="dxa"/>
            <w:vAlign w:val="bottom"/>
          </w:tcPr>
          <w:p>
            <w:pPr>
              <w:jc w:val="center"/>
              <w:ind w:right="159"/>
              <w:spacing w:after="0"/>
              <w:rPr>
                <w:sz w:val="20"/>
                <w:szCs w:val="20"/>
                <w:color w:val="auto"/>
              </w:rPr>
            </w:pPr>
            <w:r>
              <w:rPr>
                <w:rFonts w:ascii="Arial" w:cs="Arial" w:eastAsia="Arial" w:hAnsi="Arial"/>
                <w:sz w:val="13"/>
                <w:szCs w:val="13"/>
                <w:b w:val="1"/>
                <w:bCs w:val="1"/>
                <w:color w:val="auto"/>
                <w:w w:val="99"/>
              </w:rPr>
              <w:t>Registrant</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261"/>
              <w:spacing w:after="0"/>
              <w:rPr>
                <w:sz w:val="20"/>
                <w:szCs w:val="20"/>
                <w:color w:val="auto"/>
              </w:rPr>
            </w:pPr>
            <w:r>
              <w:rPr>
                <w:rFonts w:ascii="Arial" w:cs="Arial" w:eastAsia="Arial" w:hAnsi="Arial"/>
                <w:sz w:val="13"/>
                <w:szCs w:val="13"/>
                <w:b w:val="1"/>
                <w:bCs w:val="1"/>
                <w:color w:val="auto"/>
              </w:rPr>
              <w:t>Aggregate</w:t>
            </w:r>
          </w:p>
        </w:tc>
        <w:tc>
          <w:tcPr>
            <w:tcW w:w="240" w:type="dxa"/>
            <w:vAlign w:val="bottom"/>
          </w:tcPr>
          <w:p>
            <w:pPr>
              <w:spacing w:after="0"/>
              <w:rPr>
                <w:sz w:val="14"/>
                <w:szCs w:val="14"/>
                <w:color w:val="auto"/>
              </w:rPr>
            </w:pPr>
          </w:p>
        </w:tc>
        <w:tc>
          <w:tcPr>
            <w:tcW w:w="1060" w:type="dxa"/>
            <w:vAlign w:val="bottom"/>
          </w:tcPr>
          <w:p>
            <w:pPr>
              <w:jc w:val="center"/>
              <w:ind w:right="23"/>
              <w:spacing w:after="0"/>
              <w:rPr>
                <w:sz w:val="20"/>
                <w:szCs w:val="20"/>
                <w:color w:val="auto"/>
              </w:rPr>
            </w:pPr>
            <w:r>
              <w:rPr>
                <w:rFonts w:ascii="Arial" w:cs="Arial" w:eastAsia="Arial" w:hAnsi="Arial"/>
                <w:sz w:val="13"/>
                <w:szCs w:val="13"/>
                <w:b w:val="1"/>
                <w:bCs w:val="1"/>
                <w:color w:val="auto"/>
                <w:w w:val="99"/>
              </w:rPr>
              <w:t>Aggregate</w:t>
            </w:r>
          </w:p>
        </w:tc>
      </w:tr>
      <w:tr>
        <w:trPr>
          <w:trHeight w:val="233"/>
        </w:trPr>
        <w:tc>
          <w:tcPr>
            <w:tcW w:w="3000" w:type="dxa"/>
            <w:vAlign w:val="bottom"/>
          </w:tcPr>
          <w:p>
            <w:pPr>
              <w:spacing w:after="0"/>
              <w:rPr>
                <w:sz w:val="20"/>
                <w:szCs w:val="20"/>
                <w:color w:val="auto"/>
              </w:rPr>
            </w:pPr>
          </w:p>
        </w:tc>
        <w:tc>
          <w:tcPr>
            <w:tcW w:w="2820" w:type="dxa"/>
            <w:vAlign w:val="bottom"/>
          </w:tcPr>
          <w:p>
            <w:pPr>
              <w:jc w:val="center"/>
              <w:ind w:left="1643"/>
              <w:spacing w:after="0"/>
              <w:rPr>
                <w:sz w:val="20"/>
                <w:szCs w:val="20"/>
                <w:color w:val="auto"/>
              </w:rPr>
            </w:pPr>
            <w:r>
              <w:rPr>
                <w:rFonts w:ascii="Arial" w:cs="Arial" w:eastAsia="Arial" w:hAnsi="Arial"/>
                <w:sz w:val="13"/>
                <w:szCs w:val="13"/>
                <w:b w:val="1"/>
                <w:bCs w:val="1"/>
                <w:color w:val="auto"/>
              </w:rPr>
              <w:t>Contributions</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Contributions in</w:t>
            </w:r>
          </w:p>
        </w:tc>
        <w:tc>
          <w:tcPr>
            <w:tcW w:w="16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Aggregate Earnings in</w:t>
            </w:r>
          </w:p>
        </w:tc>
        <w:tc>
          <w:tcPr>
            <w:tcW w:w="280" w:type="dxa"/>
            <w:vAlign w:val="bottom"/>
          </w:tcPr>
          <w:p>
            <w:pPr>
              <w:spacing w:after="0"/>
              <w:rPr>
                <w:sz w:val="20"/>
                <w:szCs w:val="20"/>
                <w:color w:val="auto"/>
              </w:rPr>
            </w:pPr>
          </w:p>
        </w:tc>
        <w:tc>
          <w:tcPr>
            <w:tcW w:w="1100" w:type="dxa"/>
            <w:vAlign w:val="bottom"/>
          </w:tcPr>
          <w:p>
            <w:pPr>
              <w:jc w:val="right"/>
              <w:ind w:right="121"/>
              <w:spacing w:after="0"/>
              <w:rPr>
                <w:sz w:val="20"/>
                <w:szCs w:val="20"/>
                <w:color w:val="auto"/>
              </w:rPr>
            </w:pPr>
            <w:r>
              <w:rPr>
                <w:rFonts w:ascii="Arial" w:cs="Arial" w:eastAsia="Arial" w:hAnsi="Arial"/>
                <w:sz w:val="13"/>
                <w:szCs w:val="13"/>
                <w:b w:val="1"/>
                <w:bCs w:val="1"/>
                <w:color w:val="auto"/>
              </w:rPr>
              <w:t>Withdrawals/</w:t>
            </w:r>
          </w:p>
        </w:tc>
        <w:tc>
          <w:tcPr>
            <w:tcW w:w="240" w:type="dxa"/>
            <w:vAlign w:val="bottom"/>
          </w:tcPr>
          <w:p>
            <w:pPr>
              <w:spacing w:after="0"/>
              <w:rPr>
                <w:sz w:val="20"/>
                <w:szCs w:val="20"/>
                <w:color w:val="auto"/>
              </w:rPr>
            </w:pPr>
          </w:p>
        </w:tc>
        <w:tc>
          <w:tcPr>
            <w:tcW w:w="1060" w:type="dxa"/>
            <w:vAlign w:val="bottom"/>
          </w:tcPr>
          <w:p>
            <w:pPr>
              <w:jc w:val="center"/>
              <w:ind w:right="23"/>
              <w:spacing w:after="0"/>
              <w:rPr>
                <w:sz w:val="20"/>
                <w:szCs w:val="20"/>
                <w:color w:val="auto"/>
              </w:rPr>
            </w:pPr>
            <w:r>
              <w:rPr>
                <w:rFonts w:ascii="Arial" w:cs="Arial" w:eastAsia="Arial" w:hAnsi="Arial"/>
                <w:sz w:val="13"/>
                <w:szCs w:val="13"/>
                <w:b w:val="1"/>
                <w:bCs w:val="1"/>
                <w:color w:val="auto"/>
              </w:rPr>
              <w:t>Balance at Last</w:t>
            </w:r>
          </w:p>
        </w:tc>
      </w:tr>
      <w:tr>
        <w:trPr>
          <w:trHeight w:val="221"/>
        </w:trPr>
        <w:tc>
          <w:tcPr>
            <w:tcW w:w="30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820" w:type="dxa"/>
            <w:vAlign w:val="bottom"/>
          </w:tcPr>
          <w:p>
            <w:pPr>
              <w:jc w:val="center"/>
              <w:ind w:left="1643"/>
              <w:spacing w:after="0"/>
              <w:rPr>
                <w:sz w:val="20"/>
                <w:szCs w:val="20"/>
                <w:color w:val="auto"/>
              </w:rPr>
            </w:pPr>
            <w:r>
              <w:rPr>
                <w:rFonts w:ascii="Arial" w:cs="Arial" w:eastAsia="Arial" w:hAnsi="Arial"/>
                <w:sz w:val="13"/>
                <w:szCs w:val="13"/>
                <w:b w:val="1"/>
                <w:bCs w:val="1"/>
                <w:color w:val="auto"/>
              </w:rPr>
              <w:t>in Last FY ($)</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Last FY ($)(2)</w:t>
            </w:r>
          </w:p>
        </w:tc>
        <w:tc>
          <w:tcPr>
            <w:tcW w:w="320" w:type="dxa"/>
            <w:vAlign w:val="bottom"/>
          </w:tcPr>
          <w:p>
            <w:pPr>
              <w:spacing w:after="0"/>
              <w:rPr>
                <w:sz w:val="19"/>
                <w:szCs w:val="19"/>
                <w:color w:val="auto"/>
              </w:rPr>
            </w:pPr>
          </w:p>
        </w:tc>
        <w:tc>
          <w:tcPr>
            <w:tcW w:w="1360" w:type="dxa"/>
            <w:vAlign w:val="bottom"/>
          </w:tcPr>
          <w:p>
            <w:pPr>
              <w:jc w:val="right"/>
              <w:ind w:right="399"/>
              <w:spacing w:after="0"/>
              <w:rPr>
                <w:sz w:val="20"/>
                <w:szCs w:val="20"/>
                <w:color w:val="auto"/>
              </w:rPr>
            </w:pPr>
            <w:r>
              <w:rPr>
                <w:rFonts w:ascii="Arial" w:cs="Arial" w:eastAsia="Arial" w:hAnsi="Arial"/>
                <w:sz w:val="13"/>
                <w:szCs w:val="13"/>
                <w:b w:val="1"/>
                <w:bCs w:val="1"/>
                <w:color w:val="auto"/>
              </w:rPr>
              <w:t>Last FY ($)</w:t>
            </w:r>
          </w:p>
        </w:tc>
        <w:tc>
          <w:tcPr>
            <w:tcW w:w="138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Distributions ($)</w:t>
            </w:r>
          </w:p>
        </w:tc>
        <w:tc>
          <w:tcPr>
            <w:tcW w:w="240" w:type="dxa"/>
            <w:vAlign w:val="bottom"/>
          </w:tcPr>
          <w:p>
            <w:pPr>
              <w:spacing w:after="0"/>
              <w:rPr>
                <w:sz w:val="19"/>
                <w:szCs w:val="19"/>
                <w:color w:val="auto"/>
              </w:rPr>
            </w:pPr>
          </w:p>
        </w:tc>
        <w:tc>
          <w:tcPr>
            <w:tcW w:w="1060" w:type="dxa"/>
            <w:vAlign w:val="bottom"/>
          </w:tcPr>
          <w:p>
            <w:pPr>
              <w:jc w:val="center"/>
              <w:ind w:right="23"/>
              <w:spacing w:after="0"/>
              <w:rPr>
                <w:sz w:val="20"/>
                <w:szCs w:val="20"/>
                <w:color w:val="auto"/>
              </w:rPr>
            </w:pPr>
            <w:r>
              <w:rPr>
                <w:rFonts w:ascii="Arial" w:cs="Arial" w:eastAsia="Arial" w:hAnsi="Arial"/>
                <w:sz w:val="13"/>
                <w:szCs w:val="13"/>
                <w:b w:val="1"/>
                <w:bCs w:val="1"/>
                <w:color w:val="auto"/>
                <w:w w:val="98"/>
              </w:rPr>
              <w:t>FYE ($)</w:t>
            </w:r>
          </w:p>
        </w:tc>
      </w:tr>
      <w:tr>
        <w:trPr>
          <w:trHeight w:val="233"/>
        </w:trPr>
        <w:tc>
          <w:tcPr>
            <w:tcW w:w="3000" w:type="dxa"/>
            <w:vAlign w:val="bottom"/>
            <w:shd w:val="clear" w:color="auto" w:fill="E9E9E9"/>
          </w:tcPr>
          <w:p>
            <w:pPr>
              <w:spacing w:after="0"/>
              <w:rPr>
                <w:sz w:val="20"/>
                <w:szCs w:val="20"/>
                <w:color w:val="auto"/>
              </w:rPr>
            </w:pPr>
          </w:p>
        </w:tc>
        <w:tc>
          <w:tcPr>
            <w:tcW w:w="282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96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36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10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060" w:type="dxa"/>
            <w:vAlign w:val="bottom"/>
            <w:shd w:val="clear" w:color="auto" w:fill="E9E9E9"/>
          </w:tcPr>
          <w:p>
            <w:pPr>
              <w:spacing w:after="0"/>
              <w:rPr>
                <w:sz w:val="20"/>
                <w:szCs w:val="20"/>
                <w:color w:val="auto"/>
              </w:rPr>
            </w:pPr>
          </w:p>
        </w:tc>
      </w:tr>
      <w:tr>
        <w:trPr>
          <w:trHeight w:val="233"/>
        </w:trPr>
        <w:tc>
          <w:tcPr>
            <w:tcW w:w="300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2820" w:type="dxa"/>
            <w:vAlign w:val="bottom"/>
            <w:shd w:val="clear" w:color="auto" w:fill="C0C0C0"/>
          </w:tcPr>
          <w:p>
            <w:pPr>
              <w:jc w:val="right"/>
              <w:ind w:right="243"/>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67,895</w:t>
            </w:r>
          </w:p>
        </w:tc>
        <w:tc>
          <w:tcPr>
            <w:tcW w:w="320" w:type="dxa"/>
            <w:vAlign w:val="bottom"/>
            <w:shd w:val="clear" w:color="auto" w:fill="C0C0C0"/>
          </w:tcPr>
          <w:p>
            <w:pPr>
              <w:jc w:val="right"/>
              <w:ind w:right="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0C0C0"/>
          </w:tcPr>
          <w:p>
            <w:pPr>
              <w:jc w:val="right"/>
              <w:ind w:right="99"/>
              <w:spacing w:after="0"/>
              <w:rPr>
                <w:sz w:val="20"/>
                <w:szCs w:val="20"/>
                <w:color w:val="auto"/>
              </w:rPr>
            </w:pPr>
            <w:r>
              <w:rPr>
                <w:rFonts w:ascii="Arial" w:cs="Arial" w:eastAsia="Arial" w:hAnsi="Arial"/>
                <w:sz w:val="17"/>
                <w:szCs w:val="17"/>
                <w:color w:val="auto"/>
              </w:rPr>
              <w:t>(2,557,862)(3)</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0C0C0"/>
          </w:tcPr>
          <w:p>
            <w:pPr>
              <w:jc w:val="right"/>
              <w:ind w:right="41"/>
              <w:spacing w:after="0"/>
              <w:rPr>
                <w:sz w:val="20"/>
                <w:szCs w:val="20"/>
                <w:color w:val="auto"/>
              </w:rPr>
            </w:pPr>
            <w:r>
              <w:rPr>
                <w:rFonts w:ascii="Arial" w:cs="Arial" w:eastAsia="Arial" w:hAnsi="Arial"/>
                <w:sz w:val="17"/>
                <w:szCs w:val="17"/>
                <w:color w:val="auto"/>
                <w:w w:val="99"/>
              </w:rPr>
              <w:t>1,985,760(4)</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2,827,134(5)</w:t>
            </w:r>
          </w:p>
        </w:tc>
      </w:tr>
      <w:tr>
        <w:trPr>
          <w:trHeight w:val="233"/>
        </w:trPr>
        <w:tc>
          <w:tcPr>
            <w:tcW w:w="3000" w:type="dxa"/>
            <w:vAlign w:val="bottom"/>
          </w:tcPr>
          <w:p>
            <w:pPr>
              <w:spacing w:after="0"/>
              <w:rPr>
                <w:sz w:val="20"/>
                <w:szCs w:val="20"/>
                <w:color w:val="auto"/>
              </w:rPr>
            </w:pPr>
            <w:r>
              <w:rPr>
                <w:rFonts w:ascii="Arial" w:cs="Arial" w:eastAsia="Arial" w:hAnsi="Arial"/>
                <w:sz w:val="17"/>
                <w:szCs w:val="17"/>
                <w:color w:val="auto"/>
              </w:rPr>
              <w:t>K. P. March</w:t>
            </w:r>
          </w:p>
        </w:tc>
        <w:tc>
          <w:tcPr>
            <w:tcW w:w="2820" w:type="dxa"/>
            <w:vAlign w:val="bottom"/>
          </w:tcPr>
          <w:p>
            <w:pPr>
              <w:jc w:val="right"/>
              <w:ind w:right="24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9"/>
              <w:spacing w:after="0"/>
              <w:rPr>
                <w:sz w:val="20"/>
                <w:szCs w:val="20"/>
                <w:color w:val="auto"/>
              </w:rPr>
            </w:pPr>
            <w:r>
              <w:rPr>
                <w:rFonts w:ascii="Arial" w:cs="Arial" w:eastAsia="Arial" w:hAnsi="Arial"/>
                <w:sz w:val="17"/>
                <w:szCs w:val="17"/>
                <w:color w:val="auto"/>
              </w:rPr>
              <w:t>1,399</w:t>
            </w:r>
          </w:p>
        </w:tc>
        <w:tc>
          <w:tcPr>
            <w:tcW w:w="280" w:type="dxa"/>
            <w:vAlign w:val="bottom"/>
          </w:tcPr>
          <w:p>
            <w:pPr>
              <w:spacing w:after="0"/>
              <w:rPr>
                <w:sz w:val="20"/>
                <w:szCs w:val="20"/>
                <w:color w:val="auto"/>
              </w:rPr>
            </w:pPr>
          </w:p>
        </w:tc>
        <w:tc>
          <w:tcPr>
            <w:tcW w:w="110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83"/>
              <w:spacing w:after="0"/>
              <w:rPr>
                <w:sz w:val="20"/>
                <w:szCs w:val="20"/>
                <w:color w:val="auto"/>
              </w:rPr>
            </w:pPr>
            <w:r>
              <w:rPr>
                <w:rFonts w:ascii="Arial" w:cs="Arial" w:eastAsia="Arial" w:hAnsi="Arial"/>
                <w:sz w:val="17"/>
                <w:szCs w:val="17"/>
                <w:color w:val="auto"/>
              </w:rPr>
              <w:t>91,750</w:t>
            </w:r>
          </w:p>
        </w:tc>
      </w:tr>
      <w:tr>
        <w:trPr>
          <w:trHeight w:val="233"/>
        </w:trPr>
        <w:tc>
          <w:tcPr>
            <w:tcW w:w="300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2820" w:type="dxa"/>
            <w:vAlign w:val="bottom"/>
            <w:shd w:val="clear" w:color="auto" w:fill="C0C0C0"/>
          </w:tcPr>
          <w:p>
            <w:pPr>
              <w:jc w:val="right"/>
              <w:ind w:right="43"/>
              <w:spacing w:after="0"/>
              <w:rPr>
                <w:sz w:val="20"/>
                <w:szCs w:val="20"/>
                <w:color w:val="auto"/>
              </w:rPr>
            </w:pPr>
            <w:r>
              <w:rPr>
                <w:rFonts w:ascii="Arial" w:cs="Arial" w:eastAsia="Arial" w:hAnsi="Arial"/>
                <w:sz w:val="17"/>
                <w:szCs w:val="17"/>
                <w:color w:val="auto"/>
              </w:rPr>
              <w:t>$255,784(1)</w:t>
            </w:r>
          </w:p>
        </w:tc>
        <w:tc>
          <w:tcPr>
            <w:tcW w:w="280" w:type="dxa"/>
            <w:vAlign w:val="bottom"/>
            <w:shd w:val="clear" w:color="auto" w:fill="C0C0C0"/>
          </w:tcPr>
          <w:p>
            <w:pPr>
              <w:spacing w:after="0"/>
              <w:rPr>
                <w:sz w:val="20"/>
                <w:szCs w:val="20"/>
                <w:color w:val="auto"/>
              </w:rPr>
            </w:pPr>
          </w:p>
        </w:tc>
        <w:tc>
          <w:tcPr>
            <w:tcW w:w="96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jc w:val="right"/>
              <w:ind w:right="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0C0C0"/>
          </w:tcPr>
          <w:p>
            <w:pPr>
              <w:jc w:val="right"/>
              <w:ind w:right="299"/>
              <w:spacing w:after="0"/>
              <w:rPr>
                <w:sz w:val="20"/>
                <w:szCs w:val="20"/>
                <w:color w:val="auto"/>
              </w:rPr>
            </w:pPr>
            <w:r>
              <w:rPr>
                <w:rFonts w:ascii="Arial" w:cs="Arial" w:eastAsia="Arial" w:hAnsi="Arial"/>
                <w:sz w:val="17"/>
                <w:szCs w:val="17"/>
                <w:color w:val="auto"/>
              </w:rPr>
              <w:t>(632,677)</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0C0C0"/>
          </w:tcPr>
          <w:p>
            <w:pPr>
              <w:jc w:val="right"/>
              <w:ind w:right="241"/>
              <w:spacing w:after="0"/>
              <w:rPr>
                <w:sz w:val="20"/>
                <w:szCs w:val="20"/>
                <w:color w:val="auto"/>
              </w:rPr>
            </w:pPr>
            <w:r>
              <w:rPr>
                <w:rFonts w:ascii="Arial" w:cs="Arial" w:eastAsia="Arial" w:hAnsi="Arial"/>
                <w:sz w:val="17"/>
                <w:szCs w:val="17"/>
                <w:color w:val="auto"/>
              </w:rPr>
              <w:t>907,307</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0C0C0"/>
          </w:tcPr>
          <w:p>
            <w:pPr>
              <w:jc w:val="right"/>
              <w:ind w:right="183"/>
              <w:spacing w:after="0"/>
              <w:rPr>
                <w:sz w:val="20"/>
                <w:szCs w:val="20"/>
                <w:color w:val="auto"/>
              </w:rPr>
            </w:pPr>
            <w:r>
              <w:rPr>
                <w:rFonts w:ascii="Arial" w:cs="Arial" w:eastAsia="Arial" w:hAnsi="Arial"/>
                <w:sz w:val="17"/>
                <w:szCs w:val="17"/>
                <w:color w:val="auto"/>
              </w:rPr>
              <w:t>423,741</w:t>
            </w:r>
          </w:p>
        </w:tc>
      </w:tr>
      <w:tr>
        <w:trPr>
          <w:trHeight w:val="233"/>
        </w:trPr>
        <w:tc>
          <w:tcPr>
            <w:tcW w:w="3000" w:type="dxa"/>
            <w:vAlign w:val="bottom"/>
          </w:tcPr>
          <w:p>
            <w:pPr>
              <w:spacing w:after="0"/>
              <w:rPr>
                <w:sz w:val="20"/>
                <w:szCs w:val="20"/>
                <w:color w:val="auto"/>
              </w:rPr>
            </w:pPr>
            <w:r>
              <w:rPr>
                <w:rFonts w:ascii="Arial" w:cs="Arial" w:eastAsia="Arial" w:hAnsi="Arial"/>
                <w:sz w:val="17"/>
                <w:szCs w:val="17"/>
                <w:color w:val="auto"/>
              </w:rPr>
              <w:t>K. J. Ritchie</w:t>
            </w:r>
          </w:p>
        </w:tc>
        <w:tc>
          <w:tcPr>
            <w:tcW w:w="2820" w:type="dxa"/>
            <w:vAlign w:val="bottom"/>
          </w:tcPr>
          <w:p>
            <w:pPr>
              <w:jc w:val="right"/>
              <w:ind w:right="24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99"/>
              <w:spacing w:after="0"/>
              <w:rPr>
                <w:sz w:val="20"/>
                <w:szCs w:val="20"/>
                <w:color w:val="auto"/>
              </w:rPr>
            </w:pPr>
            <w:r>
              <w:rPr>
                <w:rFonts w:ascii="Arial" w:cs="Arial" w:eastAsia="Arial" w:hAnsi="Arial"/>
                <w:sz w:val="17"/>
                <w:szCs w:val="17"/>
                <w:color w:val="auto"/>
              </w:rPr>
              <w:t>(47,493)</w:t>
            </w:r>
          </w:p>
        </w:tc>
        <w:tc>
          <w:tcPr>
            <w:tcW w:w="280" w:type="dxa"/>
            <w:vAlign w:val="bottom"/>
          </w:tcPr>
          <w:p>
            <w:pPr>
              <w:spacing w:after="0"/>
              <w:rPr>
                <w:sz w:val="20"/>
                <w:szCs w:val="20"/>
                <w:color w:val="auto"/>
              </w:rPr>
            </w:pPr>
          </w:p>
        </w:tc>
        <w:tc>
          <w:tcPr>
            <w:tcW w:w="110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83"/>
              <w:spacing w:after="0"/>
              <w:rPr>
                <w:sz w:val="20"/>
                <w:szCs w:val="20"/>
                <w:color w:val="auto"/>
              </w:rPr>
            </w:pPr>
            <w:r>
              <w:rPr>
                <w:rFonts w:ascii="Arial" w:cs="Arial" w:eastAsia="Arial" w:hAnsi="Arial"/>
                <w:sz w:val="17"/>
                <w:szCs w:val="17"/>
                <w:color w:val="auto"/>
              </w:rPr>
              <w:t>43,311</w:t>
            </w:r>
          </w:p>
        </w:tc>
      </w:tr>
      <w:tr>
        <w:trPr>
          <w:trHeight w:val="233"/>
        </w:trPr>
        <w:tc>
          <w:tcPr>
            <w:tcW w:w="3000" w:type="dxa"/>
            <w:vAlign w:val="bottom"/>
            <w:shd w:val="clear" w:color="auto" w:fill="C0C0C0"/>
          </w:tcPr>
          <w:p>
            <w:pPr>
              <w:spacing w:after="0"/>
              <w:rPr>
                <w:sz w:val="20"/>
                <w:szCs w:val="20"/>
                <w:color w:val="auto"/>
              </w:rPr>
            </w:pPr>
            <w:r>
              <w:rPr>
                <w:rFonts w:ascii="Arial" w:cs="Arial" w:eastAsia="Arial" w:hAnsi="Arial"/>
                <w:sz w:val="17"/>
                <w:szCs w:val="17"/>
                <w:color w:val="auto"/>
              </w:rPr>
              <w:t>M. J. Hames</w:t>
            </w:r>
          </w:p>
        </w:tc>
        <w:tc>
          <w:tcPr>
            <w:tcW w:w="2820" w:type="dxa"/>
            <w:vAlign w:val="bottom"/>
            <w:shd w:val="clear" w:color="auto" w:fill="C0C0C0"/>
          </w:tcPr>
          <w:p>
            <w:pPr>
              <w:jc w:val="right"/>
              <w:ind w:right="243"/>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spacing w:after="0"/>
              <w:rPr>
                <w:sz w:val="20"/>
                <w:szCs w:val="20"/>
                <w:color w:val="auto"/>
              </w:rPr>
            </w:pPr>
          </w:p>
        </w:tc>
        <w:tc>
          <w:tcPr>
            <w:tcW w:w="960" w:type="dxa"/>
            <w:vAlign w:val="bottom"/>
            <w:shd w:val="clear" w:color="auto" w:fill="C0C0C0"/>
          </w:tcPr>
          <w:p>
            <w:pPr>
              <w:jc w:val="right"/>
              <w:ind w:right="79"/>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jc w:val="right"/>
              <w:ind w:right="39"/>
              <w:spacing w:after="0"/>
              <w:rPr>
                <w:sz w:val="20"/>
                <w:szCs w:val="20"/>
                <w:color w:val="auto"/>
              </w:rPr>
            </w:pPr>
            <w:r>
              <w:rPr>
                <w:rFonts w:ascii="Arial" w:cs="Arial" w:eastAsia="Arial" w:hAnsi="Arial"/>
                <w:sz w:val="17"/>
                <w:szCs w:val="17"/>
                <w:color w:val="auto"/>
              </w:rPr>
              <w:t>$</w:t>
            </w:r>
          </w:p>
        </w:tc>
        <w:tc>
          <w:tcPr>
            <w:tcW w:w="1360" w:type="dxa"/>
            <w:vAlign w:val="bottom"/>
            <w:shd w:val="clear" w:color="auto" w:fill="C0C0C0"/>
          </w:tcPr>
          <w:p>
            <w:pPr>
              <w:jc w:val="right"/>
              <w:ind w:right="299"/>
              <w:spacing w:after="0"/>
              <w:rPr>
                <w:sz w:val="20"/>
                <w:szCs w:val="20"/>
                <w:color w:val="auto"/>
              </w:rPr>
            </w:pPr>
            <w:r>
              <w:rPr>
                <w:rFonts w:ascii="Arial" w:cs="Arial" w:eastAsia="Arial" w:hAnsi="Arial"/>
                <w:sz w:val="17"/>
                <w:szCs w:val="17"/>
                <w:color w:val="auto"/>
              </w:rPr>
              <w:t>(223,226)</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0C0C0"/>
          </w:tcPr>
          <w:p>
            <w:pPr>
              <w:jc w:val="right"/>
              <w:ind w:right="241"/>
              <w:spacing w:after="0"/>
              <w:rPr>
                <w:sz w:val="20"/>
                <w:szCs w:val="20"/>
                <w:color w:val="auto"/>
              </w:rPr>
            </w:pPr>
            <w:r>
              <w:rPr>
                <w:rFonts w:ascii="Arial" w:cs="Arial" w:eastAsia="Arial" w:hAnsi="Arial"/>
                <w:sz w:val="17"/>
                <w:szCs w:val="17"/>
                <w:color w:val="auto"/>
              </w:rPr>
              <w:t>1,304,754</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0C0C0"/>
          </w:tcPr>
          <w:p>
            <w:pPr>
              <w:jc w:val="right"/>
              <w:ind w:right="183"/>
              <w:spacing w:after="0"/>
              <w:rPr>
                <w:sz w:val="20"/>
                <w:szCs w:val="20"/>
                <w:color w:val="auto"/>
              </w:rPr>
            </w:pPr>
            <w:r>
              <w:rPr>
                <w:rFonts w:ascii="Arial" w:cs="Arial" w:eastAsia="Arial" w:hAnsi="Arial"/>
                <w:sz w:val="17"/>
                <w:szCs w:val="17"/>
                <w:color w:val="auto"/>
              </w:rPr>
              <w:t>74,741</w:t>
            </w:r>
          </w:p>
        </w:tc>
      </w:tr>
    </w:tbl>
    <w:p>
      <w:pPr>
        <w:spacing w:after="0" w:line="236" w:lineRule="exact"/>
        <w:rPr>
          <w:sz w:val="20"/>
          <w:szCs w:val="20"/>
          <w:color w:val="auto"/>
        </w:rPr>
      </w:pPr>
    </w:p>
    <w:p>
      <w:pPr>
        <w:ind w:left="460" w:right="120" w:hanging="456"/>
        <w:spacing w:after="0" w:line="241"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Amount shown is (a) a portion of Mr. Lowe’s bonus and profit sharing for 2007, both of which were paid in 2008; and (b) a portion of his 2008 salary. The full amount of the bonus and profit sharing for 2007 was included in the Summary Compensation Table of the company’s proxy statement dated March 7, 2008. The full amount of his 2008 salary is included in the Salary column of the 2008 Summary Compensation Table on page 72.</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right="160" w:hanging="456"/>
        <w:spacing w:after="0" w:line="24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Company matching contributions pursuant to the defined contribution plan. These amounts are included in the All Other Compensation column of the 2008 Summary Compensation Table on page 72.</w:t>
      </w:r>
    </w:p>
    <w:p>
      <w:pPr>
        <w:spacing w:after="0" w:line="220" w:lineRule="exact"/>
        <w:rPr>
          <w:rFonts w:ascii="Arial" w:cs="Arial" w:eastAsia="Arial" w:hAnsi="Arial"/>
          <w:sz w:val="17"/>
          <w:szCs w:val="17"/>
          <w:color w:val="auto"/>
        </w:rPr>
      </w:pPr>
    </w:p>
    <w:p>
      <w:pPr>
        <w:ind w:left="460" w:right="300" w:hanging="456"/>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Consists of: (a) $49,200 in dividend equivalents paid under the 120,000-share 1995 RSU award discussed on page 77, settlement of which has been deferred until after termination of employment; (b) a $2,145,600 decrease in the value of the RSU award (calculated by subtracting $4,008,000 (the value of the award at year-end 2007) from $1,862,400 (the value of the award at year-end 2008) (in both cases, the number of RSUs is multiplied by the closing price of TI common stock on the last trading date of the year)); and (c) a $461,462 loss in Mr. Templeton’s deferred compensation account in 2008. Dividend equivalents are paid at the same rate as dividends on the company’s common stock.</w:t>
      </w:r>
    </w:p>
    <w:p>
      <w:pPr>
        <w:spacing w:after="0" w:line="226" w:lineRule="exact"/>
        <w:rPr>
          <w:rFonts w:ascii="Arial" w:cs="Arial" w:eastAsia="Arial" w:hAnsi="Arial"/>
          <w:sz w:val="17"/>
          <w:szCs w:val="17"/>
          <w:color w:val="auto"/>
        </w:rPr>
      </w:pPr>
    </w:p>
    <w:p>
      <w:pPr>
        <w:ind w:left="460" w:hanging="456"/>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Dividend equivalents paid on the RSUs discussed in note 3 and a $1,936,560 withdrawal by Mr. Templeton.</w:t>
      </w:r>
    </w:p>
    <w:p>
      <w:pPr>
        <w:spacing w:after="0" w:line="231" w:lineRule="exact"/>
        <w:rPr>
          <w:rFonts w:ascii="Arial" w:cs="Arial" w:eastAsia="Arial" w:hAnsi="Arial"/>
          <w:sz w:val="17"/>
          <w:szCs w:val="17"/>
          <w:color w:val="auto"/>
        </w:rPr>
      </w:pPr>
    </w:p>
    <w:p>
      <w:pPr>
        <w:ind w:left="460" w:right="120" w:hanging="456"/>
        <w:spacing w:after="0" w:line="24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this amount, $1,862,400 is attributable to Mr. Templeton’s 1995 RSU award, calculated as described in note 3. The remainder is the balance of his deferred compensation account.</w:t>
      </w:r>
    </w:p>
    <w:p>
      <w:pPr>
        <w:spacing w:after="0" w:line="195"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Please see page 70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8" w:lineRule="exact"/>
        <w:rPr>
          <w:sz w:val="20"/>
          <w:szCs w:val="20"/>
          <w:color w:val="auto"/>
        </w:rPr>
      </w:pPr>
    </w:p>
    <w:p>
      <w:pPr>
        <w:ind w:right="160" w:firstLine="259"/>
        <w:spacing w:after="0" w:line="246" w:lineRule="auto"/>
        <w:rPr>
          <w:sz w:val="20"/>
          <w:szCs w:val="20"/>
          <w:color w:val="auto"/>
        </w:rPr>
      </w:pPr>
      <w:r>
        <w:rPr>
          <w:rFonts w:ascii="Arial" w:cs="Arial" w:eastAsia="Arial" w:hAnsi="Arial"/>
          <w:sz w:val="17"/>
          <w:szCs w:val="17"/>
          <w:color w:val="auto"/>
        </w:rPr>
        <w:t>Participants in the deferred compensation plan may choose to defer up to (i) 25 percent of their base salary, (ii) 90 percent of their performance bonus, and (iii) 90 percent of profit sharing. In addition, in 2004, participants had a one-time opportunity to defer up to 100 percent of their non-qualified pension benefit accrued after 2004. Elections to defer compensation must be made in the calendar year prior to the year in which the compensation will be earned.</w:t>
      </w:r>
    </w:p>
    <w:p>
      <w:pPr>
        <w:spacing w:after="0" w:line="14" w:lineRule="exact"/>
        <w:rPr>
          <w:sz w:val="20"/>
          <w:szCs w:val="20"/>
          <w:color w:val="auto"/>
        </w:rPr>
      </w:pPr>
    </w:p>
    <w:p>
      <w:pPr>
        <w:ind w:right="220" w:firstLine="259"/>
        <w:spacing w:after="0" w:line="262" w:lineRule="auto"/>
        <w:rPr>
          <w:sz w:val="20"/>
          <w:szCs w:val="20"/>
          <w:color w:val="auto"/>
        </w:rPr>
      </w:pPr>
      <w:r>
        <w:rPr>
          <w:rFonts w:ascii="Arial" w:cs="Arial" w:eastAsia="Arial" w:hAnsi="Arial"/>
          <w:sz w:val="17"/>
          <w:szCs w:val="17"/>
          <w:color w:val="auto"/>
        </w:rPr>
        <w:t>The company has determined that the investment alternatives for deferred compensation balances should generally be the same as the investment alternatives available under the company’s defined contribution plan. These investment alternatives may be changed at any time.</w:t>
      </w:r>
    </w:p>
    <w:p>
      <w:pPr>
        <w:spacing w:after="0" w:line="1" w:lineRule="exact"/>
        <w:rPr>
          <w:sz w:val="20"/>
          <w:szCs w:val="20"/>
          <w:color w:val="auto"/>
        </w:rPr>
      </w:pPr>
    </w:p>
    <w:p>
      <w:pPr>
        <w:ind w:right="380" w:firstLine="259"/>
        <w:spacing w:after="0" w:line="256" w:lineRule="auto"/>
        <w:rPr>
          <w:sz w:val="20"/>
          <w:szCs w:val="20"/>
          <w:color w:val="auto"/>
        </w:rPr>
      </w:pPr>
      <w:r>
        <w:rPr>
          <w:rFonts w:ascii="Arial" w:cs="Arial" w:eastAsia="Arial" w:hAnsi="Arial"/>
          <w:sz w:val="16"/>
          <w:szCs w:val="16"/>
          <w:color w:val="auto"/>
        </w:rPr>
        <w:t>During 2008, participants could choose to have their deferred compensation mirror the performance of one or more of the following mutual funds, each of which is managed by a third party (these alternatives are a subset of those offered to participants in the defined contribution plans): Northern Trust Short Term Investment Fund, Northern Trust Daily Aggregate Bond Fund Index, Barclays Global Investors Equity Index Fund, Northern Trust Russell 1000 Value Equity Index, Barclays Global Investors Russell 3000 Alpha Tilts, Northern Trust Russell 2000 Equity Index, Barclays Global Investors Active International Equity, Barclays Global Investors Lifepath Funds (Lifestyle 2010), Barclays Global Investors Lifepath Funds (Lifestyle</w:t>
      </w:r>
    </w:p>
    <w:p>
      <w:pPr>
        <w:spacing w:after="0" w:line="3" w:lineRule="exact"/>
        <w:rPr>
          <w:sz w:val="20"/>
          <w:szCs w:val="20"/>
          <w:color w:val="auto"/>
        </w:rPr>
      </w:pPr>
    </w:p>
    <w:p>
      <w:pPr>
        <w:ind w:right="360"/>
        <w:spacing w:after="0" w:line="242" w:lineRule="auto"/>
        <w:rPr>
          <w:sz w:val="20"/>
          <w:szCs w:val="20"/>
          <w:color w:val="auto"/>
        </w:rPr>
      </w:pPr>
      <w:r>
        <w:rPr>
          <w:rFonts w:ascii="Arial" w:cs="Arial" w:eastAsia="Arial" w:hAnsi="Arial"/>
          <w:sz w:val="17"/>
          <w:szCs w:val="17"/>
          <w:color w:val="auto"/>
        </w:rPr>
        <w:t>2020), Barclays Global Investors Lifepath Funds (Lifestyle 2030) and Barclays Global Investors Lifepath Funds (Lifestyle 2040). Prior to April 2005, participants could also choose to have their deferred compensation mirror the performance of TI’s common stock; that choice was eliminated for new deferrals beginning in April 2005.</w:t>
      </w:r>
    </w:p>
    <w:p>
      <w:pPr>
        <w:spacing w:after="0" w:line="17" w:lineRule="exact"/>
        <w:rPr>
          <w:sz w:val="20"/>
          <w:szCs w:val="20"/>
          <w:color w:val="auto"/>
        </w:rPr>
      </w:pPr>
    </w:p>
    <w:p>
      <w:pPr>
        <w:ind w:firstLine="259"/>
        <w:spacing w:after="0" w:line="246" w:lineRule="auto"/>
        <w:rPr>
          <w:sz w:val="20"/>
          <w:szCs w:val="20"/>
          <w:color w:val="auto"/>
        </w:rPr>
      </w:pPr>
      <w:r>
        <w:rPr>
          <w:rFonts w:ascii="Arial" w:cs="Arial" w:eastAsia="Arial" w:hAnsi="Arial"/>
          <w:sz w:val="17"/>
          <w:szCs w:val="17"/>
          <w:color w:val="auto"/>
        </w:rPr>
        <w:t>From among the available alternatives, participants may change their instructions relating to their deferred compensation daily, except that instructions to move compensation out of the TI stock fund are subject to our policy regarding transactions in TI stock.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14" w:lineRule="exact"/>
        <w:rPr>
          <w:sz w:val="20"/>
          <w:szCs w:val="20"/>
          <w:color w:val="auto"/>
        </w:rPr>
      </w:pPr>
    </w:p>
    <w:p>
      <w:pPr>
        <w:ind w:right="80" w:firstLine="259"/>
        <w:spacing w:after="0" w:line="263" w:lineRule="auto"/>
        <w:rPr>
          <w:sz w:val="20"/>
          <w:szCs w:val="20"/>
          <w:color w:val="auto"/>
        </w:rPr>
      </w:pPr>
      <w:r>
        <w:rPr>
          <w:rFonts w:ascii="Arial" w:cs="Arial" w:eastAsia="Arial" w:hAnsi="Arial"/>
          <w:sz w:val="16"/>
          <w:szCs w:val="16"/>
          <w:color w:val="auto"/>
        </w:rPr>
        <w:t>Prior to November 1, 2008, for compensation deferred before 2005, the participant while an employee had the opportunity to request a distribution at any time subject to a 10 percent reduction in the distribution. After November 1, 2008, a participant may request distribution of amounts deferred before 2005 only in the case of an unforeseen emergency as discussed below. For compensation deferred after 2004, in the case of an unforeseen emergency, a plan participant may request a hardship withdrawal. To obtain a hardship withdrawal, a participant must meet the requirements of Section 409A of the IRC. Except for these circumstances, a participant’s balance is paid pursuant to his distribution election and is subject to applicable IRC limitations.</w:t>
      </w:r>
    </w:p>
    <w:p>
      <w:pPr>
        <w:spacing w:after="0" w:line="2" w:lineRule="exact"/>
        <w:rPr>
          <w:sz w:val="20"/>
          <w:szCs w:val="20"/>
          <w:color w:val="auto"/>
        </w:rPr>
      </w:pPr>
    </w:p>
    <w:p>
      <w:pPr>
        <w:ind w:right="20" w:firstLine="259"/>
        <w:spacing w:after="0" w:line="245" w:lineRule="auto"/>
        <w:rPr>
          <w:sz w:val="20"/>
          <w:szCs w:val="20"/>
          <w:color w:val="auto"/>
        </w:rPr>
      </w:pPr>
      <w:r>
        <w:rPr>
          <w:rFonts w:ascii="Arial" w:cs="Arial" w:eastAsia="Arial" w:hAnsi="Arial"/>
          <w:sz w:val="17"/>
          <w:szCs w:val="17"/>
          <w:color w:val="auto"/>
        </w:rPr>
        <w:t>Prior to November 1, 2008, for amounts that were contributed by the company and amounts earned and deferred by the participant before 2005 and earnings on those amounts (collectively, pre-2005 amounts), termination of employment with the company triggered distribution of the amount in the participant’s account. If the participant had a valid distribution election on file, TI distributed the amount in his account according to his election. If there was no valid distribution election on file, TI distributed the entire amount in the account as soon as possible following his termination of employment. Prior to November 1, 2008, for amounts that were contributed by TI and amounts earned and deferred by the executive officer after 2004 and earnings on those amounts (collectively, post-2004 amounts), if there was no valid distribution election on file, or if the participant elected to receive a lump sum distribution on retirement, TI distributed the entire amount in the account on the first day of the seventh month following termination of employment. If a participant has elected installment payments, for post-2004 amounts, the first installment payment can be made no earlier than the first day of the seventh month following termination of employment. Effective November 1, 2008, the distribution elections then in effect apply to all deferred amounts.</w:t>
      </w:r>
      <w:r>
        <w:rPr>
          <w:rFonts w:ascii="Arial" w:cs="Arial" w:eastAsia="Arial" w:hAnsi="Arial"/>
          <w:sz w:val="28"/>
          <w:szCs w:val="28"/>
          <w:color w:val="auto"/>
          <w:vertAlign w:val="superscript"/>
        </w:rPr>
        <w:t>5</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6" w:lineRule="exact"/>
        <w:rPr>
          <w:sz w:val="20"/>
          <w:szCs w:val="20"/>
          <w:color w:val="auto"/>
        </w:rPr>
      </w:pPr>
    </w:p>
    <w:p>
      <w:pPr>
        <w:jc w:val="both"/>
        <w:ind w:left="360" w:right="220" w:hanging="356"/>
        <w:spacing w:after="0" w:line="277"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named executive officers have made the following distribution elections for deferred compensation: Mr. Templeton, lump sum paid in January 2012; Mr. March, lump sum paid in January 2011; Mr. Lowe, lump sum paid in January 2012; Mr. Ritchie, lump sum paid in January 2011; and Mr.</w:t>
      </w:r>
    </w:p>
    <w:p>
      <w:pPr>
        <w:sectPr>
          <w:pgSz w:w="11900" w:h="16902" w:orient="portrait"/>
          <w:cols w:equalWidth="0" w:num="1">
            <w:col w:w="11420"/>
          </w:cols>
          <w:pgMar w:left="240" w:top="143" w:right="239" w:bottom="0" w:gutter="0" w:footer="0" w:header="0"/>
        </w:sectPr>
      </w:pPr>
    </w:p>
    <w:bookmarkStart w:id="23" w:name="page24"/>
    <w:bookmarkEnd w:id="23"/>
    <w:p>
      <w:pPr>
        <w:ind w:left="360"/>
        <w:spacing w:after="0"/>
        <w:rPr>
          <w:sz w:val="20"/>
          <w:szCs w:val="20"/>
          <w:color w:val="auto"/>
        </w:rPr>
      </w:pPr>
      <w:r>
        <w:rPr>
          <w:rFonts w:ascii="Arial" w:cs="Arial" w:eastAsia="Arial" w:hAnsi="Arial"/>
          <w:sz w:val="17"/>
          <w:szCs w:val="17"/>
          <w:color w:val="auto"/>
        </w:rPr>
        <w:t>Hames, lump sum paid in January 2011.</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[ 80 ]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80" w:firstLine="259"/>
        <w:spacing w:after="0" w:line="246" w:lineRule="auto"/>
        <w:rPr>
          <w:sz w:val="20"/>
          <w:szCs w:val="20"/>
          <w:color w:val="auto"/>
        </w:rPr>
      </w:pPr>
      <w:r>
        <w:rPr>
          <w:rFonts w:ascii="Arial" w:cs="Arial" w:eastAsia="Arial" w:hAnsi="Arial"/>
          <w:sz w:val="17"/>
          <w:szCs w:val="17"/>
          <w:color w:val="auto"/>
        </w:rPr>
        <w:t>In the event of the participant’s death, one-half of the amount in his account will be immediately paid to his beneficiaries. The remaining half will be paid to his beneficiaries on or about March 31 of the following year.</w:t>
      </w:r>
    </w:p>
    <w:p>
      <w:pPr>
        <w:spacing w:after="0" w:line="1" w:lineRule="exact"/>
        <w:rPr>
          <w:sz w:val="20"/>
          <w:szCs w:val="20"/>
          <w:color w:val="auto"/>
        </w:rPr>
      </w:pPr>
    </w:p>
    <w:p>
      <w:pPr>
        <w:ind w:right="60" w:firstLine="234"/>
        <w:spacing w:after="0"/>
        <w:rPr>
          <w:sz w:val="20"/>
          <w:szCs w:val="20"/>
          <w:color w:val="auto"/>
        </w:rPr>
      </w:pPr>
      <w:r>
        <w:rPr>
          <w:rFonts w:ascii="Arial" w:cs="Arial" w:eastAsia="Arial" w:hAnsi="Arial"/>
          <w:sz w:val="17"/>
          <w:szCs w:val="17"/>
          <w:color w:val="auto"/>
        </w:rPr>
        <w:t>Like the balances under the non-qualified defined benefit pension plan, deferred compensation balances are unsecured obligations of the company. If a change in control occurred, amounts earned and deferred before 2005 would be paid to the individual not later than the month following the month in which the change in control occurred. The standard definition of change in control applied. For amounts earned and deferred after 2004, the participant would receive payment of his balance not later than the month following the month in which the change in control as defined in Section 409A of the IRC has occurred.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9" w:lineRule="exact"/>
        <w:rPr>
          <w:sz w:val="20"/>
          <w:szCs w:val="20"/>
          <w:color w:val="auto"/>
        </w:rPr>
      </w:pPr>
    </w:p>
    <w:p>
      <w:pPr>
        <w:jc w:val="both"/>
        <w:ind w:right="100"/>
        <w:spacing w:after="0" w:line="242"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Termination</w:t>
      </w:r>
    </w:p>
    <w:p>
      <w:pPr>
        <w:ind w:right="520"/>
        <w:spacing w:after="0" w:line="242" w:lineRule="auto"/>
        <w:rPr>
          <w:sz w:val="20"/>
          <w:szCs w:val="20"/>
          <w:color w:val="auto"/>
        </w:rPr>
      </w:pPr>
      <w:r>
        <w:rPr>
          <w:rFonts w:ascii="Arial" w:cs="Arial" w:eastAsia="Arial" w:hAnsi="Arial"/>
          <w:sz w:val="17"/>
          <w:szCs w:val="17"/>
          <w:color w:val="auto"/>
        </w:rPr>
        <w:t>The following programs may result in payments to a named executive officer whose employment terminates. Most of these programs have been discussed above in the proxy statement. For a discussion of the impact of these programs on the compensation decisions for 2008, please see the Compensation Discussion and Analysis on page 70.</w:t>
      </w:r>
    </w:p>
    <w:p>
      <w:pPr>
        <w:spacing w:after="0" w:line="181" w:lineRule="exact"/>
        <w:rPr>
          <w:sz w:val="20"/>
          <w:szCs w:val="20"/>
          <w:color w:val="auto"/>
        </w:rPr>
      </w:pPr>
    </w:p>
    <w:p>
      <w:pPr>
        <w:jc w:val="both"/>
        <w:ind w:right="160"/>
        <w:spacing w:after="0" w:line="253"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Our policies concerning bonus and the timing of payments are described on page 63. Whether a bonus would be awarded, and in what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to an executive officer whose employment has terminated would depend on the circumstances of termination. It may be presumed that no bonus would be awarded in the event of a termination for cause. If awarded, bonuses are paid by the company.</w:t>
      </w:r>
    </w:p>
    <w:p>
      <w:pPr>
        <w:spacing w:after="0" w:line="172"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i w:val="1"/>
          <w:iCs w:val="1"/>
          <w:color w:val="auto"/>
        </w:rPr>
        <w:t>Qualified and non-qualified defined benefit pension plans</w:t>
      </w:r>
      <w:r>
        <w:rPr>
          <w:rFonts w:ascii="Arial" w:cs="Arial" w:eastAsia="Arial" w:hAnsi="Arial"/>
          <w:sz w:val="17"/>
          <w:szCs w:val="17"/>
          <w:color w:val="auto"/>
        </w:rPr>
        <w:t>. The purposes of these plans are described on pages 69-70. The formula for determining</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the forms of benefit and the timing of payments are described on pages 78-79. The amounts disbursed under the qualified and non-qualified plans are paid, respectively, by the TI Employees Pension Trust and the company.</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Deferred compensation</w:t>
      </w:r>
      <w:r>
        <w:rPr>
          <w:rFonts w:ascii="Arial" w:cs="Arial" w:eastAsia="Arial" w:hAnsi="Arial"/>
          <w:sz w:val="17"/>
          <w:szCs w:val="17"/>
          <w:color w:val="auto"/>
        </w:rPr>
        <w:t>. The purpose of this plan is described on page 70. The amounts payable under this program depend solely on the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of investments that the participant has chosen for his plan balance. The timing of payments is discussed on pages 79-81. Amounts distributed are paid by the company.</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Equity compensation</w:t>
      </w:r>
      <w:r>
        <w:rPr>
          <w:rFonts w:ascii="Arial" w:cs="Arial" w:eastAsia="Arial" w:hAnsi="Arial"/>
          <w:sz w:val="17"/>
          <w:szCs w:val="17"/>
          <w:color w:val="auto"/>
        </w:rPr>
        <w:t>. Depending on the circumstances of termination, grantees whose employment terminates may retain the right to exercise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stock options or receive shares under outstanding restricted stock unit (RSU) awards. Please see pages 76-77. Most RSU awards include a right to receive dividend equivalents. The dividend equivalents are paid annually by the company in a single cash payment after the last dividend payment of the year.</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i w:val="1"/>
          <w:iCs w:val="1"/>
          <w:color w:val="auto"/>
        </w:rPr>
        <w:t>Profit sharing</w:t>
      </w:r>
      <w:r>
        <w:rPr>
          <w:rFonts w:ascii="Arial" w:cs="Arial" w:eastAsia="Arial" w:hAnsi="Arial"/>
          <w:sz w:val="17"/>
          <w:szCs w:val="17"/>
          <w:color w:val="auto"/>
        </w:rPr>
        <w:t>. For a description of the purpose of this program, the formula for determining payments and the timing of payments, please see page 62.</w:t>
      </w:r>
      <w:r>
        <w:rPr>
          <w:rFonts w:ascii="Arial" w:cs="Arial" w:eastAsia="Arial" w:hAnsi="Arial"/>
          <w:sz w:val="17"/>
          <w:szCs w:val="17"/>
          <w:i w:val="1"/>
          <w:iCs w:val="1"/>
          <w:color w:val="auto"/>
        </w:rPr>
        <w:t xml:space="preserve"> </w:t>
      </w:r>
      <w:r>
        <w:rPr>
          <w:rFonts w:ascii="Arial" w:cs="Arial" w:eastAsia="Arial" w:hAnsi="Arial"/>
          <w:sz w:val="17"/>
          <w:szCs w:val="17"/>
          <w:color w:val="auto"/>
        </w:rPr>
        <w:t>Like other U.S. employees, if a named executive officer remains employed through the end of the year, he will receive any profit sharing paid for that year. In the event of retirement or commencement of a bridge to retirement, any profit sharing will be paid for the portion of the year worked before retirement or the beginning of the bridge. In the event of termination due to disability or death, the officer or his beneficiaries would receive any profit sharing paid for the year. Profit sharing payments are made by the company.</w:t>
      </w:r>
    </w:p>
    <w:p>
      <w:pPr>
        <w:spacing w:after="0" w:line="17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i w:val="1"/>
          <w:iCs w:val="1"/>
          <w:color w:val="auto"/>
        </w:rPr>
        <w:t>Time bank</w:t>
      </w:r>
      <w:r>
        <w:rPr>
          <w:rFonts w:ascii="Arial" w:cs="Arial" w:eastAsia="Arial" w:hAnsi="Arial"/>
          <w:sz w:val="17"/>
          <w:szCs w:val="17"/>
          <w:color w:val="auto"/>
        </w:rPr>
        <w:t>. Based on years of employment with the company, employees accrue hours in a time bank. Time bank hours may be used for paid absences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office such as vacation and sick days. Employees receive a cash payment for any time bank hours still outstanding on termination of employment. The amount paid is calculated by applying the employee’s base salary rate in effect at the time of termination to the number of hours remaining in the time bank. Time bank payments are made in a lump sum by the company. They are ordinarily paid no later than what would have been the employee’s next regular pay cycle.</w:t>
      </w:r>
    </w:p>
    <w:p>
      <w:pPr>
        <w:spacing w:after="0" w:line="13"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The following tables indicate the amounts for which each named executive officer would have been eligible if his employment had terminated on December 31, 2008, as a result of disability, death, involuntary termination for cause, resignation, or involuntary termination not for cause. Because none of the executive officers was eligible to retire as of December 31, 2008, no potential payments are stated assuming retirement.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due to disability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Qualified</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Non-Qualified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rPr>
              <w:t>Defined</w:t>
            </w:r>
          </w:p>
        </w:tc>
        <w:tc>
          <w:tcPr>
            <w:tcW w:w="220" w:type="dxa"/>
            <w:vAlign w:val="bottom"/>
          </w:tcPr>
          <w:p>
            <w:pPr>
              <w:spacing w:after="0"/>
              <w:rPr>
                <w:sz w:val="12"/>
                <w:szCs w:val="12"/>
                <w:color w:val="auto"/>
              </w:rPr>
            </w:pPr>
          </w:p>
        </w:tc>
        <w:tc>
          <w:tcPr>
            <w:tcW w:w="8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12"/>
                <w:szCs w:val="12"/>
                <w:color w:val="auto"/>
              </w:rPr>
            </w:pPr>
          </w:p>
        </w:tc>
        <w:tc>
          <w:tcPr>
            <w:tcW w:w="8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9"/>
              </w:rPr>
              <w:t>Benefit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8"/>
              </w:rPr>
              <w:t>Pension</w:t>
            </w:r>
          </w:p>
        </w:tc>
        <w:tc>
          <w:tcPr>
            <w:tcW w:w="220" w:type="dxa"/>
            <w:vAlign w:val="bottom"/>
          </w:tcPr>
          <w:p>
            <w:pPr>
              <w:spacing w:after="0"/>
              <w:rPr>
                <w:sz w:val="12"/>
                <w:szCs w:val="12"/>
                <w:color w:val="auto"/>
              </w:rPr>
            </w:pPr>
          </w:p>
        </w:tc>
        <w:tc>
          <w:tcPr>
            <w:tcW w:w="88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w w:val="98"/>
              </w:rPr>
              <w:t>Pension</w:t>
            </w:r>
          </w:p>
        </w:tc>
        <w:tc>
          <w:tcPr>
            <w:tcW w:w="200" w:type="dxa"/>
            <w:vAlign w:val="bottom"/>
          </w:tcPr>
          <w:p>
            <w:pPr>
              <w:spacing w:after="0"/>
              <w:rPr>
                <w:sz w:val="12"/>
                <w:szCs w:val="12"/>
                <w:color w:val="auto"/>
              </w:rPr>
            </w:pPr>
          </w:p>
        </w:tc>
        <w:tc>
          <w:tcPr>
            <w:tcW w:w="840" w:type="dxa"/>
            <w:vAlign w:val="bottom"/>
          </w:tcPr>
          <w:p>
            <w:pPr>
              <w:jc w:val="right"/>
              <w:ind w:right="181"/>
              <w:spacing w:after="0" w:line="143" w:lineRule="exact"/>
              <w:rPr>
                <w:sz w:val="20"/>
                <w:szCs w:val="20"/>
                <w:color w:val="auto"/>
              </w:rPr>
            </w:pPr>
            <w:r>
              <w:rPr>
                <w:rFonts w:ascii="Arial" w:cs="Arial" w:eastAsia="Arial" w:hAnsi="Arial"/>
                <w:sz w:val="13"/>
                <w:szCs w:val="13"/>
                <w:b w:val="1"/>
                <w:bCs w:val="1"/>
                <w:color w:val="auto"/>
              </w:rPr>
              <w:t>Deferred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Profit</w:t>
            </w:r>
          </w:p>
        </w:tc>
        <w:tc>
          <w:tcPr>
            <w:tcW w:w="220" w:type="dxa"/>
            <w:vAlign w:val="bottom"/>
          </w:tcPr>
          <w:p>
            <w:pPr>
              <w:spacing w:after="0"/>
              <w:rPr>
                <w:sz w:val="12"/>
                <w:szCs w:val="12"/>
                <w:color w:val="auto"/>
              </w:rPr>
            </w:pPr>
          </w:p>
        </w:tc>
        <w:tc>
          <w:tcPr>
            <w:tcW w:w="740" w:type="dxa"/>
            <w:vAlign w:val="bottom"/>
          </w:tcPr>
          <w:p>
            <w:pPr>
              <w:jc w:val="center"/>
              <w:ind w:right="123"/>
              <w:spacing w:after="0" w:line="143" w:lineRule="exact"/>
              <w:rPr>
                <w:sz w:val="20"/>
                <w:szCs w:val="20"/>
                <w:color w:val="auto"/>
              </w:rPr>
            </w:pPr>
            <w:r>
              <w:rPr>
                <w:rFonts w:ascii="Arial" w:cs="Arial" w:eastAsia="Arial" w:hAnsi="Arial"/>
                <w:sz w:val="13"/>
                <w:szCs w:val="13"/>
                <w:b w:val="1"/>
                <w:bCs w:val="1"/>
                <w:color w:val="auto"/>
                <w:w w:val="98"/>
              </w:rPr>
              <w:t>Time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1"/>
        </w:trPr>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Plan</w:t>
            </w:r>
          </w:p>
        </w:tc>
        <w:tc>
          <w:tcPr>
            <w:tcW w:w="220" w:type="dxa"/>
            <w:vAlign w:val="bottom"/>
          </w:tcPr>
          <w:p>
            <w:pPr>
              <w:spacing w:after="0"/>
              <w:rPr>
                <w:sz w:val="14"/>
                <w:szCs w:val="14"/>
                <w:color w:val="auto"/>
              </w:rPr>
            </w:pPr>
          </w:p>
        </w:tc>
        <w:tc>
          <w:tcPr>
            <w:tcW w:w="880" w:type="dxa"/>
            <w:vAlign w:val="bottom"/>
          </w:tcPr>
          <w:p>
            <w:pPr>
              <w:jc w:val="center"/>
              <w:ind w:right="146"/>
              <w:spacing w:after="0"/>
              <w:rPr>
                <w:sz w:val="20"/>
                <w:szCs w:val="20"/>
                <w:color w:val="auto"/>
              </w:rPr>
            </w:pPr>
            <w:r>
              <w:rPr>
                <w:rFonts w:ascii="Arial" w:cs="Arial" w:eastAsia="Arial" w:hAnsi="Arial"/>
                <w:sz w:val="13"/>
                <w:szCs w:val="13"/>
                <w:b w:val="1"/>
                <w:bCs w:val="1"/>
                <w:color w:val="auto"/>
                <w:w w:val="94"/>
              </w:rPr>
              <w:t>Plan</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Compensation</w:t>
            </w:r>
          </w:p>
        </w:tc>
        <w:tc>
          <w:tcPr>
            <w:tcW w:w="220" w:type="dxa"/>
            <w:vAlign w:val="bottom"/>
          </w:tcPr>
          <w:p>
            <w:pPr>
              <w:spacing w:after="0"/>
              <w:rPr>
                <w:sz w:val="14"/>
                <w:szCs w:val="14"/>
                <w:color w:val="auto"/>
              </w:rPr>
            </w:pPr>
          </w:p>
        </w:tc>
        <w:tc>
          <w:tcPr>
            <w:tcW w:w="980" w:type="dxa"/>
            <w:vAlign w:val="bottom"/>
          </w:tcPr>
          <w:p>
            <w:pPr>
              <w:jc w:val="right"/>
              <w:ind w:right="361"/>
              <w:spacing w:after="0"/>
              <w:rPr>
                <w:sz w:val="20"/>
                <w:szCs w:val="20"/>
                <w:color w:val="auto"/>
              </w:rPr>
            </w:pPr>
            <w:r>
              <w:rPr>
                <w:rFonts w:ascii="Arial" w:cs="Arial" w:eastAsia="Arial" w:hAnsi="Arial"/>
                <w:sz w:val="13"/>
                <w:szCs w:val="13"/>
                <w:b w:val="1"/>
                <w:bCs w:val="1"/>
                <w:color w:val="auto"/>
              </w:rPr>
              <w:t>RSUs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Sharing</w:t>
            </w:r>
          </w:p>
        </w:tc>
        <w:tc>
          <w:tcPr>
            <w:tcW w:w="220" w:type="dxa"/>
            <w:vAlign w:val="bottom"/>
          </w:tcPr>
          <w:p>
            <w:pPr>
              <w:spacing w:after="0"/>
              <w:rPr>
                <w:sz w:val="14"/>
                <w:szCs w:val="14"/>
                <w:color w:val="auto"/>
              </w:rPr>
            </w:pPr>
          </w:p>
        </w:tc>
        <w:tc>
          <w:tcPr>
            <w:tcW w:w="740" w:type="dxa"/>
            <w:vAlign w:val="bottom"/>
          </w:tcPr>
          <w:p>
            <w:pPr>
              <w:jc w:val="center"/>
              <w:ind w:right="143"/>
              <w:spacing w:after="0"/>
              <w:rPr>
                <w:sz w:val="20"/>
                <w:szCs w:val="20"/>
                <w:color w:val="auto"/>
              </w:rPr>
            </w:pPr>
            <w:r>
              <w:rPr>
                <w:rFonts w:ascii="Arial" w:cs="Arial" w:eastAsia="Arial" w:hAnsi="Arial"/>
                <w:sz w:val="13"/>
                <w:szCs w:val="13"/>
                <w:b w:val="1"/>
                <w:bCs w:val="1"/>
                <w:color w:val="auto"/>
              </w:rPr>
              <w:t>Bank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1"/>
        </w:trPr>
        <w:tc>
          <w:tcPr>
            <w:tcW w:w="1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120" w:type="dxa"/>
            <w:vAlign w:val="bottom"/>
          </w:tcPr>
          <w:p>
            <w:pPr>
              <w:jc w:val="center"/>
              <w:ind w:left="479"/>
              <w:spacing w:after="0"/>
              <w:rPr>
                <w:sz w:val="20"/>
                <w:szCs w:val="20"/>
                <w:color w:val="auto"/>
              </w:rPr>
            </w:pPr>
            <w:r>
              <w:rPr>
                <w:rFonts w:ascii="Arial" w:cs="Arial" w:eastAsia="Arial" w:hAnsi="Arial"/>
                <w:sz w:val="13"/>
                <w:szCs w:val="13"/>
                <w:b w:val="1"/>
                <w:bCs w:val="1"/>
                <w:color w:val="auto"/>
                <w:w w:val="98"/>
              </w:rPr>
              <w:t>Bonus</w:t>
            </w:r>
          </w:p>
        </w:tc>
        <w:tc>
          <w:tcPr>
            <w:tcW w:w="220" w:type="dxa"/>
            <w:vAlign w:val="bottom"/>
          </w:tcPr>
          <w:p>
            <w:pPr>
              <w:spacing w:after="0"/>
              <w:rPr>
                <w:sz w:val="19"/>
                <w:szCs w:val="19"/>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9"/>
                <w:szCs w:val="19"/>
                <w:color w:val="auto"/>
              </w:rPr>
            </w:pPr>
          </w:p>
        </w:tc>
        <w:tc>
          <w:tcPr>
            <w:tcW w:w="880" w:type="dxa"/>
            <w:vAlign w:val="bottom"/>
          </w:tcPr>
          <w:p>
            <w:pPr>
              <w:jc w:val="center"/>
              <w:ind w:right="126"/>
              <w:spacing w:after="0"/>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19"/>
                <w:szCs w:val="19"/>
                <w:color w:val="auto"/>
              </w:rPr>
            </w:pPr>
          </w:p>
        </w:tc>
        <w:tc>
          <w:tcPr>
            <w:tcW w:w="840" w:type="dxa"/>
            <w:vAlign w:val="bottom"/>
          </w:tcPr>
          <w:p>
            <w:pPr>
              <w:jc w:val="right"/>
              <w:ind w:right="361"/>
              <w:spacing w:after="0"/>
              <w:rPr>
                <w:sz w:val="20"/>
                <w:szCs w:val="20"/>
                <w:color w:val="auto"/>
              </w:rPr>
            </w:pPr>
            <w:r>
              <w:rPr>
                <w:rFonts w:ascii="Arial" w:cs="Arial" w:eastAsia="Arial" w:hAnsi="Arial"/>
                <w:sz w:val="13"/>
                <w:szCs w:val="13"/>
                <w:b w:val="1"/>
                <w:bCs w:val="1"/>
                <w:color w:val="auto"/>
              </w:rPr>
              <w:t>(4)</w:t>
            </w:r>
          </w:p>
        </w:tc>
        <w:tc>
          <w:tcPr>
            <w:tcW w:w="220" w:type="dxa"/>
            <w:vAlign w:val="bottom"/>
          </w:tcPr>
          <w:p>
            <w:pPr>
              <w:spacing w:after="0"/>
              <w:rPr>
                <w:sz w:val="19"/>
                <w:szCs w:val="19"/>
                <w:color w:val="auto"/>
              </w:rPr>
            </w:pPr>
          </w:p>
        </w:tc>
        <w:tc>
          <w:tcPr>
            <w:tcW w:w="980" w:type="dxa"/>
            <w:vAlign w:val="bottom"/>
          </w:tcPr>
          <w:p>
            <w:pPr>
              <w:jc w:val="right"/>
              <w:ind w:right="461"/>
              <w:spacing w:after="0"/>
              <w:rPr>
                <w:sz w:val="20"/>
                <w:szCs w:val="20"/>
                <w:color w:val="auto"/>
              </w:rPr>
            </w:pPr>
            <w:r>
              <w:rPr>
                <w:rFonts w:ascii="Arial" w:cs="Arial" w:eastAsia="Arial" w:hAnsi="Arial"/>
                <w:sz w:val="13"/>
                <w:szCs w:val="13"/>
                <w:b w:val="1"/>
                <w:bCs w:val="1"/>
                <w:color w:val="auto"/>
              </w:rPr>
              <w:t>(5)</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19"/>
                <w:szCs w:val="19"/>
                <w:color w:val="auto"/>
              </w:rPr>
            </w:pPr>
          </w:p>
        </w:tc>
        <w:tc>
          <w:tcPr>
            <w:tcW w:w="740" w:type="dxa"/>
            <w:vAlign w:val="bottom"/>
          </w:tcPr>
          <w:p>
            <w:pPr>
              <w:jc w:val="center"/>
              <w:ind w:right="143"/>
              <w:spacing w:after="0"/>
              <w:rPr>
                <w:sz w:val="20"/>
                <w:szCs w:val="20"/>
                <w:color w:val="auto"/>
              </w:rPr>
            </w:pPr>
            <w:r>
              <w:rPr>
                <w:rFonts w:ascii="Arial" w:cs="Arial" w:eastAsia="Arial" w:hAnsi="Arial"/>
                <w:sz w:val="13"/>
                <w:szCs w:val="13"/>
                <w:b w:val="1"/>
                <w:bCs w:val="1"/>
                <w:color w:val="auto"/>
              </w:rPr>
              <w:t>(8)</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Perquisites</w:t>
            </w:r>
          </w:p>
        </w:tc>
        <w:tc>
          <w:tcPr>
            <w:tcW w:w="220" w:type="dxa"/>
            <w:vAlign w:val="bottom"/>
          </w:tcPr>
          <w:p>
            <w:pPr>
              <w:spacing w:after="0"/>
              <w:rPr>
                <w:sz w:val="19"/>
                <w:szCs w:val="19"/>
                <w:color w:val="auto"/>
              </w:rPr>
            </w:pPr>
          </w:p>
        </w:tc>
        <w:tc>
          <w:tcPr>
            <w:tcW w:w="900" w:type="dxa"/>
            <w:vAlign w:val="bottom"/>
          </w:tcPr>
          <w:p>
            <w:pPr>
              <w:jc w:val="right"/>
              <w:ind w:right="299"/>
              <w:spacing w:after="0"/>
              <w:rPr>
                <w:sz w:val="20"/>
                <w:szCs w:val="20"/>
                <w:color w:val="auto"/>
              </w:rPr>
            </w:pPr>
            <w:r>
              <w:rPr>
                <w:rFonts w:ascii="Arial" w:cs="Arial" w:eastAsia="Arial" w:hAnsi="Arial"/>
                <w:sz w:val="13"/>
                <w:szCs w:val="13"/>
                <w:b w:val="1"/>
                <w:bCs w:val="1"/>
                <w:color w:val="auto"/>
              </w:rPr>
              <w:t>Total</w:t>
            </w:r>
          </w:p>
        </w:tc>
      </w:tr>
      <w:tr>
        <w:trPr>
          <w:trHeight w:val="233"/>
        </w:trPr>
        <w:tc>
          <w:tcPr>
            <w:tcW w:w="1440" w:type="dxa"/>
            <w:vAlign w:val="bottom"/>
            <w:shd w:val="clear" w:color="auto" w:fill="E9E9E9"/>
          </w:tcPr>
          <w:p>
            <w:pPr>
              <w:spacing w:after="0"/>
              <w:rPr>
                <w:sz w:val="20"/>
                <w:szCs w:val="20"/>
                <w:color w:val="auto"/>
              </w:rPr>
            </w:pPr>
          </w:p>
        </w:tc>
        <w:tc>
          <w:tcPr>
            <w:tcW w:w="112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8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r>
      <w:tr>
        <w:trPr>
          <w:trHeight w:val="194"/>
        </w:trPr>
        <w:tc>
          <w:tcPr>
            <w:tcW w:w="144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Templeton</w:t>
            </w:r>
          </w:p>
        </w:tc>
        <w:tc>
          <w:tcPr>
            <w:tcW w:w="1120" w:type="dxa"/>
            <w:vAlign w:val="bottom"/>
            <w:shd w:val="clear" w:color="auto" w:fill="C0C0C0"/>
          </w:tcPr>
          <w:p>
            <w:pPr>
              <w:jc w:val="center"/>
              <w:ind w:left="479"/>
              <w:spacing w:after="0" w:line="194" w:lineRule="exact"/>
              <w:rPr>
                <w:sz w:val="20"/>
                <w:szCs w:val="20"/>
                <w:color w:val="auto"/>
              </w:rPr>
            </w:pPr>
            <w:r>
              <w:rPr>
                <w:rFonts w:ascii="Arial" w:cs="Arial" w:eastAsia="Arial" w:hAnsi="Arial"/>
                <w:sz w:val="17"/>
                <w:szCs w:val="17"/>
                <w:color w:val="auto"/>
                <w:w w:val="96"/>
              </w:rPr>
              <w:t>(1)</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798,378</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6"/>
              <w:spacing w:after="0" w:line="194" w:lineRule="exact"/>
              <w:rPr>
                <w:sz w:val="20"/>
                <w:szCs w:val="20"/>
                <w:color w:val="auto"/>
              </w:rPr>
            </w:pPr>
            <w:r>
              <w:rPr>
                <w:rFonts w:ascii="Arial" w:cs="Arial" w:eastAsia="Arial" w:hAnsi="Arial"/>
                <w:sz w:val="17"/>
                <w:szCs w:val="17"/>
                <w:color w:val="auto"/>
              </w:rPr>
              <w:t>588,995</w:t>
            </w:r>
          </w:p>
        </w:tc>
        <w:tc>
          <w:tcPr>
            <w:tcW w:w="200" w:type="dxa"/>
            <w:vAlign w:val="bottom"/>
            <w:shd w:val="clear" w:color="auto" w:fill="C0C0C0"/>
          </w:tcPr>
          <w:p>
            <w:pPr>
              <w:ind w:left="6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964,734</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10,398,400</w:t>
            </w:r>
          </w:p>
        </w:tc>
        <w:tc>
          <w:tcPr>
            <w:tcW w:w="64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64,853</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3"/>
              <w:spacing w:after="0" w:line="194" w:lineRule="exact"/>
              <w:rPr>
                <w:sz w:val="20"/>
                <w:szCs w:val="20"/>
                <w:color w:val="auto"/>
              </w:rPr>
            </w:pPr>
            <w:r>
              <w:rPr>
                <w:rFonts w:ascii="Arial" w:cs="Arial" w:eastAsia="Arial" w:hAnsi="Arial"/>
                <w:sz w:val="17"/>
                <w:szCs w:val="17"/>
                <w:color w:val="auto"/>
              </w:rPr>
              <w:t>184,383</w:t>
            </w:r>
          </w:p>
        </w:tc>
        <w:tc>
          <w:tcPr>
            <w:tcW w:w="8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12,999,743</w:t>
            </w:r>
          </w:p>
        </w:tc>
      </w:tr>
      <w:tr>
        <w:trPr>
          <w:trHeight w:val="233"/>
        </w:trPr>
        <w:tc>
          <w:tcPr>
            <w:tcW w:w="1440" w:type="dxa"/>
            <w:vAlign w:val="bottom"/>
          </w:tcPr>
          <w:p>
            <w:pPr>
              <w:spacing w:after="0"/>
              <w:rPr>
                <w:sz w:val="20"/>
                <w:szCs w:val="20"/>
                <w:color w:val="auto"/>
              </w:rPr>
            </w:pPr>
            <w:r>
              <w:rPr>
                <w:rFonts w:ascii="Arial" w:cs="Arial" w:eastAsia="Arial" w:hAnsi="Arial"/>
                <w:sz w:val="17"/>
                <w:szCs w:val="17"/>
                <w:color w:val="auto"/>
              </w:rPr>
              <w:t>March</w:t>
            </w:r>
          </w:p>
        </w:tc>
        <w:tc>
          <w:tcPr>
            <w:tcW w:w="1120" w:type="dxa"/>
            <w:vAlign w:val="bottom"/>
          </w:tcPr>
          <w:p>
            <w:pPr>
              <w:jc w:val="center"/>
              <w:ind w:left="479"/>
              <w:spacing w:after="0"/>
              <w:rPr>
                <w:sz w:val="20"/>
                <w:szCs w:val="20"/>
                <w:color w:val="auto"/>
              </w:rPr>
            </w:pPr>
            <w:r>
              <w:rPr>
                <w:rFonts w:ascii="Arial" w:cs="Arial" w:eastAsia="Arial" w:hAnsi="Arial"/>
                <w:sz w:val="17"/>
                <w:szCs w:val="17"/>
                <w:color w:val="auto"/>
                <w:w w:val="96"/>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1,212,470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1,947,850</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91,750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1,940,000</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100"/>
              <w:spacing w:after="0"/>
              <w:rPr>
                <w:sz w:val="20"/>
                <w:szCs w:val="20"/>
                <w:color w:val="auto"/>
              </w:rPr>
            </w:pPr>
            <w:r>
              <w:rPr>
                <w:rFonts w:ascii="Arial" w:cs="Arial" w:eastAsia="Arial" w:hAnsi="Arial"/>
                <w:sz w:val="17"/>
                <w:szCs w:val="17"/>
                <w:color w:val="auto"/>
              </w:rPr>
              <w:t>31,219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
              <w:spacing w:after="0"/>
              <w:rPr>
                <w:sz w:val="20"/>
                <w:szCs w:val="20"/>
                <w:color w:val="auto"/>
              </w:rPr>
            </w:pPr>
            <w:r>
              <w:rPr>
                <w:rFonts w:ascii="Arial" w:cs="Arial" w:eastAsia="Arial" w:hAnsi="Arial"/>
                <w:sz w:val="17"/>
                <w:szCs w:val="17"/>
                <w:color w:val="auto"/>
              </w:rPr>
              <w:t>92,107</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5,315,396</w:t>
            </w:r>
          </w:p>
        </w:tc>
      </w:tr>
      <w:tr>
        <w:trPr>
          <w:trHeight w:val="233"/>
        </w:trPr>
        <w:tc>
          <w:tcPr>
            <w:tcW w:w="1440" w:type="dxa"/>
            <w:vAlign w:val="bottom"/>
            <w:shd w:val="clear" w:color="auto" w:fill="C0C0C0"/>
          </w:tcPr>
          <w:p>
            <w:pPr>
              <w:spacing w:after="0"/>
              <w:rPr>
                <w:sz w:val="20"/>
                <w:szCs w:val="20"/>
                <w:color w:val="auto"/>
              </w:rPr>
            </w:pPr>
            <w:r>
              <w:rPr>
                <w:rFonts w:ascii="Arial" w:cs="Arial" w:eastAsia="Arial" w:hAnsi="Arial"/>
                <w:sz w:val="17"/>
                <w:szCs w:val="17"/>
                <w:color w:val="auto"/>
              </w:rPr>
              <w:t>Lowe</w:t>
            </w:r>
          </w:p>
        </w:tc>
        <w:tc>
          <w:tcPr>
            <w:tcW w:w="1120" w:type="dxa"/>
            <w:vAlign w:val="bottom"/>
            <w:shd w:val="clear" w:color="auto" w:fill="C0C0C0"/>
          </w:tcPr>
          <w:p>
            <w:pPr>
              <w:jc w:val="center"/>
              <w:ind w:left="479"/>
              <w:spacing w:after="0"/>
              <w:rPr>
                <w:sz w:val="20"/>
                <w:szCs w:val="20"/>
                <w:color w:val="auto"/>
              </w:rPr>
            </w:pPr>
            <w:r>
              <w:rPr>
                <w:rFonts w:ascii="Arial" w:cs="Arial" w:eastAsia="Arial" w:hAnsi="Arial"/>
                <w:sz w:val="17"/>
                <w:szCs w:val="17"/>
                <w:color w:val="auto"/>
                <w:w w:val="96"/>
              </w:rPr>
              <w:t>(1)</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1,598,998</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6"/>
              <w:spacing w:after="0"/>
              <w:rPr>
                <w:sz w:val="20"/>
                <w:szCs w:val="20"/>
                <w:color w:val="auto"/>
              </w:rPr>
            </w:pPr>
            <w:r>
              <w:rPr>
                <w:rFonts w:ascii="Arial" w:cs="Arial" w:eastAsia="Arial" w:hAnsi="Arial"/>
                <w:sz w:val="17"/>
                <w:szCs w:val="17"/>
                <w:color w:val="auto"/>
              </w:rPr>
              <w:t>2,705,327</w:t>
            </w:r>
          </w:p>
        </w:tc>
        <w:tc>
          <w:tcPr>
            <w:tcW w:w="200" w:type="dxa"/>
            <w:vAlign w:val="bottom"/>
            <w:shd w:val="clear" w:color="auto" w:fill="C0C0C0"/>
          </w:tcPr>
          <w:p>
            <w:pPr>
              <w:ind w:lef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423,741</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4,966,400</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35,945</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81,693</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9,812,104</w:t>
            </w:r>
          </w:p>
        </w:tc>
      </w:tr>
      <w:tr>
        <w:trPr>
          <w:trHeight w:val="233"/>
        </w:trPr>
        <w:tc>
          <w:tcPr>
            <w:tcW w:w="1440" w:type="dxa"/>
            <w:vAlign w:val="bottom"/>
          </w:tcPr>
          <w:p>
            <w:pPr>
              <w:spacing w:after="0"/>
              <w:rPr>
                <w:sz w:val="20"/>
                <w:szCs w:val="20"/>
                <w:color w:val="auto"/>
              </w:rPr>
            </w:pPr>
            <w:r>
              <w:rPr>
                <w:rFonts w:ascii="Arial" w:cs="Arial" w:eastAsia="Arial" w:hAnsi="Arial"/>
                <w:sz w:val="17"/>
                <w:szCs w:val="17"/>
                <w:color w:val="auto"/>
              </w:rPr>
              <w:t>Ritchie</w:t>
            </w:r>
          </w:p>
        </w:tc>
        <w:tc>
          <w:tcPr>
            <w:tcW w:w="1120" w:type="dxa"/>
            <w:vAlign w:val="bottom"/>
          </w:tcPr>
          <w:p>
            <w:pPr>
              <w:jc w:val="center"/>
              <w:ind w:left="479"/>
              <w:spacing w:after="0"/>
              <w:rPr>
                <w:sz w:val="20"/>
                <w:szCs w:val="20"/>
                <w:color w:val="auto"/>
              </w:rPr>
            </w:pPr>
            <w:r>
              <w:rPr>
                <w:rFonts w:ascii="Arial" w:cs="Arial" w:eastAsia="Arial" w:hAnsi="Arial"/>
                <w:sz w:val="17"/>
                <w:szCs w:val="17"/>
                <w:color w:val="auto"/>
                <w:w w:val="96"/>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1,653,134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3,118,696</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43,311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3,104,000</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100"/>
              <w:spacing w:after="0"/>
              <w:rPr>
                <w:sz w:val="20"/>
                <w:szCs w:val="20"/>
                <w:color w:val="auto"/>
              </w:rPr>
            </w:pPr>
            <w:r>
              <w:rPr>
                <w:rFonts w:ascii="Arial" w:cs="Arial" w:eastAsia="Arial" w:hAnsi="Arial"/>
                <w:sz w:val="17"/>
                <w:szCs w:val="17"/>
                <w:color w:val="auto"/>
              </w:rPr>
              <w:t>30,172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
              <w:spacing w:after="0"/>
              <w:rPr>
                <w:sz w:val="20"/>
                <w:szCs w:val="20"/>
                <w:color w:val="auto"/>
              </w:rPr>
            </w:pPr>
            <w:r>
              <w:rPr>
                <w:rFonts w:ascii="Arial" w:cs="Arial" w:eastAsia="Arial" w:hAnsi="Arial"/>
                <w:sz w:val="17"/>
                <w:szCs w:val="17"/>
                <w:color w:val="auto"/>
              </w:rPr>
              <w:t>79,275</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8,028,588</w:t>
            </w:r>
          </w:p>
        </w:tc>
      </w:tr>
      <w:tr>
        <w:trPr>
          <w:trHeight w:val="233"/>
        </w:trPr>
        <w:tc>
          <w:tcPr>
            <w:tcW w:w="1440" w:type="dxa"/>
            <w:vAlign w:val="bottom"/>
            <w:shd w:val="clear" w:color="auto" w:fill="C0C0C0"/>
          </w:tcPr>
          <w:p>
            <w:pPr>
              <w:spacing w:after="0"/>
              <w:rPr>
                <w:sz w:val="20"/>
                <w:szCs w:val="20"/>
                <w:color w:val="auto"/>
              </w:rPr>
            </w:pPr>
            <w:r>
              <w:rPr>
                <w:rFonts w:ascii="Arial" w:cs="Arial" w:eastAsia="Arial" w:hAnsi="Arial"/>
                <w:sz w:val="17"/>
                <w:szCs w:val="17"/>
                <w:color w:val="auto"/>
              </w:rPr>
              <w:t>Hames</w:t>
            </w:r>
          </w:p>
        </w:tc>
        <w:tc>
          <w:tcPr>
            <w:tcW w:w="1120" w:type="dxa"/>
            <w:vAlign w:val="bottom"/>
            <w:shd w:val="clear" w:color="auto" w:fill="C0C0C0"/>
          </w:tcPr>
          <w:p>
            <w:pPr>
              <w:jc w:val="center"/>
              <w:ind w:left="479"/>
              <w:spacing w:after="0"/>
              <w:rPr>
                <w:sz w:val="20"/>
                <w:szCs w:val="20"/>
                <w:color w:val="auto"/>
              </w:rPr>
            </w:pPr>
            <w:r>
              <w:rPr>
                <w:rFonts w:ascii="Arial" w:cs="Arial" w:eastAsia="Arial" w:hAnsi="Arial"/>
                <w:sz w:val="17"/>
                <w:szCs w:val="17"/>
                <w:color w:val="auto"/>
                <w:w w:val="96"/>
              </w:rPr>
              <w:t>(1)</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1,620,617</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6"/>
              <w:spacing w:after="0"/>
              <w:rPr>
                <w:sz w:val="20"/>
                <w:szCs w:val="20"/>
                <w:color w:val="auto"/>
              </w:rPr>
            </w:pPr>
            <w:r>
              <w:rPr>
                <w:rFonts w:ascii="Arial" w:cs="Arial" w:eastAsia="Arial" w:hAnsi="Arial"/>
                <w:sz w:val="17"/>
                <w:szCs w:val="17"/>
                <w:color w:val="auto"/>
              </w:rPr>
              <w:t>3,106,065</w:t>
            </w:r>
          </w:p>
        </w:tc>
        <w:tc>
          <w:tcPr>
            <w:tcW w:w="200" w:type="dxa"/>
            <w:vAlign w:val="bottom"/>
            <w:shd w:val="clear" w:color="auto" w:fill="C0C0C0"/>
          </w:tcPr>
          <w:p>
            <w:pPr>
              <w:ind w:lef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74,741</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2,948,800</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31,210</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88,245</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7,869,678</w:t>
            </w:r>
          </w:p>
        </w:tc>
      </w:tr>
    </w:tbl>
    <w:p>
      <w:pPr>
        <w:spacing w:after="0" w:line="236" w:lineRule="exact"/>
        <w:rPr>
          <w:sz w:val="20"/>
          <w:szCs w:val="20"/>
          <w:color w:val="auto"/>
        </w:rPr>
      </w:pPr>
    </w:p>
    <w:p>
      <w:pPr>
        <w:ind w:left="440" w:right="60" w:hanging="436"/>
        <w:spacing w:after="0" w:line="246"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20" w:lineRule="exact"/>
        <w:rPr>
          <w:rFonts w:ascii="Arial" w:cs="Arial" w:eastAsia="Arial" w:hAnsi="Arial"/>
          <w:sz w:val="17"/>
          <w:szCs w:val="17"/>
          <w:color w:val="auto"/>
        </w:rPr>
      </w:pPr>
    </w:p>
    <w:p>
      <w:pPr>
        <w:ind w:left="440" w:right="120" w:hanging="436"/>
        <w:spacing w:after="0" w:line="241"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 in the event of termination as of December 31, 2008,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2008 and are described in footnote 3 to the 2008 Pension Benefits table on page 78.</w:t>
      </w:r>
    </w:p>
    <w:p>
      <w:pPr>
        <w:spacing w:after="0" w:line="224" w:lineRule="exact"/>
        <w:rPr>
          <w:rFonts w:ascii="Arial" w:cs="Arial" w:eastAsia="Arial" w:hAnsi="Arial"/>
          <w:sz w:val="17"/>
          <w:szCs w:val="17"/>
          <w:color w:val="auto"/>
        </w:rPr>
      </w:pPr>
    </w:p>
    <w:p>
      <w:pPr>
        <w:ind w:left="440" w:right="440" w:hanging="436"/>
        <w:spacing w:after="0" w:line="246"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officers in the event of termination due to disability. The assumptions used are the same as those described in note (2) above.</w:t>
      </w:r>
    </w:p>
    <w:p>
      <w:pPr>
        <w:sectPr>
          <w:pgSz w:w="11900" w:h="16838" w:orient="portrait"/>
          <w:cols w:equalWidth="0" w:num="1">
            <w:col w:w="11420"/>
          </w:cols>
          <w:pgMar w:left="240" w:top="143" w:right="239" w:bottom="0" w:gutter="0" w:footer="0" w:header="0"/>
        </w:sectPr>
      </w:pPr>
    </w:p>
    <w:bookmarkStart w:id="24" w:name="page25"/>
    <w:bookmarkEnd w:id="24"/>
    <w:p>
      <w:pPr>
        <w:ind w:left="440" w:right="520" w:hanging="436"/>
        <w:spacing w:after="0" w:line="246"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Aggregate account value as of December 31, 2008. The amounts shown in the 2008 Non-qualified Deferred Compensation table on page 79 include the amounts shown in this column.</w:t>
      </w:r>
    </w:p>
    <w:p>
      <w:pPr>
        <w:spacing w:after="0" w:line="220" w:lineRule="exact"/>
        <w:rPr>
          <w:rFonts w:ascii="Arial" w:cs="Arial" w:eastAsia="Arial" w:hAnsi="Arial"/>
          <w:sz w:val="17"/>
          <w:szCs w:val="17"/>
          <w:color w:val="auto"/>
        </w:rPr>
      </w:pPr>
    </w:p>
    <w:p>
      <w:pPr>
        <w:ind w:left="440" w:right="100" w:hanging="436"/>
        <w:spacing w:after="0"/>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2008 ($15.52). Because the executive officer will retain his RSU awards in the event of termination and they will continue to vest according to their terms, all outstanding RSUs are assumed to be vested for purposes of this table. Please see the Outstanding Equity Awards at Fiscal Year-End 2008 table on pages 74-75 for the number of unvested RSUs as of December 31, 2008, and page 77 for a discussion of an additional outstanding RSU award held by Mr. Templeton.</w:t>
      </w:r>
    </w:p>
    <w:p>
      <w:pPr>
        <w:spacing w:after="0" w:line="226" w:lineRule="exact"/>
        <w:rPr>
          <w:rFonts w:ascii="Arial" w:cs="Arial" w:eastAsia="Arial" w:hAnsi="Arial"/>
          <w:sz w:val="17"/>
          <w:szCs w:val="17"/>
          <w:color w:val="auto"/>
        </w:rPr>
      </w:pPr>
    </w:p>
    <w:p>
      <w:pPr>
        <w:ind w:left="440" w:right="460" w:hanging="436"/>
        <w:spacing w:after="0" w:line="242"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2008 ($15.52), multiplied by the number of shares under such options as of December 31, 2008. As of December 31, 2008, no outstanding options were in the money.</w:t>
      </w:r>
    </w:p>
    <w:p>
      <w:pPr>
        <w:spacing w:after="0" w:line="224" w:lineRule="exact"/>
        <w:rPr>
          <w:rFonts w:ascii="Arial" w:cs="Arial" w:eastAsia="Arial" w:hAnsi="Arial"/>
          <w:sz w:val="17"/>
          <w:szCs w:val="17"/>
          <w:color w:val="auto"/>
        </w:rPr>
      </w:pPr>
    </w:p>
    <w:p>
      <w:pPr>
        <w:ind w:left="440" w:hanging="436"/>
        <w:spacing w:after="0"/>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earned in 2008.</w:t>
      </w:r>
    </w:p>
    <w:p>
      <w:pPr>
        <w:spacing w:after="0" w:line="231" w:lineRule="exact"/>
        <w:rPr>
          <w:rFonts w:ascii="Arial" w:cs="Arial" w:eastAsia="Arial" w:hAnsi="Arial"/>
          <w:sz w:val="17"/>
          <w:szCs w:val="17"/>
          <w:color w:val="auto"/>
        </w:rPr>
      </w:pPr>
    </w:p>
    <w:p>
      <w:pPr>
        <w:ind w:left="440" w:right="620" w:hanging="436"/>
        <w:spacing w:after="0" w:line="246"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2008.</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due to death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126"/>
              <w:spacing w:after="0"/>
              <w:rPr>
                <w:sz w:val="20"/>
                <w:szCs w:val="20"/>
                <w:color w:val="auto"/>
              </w:rPr>
            </w:pPr>
            <w:r>
              <w:rPr>
                <w:rFonts w:ascii="Arial" w:cs="Arial" w:eastAsia="Arial" w:hAnsi="Arial"/>
                <w:sz w:val="13"/>
                <w:szCs w:val="13"/>
                <w:b w:val="1"/>
                <w:bCs w:val="1"/>
                <w:color w:val="auto"/>
              </w:rPr>
              <w:t>Qualified</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Non-Qualified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2"/>
        </w:trPr>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rPr>
              <w:t>Defined</w:t>
            </w:r>
          </w:p>
        </w:tc>
        <w:tc>
          <w:tcPr>
            <w:tcW w:w="240" w:type="dxa"/>
            <w:vAlign w:val="bottom"/>
          </w:tcPr>
          <w:p>
            <w:pPr>
              <w:spacing w:after="0"/>
              <w:rPr>
                <w:sz w:val="12"/>
                <w:szCs w:val="12"/>
                <w:color w:val="auto"/>
              </w:rPr>
            </w:pPr>
          </w:p>
        </w:tc>
        <w:tc>
          <w:tcPr>
            <w:tcW w:w="880" w:type="dxa"/>
            <w:vAlign w:val="bottom"/>
          </w:tcPr>
          <w:p>
            <w:pPr>
              <w:jc w:val="center"/>
              <w:ind w:right="166"/>
              <w:spacing w:after="0" w:line="143" w:lineRule="exact"/>
              <w:rPr>
                <w:sz w:val="20"/>
                <w:szCs w:val="20"/>
                <w:color w:val="auto"/>
              </w:rPr>
            </w:pPr>
            <w:r>
              <w:rPr>
                <w:rFonts w:ascii="Arial" w:cs="Arial" w:eastAsia="Arial" w:hAnsi="Arial"/>
                <w:sz w:val="13"/>
                <w:szCs w:val="13"/>
                <w:b w:val="1"/>
                <w:bCs w:val="1"/>
                <w:color w:val="auto"/>
              </w:rPr>
              <w:t>Defined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Benefit</w:t>
            </w:r>
          </w:p>
        </w:tc>
        <w:tc>
          <w:tcPr>
            <w:tcW w:w="240" w:type="dxa"/>
            <w:vAlign w:val="bottom"/>
          </w:tcPr>
          <w:p>
            <w:pPr>
              <w:spacing w:after="0"/>
              <w:rPr>
                <w:sz w:val="12"/>
                <w:szCs w:val="12"/>
                <w:color w:val="auto"/>
              </w:rPr>
            </w:pPr>
          </w:p>
        </w:tc>
        <w:tc>
          <w:tcPr>
            <w:tcW w:w="880" w:type="dxa"/>
            <w:vAlign w:val="bottom"/>
          </w:tcPr>
          <w:p>
            <w:pPr>
              <w:jc w:val="center"/>
              <w:ind w:right="166"/>
              <w:spacing w:after="0" w:line="143" w:lineRule="exact"/>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06"/>
              <w:spacing w:after="0" w:line="143" w:lineRule="exact"/>
              <w:rPr>
                <w:sz w:val="20"/>
                <w:szCs w:val="20"/>
                <w:color w:val="auto"/>
              </w:rPr>
            </w:pPr>
            <w:r>
              <w:rPr>
                <w:rFonts w:ascii="Arial" w:cs="Arial" w:eastAsia="Arial" w:hAnsi="Arial"/>
                <w:sz w:val="13"/>
                <w:szCs w:val="13"/>
                <w:b w:val="1"/>
                <w:bCs w:val="1"/>
                <w:color w:val="auto"/>
                <w:w w:val="98"/>
              </w:rPr>
              <w:t>Pension</w:t>
            </w:r>
          </w:p>
        </w:tc>
        <w:tc>
          <w:tcPr>
            <w:tcW w:w="240" w:type="dxa"/>
            <w:vAlign w:val="bottom"/>
          </w:tcPr>
          <w:p>
            <w:pPr>
              <w:spacing w:after="0"/>
              <w:rPr>
                <w:sz w:val="12"/>
                <w:szCs w:val="12"/>
                <w:color w:val="auto"/>
              </w:rPr>
            </w:pPr>
          </w:p>
        </w:tc>
        <w:tc>
          <w:tcPr>
            <w:tcW w:w="880" w:type="dxa"/>
            <w:vAlign w:val="bottom"/>
          </w:tcPr>
          <w:p>
            <w:pPr>
              <w:jc w:val="center"/>
              <w:ind w:right="166"/>
              <w:spacing w:after="0" w:line="143" w:lineRule="exact"/>
              <w:rPr>
                <w:sz w:val="20"/>
                <w:szCs w:val="20"/>
                <w:color w:val="auto"/>
              </w:rPr>
            </w:pPr>
            <w:r>
              <w:rPr>
                <w:rFonts w:ascii="Arial" w:cs="Arial" w:eastAsia="Arial" w:hAnsi="Arial"/>
                <w:sz w:val="13"/>
                <w:szCs w:val="13"/>
                <w:b w:val="1"/>
                <w:bCs w:val="1"/>
                <w:color w:val="auto"/>
              </w:rPr>
              <w:t>Pension</w:t>
            </w:r>
          </w:p>
        </w:tc>
        <w:tc>
          <w:tcPr>
            <w:tcW w:w="220" w:type="dxa"/>
            <w:vAlign w:val="bottom"/>
          </w:tcPr>
          <w:p>
            <w:pPr>
              <w:spacing w:after="0"/>
              <w:rPr>
                <w:sz w:val="12"/>
                <w:szCs w:val="12"/>
                <w:color w:val="auto"/>
              </w:rPr>
            </w:pPr>
          </w:p>
        </w:tc>
        <w:tc>
          <w:tcPr>
            <w:tcW w:w="820" w:type="dxa"/>
            <w:vAlign w:val="bottom"/>
          </w:tcPr>
          <w:p>
            <w:pPr>
              <w:jc w:val="right"/>
              <w:ind w:right="181"/>
              <w:spacing w:after="0" w:line="143" w:lineRule="exact"/>
              <w:rPr>
                <w:sz w:val="20"/>
                <w:szCs w:val="20"/>
                <w:color w:val="auto"/>
              </w:rPr>
            </w:pPr>
            <w:r>
              <w:rPr>
                <w:rFonts w:ascii="Arial" w:cs="Arial" w:eastAsia="Arial" w:hAnsi="Arial"/>
                <w:sz w:val="13"/>
                <w:szCs w:val="13"/>
                <w:b w:val="1"/>
                <w:bCs w:val="1"/>
                <w:color w:val="auto"/>
              </w:rPr>
              <w:t>Deferred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Profit</w:t>
            </w:r>
          </w:p>
        </w:tc>
        <w:tc>
          <w:tcPr>
            <w:tcW w:w="220" w:type="dxa"/>
            <w:vAlign w:val="bottom"/>
          </w:tcPr>
          <w:p>
            <w:pPr>
              <w:spacing w:after="0"/>
              <w:rPr>
                <w:sz w:val="12"/>
                <w:szCs w:val="12"/>
                <w:color w:val="auto"/>
              </w:rPr>
            </w:pPr>
          </w:p>
        </w:tc>
        <w:tc>
          <w:tcPr>
            <w:tcW w:w="740" w:type="dxa"/>
            <w:vAlign w:val="bottom"/>
          </w:tcPr>
          <w:p>
            <w:pPr>
              <w:jc w:val="center"/>
              <w:ind w:right="123"/>
              <w:spacing w:after="0" w:line="143" w:lineRule="exact"/>
              <w:rPr>
                <w:sz w:val="20"/>
                <w:szCs w:val="20"/>
                <w:color w:val="auto"/>
              </w:rPr>
            </w:pPr>
            <w:r>
              <w:rPr>
                <w:rFonts w:ascii="Arial" w:cs="Arial" w:eastAsia="Arial" w:hAnsi="Arial"/>
                <w:sz w:val="13"/>
                <w:szCs w:val="13"/>
                <w:b w:val="1"/>
                <w:bCs w:val="1"/>
                <w:color w:val="auto"/>
                <w:w w:val="98"/>
              </w:rPr>
              <w:t>Time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1"/>
        </w:trPr>
        <w:tc>
          <w:tcPr>
            <w:tcW w:w="1460" w:type="dxa"/>
            <w:vAlign w:val="bottom"/>
          </w:tcPr>
          <w:p>
            <w:pPr>
              <w:spacing w:after="0"/>
              <w:rPr>
                <w:sz w:val="14"/>
                <w:szCs w:val="14"/>
                <w:color w:val="auto"/>
              </w:rPr>
            </w:pPr>
          </w:p>
        </w:tc>
        <w:tc>
          <w:tcPr>
            <w:tcW w:w="1180" w:type="dxa"/>
            <w:vAlign w:val="bottom"/>
          </w:tcPr>
          <w:p>
            <w:pPr>
              <w:ind w:left="700"/>
              <w:spacing w:after="0"/>
              <w:rPr>
                <w:sz w:val="20"/>
                <w:szCs w:val="20"/>
                <w:color w:val="auto"/>
              </w:rPr>
            </w:pPr>
            <w:r>
              <w:rPr>
                <w:rFonts w:ascii="Arial" w:cs="Arial" w:eastAsia="Arial" w:hAnsi="Arial"/>
                <w:sz w:val="13"/>
                <w:szCs w:val="13"/>
                <w:b w:val="1"/>
                <w:bCs w:val="1"/>
                <w:color w:val="auto"/>
              </w:rPr>
              <w:t>Bonus</w:t>
            </w:r>
          </w:p>
        </w:tc>
        <w:tc>
          <w:tcPr>
            <w:tcW w:w="200" w:type="dxa"/>
            <w:vAlign w:val="bottom"/>
          </w:tcPr>
          <w:p>
            <w:pPr>
              <w:spacing w:after="0"/>
              <w:rPr>
                <w:sz w:val="14"/>
                <w:szCs w:val="14"/>
                <w:color w:val="auto"/>
              </w:rPr>
            </w:pPr>
          </w:p>
        </w:tc>
        <w:tc>
          <w:tcPr>
            <w:tcW w:w="760" w:type="dxa"/>
            <w:vAlign w:val="bottom"/>
          </w:tcPr>
          <w:p>
            <w:pPr>
              <w:jc w:val="center"/>
              <w:ind w:right="126"/>
              <w:spacing w:after="0"/>
              <w:rPr>
                <w:sz w:val="20"/>
                <w:szCs w:val="20"/>
                <w:color w:val="auto"/>
              </w:rPr>
            </w:pPr>
            <w:r>
              <w:rPr>
                <w:rFonts w:ascii="Arial" w:cs="Arial" w:eastAsia="Arial" w:hAnsi="Arial"/>
                <w:sz w:val="13"/>
                <w:szCs w:val="13"/>
                <w:b w:val="1"/>
                <w:bCs w:val="1"/>
                <w:color w:val="auto"/>
              </w:rPr>
              <w:t>Plan</w:t>
            </w:r>
          </w:p>
        </w:tc>
        <w:tc>
          <w:tcPr>
            <w:tcW w:w="240" w:type="dxa"/>
            <w:vAlign w:val="bottom"/>
          </w:tcPr>
          <w:p>
            <w:pPr>
              <w:spacing w:after="0"/>
              <w:rPr>
                <w:sz w:val="14"/>
                <w:szCs w:val="14"/>
                <w:color w:val="auto"/>
              </w:rPr>
            </w:pPr>
          </w:p>
        </w:tc>
        <w:tc>
          <w:tcPr>
            <w:tcW w:w="880" w:type="dxa"/>
            <w:vAlign w:val="bottom"/>
          </w:tcPr>
          <w:p>
            <w:pPr>
              <w:jc w:val="center"/>
              <w:ind w:right="166"/>
              <w:spacing w:after="0"/>
              <w:rPr>
                <w:sz w:val="20"/>
                <w:szCs w:val="20"/>
                <w:color w:val="auto"/>
              </w:rPr>
            </w:pPr>
            <w:r>
              <w:rPr>
                <w:rFonts w:ascii="Arial" w:cs="Arial" w:eastAsia="Arial" w:hAnsi="Arial"/>
                <w:sz w:val="13"/>
                <w:szCs w:val="13"/>
                <w:b w:val="1"/>
                <w:bCs w:val="1"/>
                <w:color w:val="auto"/>
              </w:rPr>
              <w:t>Plan</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240" w:type="dxa"/>
            <w:vAlign w:val="bottom"/>
          </w:tcPr>
          <w:p>
            <w:pPr>
              <w:spacing w:after="0"/>
              <w:rPr>
                <w:sz w:val="14"/>
                <w:szCs w:val="14"/>
                <w:color w:val="auto"/>
              </w:rPr>
            </w:pPr>
          </w:p>
        </w:tc>
        <w:tc>
          <w:tcPr>
            <w:tcW w:w="980" w:type="dxa"/>
            <w:vAlign w:val="bottom"/>
          </w:tcPr>
          <w:p>
            <w:pPr>
              <w:jc w:val="right"/>
              <w:ind w:right="361"/>
              <w:spacing w:after="0"/>
              <w:rPr>
                <w:sz w:val="20"/>
                <w:szCs w:val="20"/>
                <w:color w:val="auto"/>
              </w:rPr>
            </w:pPr>
            <w:r>
              <w:rPr>
                <w:rFonts w:ascii="Arial" w:cs="Arial" w:eastAsia="Arial" w:hAnsi="Arial"/>
                <w:sz w:val="13"/>
                <w:szCs w:val="13"/>
                <w:b w:val="1"/>
                <w:bCs w:val="1"/>
                <w:color w:val="auto"/>
              </w:rPr>
              <w:t>RSUs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Sharing</w:t>
            </w:r>
          </w:p>
        </w:tc>
        <w:tc>
          <w:tcPr>
            <w:tcW w:w="220" w:type="dxa"/>
            <w:vAlign w:val="bottom"/>
          </w:tcPr>
          <w:p>
            <w:pPr>
              <w:spacing w:after="0"/>
              <w:rPr>
                <w:sz w:val="14"/>
                <w:szCs w:val="14"/>
                <w:color w:val="auto"/>
              </w:rPr>
            </w:pPr>
          </w:p>
        </w:tc>
        <w:tc>
          <w:tcPr>
            <w:tcW w:w="740" w:type="dxa"/>
            <w:vAlign w:val="bottom"/>
          </w:tcPr>
          <w:p>
            <w:pPr>
              <w:jc w:val="center"/>
              <w:ind w:right="143"/>
              <w:spacing w:after="0"/>
              <w:rPr>
                <w:sz w:val="20"/>
                <w:szCs w:val="20"/>
                <w:color w:val="auto"/>
              </w:rPr>
            </w:pPr>
            <w:r>
              <w:rPr>
                <w:rFonts w:ascii="Arial" w:cs="Arial" w:eastAsia="Arial" w:hAnsi="Arial"/>
                <w:sz w:val="13"/>
                <w:szCs w:val="13"/>
                <w:b w:val="1"/>
                <w:bCs w:val="1"/>
                <w:color w:val="auto"/>
              </w:rPr>
              <w:t>Bank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1"/>
        </w:trPr>
        <w:tc>
          <w:tcPr>
            <w:tcW w:w="14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180" w:type="dxa"/>
            <w:vAlign w:val="bottom"/>
          </w:tcPr>
          <w:p>
            <w:pPr>
              <w:ind w:left="800"/>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19"/>
                <w:szCs w:val="19"/>
                <w:color w:val="auto"/>
              </w:rPr>
            </w:pPr>
          </w:p>
        </w:tc>
        <w:tc>
          <w:tcPr>
            <w:tcW w:w="760" w:type="dxa"/>
            <w:vAlign w:val="bottom"/>
          </w:tcPr>
          <w:p>
            <w:pPr>
              <w:jc w:val="center"/>
              <w:ind w:right="126"/>
              <w:spacing w:after="0"/>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9"/>
                <w:szCs w:val="19"/>
                <w:color w:val="auto"/>
              </w:rPr>
            </w:pPr>
          </w:p>
        </w:tc>
        <w:tc>
          <w:tcPr>
            <w:tcW w:w="880" w:type="dxa"/>
            <w:vAlign w:val="bottom"/>
          </w:tcPr>
          <w:p>
            <w:pPr>
              <w:jc w:val="center"/>
              <w:ind w:right="166"/>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9"/>
                <w:szCs w:val="19"/>
                <w:color w:val="auto"/>
              </w:rPr>
            </w:pPr>
          </w:p>
        </w:tc>
        <w:tc>
          <w:tcPr>
            <w:tcW w:w="820" w:type="dxa"/>
            <w:vAlign w:val="bottom"/>
          </w:tcPr>
          <w:p>
            <w:pPr>
              <w:jc w:val="right"/>
              <w:ind w:right="361"/>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9"/>
                <w:szCs w:val="19"/>
                <w:color w:val="auto"/>
              </w:rPr>
            </w:pPr>
          </w:p>
        </w:tc>
        <w:tc>
          <w:tcPr>
            <w:tcW w:w="980" w:type="dxa"/>
            <w:vAlign w:val="bottom"/>
          </w:tcPr>
          <w:p>
            <w:pPr>
              <w:jc w:val="right"/>
              <w:ind w:right="461"/>
              <w:spacing w:after="0"/>
              <w:rPr>
                <w:sz w:val="20"/>
                <w:szCs w:val="20"/>
                <w:color w:val="auto"/>
              </w:rPr>
            </w:pPr>
            <w:r>
              <w:rPr>
                <w:rFonts w:ascii="Arial" w:cs="Arial" w:eastAsia="Arial" w:hAnsi="Arial"/>
                <w:sz w:val="13"/>
                <w:szCs w:val="13"/>
                <w:b w:val="1"/>
                <w:bCs w:val="1"/>
                <w:color w:val="auto"/>
              </w:rPr>
              <w:t>(4)</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18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3"/>
                <w:szCs w:val="13"/>
                <w:b w:val="1"/>
                <w:bCs w:val="1"/>
                <w:color w:val="auto"/>
              </w:rPr>
              <w:t>(6)</w:t>
            </w:r>
          </w:p>
        </w:tc>
        <w:tc>
          <w:tcPr>
            <w:tcW w:w="220" w:type="dxa"/>
            <w:vAlign w:val="bottom"/>
          </w:tcPr>
          <w:p>
            <w:pPr>
              <w:spacing w:after="0"/>
              <w:rPr>
                <w:sz w:val="19"/>
                <w:szCs w:val="19"/>
                <w:color w:val="auto"/>
              </w:rPr>
            </w:pPr>
          </w:p>
        </w:tc>
        <w:tc>
          <w:tcPr>
            <w:tcW w:w="740" w:type="dxa"/>
            <w:vAlign w:val="bottom"/>
          </w:tcPr>
          <w:p>
            <w:pPr>
              <w:jc w:val="center"/>
              <w:ind w:right="143"/>
              <w:spacing w:after="0"/>
              <w:rPr>
                <w:sz w:val="20"/>
                <w:szCs w:val="20"/>
                <w:color w:val="auto"/>
              </w:rPr>
            </w:pPr>
            <w:r>
              <w:rPr>
                <w:rFonts w:ascii="Arial" w:cs="Arial" w:eastAsia="Arial" w:hAnsi="Arial"/>
                <w:sz w:val="13"/>
                <w:szCs w:val="13"/>
                <w:b w:val="1"/>
                <w:bCs w:val="1"/>
                <w:color w:val="auto"/>
              </w:rPr>
              <w:t>(7)</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Perquisites</w:t>
            </w:r>
          </w:p>
        </w:tc>
        <w:tc>
          <w:tcPr>
            <w:tcW w:w="220" w:type="dxa"/>
            <w:vAlign w:val="bottom"/>
          </w:tcPr>
          <w:p>
            <w:pPr>
              <w:spacing w:after="0"/>
              <w:rPr>
                <w:sz w:val="19"/>
                <w:szCs w:val="19"/>
                <w:color w:val="auto"/>
              </w:rPr>
            </w:pPr>
          </w:p>
        </w:tc>
        <w:tc>
          <w:tcPr>
            <w:tcW w:w="900" w:type="dxa"/>
            <w:vAlign w:val="bottom"/>
          </w:tcPr>
          <w:p>
            <w:pPr>
              <w:jc w:val="right"/>
              <w:ind w:right="299"/>
              <w:spacing w:after="0"/>
              <w:rPr>
                <w:sz w:val="20"/>
                <w:szCs w:val="20"/>
                <w:color w:val="auto"/>
              </w:rPr>
            </w:pPr>
            <w:r>
              <w:rPr>
                <w:rFonts w:ascii="Arial" w:cs="Arial" w:eastAsia="Arial" w:hAnsi="Arial"/>
                <w:sz w:val="13"/>
                <w:szCs w:val="13"/>
                <w:b w:val="1"/>
                <w:bCs w:val="1"/>
                <w:color w:val="auto"/>
              </w:rPr>
              <w:t>Total</w:t>
            </w:r>
          </w:p>
        </w:tc>
      </w:tr>
      <w:tr>
        <w:trPr>
          <w:trHeight w:val="233"/>
        </w:trPr>
        <w:tc>
          <w:tcPr>
            <w:tcW w:w="1460" w:type="dxa"/>
            <w:vAlign w:val="bottom"/>
            <w:shd w:val="clear" w:color="auto" w:fill="E9E9E9"/>
          </w:tcPr>
          <w:p>
            <w:pPr>
              <w:spacing w:after="0"/>
              <w:rPr>
                <w:sz w:val="20"/>
                <w:szCs w:val="20"/>
                <w:color w:val="auto"/>
              </w:rPr>
            </w:pPr>
          </w:p>
        </w:tc>
        <w:tc>
          <w:tcPr>
            <w:tcW w:w="118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8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r>
      <w:tr>
        <w:trPr>
          <w:trHeight w:val="194"/>
        </w:trPr>
        <w:tc>
          <w:tcPr>
            <w:tcW w:w="146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Templeton</w:t>
            </w:r>
          </w:p>
        </w:tc>
        <w:tc>
          <w:tcPr>
            <w:tcW w:w="1180" w:type="dxa"/>
            <w:vAlign w:val="bottom"/>
            <w:shd w:val="clear" w:color="auto" w:fill="C0C0C0"/>
          </w:tcPr>
          <w:p>
            <w:pPr>
              <w:ind w:left="800"/>
              <w:spacing w:after="0" w:line="194" w:lineRule="exact"/>
              <w:rPr>
                <w:sz w:val="20"/>
                <w:szCs w:val="20"/>
                <w:color w:val="auto"/>
              </w:rPr>
            </w:pPr>
            <w:r>
              <w:rPr>
                <w:rFonts w:ascii="Arial" w:cs="Arial" w:eastAsia="Arial" w:hAnsi="Arial"/>
                <w:sz w:val="17"/>
                <w:szCs w:val="17"/>
                <w:color w:val="auto"/>
              </w:rPr>
              <w:t>(1)</w:t>
            </w:r>
          </w:p>
        </w:tc>
        <w:tc>
          <w:tcPr>
            <w:tcW w:w="2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194,873</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6"/>
              <w:spacing w:after="0" w:line="194" w:lineRule="exact"/>
              <w:rPr>
                <w:sz w:val="20"/>
                <w:szCs w:val="20"/>
                <w:color w:val="auto"/>
              </w:rPr>
            </w:pPr>
            <w:r>
              <w:rPr>
                <w:rFonts w:ascii="Arial" w:cs="Arial" w:eastAsia="Arial" w:hAnsi="Arial"/>
                <w:sz w:val="17"/>
                <w:szCs w:val="17"/>
                <w:color w:val="auto"/>
              </w:rPr>
              <w:t>143,998</w:t>
            </w:r>
          </w:p>
        </w:tc>
        <w:tc>
          <w:tcPr>
            <w:tcW w:w="22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964,734</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10,398,400</w:t>
            </w:r>
          </w:p>
        </w:tc>
        <w:tc>
          <w:tcPr>
            <w:tcW w:w="64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64,853</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3"/>
              <w:spacing w:after="0" w:line="194" w:lineRule="exact"/>
              <w:rPr>
                <w:sz w:val="20"/>
                <w:szCs w:val="20"/>
                <w:color w:val="auto"/>
              </w:rPr>
            </w:pPr>
            <w:r>
              <w:rPr>
                <w:rFonts w:ascii="Arial" w:cs="Arial" w:eastAsia="Arial" w:hAnsi="Arial"/>
                <w:sz w:val="17"/>
                <w:szCs w:val="17"/>
                <w:color w:val="auto"/>
              </w:rPr>
              <w:t>184,383</w:t>
            </w:r>
          </w:p>
        </w:tc>
        <w:tc>
          <w:tcPr>
            <w:tcW w:w="8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11,951,241</w:t>
            </w:r>
          </w:p>
        </w:tc>
      </w:tr>
      <w:tr>
        <w:trPr>
          <w:trHeight w:val="233"/>
        </w:trPr>
        <w:tc>
          <w:tcPr>
            <w:tcW w:w="1460" w:type="dxa"/>
            <w:vAlign w:val="bottom"/>
          </w:tcPr>
          <w:p>
            <w:pPr>
              <w:spacing w:after="0"/>
              <w:rPr>
                <w:sz w:val="20"/>
                <w:szCs w:val="20"/>
                <w:color w:val="auto"/>
              </w:rPr>
            </w:pPr>
            <w:r>
              <w:rPr>
                <w:rFonts w:ascii="Arial" w:cs="Arial" w:eastAsia="Arial" w:hAnsi="Arial"/>
                <w:sz w:val="17"/>
                <w:szCs w:val="17"/>
                <w:color w:val="auto"/>
              </w:rPr>
              <w:t>March</w:t>
            </w:r>
          </w:p>
        </w:tc>
        <w:tc>
          <w:tcPr>
            <w:tcW w:w="1180" w:type="dxa"/>
            <w:vAlign w:val="bottom"/>
          </w:tcPr>
          <w:p>
            <w:pPr>
              <w:ind w:left="800"/>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ind w:left="80"/>
              <w:spacing w:after="0"/>
              <w:rPr>
                <w:sz w:val="20"/>
                <w:szCs w:val="20"/>
                <w:color w:val="auto"/>
              </w:rPr>
            </w:pPr>
            <w:r>
              <w:rPr>
                <w:rFonts w:ascii="Arial" w:cs="Arial" w:eastAsia="Arial" w:hAnsi="Arial"/>
                <w:sz w:val="17"/>
                <w:szCs w:val="17"/>
                <w:color w:val="auto"/>
              </w:rPr>
              <w:t>187,275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663,649</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91,750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1,940,000</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100"/>
              <w:spacing w:after="0"/>
              <w:rPr>
                <w:sz w:val="20"/>
                <w:szCs w:val="20"/>
                <w:color w:val="auto"/>
              </w:rPr>
            </w:pPr>
            <w:r>
              <w:rPr>
                <w:rFonts w:ascii="Arial" w:cs="Arial" w:eastAsia="Arial" w:hAnsi="Arial"/>
                <w:sz w:val="17"/>
                <w:szCs w:val="17"/>
                <w:color w:val="auto"/>
              </w:rPr>
              <w:t>31,219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
              <w:spacing w:after="0"/>
              <w:rPr>
                <w:sz w:val="20"/>
                <w:szCs w:val="20"/>
                <w:color w:val="auto"/>
              </w:rPr>
            </w:pPr>
            <w:r>
              <w:rPr>
                <w:rFonts w:ascii="Arial" w:cs="Arial" w:eastAsia="Arial" w:hAnsi="Arial"/>
                <w:sz w:val="17"/>
                <w:szCs w:val="17"/>
                <w:color w:val="auto"/>
              </w:rPr>
              <w:t>92,107</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3,006,000</w:t>
            </w:r>
          </w:p>
        </w:tc>
      </w:tr>
      <w:tr>
        <w:trPr>
          <w:trHeight w:val="233"/>
        </w:trPr>
        <w:tc>
          <w:tcPr>
            <w:tcW w:w="1460" w:type="dxa"/>
            <w:vAlign w:val="bottom"/>
            <w:shd w:val="clear" w:color="auto" w:fill="C0C0C0"/>
          </w:tcPr>
          <w:p>
            <w:pPr>
              <w:spacing w:after="0"/>
              <w:rPr>
                <w:sz w:val="20"/>
                <w:szCs w:val="20"/>
                <w:color w:val="auto"/>
              </w:rPr>
            </w:pPr>
            <w:r>
              <w:rPr>
                <w:rFonts w:ascii="Arial" w:cs="Arial" w:eastAsia="Arial" w:hAnsi="Arial"/>
                <w:sz w:val="17"/>
                <w:szCs w:val="17"/>
                <w:color w:val="auto"/>
              </w:rPr>
              <w:t>Lowe</w:t>
            </w:r>
          </w:p>
        </w:tc>
        <w:tc>
          <w:tcPr>
            <w:tcW w:w="1180" w:type="dxa"/>
            <w:vAlign w:val="bottom"/>
            <w:shd w:val="clear" w:color="auto" w:fill="C0C0C0"/>
          </w:tcPr>
          <w:p>
            <w:pPr>
              <w:ind w:left="8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ind w:left="80"/>
              <w:spacing w:after="0"/>
              <w:rPr>
                <w:sz w:val="20"/>
                <w:szCs w:val="20"/>
                <w:color w:val="auto"/>
              </w:rPr>
            </w:pPr>
            <w:r>
              <w:rPr>
                <w:rFonts w:ascii="Arial" w:cs="Arial" w:eastAsia="Arial" w:hAnsi="Arial"/>
                <w:sz w:val="17"/>
                <w:szCs w:val="17"/>
                <w:color w:val="auto"/>
              </w:rPr>
              <w:t>210,570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6"/>
              <w:spacing w:after="0"/>
              <w:rPr>
                <w:sz w:val="20"/>
                <w:szCs w:val="20"/>
                <w:color w:val="auto"/>
              </w:rPr>
            </w:pPr>
            <w:r>
              <w:rPr>
                <w:rFonts w:ascii="Arial" w:cs="Arial" w:eastAsia="Arial" w:hAnsi="Arial"/>
                <w:sz w:val="17"/>
                <w:szCs w:val="17"/>
                <w:color w:val="auto"/>
              </w:rPr>
              <w:t>781,560</w:t>
            </w:r>
          </w:p>
        </w:tc>
        <w:tc>
          <w:tcPr>
            <w:tcW w:w="22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423,741</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4,966,400</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35,945</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81,693</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6,499,909</w:t>
            </w:r>
          </w:p>
        </w:tc>
      </w:tr>
      <w:tr>
        <w:trPr>
          <w:trHeight w:val="233"/>
        </w:trPr>
        <w:tc>
          <w:tcPr>
            <w:tcW w:w="1460" w:type="dxa"/>
            <w:vAlign w:val="bottom"/>
          </w:tcPr>
          <w:p>
            <w:pPr>
              <w:spacing w:after="0"/>
              <w:rPr>
                <w:sz w:val="20"/>
                <w:szCs w:val="20"/>
                <w:color w:val="auto"/>
              </w:rPr>
            </w:pPr>
            <w:r>
              <w:rPr>
                <w:rFonts w:ascii="Arial" w:cs="Arial" w:eastAsia="Arial" w:hAnsi="Arial"/>
                <w:sz w:val="17"/>
                <w:szCs w:val="17"/>
                <w:color w:val="auto"/>
              </w:rPr>
              <w:t>Ritchie</w:t>
            </w:r>
          </w:p>
        </w:tc>
        <w:tc>
          <w:tcPr>
            <w:tcW w:w="1180" w:type="dxa"/>
            <w:vAlign w:val="bottom"/>
          </w:tcPr>
          <w:p>
            <w:pPr>
              <w:ind w:left="800"/>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ind w:left="80"/>
              <w:spacing w:after="0"/>
              <w:rPr>
                <w:sz w:val="20"/>
                <w:szCs w:val="20"/>
                <w:color w:val="auto"/>
              </w:rPr>
            </w:pPr>
            <w:r>
              <w:rPr>
                <w:rFonts w:ascii="Arial" w:cs="Arial" w:eastAsia="Arial" w:hAnsi="Arial"/>
                <w:sz w:val="17"/>
                <w:szCs w:val="17"/>
                <w:color w:val="auto"/>
              </w:rPr>
              <w:t>326,441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1,007,097</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43,311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3,104,000</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100"/>
              <w:spacing w:after="0"/>
              <w:rPr>
                <w:sz w:val="20"/>
                <w:szCs w:val="20"/>
                <w:color w:val="auto"/>
              </w:rPr>
            </w:pPr>
            <w:r>
              <w:rPr>
                <w:rFonts w:ascii="Arial" w:cs="Arial" w:eastAsia="Arial" w:hAnsi="Arial"/>
                <w:sz w:val="17"/>
                <w:szCs w:val="17"/>
                <w:color w:val="auto"/>
              </w:rPr>
              <w:t>30,172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
              <w:spacing w:after="0"/>
              <w:rPr>
                <w:sz w:val="20"/>
                <w:szCs w:val="20"/>
                <w:color w:val="auto"/>
              </w:rPr>
            </w:pPr>
            <w:r>
              <w:rPr>
                <w:rFonts w:ascii="Arial" w:cs="Arial" w:eastAsia="Arial" w:hAnsi="Arial"/>
                <w:sz w:val="17"/>
                <w:szCs w:val="17"/>
                <w:color w:val="auto"/>
              </w:rPr>
              <w:t>79,275</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4,590,296</w:t>
            </w:r>
          </w:p>
        </w:tc>
      </w:tr>
      <w:tr>
        <w:trPr>
          <w:trHeight w:val="233"/>
        </w:trPr>
        <w:tc>
          <w:tcPr>
            <w:tcW w:w="1460" w:type="dxa"/>
            <w:vAlign w:val="bottom"/>
            <w:shd w:val="clear" w:color="auto" w:fill="C0C0C0"/>
          </w:tcPr>
          <w:p>
            <w:pPr>
              <w:spacing w:after="0"/>
              <w:rPr>
                <w:sz w:val="20"/>
                <w:szCs w:val="20"/>
                <w:color w:val="auto"/>
              </w:rPr>
            </w:pPr>
            <w:r>
              <w:rPr>
                <w:rFonts w:ascii="Arial" w:cs="Arial" w:eastAsia="Arial" w:hAnsi="Arial"/>
                <w:sz w:val="17"/>
                <w:szCs w:val="17"/>
                <w:color w:val="auto"/>
              </w:rPr>
              <w:t>Hames</w:t>
            </w:r>
          </w:p>
        </w:tc>
        <w:tc>
          <w:tcPr>
            <w:tcW w:w="1180" w:type="dxa"/>
            <w:vAlign w:val="bottom"/>
            <w:shd w:val="clear" w:color="auto" w:fill="C0C0C0"/>
          </w:tcPr>
          <w:p>
            <w:pPr>
              <w:ind w:left="8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ind w:left="80"/>
              <w:spacing w:after="0"/>
              <w:rPr>
                <w:sz w:val="20"/>
                <w:szCs w:val="20"/>
                <w:color w:val="auto"/>
              </w:rPr>
            </w:pPr>
            <w:r>
              <w:rPr>
                <w:rFonts w:ascii="Arial" w:cs="Arial" w:eastAsia="Arial" w:hAnsi="Arial"/>
                <w:sz w:val="17"/>
                <w:szCs w:val="17"/>
                <w:color w:val="auto"/>
              </w:rPr>
              <w:t>304,204</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ind w:right="6"/>
              <w:spacing w:after="0"/>
              <w:rPr>
                <w:sz w:val="20"/>
                <w:szCs w:val="20"/>
                <w:color w:val="auto"/>
              </w:rPr>
            </w:pPr>
            <w:r>
              <w:rPr>
                <w:rFonts w:ascii="Arial" w:cs="Arial" w:eastAsia="Arial" w:hAnsi="Arial"/>
                <w:sz w:val="17"/>
                <w:szCs w:val="17"/>
                <w:color w:val="auto"/>
              </w:rPr>
              <w:t>875,866</w:t>
            </w:r>
          </w:p>
        </w:tc>
        <w:tc>
          <w:tcPr>
            <w:tcW w:w="22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74,741</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2,948,800</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31,210</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88,245</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4,323,066</w:t>
            </w:r>
          </w:p>
        </w:tc>
      </w:tr>
    </w:tbl>
    <w:p>
      <w:pPr>
        <w:spacing w:after="0" w:line="236"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31" w:lineRule="exact"/>
        <w:rPr>
          <w:rFonts w:ascii="Arial" w:cs="Arial" w:eastAsia="Arial" w:hAnsi="Arial"/>
          <w:sz w:val="17"/>
          <w:szCs w:val="17"/>
          <w:color w:val="auto"/>
        </w:rPr>
      </w:pPr>
    </w:p>
    <w:p>
      <w:pPr>
        <w:ind w:left="440" w:right="20" w:hanging="436"/>
        <w:spacing w:after="0" w:line="242"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[ 82 ]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40" w:hanging="436"/>
        <w:spacing w:after="0"/>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See note (4) to the Termination Due to Disability table.</w:t>
      </w:r>
    </w:p>
    <w:p>
      <w:pPr>
        <w:spacing w:after="0" w:line="231" w:lineRule="exact"/>
        <w:rPr>
          <w:rFonts w:ascii="Arial" w:cs="Arial" w:eastAsia="Arial" w:hAnsi="Arial"/>
          <w:sz w:val="17"/>
          <w:szCs w:val="17"/>
          <w:color w:val="auto"/>
        </w:rPr>
      </w:pPr>
    </w:p>
    <w:p>
      <w:pPr>
        <w:ind w:left="440" w:right="80" w:hanging="436"/>
        <w:spacing w:after="0" w:line="241"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2008 ($15.52). Because the executive officer’s estate will receive his RSU awards in the event of his death, all outstanding RSUs are assumed to be vested for purposes of this table. Please see the Outstanding Equity Awards at Fiscal Year-End 2008 table on pages 74-75 for the number of unvested RSUs as of December 31, 2008, and see page 77 for a discussion of an additional outstanding RSU award held by Mr. Templeton.</w:t>
      </w:r>
    </w:p>
    <w:p>
      <w:pPr>
        <w:spacing w:after="0" w:line="224" w:lineRule="exact"/>
        <w:rPr>
          <w:rFonts w:ascii="Arial" w:cs="Arial" w:eastAsia="Arial" w:hAnsi="Arial"/>
          <w:sz w:val="17"/>
          <w:szCs w:val="17"/>
          <w:color w:val="auto"/>
        </w:rPr>
      </w:pPr>
    </w:p>
    <w:p>
      <w:pPr>
        <w:ind w:left="440" w:hanging="436"/>
        <w:spacing w:after="0"/>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See note (6) to the Termination Due to Disability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earned in 2008.</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See note (8) to the Termination Due to Disability table.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Involuntary termination for cause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Qualified</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Non-Qualified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6"/>
              </w:rPr>
              <w:t>Defined</w:t>
            </w:r>
          </w:p>
        </w:tc>
        <w:tc>
          <w:tcPr>
            <w:tcW w:w="220" w:type="dxa"/>
            <w:vAlign w:val="bottom"/>
          </w:tcPr>
          <w:p>
            <w:pPr>
              <w:spacing w:after="0"/>
              <w:rPr>
                <w:sz w:val="12"/>
                <w:szCs w:val="12"/>
                <w:color w:val="auto"/>
              </w:rPr>
            </w:pPr>
          </w:p>
        </w:tc>
        <w:tc>
          <w:tcPr>
            <w:tcW w:w="88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w w:val="96"/>
              </w:rPr>
              <w:t>Defined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Benefit</w:t>
            </w:r>
          </w:p>
        </w:tc>
        <w:tc>
          <w:tcPr>
            <w:tcW w:w="220" w:type="dxa"/>
            <w:vAlign w:val="bottom"/>
          </w:tcPr>
          <w:p>
            <w:pPr>
              <w:spacing w:after="0"/>
              <w:rPr>
                <w:sz w:val="12"/>
                <w:szCs w:val="12"/>
                <w:color w:val="auto"/>
              </w:rPr>
            </w:pPr>
          </w:p>
        </w:tc>
        <w:tc>
          <w:tcPr>
            <w:tcW w:w="8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8"/>
              </w:rPr>
              <w:t>Pension</w:t>
            </w:r>
          </w:p>
        </w:tc>
        <w:tc>
          <w:tcPr>
            <w:tcW w:w="220" w:type="dxa"/>
            <w:vAlign w:val="bottom"/>
          </w:tcPr>
          <w:p>
            <w:pPr>
              <w:spacing w:after="0"/>
              <w:rPr>
                <w:sz w:val="12"/>
                <w:szCs w:val="12"/>
                <w:color w:val="auto"/>
              </w:rPr>
            </w:pPr>
          </w:p>
        </w:tc>
        <w:tc>
          <w:tcPr>
            <w:tcW w:w="88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w w:val="98"/>
              </w:rPr>
              <w:t>Pension</w:t>
            </w:r>
          </w:p>
        </w:tc>
        <w:tc>
          <w:tcPr>
            <w:tcW w:w="220" w:type="dxa"/>
            <w:vAlign w:val="bottom"/>
          </w:tcPr>
          <w:p>
            <w:pPr>
              <w:spacing w:after="0"/>
              <w:rPr>
                <w:sz w:val="12"/>
                <w:szCs w:val="12"/>
                <w:color w:val="auto"/>
              </w:rPr>
            </w:pPr>
          </w:p>
        </w:tc>
        <w:tc>
          <w:tcPr>
            <w:tcW w:w="840" w:type="dxa"/>
            <w:vAlign w:val="bottom"/>
          </w:tcPr>
          <w:p>
            <w:pPr>
              <w:jc w:val="right"/>
              <w:ind w:right="181"/>
              <w:spacing w:after="0" w:line="143" w:lineRule="exact"/>
              <w:rPr>
                <w:sz w:val="20"/>
                <w:szCs w:val="20"/>
                <w:color w:val="auto"/>
              </w:rPr>
            </w:pPr>
            <w:r>
              <w:rPr>
                <w:rFonts w:ascii="Arial" w:cs="Arial" w:eastAsia="Arial" w:hAnsi="Arial"/>
                <w:sz w:val="13"/>
                <w:szCs w:val="13"/>
                <w:b w:val="1"/>
                <w:bCs w:val="1"/>
                <w:color w:val="auto"/>
              </w:rPr>
              <w:t>Deferred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Profit</w:t>
            </w:r>
          </w:p>
        </w:tc>
        <w:tc>
          <w:tcPr>
            <w:tcW w:w="240" w:type="dxa"/>
            <w:vAlign w:val="bottom"/>
          </w:tcPr>
          <w:p>
            <w:pPr>
              <w:spacing w:after="0"/>
              <w:rPr>
                <w:sz w:val="12"/>
                <w:szCs w:val="12"/>
                <w:color w:val="auto"/>
              </w:rPr>
            </w:pPr>
          </w:p>
        </w:tc>
        <w:tc>
          <w:tcPr>
            <w:tcW w:w="720" w:type="dxa"/>
            <w:vAlign w:val="bottom"/>
          </w:tcPr>
          <w:p>
            <w:pPr>
              <w:jc w:val="center"/>
              <w:ind w:right="143"/>
              <w:spacing w:after="0" w:line="143" w:lineRule="exact"/>
              <w:rPr>
                <w:sz w:val="20"/>
                <w:szCs w:val="20"/>
                <w:color w:val="auto"/>
              </w:rPr>
            </w:pPr>
            <w:r>
              <w:rPr>
                <w:rFonts w:ascii="Arial" w:cs="Arial" w:eastAsia="Arial" w:hAnsi="Arial"/>
                <w:sz w:val="13"/>
                <w:szCs w:val="13"/>
                <w:b w:val="1"/>
                <w:bCs w:val="1"/>
                <w:color w:val="auto"/>
                <w:w w:val="98"/>
              </w:rPr>
              <w:t>Time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1"/>
        </w:trPr>
        <w:tc>
          <w:tcPr>
            <w:tcW w:w="1480" w:type="dxa"/>
            <w:vAlign w:val="bottom"/>
          </w:tcPr>
          <w:p>
            <w:pPr>
              <w:spacing w:after="0"/>
              <w:rPr>
                <w:sz w:val="14"/>
                <w:szCs w:val="14"/>
                <w:color w:val="auto"/>
              </w:rPr>
            </w:pPr>
          </w:p>
        </w:tc>
        <w:tc>
          <w:tcPr>
            <w:tcW w:w="1200" w:type="dxa"/>
            <w:vAlign w:val="bottom"/>
          </w:tcPr>
          <w:p>
            <w:pPr>
              <w:jc w:val="center"/>
              <w:ind w:left="561"/>
              <w:spacing w:after="0"/>
              <w:rPr>
                <w:sz w:val="20"/>
                <w:szCs w:val="20"/>
                <w:color w:val="auto"/>
              </w:rPr>
            </w:pPr>
            <w:r>
              <w:rPr>
                <w:rFonts w:ascii="Arial" w:cs="Arial" w:eastAsia="Arial" w:hAnsi="Arial"/>
                <w:sz w:val="13"/>
                <w:szCs w:val="13"/>
                <w:b w:val="1"/>
                <w:bCs w:val="1"/>
                <w:color w:val="auto"/>
                <w:w w:val="98"/>
              </w:rPr>
              <w:t>Bonus</w:t>
            </w:r>
          </w:p>
        </w:tc>
        <w:tc>
          <w:tcPr>
            <w:tcW w:w="200" w:type="dxa"/>
            <w:vAlign w:val="bottom"/>
          </w:tcPr>
          <w:p>
            <w:pPr>
              <w:spacing w:after="0"/>
              <w:rPr>
                <w:sz w:val="14"/>
                <w:szCs w:val="14"/>
                <w:color w:val="auto"/>
              </w:rPr>
            </w:pPr>
          </w:p>
        </w:tc>
        <w:tc>
          <w:tcPr>
            <w:tcW w:w="780" w:type="dxa"/>
            <w:vAlign w:val="bottom"/>
          </w:tcPr>
          <w:p>
            <w:pPr>
              <w:jc w:val="center"/>
              <w:ind w:right="126"/>
              <w:spacing w:after="0"/>
              <w:rPr>
                <w:sz w:val="20"/>
                <w:szCs w:val="20"/>
                <w:color w:val="auto"/>
              </w:rPr>
            </w:pPr>
            <w:r>
              <w:rPr>
                <w:rFonts w:ascii="Arial" w:cs="Arial" w:eastAsia="Arial" w:hAnsi="Arial"/>
                <w:sz w:val="13"/>
                <w:szCs w:val="13"/>
                <w:b w:val="1"/>
                <w:bCs w:val="1"/>
                <w:color w:val="auto"/>
                <w:w w:val="94"/>
              </w:rPr>
              <w:t>Plan</w:t>
            </w:r>
          </w:p>
        </w:tc>
        <w:tc>
          <w:tcPr>
            <w:tcW w:w="220" w:type="dxa"/>
            <w:vAlign w:val="bottom"/>
          </w:tcPr>
          <w:p>
            <w:pPr>
              <w:spacing w:after="0"/>
              <w:rPr>
                <w:sz w:val="14"/>
                <w:szCs w:val="14"/>
                <w:color w:val="auto"/>
              </w:rPr>
            </w:pPr>
          </w:p>
        </w:tc>
        <w:tc>
          <w:tcPr>
            <w:tcW w:w="880" w:type="dxa"/>
            <w:vAlign w:val="bottom"/>
          </w:tcPr>
          <w:p>
            <w:pPr>
              <w:jc w:val="center"/>
              <w:ind w:right="146"/>
              <w:spacing w:after="0"/>
              <w:rPr>
                <w:sz w:val="20"/>
                <w:szCs w:val="20"/>
                <w:color w:val="auto"/>
              </w:rPr>
            </w:pPr>
            <w:r>
              <w:rPr>
                <w:rFonts w:ascii="Arial" w:cs="Arial" w:eastAsia="Arial" w:hAnsi="Arial"/>
                <w:sz w:val="13"/>
                <w:szCs w:val="13"/>
                <w:b w:val="1"/>
                <w:bCs w:val="1"/>
                <w:color w:val="auto"/>
                <w:w w:val="94"/>
              </w:rPr>
              <w:t>Plan</w:t>
            </w: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Sharing</w:t>
            </w:r>
          </w:p>
        </w:tc>
        <w:tc>
          <w:tcPr>
            <w:tcW w:w="240" w:type="dxa"/>
            <w:vAlign w:val="bottom"/>
          </w:tcPr>
          <w:p>
            <w:pPr>
              <w:spacing w:after="0"/>
              <w:rPr>
                <w:sz w:val="14"/>
                <w:szCs w:val="14"/>
                <w:color w:val="auto"/>
              </w:rPr>
            </w:pPr>
          </w:p>
        </w:tc>
        <w:tc>
          <w:tcPr>
            <w:tcW w:w="720" w:type="dxa"/>
            <w:vAlign w:val="bottom"/>
          </w:tcPr>
          <w:p>
            <w:pPr>
              <w:jc w:val="center"/>
              <w:ind w:right="163"/>
              <w:spacing w:after="0"/>
              <w:rPr>
                <w:sz w:val="20"/>
                <w:szCs w:val="20"/>
                <w:color w:val="auto"/>
              </w:rPr>
            </w:pPr>
            <w:r>
              <w:rPr>
                <w:rFonts w:ascii="Arial" w:cs="Arial" w:eastAsia="Arial" w:hAnsi="Arial"/>
                <w:sz w:val="13"/>
                <w:szCs w:val="13"/>
                <w:b w:val="1"/>
                <w:bCs w:val="1"/>
                <w:color w:val="auto"/>
              </w:rPr>
              <w:t>Bank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1"/>
        </w:trPr>
        <w:tc>
          <w:tcPr>
            <w:tcW w:w="14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0" w:type="dxa"/>
            <w:vAlign w:val="bottom"/>
          </w:tcPr>
          <w:p>
            <w:pPr>
              <w:jc w:val="center"/>
              <w:ind w:left="561"/>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19"/>
                <w:szCs w:val="19"/>
                <w:color w:val="auto"/>
              </w:rPr>
            </w:pPr>
          </w:p>
        </w:tc>
        <w:tc>
          <w:tcPr>
            <w:tcW w:w="780" w:type="dxa"/>
            <w:vAlign w:val="bottom"/>
          </w:tcPr>
          <w:p>
            <w:pPr>
              <w:jc w:val="center"/>
              <w:ind w:right="126"/>
              <w:spacing w:after="0"/>
              <w:rPr>
                <w:sz w:val="20"/>
                <w:szCs w:val="20"/>
                <w:color w:val="auto"/>
              </w:rPr>
            </w:pPr>
            <w:r>
              <w:rPr>
                <w:rFonts w:ascii="Arial" w:cs="Arial" w:eastAsia="Arial" w:hAnsi="Arial"/>
                <w:sz w:val="13"/>
                <w:szCs w:val="13"/>
                <w:b w:val="1"/>
                <w:bCs w:val="1"/>
                <w:color w:val="auto"/>
                <w:w w:val="87"/>
              </w:rPr>
              <w:t>(2)</w:t>
            </w:r>
          </w:p>
        </w:tc>
        <w:tc>
          <w:tcPr>
            <w:tcW w:w="220" w:type="dxa"/>
            <w:vAlign w:val="bottom"/>
          </w:tcPr>
          <w:p>
            <w:pPr>
              <w:spacing w:after="0"/>
              <w:rPr>
                <w:sz w:val="19"/>
                <w:szCs w:val="19"/>
                <w:color w:val="auto"/>
              </w:rPr>
            </w:pPr>
          </w:p>
        </w:tc>
        <w:tc>
          <w:tcPr>
            <w:tcW w:w="880" w:type="dxa"/>
            <w:vAlign w:val="bottom"/>
          </w:tcPr>
          <w:p>
            <w:pPr>
              <w:jc w:val="center"/>
              <w:ind w:right="126"/>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9"/>
                <w:szCs w:val="19"/>
                <w:color w:val="auto"/>
              </w:rPr>
            </w:pPr>
          </w:p>
        </w:tc>
        <w:tc>
          <w:tcPr>
            <w:tcW w:w="840" w:type="dxa"/>
            <w:vAlign w:val="bottom"/>
          </w:tcPr>
          <w:p>
            <w:pPr>
              <w:jc w:val="right"/>
              <w:ind w:right="361"/>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9"/>
                <w:szCs w:val="19"/>
                <w:color w:val="auto"/>
              </w:rPr>
            </w:pPr>
          </w:p>
        </w:tc>
        <w:tc>
          <w:tcPr>
            <w:tcW w:w="1060" w:type="dxa"/>
            <w:vAlign w:val="bottom"/>
          </w:tcPr>
          <w:p>
            <w:pPr>
              <w:jc w:val="right"/>
              <w:ind w:right="479"/>
              <w:spacing w:after="0"/>
              <w:rPr>
                <w:sz w:val="20"/>
                <w:szCs w:val="20"/>
                <w:color w:val="auto"/>
              </w:rPr>
            </w:pPr>
            <w:r>
              <w:rPr>
                <w:rFonts w:ascii="Arial" w:cs="Arial" w:eastAsia="Arial" w:hAnsi="Arial"/>
                <w:sz w:val="13"/>
                <w:szCs w:val="13"/>
                <w:b w:val="1"/>
                <w:bCs w:val="1"/>
                <w:color w:val="auto"/>
              </w:rPr>
              <w:t>RSUs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18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3"/>
                <w:szCs w:val="13"/>
                <w:b w:val="1"/>
                <w:bCs w:val="1"/>
                <w:color w:val="auto"/>
              </w:rPr>
              <w:t>(5)</w:t>
            </w:r>
          </w:p>
        </w:tc>
        <w:tc>
          <w:tcPr>
            <w:tcW w:w="240" w:type="dxa"/>
            <w:vAlign w:val="bottom"/>
          </w:tcPr>
          <w:p>
            <w:pPr>
              <w:spacing w:after="0"/>
              <w:rPr>
                <w:sz w:val="19"/>
                <w:szCs w:val="19"/>
                <w:color w:val="auto"/>
              </w:rPr>
            </w:pPr>
          </w:p>
        </w:tc>
        <w:tc>
          <w:tcPr>
            <w:tcW w:w="720" w:type="dxa"/>
            <w:vAlign w:val="bottom"/>
          </w:tcPr>
          <w:p>
            <w:pPr>
              <w:jc w:val="center"/>
              <w:ind w:right="163"/>
              <w:spacing w:after="0"/>
              <w:rPr>
                <w:sz w:val="20"/>
                <w:szCs w:val="20"/>
                <w:color w:val="auto"/>
              </w:rPr>
            </w:pPr>
            <w:r>
              <w:rPr>
                <w:rFonts w:ascii="Arial" w:cs="Arial" w:eastAsia="Arial" w:hAnsi="Arial"/>
                <w:sz w:val="13"/>
                <w:szCs w:val="13"/>
                <w:b w:val="1"/>
                <w:bCs w:val="1"/>
                <w:color w:val="auto"/>
              </w:rPr>
              <w:t>(6)</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Perquisites</w:t>
            </w: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233"/>
        </w:trPr>
        <w:tc>
          <w:tcPr>
            <w:tcW w:w="1480" w:type="dxa"/>
            <w:vAlign w:val="bottom"/>
            <w:shd w:val="clear" w:color="auto" w:fill="E9E9E9"/>
          </w:tcPr>
          <w:p>
            <w:pPr>
              <w:spacing w:after="0"/>
              <w:rPr>
                <w:sz w:val="20"/>
                <w:szCs w:val="20"/>
                <w:color w:val="auto"/>
              </w:rPr>
            </w:pPr>
          </w:p>
        </w:tc>
        <w:tc>
          <w:tcPr>
            <w:tcW w:w="120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106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r>
      <w:tr>
        <w:trPr>
          <w:trHeight w:val="194"/>
        </w:trPr>
        <w:tc>
          <w:tcPr>
            <w:tcW w:w="14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Templeton</w:t>
            </w:r>
          </w:p>
        </w:tc>
        <w:tc>
          <w:tcPr>
            <w:tcW w:w="1200" w:type="dxa"/>
            <w:vAlign w:val="bottom"/>
            <w:shd w:val="clear" w:color="auto" w:fill="C0C0C0"/>
          </w:tcPr>
          <w:p>
            <w:pPr>
              <w:jc w:val="center"/>
              <w:ind w:left="561"/>
              <w:spacing w:after="0" w:line="194" w:lineRule="exact"/>
              <w:rPr>
                <w:sz w:val="20"/>
                <w:szCs w:val="20"/>
                <w:color w:val="auto"/>
              </w:rPr>
            </w:pPr>
            <w:r>
              <w:rPr>
                <w:rFonts w:ascii="Arial" w:cs="Arial" w:eastAsia="Arial" w:hAnsi="Arial"/>
                <w:sz w:val="17"/>
                <w:szCs w:val="17"/>
                <w:color w:val="auto"/>
                <w:w w:val="93"/>
              </w:rPr>
              <w:t>—</w:t>
            </w:r>
          </w:p>
        </w:tc>
        <w:tc>
          <w:tcPr>
            <w:tcW w:w="2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376,884</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278,491</w:t>
            </w:r>
          </w:p>
        </w:tc>
        <w:tc>
          <w:tcPr>
            <w:tcW w:w="22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964,734</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1,862,400(4)</w:t>
            </w:r>
          </w:p>
        </w:tc>
        <w:tc>
          <w:tcPr>
            <w:tcW w:w="62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64,853</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3"/>
              <w:spacing w:after="0" w:line="194" w:lineRule="exact"/>
              <w:rPr>
                <w:sz w:val="20"/>
                <w:szCs w:val="20"/>
                <w:color w:val="auto"/>
              </w:rPr>
            </w:pPr>
            <w:r>
              <w:rPr>
                <w:rFonts w:ascii="Arial" w:cs="Arial" w:eastAsia="Arial" w:hAnsi="Arial"/>
                <w:sz w:val="17"/>
                <w:szCs w:val="17"/>
                <w:color w:val="auto"/>
              </w:rPr>
              <w:t>184,383</w:t>
            </w:r>
          </w:p>
        </w:tc>
        <w:tc>
          <w:tcPr>
            <w:tcW w:w="8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3,731,745</w:t>
            </w:r>
          </w:p>
        </w:tc>
      </w:tr>
      <w:tr>
        <w:trPr>
          <w:trHeight w:val="194"/>
        </w:trPr>
        <w:tc>
          <w:tcPr>
            <w:tcW w:w="1480" w:type="dxa"/>
            <w:vAlign w:val="bottom"/>
          </w:tcPr>
          <w:p>
            <w:pPr>
              <w:spacing w:after="0" w:line="194" w:lineRule="exact"/>
              <w:rPr>
                <w:sz w:val="20"/>
                <w:szCs w:val="20"/>
                <w:color w:val="auto"/>
              </w:rPr>
            </w:pPr>
            <w:r>
              <w:rPr>
                <w:rFonts w:ascii="Arial" w:cs="Arial" w:eastAsia="Arial" w:hAnsi="Arial"/>
                <w:sz w:val="17"/>
                <w:szCs w:val="17"/>
                <w:color w:val="auto"/>
              </w:rPr>
              <w:t>March</w:t>
            </w:r>
          </w:p>
        </w:tc>
        <w:tc>
          <w:tcPr>
            <w:tcW w:w="1200" w:type="dxa"/>
            <w:vAlign w:val="bottom"/>
          </w:tcPr>
          <w:p>
            <w:pPr>
              <w:jc w:val="center"/>
              <w:ind w:left="561"/>
              <w:spacing w:after="0" w:line="194" w:lineRule="exact"/>
              <w:rPr>
                <w:sz w:val="20"/>
                <w:szCs w:val="20"/>
                <w:color w:val="auto"/>
              </w:rPr>
            </w:pPr>
            <w:r>
              <w:rPr>
                <w:rFonts w:ascii="Arial" w:cs="Arial" w:eastAsia="Arial" w:hAnsi="Arial"/>
                <w:sz w:val="17"/>
                <w:szCs w:val="17"/>
                <w:color w:val="auto"/>
                <w:w w:val="93"/>
              </w:rPr>
              <w:t>—</w:t>
            </w: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ind w:left="80"/>
              <w:spacing w:after="0" w:line="194" w:lineRule="exact"/>
              <w:rPr>
                <w:sz w:val="20"/>
                <w:szCs w:val="20"/>
                <w:color w:val="auto"/>
              </w:rPr>
            </w:pPr>
            <w:r>
              <w:rPr>
                <w:rFonts w:ascii="Arial" w:cs="Arial" w:eastAsia="Arial" w:hAnsi="Arial"/>
                <w:sz w:val="17"/>
                <w:szCs w:val="17"/>
                <w:color w:val="auto"/>
              </w:rPr>
              <w:t>346,974</w:t>
            </w: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1,229,584</w:t>
            </w:r>
          </w:p>
        </w:tc>
        <w:tc>
          <w:tcPr>
            <w:tcW w:w="2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jc w:val="right"/>
              <w:ind w:right="1"/>
              <w:spacing w:after="0" w:line="194" w:lineRule="exact"/>
              <w:rPr>
                <w:sz w:val="20"/>
                <w:szCs w:val="20"/>
                <w:color w:val="auto"/>
              </w:rPr>
            </w:pPr>
            <w:r>
              <w:rPr>
                <w:rFonts w:ascii="Arial" w:cs="Arial" w:eastAsia="Arial" w:hAnsi="Arial"/>
                <w:sz w:val="17"/>
                <w:szCs w:val="17"/>
                <w:color w:val="auto"/>
              </w:rPr>
              <w:t>91,750</w:t>
            </w:r>
          </w:p>
        </w:tc>
        <w:tc>
          <w:tcPr>
            <w:tcW w:w="220" w:type="dxa"/>
            <w:vAlign w:val="bottom"/>
          </w:tcPr>
          <w:p>
            <w:pPr>
              <w:spacing w:after="0"/>
              <w:rPr>
                <w:sz w:val="16"/>
                <w:szCs w:val="16"/>
                <w:color w:val="auto"/>
              </w:rPr>
            </w:pPr>
          </w:p>
        </w:tc>
        <w:tc>
          <w:tcPr>
            <w:tcW w:w="1060" w:type="dxa"/>
            <w:vAlign w:val="bottom"/>
          </w:tcPr>
          <w:p>
            <w:pPr>
              <w:jc w:val="right"/>
              <w:ind w:right="179"/>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ind w:left="100"/>
              <w:spacing w:after="0" w:line="194" w:lineRule="exact"/>
              <w:rPr>
                <w:sz w:val="20"/>
                <w:szCs w:val="20"/>
                <w:color w:val="auto"/>
              </w:rPr>
            </w:pPr>
            <w:r>
              <w:rPr>
                <w:rFonts w:ascii="Arial" w:cs="Arial" w:eastAsia="Arial" w:hAnsi="Arial"/>
                <w:sz w:val="17"/>
                <w:szCs w:val="17"/>
                <w:color w:val="auto"/>
              </w:rPr>
              <w:t>31,219</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jc w:val="right"/>
              <w:ind w:right="3"/>
              <w:spacing w:after="0" w:line="194" w:lineRule="exact"/>
              <w:rPr>
                <w:sz w:val="20"/>
                <w:szCs w:val="20"/>
                <w:color w:val="auto"/>
              </w:rPr>
            </w:pPr>
            <w:r>
              <w:rPr>
                <w:rFonts w:ascii="Arial" w:cs="Arial" w:eastAsia="Arial" w:hAnsi="Arial"/>
                <w:sz w:val="17"/>
                <w:szCs w:val="17"/>
                <w:color w:val="auto"/>
              </w:rPr>
              <w:t>92,107</w:t>
            </w: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1,791,634</w:t>
            </w:r>
          </w:p>
        </w:tc>
      </w:tr>
      <w:tr>
        <w:trPr>
          <w:trHeight w:val="194"/>
        </w:trPr>
        <w:tc>
          <w:tcPr>
            <w:tcW w:w="14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Lowe</w:t>
            </w:r>
          </w:p>
        </w:tc>
        <w:tc>
          <w:tcPr>
            <w:tcW w:w="1200" w:type="dxa"/>
            <w:vAlign w:val="bottom"/>
            <w:shd w:val="clear" w:color="auto" w:fill="C0C0C0"/>
          </w:tcPr>
          <w:p>
            <w:pPr>
              <w:jc w:val="center"/>
              <w:ind w:left="561"/>
              <w:spacing w:after="0" w:line="194" w:lineRule="exact"/>
              <w:rPr>
                <w:sz w:val="20"/>
                <w:szCs w:val="20"/>
                <w:color w:val="auto"/>
              </w:rPr>
            </w:pPr>
            <w:r>
              <w:rPr>
                <w:rFonts w:ascii="Arial" w:cs="Arial" w:eastAsia="Arial" w:hAnsi="Arial"/>
                <w:sz w:val="17"/>
                <w:szCs w:val="17"/>
                <w:color w:val="auto"/>
                <w:w w:val="93"/>
              </w:rPr>
              <w:t>—</w:t>
            </w:r>
          </w:p>
        </w:tc>
        <w:tc>
          <w:tcPr>
            <w:tcW w:w="2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394,427</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1,463,958</w:t>
            </w:r>
          </w:p>
        </w:tc>
        <w:tc>
          <w:tcPr>
            <w:tcW w:w="22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423,741</w:t>
            </w:r>
          </w:p>
        </w:tc>
        <w:tc>
          <w:tcPr>
            <w:tcW w:w="220" w:type="dxa"/>
            <w:vAlign w:val="bottom"/>
            <w:shd w:val="clear" w:color="auto" w:fill="C0C0C0"/>
          </w:tcPr>
          <w:p>
            <w:pPr>
              <w:spacing w:after="0"/>
              <w:rPr>
                <w:sz w:val="16"/>
                <w:szCs w:val="16"/>
                <w:color w:val="auto"/>
              </w:rPr>
            </w:pPr>
          </w:p>
        </w:tc>
        <w:tc>
          <w:tcPr>
            <w:tcW w:w="1060" w:type="dxa"/>
            <w:vAlign w:val="bottom"/>
            <w:shd w:val="clear" w:color="auto" w:fill="C0C0C0"/>
          </w:tcPr>
          <w:p>
            <w:pPr>
              <w:jc w:val="right"/>
              <w:ind w:right="179"/>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35,945</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3"/>
              <w:spacing w:after="0" w:line="194" w:lineRule="exact"/>
              <w:rPr>
                <w:sz w:val="20"/>
                <w:szCs w:val="20"/>
                <w:color w:val="auto"/>
              </w:rPr>
            </w:pPr>
            <w:r>
              <w:rPr>
                <w:rFonts w:ascii="Arial" w:cs="Arial" w:eastAsia="Arial" w:hAnsi="Arial"/>
                <w:sz w:val="17"/>
                <w:szCs w:val="17"/>
                <w:color w:val="auto"/>
              </w:rPr>
              <w:t>81,693</w:t>
            </w:r>
          </w:p>
        </w:tc>
        <w:tc>
          <w:tcPr>
            <w:tcW w:w="8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2,399,764</w:t>
            </w:r>
          </w:p>
        </w:tc>
      </w:tr>
      <w:tr>
        <w:trPr>
          <w:trHeight w:val="194"/>
        </w:trPr>
        <w:tc>
          <w:tcPr>
            <w:tcW w:w="1480" w:type="dxa"/>
            <w:vAlign w:val="bottom"/>
          </w:tcPr>
          <w:p>
            <w:pPr>
              <w:spacing w:after="0" w:line="194" w:lineRule="exact"/>
              <w:rPr>
                <w:sz w:val="20"/>
                <w:szCs w:val="20"/>
                <w:color w:val="auto"/>
              </w:rPr>
            </w:pPr>
            <w:r>
              <w:rPr>
                <w:rFonts w:ascii="Arial" w:cs="Arial" w:eastAsia="Arial" w:hAnsi="Arial"/>
                <w:sz w:val="17"/>
                <w:szCs w:val="17"/>
                <w:color w:val="auto"/>
              </w:rPr>
              <w:t>Ritchie</w:t>
            </w:r>
          </w:p>
        </w:tc>
        <w:tc>
          <w:tcPr>
            <w:tcW w:w="1200" w:type="dxa"/>
            <w:vAlign w:val="bottom"/>
          </w:tcPr>
          <w:p>
            <w:pPr>
              <w:jc w:val="center"/>
              <w:ind w:left="561"/>
              <w:spacing w:after="0" w:line="194" w:lineRule="exact"/>
              <w:rPr>
                <w:sz w:val="20"/>
                <w:szCs w:val="20"/>
                <w:color w:val="auto"/>
              </w:rPr>
            </w:pPr>
            <w:r>
              <w:rPr>
                <w:rFonts w:ascii="Arial" w:cs="Arial" w:eastAsia="Arial" w:hAnsi="Arial"/>
                <w:sz w:val="17"/>
                <w:szCs w:val="17"/>
                <w:color w:val="auto"/>
                <w:w w:val="93"/>
              </w:rPr>
              <w:t>—</w:t>
            </w: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ind w:left="80"/>
              <w:spacing w:after="0" w:line="194" w:lineRule="exact"/>
              <w:rPr>
                <w:sz w:val="20"/>
                <w:szCs w:val="20"/>
                <w:color w:val="auto"/>
              </w:rPr>
            </w:pPr>
            <w:r>
              <w:rPr>
                <w:rFonts w:ascii="Arial" w:cs="Arial" w:eastAsia="Arial" w:hAnsi="Arial"/>
                <w:sz w:val="17"/>
                <w:szCs w:val="17"/>
                <w:color w:val="auto"/>
              </w:rPr>
              <w:t>637,160</w:t>
            </w: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1,965,664</w:t>
            </w:r>
          </w:p>
        </w:tc>
        <w:tc>
          <w:tcPr>
            <w:tcW w:w="220" w:type="dxa"/>
            <w:vAlign w:val="bottom"/>
          </w:tcPr>
          <w:p>
            <w:pPr>
              <w:ind w:left="8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jc w:val="right"/>
              <w:ind w:right="1"/>
              <w:spacing w:after="0" w:line="194" w:lineRule="exact"/>
              <w:rPr>
                <w:sz w:val="20"/>
                <w:szCs w:val="20"/>
                <w:color w:val="auto"/>
              </w:rPr>
            </w:pPr>
            <w:r>
              <w:rPr>
                <w:rFonts w:ascii="Arial" w:cs="Arial" w:eastAsia="Arial" w:hAnsi="Arial"/>
                <w:sz w:val="17"/>
                <w:szCs w:val="17"/>
                <w:color w:val="auto"/>
              </w:rPr>
              <w:t>43,311</w:t>
            </w:r>
          </w:p>
        </w:tc>
        <w:tc>
          <w:tcPr>
            <w:tcW w:w="220" w:type="dxa"/>
            <w:vAlign w:val="bottom"/>
          </w:tcPr>
          <w:p>
            <w:pPr>
              <w:spacing w:after="0"/>
              <w:rPr>
                <w:sz w:val="16"/>
                <w:szCs w:val="16"/>
                <w:color w:val="auto"/>
              </w:rPr>
            </w:pPr>
          </w:p>
        </w:tc>
        <w:tc>
          <w:tcPr>
            <w:tcW w:w="1060" w:type="dxa"/>
            <w:vAlign w:val="bottom"/>
          </w:tcPr>
          <w:p>
            <w:pPr>
              <w:jc w:val="right"/>
              <w:ind w:right="179"/>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tcPr>
          <w:p>
            <w:pPr>
              <w:ind w:left="100"/>
              <w:spacing w:after="0" w:line="194" w:lineRule="exact"/>
              <w:rPr>
                <w:sz w:val="20"/>
                <w:szCs w:val="20"/>
                <w:color w:val="auto"/>
              </w:rPr>
            </w:pPr>
            <w:r>
              <w:rPr>
                <w:rFonts w:ascii="Arial" w:cs="Arial" w:eastAsia="Arial" w:hAnsi="Arial"/>
                <w:sz w:val="17"/>
                <w:szCs w:val="17"/>
                <w:color w:val="auto"/>
              </w:rPr>
              <w:t>30,172</w:t>
            </w: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jc w:val="right"/>
              <w:ind w:right="3"/>
              <w:spacing w:after="0" w:line="194" w:lineRule="exact"/>
              <w:rPr>
                <w:sz w:val="20"/>
                <w:szCs w:val="20"/>
                <w:color w:val="auto"/>
              </w:rPr>
            </w:pPr>
            <w:r>
              <w:rPr>
                <w:rFonts w:ascii="Arial" w:cs="Arial" w:eastAsia="Arial" w:hAnsi="Arial"/>
                <w:sz w:val="17"/>
                <w:szCs w:val="17"/>
                <w:color w:val="auto"/>
              </w:rPr>
              <w:t>79,275</w:t>
            </w: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3"/>
              </w:rPr>
              <w:t>—</w:t>
            </w: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2,755,582</w:t>
            </w:r>
          </w:p>
        </w:tc>
      </w:tr>
      <w:tr>
        <w:trPr>
          <w:trHeight w:val="194"/>
        </w:trPr>
        <w:tc>
          <w:tcPr>
            <w:tcW w:w="14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Hames</w:t>
            </w:r>
          </w:p>
        </w:tc>
        <w:tc>
          <w:tcPr>
            <w:tcW w:w="1200" w:type="dxa"/>
            <w:vAlign w:val="bottom"/>
            <w:shd w:val="clear" w:color="auto" w:fill="C0C0C0"/>
          </w:tcPr>
          <w:p>
            <w:pPr>
              <w:jc w:val="center"/>
              <w:ind w:left="561"/>
              <w:spacing w:after="0" w:line="194" w:lineRule="exact"/>
              <w:rPr>
                <w:sz w:val="20"/>
                <w:szCs w:val="20"/>
                <w:color w:val="auto"/>
              </w:rPr>
            </w:pPr>
            <w:r>
              <w:rPr>
                <w:rFonts w:ascii="Arial" w:cs="Arial" w:eastAsia="Arial" w:hAnsi="Arial"/>
                <w:sz w:val="17"/>
                <w:szCs w:val="17"/>
                <w:color w:val="auto"/>
                <w:w w:val="93"/>
              </w:rPr>
              <w:t>—</w:t>
            </w:r>
          </w:p>
        </w:tc>
        <w:tc>
          <w:tcPr>
            <w:tcW w:w="2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538,698</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1,551,036</w:t>
            </w:r>
          </w:p>
        </w:tc>
        <w:tc>
          <w:tcPr>
            <w:tcW w:w="220" w:type="dxa"/>
            <w:vAlign w:val="bottom"/>
            <w:shd w:val="clear" w:color="auto" w:fill="C0C0C0"/>
          </w:tcPr>
          <w:p>
            <w:pPr>
              <w:ind w:left="8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line="194" w:lineRule="exact"/>
              <w:rPr>
                <w:sz w:val="20"/>
                <w:szCs w:val="20"/>
                <w:color w:val="auto"/>
              </w:rPr>
            </w:pPr>
            <w:r>
              <w:rPr>
                <w:rFonts w:ascii="Arial" w:cs="Arial" w:eastAsia="Arial" w:hAnsi="Arial"/>
                <w:sz w:val="17"/>
                <w:szCs w:val="17"/>
                <w:color w:val="auto"/>
              </w:rPr>
              <w:t>74,741</w:t>
            </w:r>
          </w:p>
        </w:tc>
        <w:tc>
          <w:tcPr>
            <w:tcW w:w="220" w:type="dxa"/>
            <w:vAlign w:val="bottom"/>
            <w:shd w:val="clear" w:color="auto" w:fill="C0C0C0"/>
          </w:tcPr>
          <w:p>
            <w:pPr>
              <w:spacing w:after="0"/>
              <w:rPr>
                <w:sz w:val="16"/>
                <w:szCs w:val="16"/>
                <w:color w:val="auto"/>
              </w:rPr>
            </w:pPr>
          </w:p>
        </w:tc>
        <w:tc>
          <w:tcPr>
            <w:tcW w:w="1060" w:type="dxa"/>
            <w:vAlign w:val="bottom"/>
            <w:shd w:val="clear" w:color="auto" w:fill="C0C0C0"/>
          </w:tcPr>
          <w:p>
            <w:pPr>
              <w:jc w:val="right"/>
              <w:ind w:right="179"/>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line="194" w:lineRule="exact"/>
              <w:rPr>
                <w:sz w:val="20"/>
                <w:szCs w:val="20"/>
                <w:color w:val="auto"/>
              </w:rPr>
            </w:pPr>
            <w:r>
              <w:rPr>
                <w:rFonts w:ascii="Arial" w:cs="Arial" w:eastAsia="Arial" w:hAnsi="Arial"/>
                <w:sz w:val="17"/>
                <w:szCs w:val="17"/>
                <w:color w:val="auto"/>
              </w:rPr>
              <w:t>31,210</w:t>
            </w:r>
          </w:p>
        </w:tc>
        <w:tc>
          <w:tcPr>
            <w:tcW w:w="24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3"/>
              <w:spacing w:after="0" w:line="194" w:lineRule="exact"/>
              <w:rPr>
                <w:sz w:val="20"/>
                <w:szCs w:val="20"/>
                <w:color w:val="auto"/>
              </w:rPr>
            </w:pPr>
            <w:r>
              <w:rPr>
                <w:rFonts w:ascii="Arial" w:cs="Arial" w:eastAsia="Arial" w:hAnsi="Arial"/>
                <w:sz w:val="17"/>
                <w:szCs w:val="17"/>
                <w:color w:val="auto"/>
              </w:rPr>
              <w:t>88,245</w:t>
            </w:r>
          </w:p>
        </w:tc>
        <w:tc>
          <w:tcPr>
            <w:tcW w:w="860" w:type="dxa"/>
            <w:vAlign w:val="bottom"/>
            <w:shd w:val="clear" w:color="auto" w:fill="C0C0C0"/>
          </w:tcPr>
          <w:p>
            <w:pPr>
              <w:jc w:val="center"/>
              <w:spacing w:after="0" w:line="194" w:lineRule="exact"/>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line="194" w:lineRule="exact"/>
              <w:rPr>
                <w:sz w:val="20"/>
                <w:szCs w:val="20"/>
                <w:color w:val="auto"/>
              </w:rPr>
            </w:pPr>
            <w:r>
              <w:rPr>
                <w:rFonts w:ascii="Arial" w:cs="Arial" w:eastAsia="Arial" w:hAnsi="Arial"/>
                <w:sz w:val="17"/>
                <w:szCs w:val="17"/>
                <w:color w:val="auto"/>
              </w:rPr>
              <w:t>2,283,930</w:t>
            </w:r>
          </w:p>
        </w:tc>
      </w:tr>
    </w:tbl>
    <w:p>
      <w:pPr>
        <w:spacing w:after="0" w:line="236" w:lineRule="exact"/>
        <w:rPr>
          <w:sz w:val="20"/>
          <w:szCs w:val="20"/>
          <w:color w:val="auto"/>
        </w:rPr>
      </w:pPr>
    </w:p>
    <w:p>
      <w:pPr>
        <w:ind w:left="440" w:hanging="436"/>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It is presumed that in the event of termination for cause no bonus would be awarded.</w:t>
      </w:r>
    </w:p>
    <w:p>
      <w:pPr>
        <w:spacing w:after="0" w:line="231" w:lineRule="exact"/>
        <w:rPr>
          <w:rFonts w:ascii="Arial" w:cs="Arial" w:eastAsia="Arial" w:hAnsi="Arial"/>
          <w:sz w:val="17"/>
          <w:szCs w:val="17"/>
          <w:color w:val="auto"/>
        </w:rPr>
      </w:pPr>
    </w:p>
    <w:p>
      <w:pPr>
        <w:ind w:left="440" w:hanging="436"/>
        <w:spacing w:after="0" w:line="246"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Lump sum value of the December 31, 2008, accrued benefit calculated as required by the terms of the plan assuming the earliest possible payment date.</w:t>
      </w:r>
    </w:p>
    <w:p>
      <w:pPr>
        <w:spacing w:after="0" w:line="220" w:lineRule="exact"/>
        <w:rPr>
          <w:rFonts w:ascii="Arial" w:cs="Arial" w:eastAsia="Arial" w:hAnsi="Arial"/>
          <w:sz w:val="17"/>
          <w:szCs w:val="17"/>
          <w:color w:val="auto"/>
        </w:rPr>
      </w:pPr>
    </w:p>
    <w:p>
      <w:pPr>
        <w:ind w:left="440" w:hanging="436"/>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(4) to the Termination Due to Disability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the company’s common stock as of December 31, 2008 ($15.52).</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Amounts earned in 2008.</w:t>
      </w:r>
    </w:p>
    <w:p>
      <w:pPr>
        <w:sectPr>
          <w:pgSz w:w="11900" w:h="16838" w:orient="portrait"/>
          <w:cols w:equalWidth="0" w:num="1">
            <w:col w:w="11420"/>
          </w:cols>
          <w:pgMar w:left="240" w:top="376" w:right="239" w:bottom="0" w:gutter="0" w:footer="0" w:header="0"/>
        </w:sectPr>
      </w:pPr>
    </w:p>
    <w:bookmarkStart w:id="25" w:name="page26"/>
    <w:bookmarkEnd w:id="25"/>
    <w:p>
      <w:pPr>
        <w:ind w:left="440" w:hanging="436"/>
        <w:spacing w:after="0"/>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See note (8) to the Termination Due to Disability table.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Resignation; involuntary termination not for cause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Qualified</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Non-Qualified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6"/>
              </w:rPr>
              <w:t>Defined</w:t>
            </w:r>
          </w:p>
        </w:tc>
        <w:tc>
          <w:tcPr>
            <w:tcW w:w="220" w:type="dxa"/>
            <w:vAlign w:val="bottom"/>
          </w:tcPr>
          <w:p>
            <w:pPr>
              <w:spacing w:after="0"/>
              <w:rPr>
                <w:sz w:val="12"/>
                <w:szCs w:val="12"/>
                <w:color w:val="auto"/>
              </w:rPr>
            </w:pPr>
          </w:p>
        </w:tc>
        <w:tc>
          <w:tcPr>
            <w:tcW w:w="88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w w:val="96"/>
              </w:rPr>
              <w:t>Defined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Benefit</w:t>
            </w:r>
          </w:p>
        </w:tc>
        <w:tc>
          <w:tcPr>
            <w:tcW w:w="220" w:type="dxa"/>
            <w:vAlign w:val="bottom"/>
          </w:tcPr>
          <w:p>
            <w:pPr>
              <w:spacing w:after="0"/>
              <w:rPr>
                <w:sz w:val="12"/>
                <w:szCs w:val="12"/>
                <w:color w:val="auto"/>
              </w:rPr>
            </w:pPr>
          </w:p>
        </w:tc>
        <w:tc>
          <w:tcPr>
            <w:tcW w:w="8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9"/>
              </w:rPr>
              <w:t>Benefit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26"/>
              <w:spacing w:after="0" w:line="143" w:lineRule="exact"/>
              <w:rPr>
                <w:sz w:val="20"/>
                <w:szCs w:val="20"/>
                <w:color w:val="auto"/>
              </w:rPr>
            </w:pPr>
            <w:r>
              <w:rPr>
                <w:rFonts w:ascii="Arial" w:cs="Arial" w:eastAsia="Arial" w:hAnsi="Arial"/>
                <w:sz w:val="13"/>
                <w:szCs w:val="13"/>
                <w:b w:val="1"/>
                <w:bCs w:val="1"/>
                <w:color w:val="auto"/>
                <w:w w:val="98"/>
              </w:rPr>
              <w:t>Pension</w:t>
            </w:r>
          </w:p>
        </w:tc>
        <w:tc>
          <w:tcPr>
            <w:tcW w:w="220" w:type="dxa"/>
            <w:vAlign w:val="bottom"/>
          </w:tcPr>
          <w:p>
            <w:pPr>
              <w:spacing w:after="0"/>
              <w:rPr>
                <w:sz w:val="12"/>
                <w:szCs w:val="12"/>
                <w:color w:val="auto"/>
              </w:rPr>
            </w:pPr>
          </w:p>
        </w:tc>
        <w:tc>
          <w:tcPr>
            <w:tcW w:w="880" w:type="dxa"/>
            <w:vAlign w:val="bottom"/>
          </w:tcPr>
          <w:p>
            <w:pPr>
              <w:jc w:val="center"/>
              <w:ind w:right="146"/>
              <w:spacing w:after="0" w:line="143" w:lineRule="exact"/>
              <w:rPr>
                <w:sz w:val="20"/>
                <w:szCs w:val="20"/>
                <w:color w:val="auto"/>
              </w:rPr>
            </w:pPr>
            <w:r>
              <w:rPr>
                <w:rFonts w:ascii="Arial" w:cs="Arial" w:eastAsia="Arial" w:hAnsi="Arial"/>
                <w:sz w:val="13"/>
                <w:szCs w:val="13"/>
                <w:b w:val="1"/>
                <w:bCs w:val="1"/>
                <w:color w:val="auto"/>
                <w:w w:val="98"/>
              </w:rPr>
              <w:t>Pension</w:t>
            </w:r>
          </w:p>
        </w:tc>
        <w:tc>
          <w:tcPr>
            <w:tcW w:w="220" w:type="dxa"/>
            <w:vAlign w:val="bottom"/>
          </w:tcPr>
          <w:p>
            <w:pPr>
              <w:spacing w:after="0"/>
              <w:rPr>
                <w:sz w:val="12"/>
                <w:szCs w:val="12"/>
                <w:color w:val="auto"/>
              </w:rPr>
            </w:pPr>
          </w:p>
        </w:tc>
        <w:tc>
          <w:tcPr>
            <w:tcW w:w="840" w:type="dxa"/>
            <w:vAlign w:val="bottom"/>
          </w:tcPr>
          <w:p>
            <w:pPr>
              <w:jc w:val="right"/>
              <w:ind w:right="181"/>
              <w:spacing w:after="0" w:line="143" w:lineRule="exact"/>
              <w:rPr>
                <w:sz w:val="20"/>
                <w:szCs w:val="20"/>
                <w:color w:val="auto"/>
              </w:rPr>
            </w:pPr>
            <w:r>
              <w:rPr>
                <w:rFonts w:ascii="Arial" w:cs="Arial" w:eastAsia="Arial" w:hAnsi="Arial"/>
                <w:sz w:val="13"/>
                <w:szCs w:val="13"/>
                <w:b w:val="1"/>
                <w:bCs w:val="1"/>
                <w:color w:val="auto"/>
              </w:rPr>
              <w:t>Deferred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Profit</w:t>
            </w:r>
          </w:p>
        </w:tc>
        <w:tc>
          <w:tcPr>
            <w:tcW w:w="240" w:type="dxa"/>
            <w:vAlign w:val="bottom"/>
          </w:tcPr>
          <w:p>
            <w:pPr>
              <w:spacing w:after="0"/>
              <w:rPr>
                <w:sz w:val="12"/>
                <w:szCs w:val="12"/>
                <w:color w:val="auto"/>
              </w:rPr>
            </w:pPr>
          </w:p>
        </w:tc>
        <w:tc>
          <w:tcPr>
            <w:tcW w:w="720" w:type="dxa"/>
            <w:vAlign w:val="bottom"/>
          </w:tcPr>
          <w:p>
            <w:pPr>
              <w:jc w:val="center"/>
              <w:ind w:right="143"/>
              <w:spacing w:after="0" w:line="143" w:lineRule="exact"/>
              <w:rPr>
                <w:sz w:val="20"/>
                <w:szCs w:val="20"/>
                <w:color w:val="auto"/>
              </w:rPr>
            </w:pPr>
            <w:r>
              <w:rPr>
                <w:rFonts w:ascii="Arial" w:cs="Arial" w:eastAsia="Arial" w:hAnsi="Arial"/>
                <w:sz w:val="13"/>
                <w:szCs w:val="13"/>
                <w:b w:val="1"/>
                <w:bCs w:val="1"/>
                <w:color w:val="auto"/>
                <w:w w:val="98"/>
              </w:rPr>
              <w:t>Time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1"/>
        </w:trPr>
        <w:tc>
          <w:tcPr>
            <w:tcW w:w="1480" w:type="dxa"/>
            <w:vAlign w:val="bottom"/>
          </w:tcPr>
          <w:p>
            <w:pPr>
              <w:spacing w:after="0"/>
              <w:rPr>
                <w:sz w:val="14"/>
                <w:szCs w:val="14"/>
                <w:color w:val="auto"/>
              </w:rPr>
            </w:pPr>
          </w:p>
        </w:tc>
        <w:tc>
          <w:tcPr>
            <w:tcW w:w="1200" w:type="dxa"/>
            <w:vAlign w:val="bottom"/>
          </w:tcPr>
          <w:p>
            <w:pPr>
              <w:ind w:left="720"/>
              <w:spacing w:after="0"/>
              <w:rPr>
                <w:sz w:val="20"/>
                <w:szCs w:val="20"/>
                <w:color w:val="auto"/>
              </w:rPr>
            </w:pPr>
            <w:r>
              <w:rPr>
                <w:rFonts w:ascii="Arial" w:cs="Arial" w:eastAsia="Arial" w:hAnsi="Arial"/>
                <w:sz w:val="13"/>
                <w:szCs w:val="13"/>
                <w:b w:val="1"/>
                <w:bCs w:val="1"/>
                <w:color w:val="auto"/>
              </w:rPr>
              <w:t>Bonus</w:t>
            </w:r>
          </w:p>
        </w:tc>
        <w:tc>
          <w:tcPr>
            <w:tcW w:w="200" w:type="dxa"/>
            <w:vAlign w:val="bottom"/>
          </w:tcPr>
          <w:p>
            <w:pPr>
              <w:spacing w:after="0"/>
              <w:rPr>
                <w:sz w:val="14"/>
                <w:szCs w:val="14"/>
                <w:color w:val="auto"/>
              </w:rPr>
            </w:pPr>
          </w:p>
        </w:tc>
        <w:tc>
          <w:tcPr>
            <w:tcW w:w="780" w:type="dxa"/>
            <w:vAlign w:val="bottom"/>
          </w:tcPr>
          <w:p>
            <w:pPr>
              <w:jc w:val="center"/>
              <w:ind w:right="126"/>
              <w:spacing w:after="0"/>
              <w:rPr>
                <w:sz w:val="20"/>
                <w:szCs w:val="20"/>
                <w:color w:val="auto"/>
              </w:rPr>
            </w:pPr>
            <w:r>
              <w:rPr>
                <w:rFonts w:ascii="Arial" w:cs="Arial" w:eastAsia="Arial" w:hAnsi="Arial"/>
                <w:sz w:val="13"/>
                <w:szCs w:val="13"/>
                <w:b w:val="1"/>
                <w:bCs w:val="1"/>
                <w:color w:val="auto"/>
                <w:w w:val="94"/>
              </w:rPr>
              <w:t>Plan</w:t>
            </w:r>
          </w:p>
        </w:tc>
        <w:tc>
          <w:tcPr>
            <w:tcW w:w="220" w:type="dxa"/>
            <w:vAlign w:val="bottom"/>
          </w:tcPr>
          <w:p>
            <w:pPr>
              <w:spacing w:after="0"/>
              <w:rPr>
                <w:sz w:val="14"/>
                <w:szCs w:val="14"/>
                <w:color w:val="auto"/>
              </w:rPr>
            </w:pPr>
          </w:p>
        </w:tc>
        <w:tc>
          <w:tcPr>
            <w:tcW w:w="880" w:type="dxa"/>
            <w:vAlign w:val="bottom"/>
          </w:tcPr>
          <w:p>
            <w:pPr>
              <w:jc w:val="center"/>
              <w:ind w:right="146"/>
              <w:spacing w:after="0"/>
              <w:rPr>
                <w:sz w:val="20"/>
                <w:szCs w:val="20"/>
                <w:color w:val="auto"/>
              </w:rPr>
            </w:pPr>
            <w:r>
              <w:rPr>
                <w:rFonts w:ascii="Arial" w:cs="Arial" w:eastAsia="Arial" w:hAnsi="Arial"/>
                <w:sz w:val="13"/>
                <w:szCs w:val="13"/>
                <w:b w:val="1"/>
                <w:bCs w:val="1"/>
                <w:color w:val="auto"/>
                <w:w w:val="94"/>
              </w:rPr>
              <w:t>Plan</w:t>
            </w: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1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Sharing</w:t>
            </w:r>
          </w:p>
        </w:tc>
        <w:tc>
          <w:tcPr>
            <w:tcW w:w="240" w:type="dxa"/>
            <w:vAlign w:val="bottom"/>
          </w:tcPr>
          <w:p>
            <w:pPr>
              <w:spacing w:after="0"/>
              <w:rPr>
                <w:sz w:val="14"/>
                <w:szCs w:val="14"/>
                <w:color w:val="auto"/>
              </w:rPr>
            </w:pPr>
          </w:p>
        </w:tc>
        <w:tc>
          <w:tcPr>
            <w:tcW w:w="720" w:type="dxa"/>
            <w:vAlign w:val="bottom"/>
          </w:tcPr>
          <w:p>
            <w:pPr>
              <w:jc w:val="center"/>
              <w:ind w:right="163"/>
              <w:spacing w:after="0"/>
              <w:rPr>
                <w:sz w:val="20"/>
                <w:szCs w:val="20"/>
                <w:color w:val="auto"/>
              </w:rPr>
            </w:pPr>
            <w:r>
              <w:rPr>
                <w:rFonts w:ascii="Arial" w:cs="Arial" w:eastAsia="Arial" w:hAnsi="Arial"/>
                <w:sz w:val="13"/>
                <w:szCs w:val="13"/>
                <w:b w:val="1"/>
                <w:bCs w:val="1"/>
                <w:color w:val="auto"/>
              </w:rPr>
              <w:t>Bank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1"/>
        </w:trPr>
        <w:tc>
          <w:tcPr>
            <w:tcW w:w="14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0" w:type="dxa"/>
            <w:vAlign w:val="bottom"/>
          </w:tcPr>
          <w:p>
            <w:pPr>
              <w:jc w:val="center"/>
              <w:ind w:left="561"/>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19"/>
                <w:szCs w:val="19"/>
                <w:color w:val="auto"/>
              </w:rPr>
            </w:pPr>
          </w:p>
        </w:tc>
        <w:tc>
          <w:tcPr>
            <w:tcW w:w="780" w:type="dxa"/>
            <w:vAlign w:val="bottom"/>
          </w:tcPr>
          <w:p>
            <w:pPr>
              <w:jc w:val="center"/>
              <w:ind w:right="126"/>
              <w:spacing w:after="0"/>
              <w:rPr>
                <w:sz w:val="20"/>
                <w:szCs w:val="20"/>
                <w:color w:val="auto"/>
              </w:rPr>
            </w:pPr>
            <w:r>
              <w:rPr>
                <w:rFonts w:ascii="Arial" w:cs="Arial" w:eastAsia="Arial" w:hAnsi="Arial"/>
                <w:sz w:val="13"/>
                <w:szCs w:val="13"/>
                <w:b w:val="1"/>
                <w:bCs w:val="1"/>
                <w:color w:val="auto"/>
                <w:w w:val="87"/>
              </w:rPr>
              <w:t>(2)</w:t>
            </w:r>
          </w:p>
        </w:tc>
        <w:tc>
          <w:tcPr>
            <w:tcW w:w="220" w:type="dxa"/>
            <w:vAlign w:val="bottom"/>
          </w:tcPr>
          <w:p>
            <w:pPr>
              <w:spacing w:after="0"/>
              <w:rPr>
                <w:sz w:val="19"/>
                <w:szCs w:val="19"/>
                <w:color w:val="auto"/>
              </w:rPr>
            </w:pPr>
          </w:p>
        </w:tc>
        <w:tc>
          <w:tcPr>
            <w:tcW w:w="880" w:type="dxa"/>
            <w:vAlign w:val="bottom"/>
          </w:tcPr>
          <w:p>
            <w:pPr>
              <w:jc w:val="center"/>
              <w:ind w:right="126"/>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9"/>
                <w:szCs w:val="19"/>
                <w:color w:val="auto"/>
              </w:rPr>
            </w:pPr>
          </w:p>
        </w:tc>
        <w:tc>
          <w:tcPr>
            <w:tcW w:w="840" w:type="dxa"/>
            <w:vAlign w:val="bottom"/>
          </w:tcPr>
          <w:p>
            <w:pPr>
              <w:jc w:val="right"/>
              <w:ind w:right="361"/>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9"/>
                <w:szCs w:val="19"/>
                <w:color w:val="auto"/>
              </w:rPr>
            </w:pPr>
          </w:p>
        </w:tc>
        <w:tc>
          <w:tcPr>
            <w:tcW w:w="1060" w:type="dxa"/>
            <w:vAlign w:val="bottom"/>
          </w:tcPr>
          <w:p>
            <w:pPr>
              <w:jc w:val="right"/>
              <w:ind w:right="479"/>
              <w:spacing w:after="0"/>
              <w:rPr>
                <w:sz w:val="20"/>
                <w:szCs w:val="20"/>
                <w:color w:val="auto"/>
              </w:rPr>
            </w:pPr>
            <w:r>
              <w:rPr>
                <w:rFonts w:ascii="Arial" w:cs="Arial" w:eastAsia="Arial" w:hAnsi="Arial"/>
                <w:sz w:val="13"/>
                <w:szCs w:val="13"/>
                <w:b w:val="1"/>
                <w:bCs w:val="1"/>
                <w:color w:val="auto"/>
              </w:rPr>
              <w:t>RSUs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18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3"/>
                <w:szCs w:val="13"/>
                <w:b w:val="1"/>
                <w:bCs w:val="1"/>
                <w:color w:val="auto"/>
              </w:rPr>
              <w:t>(6)</w:t>
            </w:r>
          </w:p>
        </w:tc>
        <w:tc>
          <w:tcPr>
            <w:tcW w:w="240" w:type="dxa"/>
            <w:vAlign w:val="bottom"/>
          </w:tcPr>
          <w:p>
            <w:pPr>
              <w:spacing w:after="0"/>
              <w:rPr>
                <w:sz w:val="19"/>
                <w:szCs w:val="19"/>
                <w:color w:val="auto"/>
              </w:rPr>
            </w:pPr>
          </w:p>
        </w:tc>
        <w:tc>
          <w:tcPr>
            <w:tcW w:w="720" w:type="dxa"/>
            <w:vAlign w:val="bottom"/>
          </w:tcPr>
          <w:p>
            <w:pPr>
              <w:jc w:val="center"/>
              <w:ind w:right="163"/>
              <w:spacing w:after="0"/>
              <w:rPr>
                <w:sz w:val="20"/>
                <w:szCs w:val="20"/>
                <w:color w:val="auto"/>
              </w:rPr>
            </w:pPr>
            <w:r>
              <w:rPr>
                <w:rFonts w:ascii="Arial" w:cs="Arial" w:eastAsia="Arial" w:hAnsi="Arial"/>
                <w:sz w:val="13"/>
                <w:szCs w:val="13"/>
                <w:b w:val="1"/>
                <w:bCs w:val="1"/>
                <w:color w:val="auto"/>
              </w:rPr>
              <w:t>(7)</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Perquisites</w:t>
            </w: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233"/>
        </w:trPr>
        <w:tc>
          <w:tcPr>
            <w:tcW w:w="1480" w:type="dxa"/>
            <w:vAlign w:val="bottom"/>
            <w:shd w:val="clear" w:color="auto" w:fill="E9E9E9"/>
          </w:tcPr>
          <w:p>
            <w:pPr>
              <w:spacing w:after="0"/>
              <w:rPr>
                <w:sz w:val="20"/>
                <w:szCs w:val="20"/>
                <w:color w:val="auto"/>
              </w:rPr>
            </w:pPr>
          </w:p>
        </w:tc>
        <w:tc>
          <w:tcPr>
            <w:tcW w:w="120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7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8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106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r>
      <w:tr>
        <w:trPr>
          <w:trHeight w:val="233"/>
        </w:trPr>
        <w:tc>
          <w:tcPr>
            <w:tcW w:w="1480" w:type="dxa"/>
            <w:vAlign w:val="bottom"/>
            <w:shd w:val="clear" w:color="auto" w:fill="C0C0C0"/>
          </w:tcPr>
          <w:p>
            <w:pPr>
              <w:spacing w:after="0"/>
              <w:rPr>
                <w:sz w:val="20"/>
                <w:szCs w:val="20"/>
                <w:color w:val="auto"/>
              </w:rPr>
            </w:pPr>
            <w:r>
              <w:rPr>
                <w:rFonts w:ascii="Arial" w:cs="Arial" w:eastAsia="Arial" w:hAnsi="Arial"/>
                <w:sz w:val="17"/>
                <w:szCs w:val="17"/>
                <w:color w:val="auto"/>
              </w:rPr>
              <w:t>Templeton</w:t>
            </w:r>
          </w:p>
        </w:tc>
        <w:tc>
          <w:tcPr>
            <w:tcW w:w="1200" w:type="dxa"/>
            <w:vAlign w:val="bottom"/>
            <w:shd w:val="clear" w:color="auto" w:fill="C0C0C0"/>
          </w:tcPr>
          <w:p>
            <w:pPr>
              <w:jc w:val="center"/>
              <w:ind w:left="561"/>
              <w:spacing w:after="0"/>
              <w:rPr>
                <w:sz w:val="20"/>
                <w:szCs w:val="20"/>
                <w:color w:val="auto"/>
              </w:rPr>
            </w:pPr>
            <w:r>
              <w:rPr>
                <w:rFonts w:ascii="Arial" w:cs="Arial" w:eastAsia="Arial" w:hAnsi="Arial"/>
                <w:sz w:val="17"/>
                <w:szCs w:val="17"/>
                <w:color w:val="auto"/>
                <w:w w:val="96"/>
              </w:rPr>
              <w:t>(1)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ind w:left="80"/>
              <w:spacing w:after="0"/>
              <w:rPr>
                <w:sz w:val="20"/>
                <w:szCs w:val="20"/>
                <w:color w:val="auto"/>
              </w:rPr>
            </w:pPr>
            <w:r>
              <w:rPr>
                <w:rFonts w:ascii="Arial" w:cs="Arial" w:eastAsia="Arial" w:hAnsi="Arial"/>
                <w:sz w:val="17"/>
                <w:szCs w:val="17"/>
                <w:color w:val="auto"/>
              </w:rPr>
              <w:t>376,884</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278,491</w:t>
            </w:r>
          </w:p>
        </w:tc>
        <w:tc>
          <w:tcPr>
            <w:tcW w:w="22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964,734</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1,862,400(4)</w:t>
            </w:r>
          </w:p>
        </w:tc>
        <w:tc>
          <w:tcPr>
            <w:tcW w:w="6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64,853</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184,383</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3,731,745</w:t>
            </w:r>
          </w:p>
        </w:tc>
      </w:tr>
      <w:tr>
        <w:trPr>
          <w:trHeight w:val="233"/>
        </w:trPr>
        <w:tc>
          <w:tcPr>
            <w:tcW w:w="1480" w:type="dxa"/>
            <w:vAlign w:val="bottom"/>
          </w:tcPr>
          <w:p>
            <w:pPr>
              <w:spacing w:after="0"/>
              <w:rPr>
                <w:sz w:val="20"/>
                <w:szCs w:val="20"/>
                <w:color w:val="auto"/>
              </w:rPr>
            </w:pPr>
            <w:r>
              <w:rPr>
                <w:rFonts w:ascii="Arial" w:cs="Arial" w:eastAsia="Arial" w:hAnsi="Arial"/>
                <w:sz w:val="17"/>
                <w:szCs w:val="17"/>
                <w:color w:val="auto"/>
              </w:rPr>
              <w:t>March</w:t>
            </w:r>
          </w:p>
        </w:tc>
        <w:tc>
          <w:tcPr>
            <w:tcW w:w="1200" w:type="dxa"/>
            <w:vAlign w:val="bottom"/>
          </w:tcPr>
          <w:p>
            <w:pPr>
              <w:jc w:val="center"/>
              <w:ind w:left="561"/>
              <w:spacing w:after="0"/>
              <w:rPr>
                <w:sz w:val="20"/>
                <w:szCs w:val="20"/>
                <w:color w:val="auto"/>
              </w:rPr>
            </w:pPr>
            <w:r>
              <w:rPr>
                <w:rFonts w:ascii="Arial" w:cs="Arial" w:eastAsia="Arial" w:hAnsi="Arial"/>
                <w:sz w:val="17"/>
                <w:szCs w:val="17"/>
                <w:color w:val="auto"/>
                <w:w w:val="96"/>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ind w:left="80"/>
              <w:spacing w:after="0"/>
              <w:rPr>
                <w:sz w:val="20"/>
                <w:szCs w:val="20"/>
                <w:color w:val="auto"/>
              </w:rPr>
            </w:pPr>
            <w:r>
              <w:rPr>
                <w:rFonts w:ascii="Arial" w:cs="Arial" w:eastAsia="Arial" w:hAnsi="Arial"/>
                <w:sz w:val="17"/>
                <w:szCs w:val="17"/>
                <w:color w:val="auto"/>
              </w:rPr>
              <w:t>346,974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1,229,584</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91,750</w:t>
            </w:r>
          </w:p>
        </w:tc>
        <w:tc>
          <w:tcPr>
            <w:tcW w:w="220" w:type="dxa"/>
            <w:vAlign w:val="bottom"/>
          </w:tcPr>
          <w:p>
            <w:pPr>
              <w:spacing w:after="0"/>
              <w:rPr>
                <w:sz w:val="20"/>
                <w:szCs w:val="20"/>
                <w:color w:val="auto"/>
              </w:rPr>
            </w:pPr>
          </w:p>
        </w:tc>
        <w:tc>
          <w:tcPr>
            <w:tcW w:w="106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100"/>
              <w:spacing w:after="0"/>
              <w:rPr>
                <w:sz w:val="20"/>
                <w:szCs w:val="20"/>
                <w:color w:val="auto"/>
              </w:rPr>
            </w:pPr>
            <w:r>
              <w:rPr>
                <w:rFonts w:ascii="Arial" w:cs="Arial" w:eastAsia="Arial" w:hAnsi="Arial"/>
                <w:sz w:val="17"/>
                <w:szCs w:val="17"/>
                <w:color w:val="auto"/>
              </w:rPr>
              <w:t>31,219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
              <w:spacing w:after="0"/>
              <w:rPr>
                <w:sz w:val="20"/>
                <w:szCs w:val="20"/>
                <w:color w:val="auto"/>
              </w:rPr>
            </w:pPr>
            <w:r>
              <w:rPr>
                <w:rFonts w:ascii="Arial" w:cs="Arial" w:eastAsia="Arial" w:hAnsi="Arial"/>
                <w:sz w:val="17"/>
                <w:szCs w:val="17"/>
                <w:color w:val="auto"/>
              </w:rPr>
              <w:t>92,107</w:t>
            </w: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1,791,634</w:t>
            </w:r>
          </w:p>
        </w:tc>
      </w:tr>
      <w:tr>
        <w:trPr>
          <w:trHeight w:val="233"/>
        </w:trPr>
        <w:tc>
          <w:tcPr>
            <w:tcW w:w="1480" w:type="dxa"/>
            <w:vAlign w:val="bottom"/>
            <w:shd w:val="clear" w:color="auto" w:fill="C0C0C0"/>
          </w:tcPr>
          <w:p>
            <w:pPr>
              <w:spacing w:after="0"/>
              <w:rPr>
                <w:sz w:val="20"/>
                <w:szCs w:val="20"/>
                <w:color w:val="auto"/>
              </w:rPr>
            </w:pPr>
            <w:r>
              <w:rPr>
                <w:rFonts w:ascii="Arial" w:cs="Arial" w:eastAsia="Arial" w:hAnsi="Arial"/>
                <w:sz w:val="17"/>
                <w:szCs w:val="17"/>
                <w:color w:val="auto"/>
              </w:rPr>
              <w:t>Lowe</w:t>
            </w:r>
          </w:p>
        </w:tc>
        <w:tc>
          <w:tcPr>
            <w:tcW w:w="1200" w:type="dxa"/>
            <w:vAlign w:val="bottom"/>
            <w:shd w:val="clear" w:color="auto" w:fill="C0C0C0"/>
          </w:tcPr>
          <w:p>
            <w:pPr>
              <w:jc w:val="center"/>
              <w:ind w:left="561"/>
              <w:spacing w:after="0"/>
              <w:rPr>
                <w:sz w:val="20"/>
                <w:szCs w:val="20"/>
                <w:color w:val="auto"/>
              </w:rPr>
            </w:pPr>
            <w:r>
              <w:rPr>
                <w:rFonts w:ascii="Arial" w:cs="Arial" w:eastAsia="Arial" w:hAnsi="Arial"/>
                <w:sz w:val="17"/>
                <w:szCs w:val="17"/>
                <w:color w:val="auto"/>
                <w:w w:val="96"/>
              </w:rPr>
              <w:t>(1)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ind w:left="80"/>
              <w:spacing w:after="0"/>
              <w:rPr>
                <w:sz w:val="20"/>
                <w:szCs w:val="20"/>
                <w:color w:val="auto"/>
              </w:rPr>
            </w:pPr>
            <w:r>
              <w:rPr>
                <w:rFonts w:ascii="Arial" w:cs="Arial" w:eastAsia="Arial" w:hAnsi="Arial"/>
                <w:sz w:val="17"/>
                <w:szCs w:val="17"/>
                <w:color w:val="auto"/>
              </w:rPr>
              <w:t>394,427</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1,463,958</w:t>
            </w:r>
          </w:p>
        </w:tc>
        <w:tc>
          <w:tcPr>
            <w:tcW w:w="22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423,741</w:t>
            </w:r>
          </w:p>
        </w:tc>
        <w:tc>
          <w:tcPr>
            <w:tcW w:w="2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179"/>
              <w:spacing w:after="0"/>
              <w:rPr>
                <w:sz w:val="20"/>
                <w:szCs w:val="20"/>
                <w:color w:val="auto"/>
              </w:rPr>
            </w:pPr>
            <w:r>
              <w:rPr>
                <w:rFonts w:ascii="Arial" w:cs="Arial" w:eastAsia="Arial" w:hAnsi="Arial"/>
                <w:sz w:val="17"/>
                <w:szCs w:val="17"/>
                <w:color w:val="auto"/>
              </w:rPr>
              <w:t>—</w:t>
            </w:r>
          </w:p>
        </w:tc>
        <w:tc>
          <w:tcPr>
            <w:tcW w:w="6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35,945</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81,693</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2,399,764</w:t>
            </w:r>
          </w:p>
        </w:tc>
      </w:tr>
      <w:tr>
        <w:trPr>
          <w:trHeight w:val="233"/>
        </w:trPr>
        <w:tc>
          <w:tcPr>
            <w:tcW w:w="1480" w:type="dxa"/>
            <w:vAlign w:val="bottom"/>
          </w:tcPr>
          <w:p>
            <w:pPr>
              <w:spacing w:after="0"/>
              <w:rPr>
                <w:sz w:val="20"/>
                <w:szCs w:val="20"/>
                <w:color w:val="auto"/>
              </w:rPr>
            </w:pPr>
            <w:r>
              <w:rPr>
                <w:rFonts w:ascii="Arial" w:cs="Arial" w:eastAsia="Arial" w:hAnsi="Arial"/>
                <w:sz w:val="17"/>
                <w:szCs w:val="17"/>
                <w:color w:val="auto"/>
              </w:rPr>
              <w:t>Ritchie</w:t>
            </w:r>
          </w:p>
        </w:tc>
        <w:tc>
          <w:tcPr>
            <w:tcW w:w="1200" w:type="dxa"/>
            <w:vAlign w:val="bottom"/>
          </w:tcPr>
          <w:p>
            <w:pPr>
              <w:jc w:val="center"/>
              <w:ind w:left="561"/>
              <w:spacing w:after="0"/>
              <w:rPr>
                <w:sz w:val="20"/>
                <w:szCs w:val="20"/>
                <w:color w:val="auto"/>
              </w:rPr>
            </w:pPr>
            <w:r>
              <w:rPr>
                <w:rFonts w:ascii="Arial" w:cs="Arial" w:eastAsia="Arial" w:hAnsi="Arial"/>
                <w:sz w:val="17"/>
                <w:szCs w:val="17"/>
                <w:color w:val="auto"/>
                <w:w w:val="96"/>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ind w:left="80"/>
              <w:spacing w:after="0"/>
              <w:rPr>
                <w:sz w:val="20"/>
                <w:szCs w:val="20"/>
                <w:color w:val="auto"/>
              </w:rPr>
            </w:pPr>
            <w:r>
              <w:rPr>
                <w:rFonts w:ascii="Arial" w:cs="Arial" w:eastAsia="Arial" w:hAnsi="Arial"/>
                <w:sz w:val="17"/>
                <w:szCs w:val="17"/>
                <w:color w:val="auto"/>
              </w:rPr>
              <w:t>637,160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1,965,664</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43,311</w:t>
            </w:r>
          </w:p>
        </w:tc>
        <w:tc>
          <w:tcPr>
            <w:tcW w:w="220" w:type="dxa"/>
            <w:vAlign w:val="bottom"/>
          </w:tcPr>
          <w:p>
            <w:pPr>
              <w:spacing w:after="0"/>
              <w:rPr>
                <w:sz w:val="20"/>
                <w:szCs w:val="20"/>
                <w:color w:val="auto"/>
              </w:rPr>
            </w:pPr>
          </w:p>
        </w:tc>
        <w:tc>
          <w:tcPr>
            <w:tcW w:w="106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100"/>
              <w:spacing w:after="0"/>
              <w:rPr>
                <w:sz w:val="20"/>
                <w:szCs w:val="20"/>
                <w:color w:val="auto"/>
              </w:rPr>
            </w:pPr>
            <w:r>
              <w:rPr>
                <w:rFonts w:ascii="Arial" w:cs="Arial" w:eastAsia="Arial" w:hAnsi="Arial"/>
                <w:sz w:val="17"/>
                <w:szCs w:val="17"/>
                <w:color w:val="auto"/>
              </w:rPr>
              <w:t>30,172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
              <w:spacing w:after="0"/>
              <w:rPr>
                <w:sz w:val="20"/>
                <w:szCs w:val="20"/>
                <w:color w:val="auto"/>
              </w:rPr>
            </w:pPr>
            <w:r>
              <w:rPr>
                <w:rFonts w:ascii="Arial" w:cs="Arial" w:eastAsia="Arial" w:hAnsi="Arial"/>
                <w:sz w:val="17"/>
                <w:szCs w:val="17"/>
                <w:color w:val="auto"/>
              </w:rPr>
              <w:t>79,275</w:t>
            </w: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2,755,582</w:t>
            </w:r>
          </w:p>
        </w:tc>
      </w:tr>
      <w:tr>
        <w:trPr>
          <w:trHeight w:val="233"/>
        </w:trPr>
        <w:tc>
          <w:tcPr>
            <w:tcW w:w="1480" w:type="dxa"/>
            <w:vAlign w:val="bottom"/>
            <w:shd w:val="clear" w:color="auto" w:fill="C0C0C0"/>
          </w:tcPr>
          <w:p>
            <w:pPr>
              <w:spacing w:after="0"/>
              <w:rPr>
                <w:sz w:val="20"/>
                <w:szCs w:val="20"/>
                <w:color w:val="auto"/>
              </w:rPr>
            </w:pPr>
            <w:r>
              <w:rPr>
                <w:rFonts w:ascii="Arial" w:cs="Arial" w:eastAsia="Arial" w:hAnsi="Arial"/>
                <w:sz w:val="17"/>
                <w:szCs w:val="17"/>
                <w:color w:val="auto"/>
              </w:rPr>
              <w:t>Hames</w:t>
            </w:r>
          </w:p>
        </w:tc>
        <w:tc>
          <w:tcPr>
            <w:tcW w:w="1200" w:type="dxa"/>
            <w:vAlign w:val="bottom"/>
            <w:shd w:val="clear" w:color="auto" w:fill="C0C0C0"/>
          </w:tcPr>
          <w:p>
            <w:pPr>
              <w:jc w:val="center"/>
              <w:ind w:left="561"/>
              <w:spacing w:after="0"/>
              <w:rPr>
                <w:sz w:val="20"/>
                <w:szCs w:val="20"/>
                <w:color w:val="auto"/>
              </w:rPr>
            </w:pPr>
            <w:r>
              <w:rPr>
                <w:rFonts w:ascii="Arial" w:cs="Arial" w:eastAsia="Arial" w:hAnsi="Arial"/>
                <w:sz w:val="17"/>
                <w:szCs w:val="17"/>
                <w:color w:val="auto"/>
                <w:w w:val="96"/>
              </w:rPr>
              <w:t>(1)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ind w:left="80"/>
              <w:spacing w:after="0"/>
              <w:rPr>
                <w:sz w:val="20"/>
                <w:szCs w:val="20"/>
                <w:color w:val="auto"/>
              </w:rPr>
            </w:pPr>
            <w:r>
              <w:rPr>
                <w:rFonts w:ascii="Arial" w:cs="Arial" w:eastAsia="Arial" w:hAnsi="Arial"/>
                <w:sz w:val="17"/>
                <w:szCs w:val="17"/>
                <w:color w:val="auto"/>
              </w:rPr>
              <w:t>538,698</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1,551,036</w:t>
            </w:r>
          </w:p>
        </w:tc>
        <w:tc>
          <w:tcPr>
            <w:tcW w:w="22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1"/>
              <w:spacing w:after="0"/>
              <w:rPr>
                <w:sz w:val="20"/>
                <w:szCs w:val="20"/>
                <w:color w:val="auto"/>
              </w:rPr>
            </w:pPr>
            <w:r>
              <w:rPr>
                <w:rFonts w:ascii="Arial" w:cs="Arial" w:eastAsia="Arial" w:hAnsi="Arial"/>
                <w:sz w:val="17"/>
                <w:szCs w:val="17"/>
                <w:color w:val="auto"/>
              </w:rPr>
              <w:t>74,741</w:t>
            </w:r>
          </w:p>
        </w:tc>
        <w:tc>
          <w:tcPr>
            <w:tcW w:w="2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179"/>
              <w:spacing w:after="0"/>
              <w:rPr>
                <w:sz w:val="20"/>
                <w:szCs w:val="20"/>
                <w:color w:val="auto"/>
              </w:rPr>
            </w:pPr>
            <w:r>
              <w:rPr>
                <w:rFonts w:ascii="Arial" w:cs="Arial" w:eastAsia="Arial" w:hAnsi="Arial"/>
                <w:sz w:val="17"/>
                <w:szCs w:val="17"/>
                <w:color w:val="auto"/>
              </w:rPr>
              <w:t>—</w:t>
            </w:r>
          </w:p>
        </w:tc>
        <w:tc>
          <w:tcPr>
            <w:tcW w:w="6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ind w:left="100"/>
              <w:spacing w:after="0"/>
              <w:rPr>
                <w:sz w:val="20"/>
                <w:szCs w:val="20"/>
                <w:color w:val="auto"/>
              </w:rPr>
            </w:pPr>
            <w:r>
              <w:rPr>
                <w:rFonts w:ascii="Arial" w:cs="Arial" w:eastAsia="Arial" w:hAnsi="Arial"/>
                <w:sz w:val="17"/>
                <w:szCs w:val="17"/>
                <w:color w:val="auto"/>
              </w:rPr>
              <w:t>31,210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ind w:right="3"/>
              <w:spacing w:after="0"/>
              <w:rPr>
                <w:sz w:val="20"/>
                <w:szCs w:val="20"/>
                <w:color w:val="auto"/>
              </w:rPr>
            </w:pPr>
            <w:r>
              <w:rPr>
                <w:rFonts w:ascii="Arial" w:cs="Arial" w:eastAsia="Arial" w:hAnsi="Arial"/>
                <w:sz w:val="17"/>
                <w:szCs w:val="17"/>
                <w:color w:val="auto"/>
              </w:rPr>
              <w:t>88,245</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2,283,930</w:t>
            </w:r>
          </w:p>
        </w:tc>
      </w:tr>
    </w:tbl>
    <w:p>
      <w:pPr>
        <w:spacing w:after="0" w:line="236" w:lineRule="exact"/>
        <w:rPr>
          <w:sz w:val="20"/>
          <w:szCs w:val="20"/>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 note (2) to the Involuntary Termination for Cause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 note (4) to the Termination Due to Disability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 note (4) to the Involuntary Termination for Cause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 note (6) to the Termination Due to Disability table.</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Amounts earned in 2008.</w:t>
      </w:r>
    </w:p>
    <w:p>
      <w:pPr>
        <w:spacing w:after="0" w:line="231" w:lineRule="exact"/>
        <w:rPr>
          <w:rFonts w:ascii="Arial" w:cs="Arial" w:eastAsia="Arial" w:hAnsi="Arial"/>
          <w:sz w:val="17"/>
          <w:szCs w:val="17"/>
          <w:color w:val="auto"/>
        </w:rPr>
      </w:pPr>
    </w:p>
    <w:p>
      <w:pPr>
        <w:ind w:left="440" w:hanging="436"/>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 note (8) to the Termination Due to Disability table.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profit sharing and benefits under the qualified and non-qualified pension plans. During a paid leave of absence an individual does not continue to accrue time bank hours. He retains medical and insurance benefits at essentially the same rates as active company employees during the paid leave of absence period.</w:t>
      </w:r>
    </w:p>
    <w:p>
      <w:pPr>
        <w:spacing w:after="0" w:line="3" w:lineRule="exact"/>
        <w:rPr>
          <w:sz w:val="20"/>
          <w:szCs w:val="20"/>
          <w:color w:val="auto"/>
        </w:rPr>
      </w:pPr>
    </w:p>
    <w:p>
      <w:pPr>
        <w:ind w:firstLine="234"/>
        <w:spacing w:after="0"/>
        <w:rPr>
          <w:sz w:val="20"/>
          <w:szCs w:val="20"/>
          <w:color w:val="auto"/>
        </w:rPr>
      </w:pPr>
      <w:r>
        <w:rPr>
          <w:rFonts w:ascii="Arial" w:cs="Arial" w:eastAsia="Arial" w:hAnsi="Arial"/>
          <w:sz w:val="17"/>
          <w:szCs w:val="17"/>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defined benefit plans described above. The executive officer will not receive profit sharing or accrue time bank hours for the period he is on a bridge to retirement, but he will retain medical and insurance benefits at essentially the same rates as active TI employees.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w:t>
      </w:r>
    </w:p>
    <w:p>
      <w:pPr>
        <w:ind w:right="80"/>
        <w:spacing w:after="0" w:line="238" w:lineRule="auto"/>
        <w:rPr>
          <w:sz w:val="20"/>
          <w:szCs w:val="20"/>
          <w:color w:val="auto"/>
        </w:rPr>
      </w:pPr>
      <w:r>
        <w:rPr>
          <w:rFonts w:ascii="Arial" w:cs="Arial" w:eastAsia="Arial" w:hAnsi="Arial"/>
          <w:sz w:val="17"/>
          <w:szCs w:val="17"/>
          <w:color w:val="auto"/>
        </w:rPr>
        <w:t>We have no program, plan or arrangement providing benefits triggered by a change in control except as described below. In fact, the only consequences of a change in control are the acceleration of payment of existing balances and the full vesting of outstanding equity awards.</w:t>
      </w:r>
    </w:p>
    <w:p>
      <w:pPr>
        <w:spacing w:after="0" w:line="1" w:lineRule="exact"/>
        <w:rPr>
          <w:sz w:val="20"/>
          <w:szCs w:val="20"/>
          <w:color w:val="auto"/>
        </w:rPr>
      </w:pPr>
    </w:p>
    <w:p>
      <w:pPr>
        <w:ind w:right="180" w:firstLine="234"/>
        <w:spacing w:after="0" w:line="238" w:lineRule="auto"/>
        <w:rPr>
          <w:sz w:val="20"/>
          <w:szCs w:val="20"/>
          <w:color w:val="auto"/>
        </w:rPr>
      </w:pPr>
      <w:r>
        <w:rPr>
          <w:rFonts w:ascii="Arial" w:cs="Arial" w:eastAsia="Arial" w:hAnsi="Arial"/>
          <w:sz w:val="17"/>
          <w:szCs w:val="17"/>
          <w:color w:val="auto"/>
        </w:rPr>
        <w:t>A change in control would have triggered payment of the balances under the non-qualified defined benefit plan and the deferred compensation plan. Please see pages 79 and 81 for a discussion of the purpose of change in control provisions relating to the non-qualified defined benefit plan and the deferred compensation plan as well as the circumstances and the timing of payment.</w:t>
      </w:r>
    </w:p>
    <w:p>
      <w:pPr>
        <w:ind w:left="240"/>
        <w:spacing w:after="0"/>
        <w:rPr>
          <w:sz w:val="20"/>
          <w:szCs w:val="20"/>
          <w:color w:val="auto"/>
        </w:rPr>
      </w:pPr>
      <w:r>
        <w:rPr>
          <w:rFonts w:ascii="Arial" w:cs="Arial" w:eastAsia="Arial" w:hAnsi="Arial"/>
          <w:sz w:val="17"/>
          <w:szCs w:val="17"/>
          <w:color w:val="auto"/>
        </w:rPr>
        <w:t>Please see pages 76-77 for further information concerning change in control provisions relating to stock options and RSU awards.</w:t>
      </w:r>
    </w:p>
    <w:p>
      <w:pPr>
        <w:ind w:left="240"/>
        <w:spacing w:after="0"/>
        <w:rPr>
          <w:sz w:val="20"/>
          <w:szCs w:val="20"/>
          <w:color w:val="auto"/>
        </w:rPr>
      </w:pPr>
      <w:r>
        <w:rPr>
          <w:rFonts w:ascii="Arial" w:cs="Arial" w:eastAsia="Arial" w:hAnsi="Arial"/>
          <w:sz w:val="17"/>
          <w:szCs w:val="17"/>
          <w:color w:val="auto"/>
        </w:rPr>
        <w:t>For a discussion of the impact of these programs on the compensation decisions for 2008, please see page 70.</w:t>
      </w:r>
    </w:p>
    <w:p>
      <w:pPr>
        <w:spacing w:after="0" w:line="206"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following table indicates the amounts that would have been triggered for each executive officer had there been a change in control as of December 31, 2008. The actual amounts that would be paid out can only be determined at the time the change in control occurs.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Non-Qualified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Qualified</w:t>
            </w:r>
          </w:p>
        </w:tc>
        <w:tc>
          <w:tcPr>
            <w:tcW w:w="240" w:type="dxa"/>
            <w:vAlign w:val="bottom"/>
          </w:tcPr>
          <w:p>
            <w:pPr>
              <w:spacing w:after="0"/>
              <w:rPr>
                <w:sz w:val="12"/>
                <w:szCs w:val="12"/>
                <w:color w:val="auto"/>
              </w:rPr>
            </w:pPr>
          </w:p>
        </w:tc>
        <w:tc>
          <w:tcPr>
            <w:tcW w:w="920" w:type="dxa"/>
            <w:vAlign w:val="bottom"/>
          </w:tcPr>
          <w:p>
            <w:pPr>
              <w:jc w:val="center"/>
              <w:ind w:right="166"/>
              <w:spacing w:after="0" w:line="143" w:lineRule="exact"/>
              <w:rPr>
                <w:sz w:val="20"/>
                <w:szCs w:val="20"/>
                <w:color w:val="auto"/>
              </w:rPr>
            </w:pPr>
            <w:r>
              <w:rPr>
                <w:rFonts w:ascii="Arial" w:cs="Arial" w:eastAsia="Arial" w:hAnsi="Arial"/>
                <w:sz w:val="13"/>
                <w:szCs w:val="13"/>
                <w:b w:val="1"/>
                <w:bCs w:val="1"/>
                <w:color w:val="auto"/>
              </w:rPr>
              <w:t>Defined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Defined</w:t>
            </w:r>
          </w:p>
        </w:tc>
        <w:tc>
          <w:tcPr>
            <w:tcW w:w="240" w:type="dxa"/>
            <w:vAlign w:val="bottom"/>
          </w:tcPr>
          <w:p>
            <w:pPr>
              <w:spacing w:after="0"/>
              <w:rPr>
                <w:sz w:val="12"/>
                <w:szCs w:val="12"/>
                <w:color w:val="auto"/>
              </w:rPr>
            </w:pPr>
          </w:p>
        </w:tc>
        <w:tc>
          <w:tcPr>
            <w:tcW w:w="920" w:type="dxa"/>
            <w:vAlign w:val="bottom"/>
          </w:tcPr>
          <w:p>
            <w:pPr>
              <w:jc w:val="center"/>
              <w:ind w:right="166"/>
              <w:spacing w:after="0" w:line="143" w:lineRule="exact"/>
              <w:rPr>
                <w:sz w:val="20"/>
                <w:szCs w:val="20"/>
                <w:color w:val="auto"/>
              </w:rPr>
            </w:pPr>
            <w:r>
              <w:rPr>
                <w:rFonts w:ascii="Arial" w:cs="Arial" w:eastAsia="Arial" w:hAnsi="Arial"/>
                <w:sz w:val="13"/>
                <w:szCs w:val="13"/>
                <w:b w:val="1"/>
                <w:bCs w:val="1"/>
                <w:color w:val="auto"/>
                <w:w w:val="99"/>
              </w:rPr>
              <w:t>Benefit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9"/>
              </w:rPr>
              <w:t>Benefit</w:t>
            </w:r>
          </w:p>
        </w:tc>
        <w:tc>
          <w:tcPr>
            <w:tcW w:w="240" w:type="dxa"/>
            <w:vAlign w:val="bottom"/>
          </w:tcPr>
          <w:p>
            <w:pPr>
              <w:spacing w:after="0"/>
              <w:rPr>
                <w:sz w:val="12"/>
                <w:szCs w:val="12"/>
                <w:color w:val="auto"/>
              </w:rPr>
            </w:pPr>
          </w:p>
        </w:tc>
        <w:tc>
          <w:tcPr>
            <w:tcW w:w="920" w:type="dxa"/>
            <w:vAlign w:val="bottom"/>
          </w:tcPr>
          <w:p>
            <w:pPr>
              <w:jc w:val="center"/>
              <w:ind w:right="186"/>
              <w:spacing w:after="0" w:line="143" w:lineRule="exact"/>
              <w:rPr>
                <w:sz w:val="20"/>
                <w:szCs w:val="20"/>
                <w:color w:val="auto"/>
              </w:rPr>
            </w:pPr>
            <w:r>
              <w:rPr>
                <w:rFonts w:ascii="Arial" w:cs="Arial" w:eastAsia="Arial" w:hAnsi="Arial"/>
                <w:sz w:val="13"/>
                <w:szCs w:val="13"/>
                <w:b w:val="1"/>
                <w:bCs w:val="1"/>
                <w:color w:val="auto"/>
                <w:w w:val="98"/>
              </w:rPr>
              <w:t>Pension</w:t>
            </w:r>
          </w:p>
        </w:tc>
        <w:tc>
          <w:tcPr>
            <w:tcW w:w="240" w:type="dxa"/>
            <w:vAlign w:val="bottom"/>
          </w:tcPr>
          <w:p>
            <w:pPr>
              <w:spacing w:after="0"/>
              <w:rPr>
                <w:sz w:val="12"/>
                <w:szCs w:val="12"/>
                <w:color w:val="auto"/>
              </w:rPr>
            </w:pPr>
          </w:p>
        </w:tc>
        <w:tc>
          <w:tcPr>
            <w:tcW w:w="840" w:type="dxa"/>
            <w:vAlign w:val="bottom"/>
          </w:tcPr>
          <w:p>
            <w:pPr>
              <w:jc w:val="right"/>
              <w:ind w:right="201"/>
              <w:spacing w:after="0" w:line="143" w:lineRule="exact"/>
              <w:rPr>
                <w:sz w:val="20"/>
                <w:szCs w:val="20"/>
                <w:color w:val="auto"/>
              </w:rPr>
            </w:pPr>
            <w:r>
              <w:rPr>
                <w:rFonts w:ascii="Arial" w:cs="Arial" w:eastAsia="Arial" w:hAnsi="Arial"/>
                <w:sz w:val="13"/>
                <w:szCs w:val="13"/>
                <w:b w:val="1"/>
                <w:bCs w:val="1"/>
                <w:color w:val="auto"/>
              </w:rPr>
              <w:t>Deferred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Stock</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1"/>
        </w:trPr>
        <w:tc>
          <w:tcPr>
            <w:tcW w:w="1860" w:type="dxa"/>
            <w:vAlign w:val="bottom"/>
          </w:tcPr>
          <w:p>
            <w:pPr>
              <w:spacing w:after="0"/>
              <w:rPr>
                <w:sz w:val="14"/>
                <w:szCs w:val="14"/>
                <w:color w:val="auto"/>
              </w:rPr>
            </w:pPr>
          </w:p>
        </w:tc>
        <w:tc>
          <w:tcPr>
            <w:tcW w:w="1580" w:type="dxa"/>
            <w:vAlign w:val="bottom"/>
          </w:tcPr>
          <w:p>
            <w:pPr>
              <w:ind w:left="1080"/>
              <w:spacing w:after="0"/>
              <w:rPr>
                <w:sz w:val="20"/>
                <w:szCs w:val="20"/>
                <w:color w:val="auto"/>
              </w:rPr>
            </w:pPr>
            <w:r>
              <w:rPr>
                <w:rFonts w:ascii="Arial" w:cs="Arial" w:eastAsia="Arial" w:hAnsi="Arial"/>
                <w:sz w:val="13"/>
                <w:szCs w:val="13"/>
                <w:b w:val="1"/>
                <w:bCs w:val="1"/>
                <w:color w:val="auto"/>
              </w:rPr>
              <w:t>Bonus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240" w:type="dxa"/>
            <w:vAlign w:val="bottom"/>
          </w:tcPr>
          <w:p>
            <w:pPr>
              <w:spacing w:after="0"/>
              <w:rPr>
                <w:sz w:val="14"/>
                <w:szCs w:val="14"/>
                <w:color w:val="auto"/>
              </w:rPr>
            </w:pPr>
          </w:p>
        </w:tc>
        <w:tc>
          <w:tcPr>
            <w:tcW w:w="920" w:type="dxa"/>
            <w:vAlign w:val="bottom"/>
          </w:tcPr>
          <w:p>
            <w:pPr>
              <w:jc w:val="center"/>
              <w:ind w:right="166"/>
              <w:spacing w:after="0"/>
              <w:rPr>
                <w:sz w:val="20"/>
                <w:szCs w:val="20"/>
                <w:color w:val="auto"/>
              </w:rPr>
            </w:pPr>
            <w:r>
              <w:rPr>
                <w:rFonts w:ascii="Arial" w:cs="Arial" w:eastAsia="Arial" w:hAnsi="Arial"/>
                <w:sz w:val="13"/>
                <w:szCs w:val="13"/>
                <w:b w:val="1"/>
                <w:bCs w:val="1"/>
                <w:color w:val="auto"/>
              </w:rPr>
              <w:t>Plan</w:t>
            </w: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Compensation</w:t>
            </w:r>
          </w:p>
        </w:tc>
        <w:tc>
          <w:tcPr>
            <w:tcW w:w="240" w:type="dxa"/>
            <w:vAlign w:val="bottom"/>
          </w:tcPr>
          <w:p>
            <w:pPr>
              <w:spacing w:after="0"/>
              <w:rPr>
                <w:sz w:val="14"/>
                <w:szCs w:val="14"/>
                <w:color w:val="auto"/>
              </w:rPr>
            </w:pPr>
          </w:p>
        </w:tc>
        <w:tc>
          <w:tcPr>
            <w:tcW w:w="900" w:type="dxa"/>
            <w:vAlign w:val="bottom"/>
          </w:tcPr>
          <w:p>
            <w:pPr>
              <w:jc w:val="right"/>
              <w:ind w:right="321"/>
              <w:spacing w:after="0"/>
              <w:rPr>
                <w:sz w:val="20"/>
                <w:szCs w:val="20"/>
                <w:color w:val="auto"/>
              </w:rPr>
            </w:pPr>
            <w:r>
              <w:rPr>
                <w:rFonts w:ascii="Arial" w:cs="Arial" w:eastAsia="Arial" w:hAnsi="Arial"/>
                <w:sz w:val="13"/>
                <w:szCs w:val="13"/>
                <w:b w:val="1"/>
                <w:bCs w:val="1"/>
                <w:color w:val="auto"/>
              </w:rPr>
              <w:t>RSUs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8"/>
              </w:rPr>
              <w:t>Time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580" w:type="dxa"/>
            <w:vAlign w:val="bottom"/>
          </w:tcPr>
          <w:p>
            <w:pPr>
              <w:jc w:val="center"/>
              <w:ind w:left="901"/>
              <w:spacing w:after="0"/>
              <w:rPr>
                <w:sz w:val="20"/>
                <w:szCs w:val="20"/>
                <w:color w:val="auto"/>
              </w:rPr>
            </w:pPr>
            <w:r>
              <w:rPr>
                <w:rFonts w:ascii="Arial" w:cs="Arial" w:eastAsia="Arial" w:hAnsi="Arial"/>
                <w:sz w:val="13"/>
                <w:szCs w:val="13"/>
                <w:b w:val="1"/>
                <w:bCs w:val="1"/>
                <w:color w:val="auto"/>
              </w:rPr>
              <w:t>(1)</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240" w:type="dxa"/>
            <w:vAlign w:val="bottom"/>
          </w:tcPr>
          <w:p>
            <w:pPr>
              <w:spacing w:after="0"/>
              <w:rPr>
                <w:sz w:val="19"/>
                <w:szCs w:val="19"/>
                <w:color w:val="auto"/>
              </w:rPr>
            </w:pPr>
          </w:p>
        </w:tc>
        <w:tc>
          <w:tcPr>
            <w:tcW w:w="920" w:type="dxa"/>
            <w:vAlign w:val="bottom"/>
          </w:tcPr>
          <w:p>
            <w:pPr>
              <w:jc w:val="center"/>
              <w:ind w:right="166"/>
              <w:spacing w:after="0"/>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9"/>
                <w:szCs w:val="19"/>
                <w:color w:val="auto"/>
              </w:rPr>
            </w:pPr>
          </w:p>
        </w:tc>
        <w:tc>
          <w:tcPr>
            <w:tcW w:w="840" w:type="dxa"/>
            <w:vAlign w:val="bottom"/>
          </w:tcPr>
          <w:p>
            <w:pPr>
              <w:jc w:val="right"/>
              <w:ind w:right="381"/>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9"/>
                <w:szCs w:val="19"/>
                <w:color w:val="auto"/>
              </w:rPr>
            </w:pPr>
          </w:p>
        </w:tc>
        <w:tc>
          <w:tcPr>
            <w:tcW w:w="900" w:type="dxa"/>
            <w:vAlign w:val="bottom"/>
          </w:tcPr>
          <w:p>
            <w:pPr>
              <w:jc w:val="right"/>
              <w:ind w:right="401"/>
              <w:spacing w:after="0"/>
              <w:rPr>
                <w:sz w:val="20"/>
                <w:szCs w:val="20"/>
                <w:color w:val="auto"/>
              </w:rPr>
            </w:pPr>
            <w:r>
              <w:rPr>
                <w:rFonts w:ascii="Arial" w:cs="Arial" w:eastAsia="Arial" w:hAnsi="Arial"/>
                <w:sz w:val="13"/>
                <w:szCs w:val="13"/>
                <w:b w:val="1"/>
                <w:bCs w:val="1"/>
                <w:color w:val="auto"/>
              </w:rPr>
              <w:t>(4)</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Sharing</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Perquisites</w:t>
            </w:r>
          </w:p>
        </w:tc>
        <w:tc>
          <w:tcPr>
            <w:tcW w:w="24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233"/>
        </w:trPr>
        <w:tc>
          <w:tcPr>
            <w:tcW w:w="1860" w:type="dxa"/>
            <w:vAlign w:val="bottom"/>
            <w:shd w:val="clear" w:color="auto" w:fill="E9E9E9"/>
          </w:tcPr>
          <w:p>
            <w:pPr>
              <w:spacing w:after="0"/>
              <w:rPr>
                <w:sz w:val="20"/>
                <w:szCs w:val="20"/>
                <w:color w:val="auto"/>
              </w:rPr>
            </w:pPr>
          </w:p>
        </w:tc>
        <w:tc>
          <w:tcPr>
            <w:tcW w:w="158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800" w:type="dxa"/>
            <w:vAlign w:val="bottom"/>
            <w:shd w:val="clear" w:color="auto" w:fill="E9E9E9"/>
          </w:tcPr>
          <w:p>
            <w:pPr>
              <w:spacing w:after="0"/>
              <w:rPr>
                <w:sz w:val="20"/>
                <w:szCs w:val="20"/>
                <w:color w:val="auto"/>
              </w:rPr>
            </w:pPr>
          </w:p>
        </w:tc>
      </w:tr>
      <w:tr>
        <w:trPr>
          <w:trHeight w:val="233"/>
        </w:trPr>
        <w:tc>
          <w:tcPr>
            <w:tcW w:w="1860" w:type="dxa"/>
            <w:vAlign w:val="bottom"/>
            <w:shd w:val="clear" w:color="auto" w:fill="C0C0C0"/>
          </w:tcPr>
          <w:p>
            <w:pPr>
              <w:spacing w:after="0"/>
              <w:rPr>
                <w:sz w:val="20"/>
                <w:szCs w:val="20"/>
                <w:color w:val="auto"/>
              </w:rPr>
            </w:pPr>
            <w:r>
              <w:rPr>
                <w:rFonts w:ascii="Arial" w:cs="Arial" w:eastAsia="Arial" w:hAnsi="Arial"/>
                <w:sz w:val="17"/>
                <w:szCs w:val="17"/>
                <w:color w:val="auto"/>
              </w:rPr>
              <w:t>Templeton</w:t>
            </w:r>
          </w:p>
        </w:tc>
        <w:tc>
          <w:tcPr>
            <w:tcW w:w="1580" w:type="dxa"/>
            <w:vAlign w:val="bottom"/>
            <w:shd w:val="clear" w:color="auto" w:fill="C0C0C0"/>
          </w:tcPr>
          <w:p>
            <w:pPr>
              <w:jc w:val="center"/>
              <w:ind w:left="901"/>
              <w:spacing w:after="0"/>
              <w:rPr>
                <w:sz w:val="20"/>
                <w:szCs w:val="20"/>
                <w:color w:val="auto"/>
              </w:rPr>
            </w:pPr>
            <w:r>
              <w:rPr>
                <w:rFonts w:ascii="Arial" w:cs="Arial" w:eastAsia="Arial" w:hAnsi="Arial"/>
                <w:sz w:val="17"/>
                <w:szCs w:val="17"/>
                <w:color w:val="auto"/>
                <w:w w:val="96"/>
              </w:rPr>
              <w:t>(1)</w:t>
            </w: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6"/>
              <w:spacing w:after="0"/>
              <w:rPr>
                <w:sz w:val="20"/>
                <w:szCs w:val="20"/>
                <w:color w:val="auto"/>
              </w:rPr>
            </w:pPr>
            <w:r>
              <w:rPr>
                <w:rFonts w:ascii="Arial" w:cs="Arial" w:eastAsia="Arial" w:hAnsi="Arial"/>
                <w:sz w:val="17"/>
                <w:szCs w:val="17"/>
                <w:color w:val="auto"/>
              </w:rPr>
              <w:t>278,491</w:t>
            </w:r>
          </w:p>
        </w:tc>
        <w:tc>
          <w:tcPr>
            <w:tcW w:w="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964,734</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6,984,000</w:t>
            </w: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8,227,225</w:t>
            </w:r>
          </w:p>
        </w:tc>
      </w:tr>
      <w:tr>
        <w:trPr>
          <w:trHeight w:val="233"/>
        </w:trPr>
        <w:tc>
          <w:tcPr>
            <w:tcW w:w="1860" w:type="dxa"/>
            <w:vAlign w:val="bottom"/>
          </w:tcPr>
          <w:p>
            <w:pPr>
              <w:spacing w:after="0"/>
              <w:rPr>
                <w:sz w:val="20"/>
                <w:szCs w:val="20"/>
                <w:color w:val="auto"/>
              </w:rPr>
            </w:pPr>
            <w:r>
              <w:rPr>
                <w:rFonts w:ascii="Arial" w:cs="Arial" w:eastAsia="Arial" w:hAnsi="Arial"/>
                <w:sz w:val="17"/>
                <w:szCs w:val="17"/>
                <w:color w:val="auto"/>
              </w:rPr>
              <w:t>March</w:t>
            </w:r>
          </w:p>
        </w:tc>
        <w:tc>
          <w:tcPr>
            <w:tcW w:w="1580" w:type="dxa"/>
            <w:vAlign w:val="bottom"/>
          </w:tcPr>
          <w:p>
            <w:pPr>
              <w:jc w:val="center"/>
              <w:ind w:left="901"/>
              <w:spacing w:after="0"/>
              <w:rPr>
                <w:sz w:val="20"/>
                <w:szCs w:val="20"/>
                <w:color w:val="auto"/>
              </w:rPr>
            </w:pPr>
            <w:r>
              <w:rPr>
                <w:rFonts w:ascii="Arial" w:cs="Arial" w:eastAsia="Arial" w:hAnsi="Arial"/>
                <w:sz w:val="17"/>
                <w:szCs w:val="17"/>
                <w:color w:val="auto"/>
                <w:w w:val="96"/>
              </w:rPr>
              <w:t>(1)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6"/>
              <w:spacing w:after="0"/>
              <w:rPr>
                <w:sz w:val="20"/>
                <w:szCs w:val="20"/>
                <w:color w:val="auto"/>
              </w:rPr>
            </w:pPr>
            <w:r>
              <w:rPr>
                <w:rFonts w:ascii="Arial" w:cs="Arial" w:eastAsia="Arial" w:hAnsi="Arial"/>
                <w:sz w:val="17"/>
                <w:szCs w:val="17"/>
                <w:color w:val="auto"/>
              </w:rPr>
              <w:t>1,229,584</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91,750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1,552,000</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2,873,334</w:t>
            </w:r>
          </w:p>
        </w:tc>
      </w:tr>
      <w:tr>
        <w:trPr>
          <w:trHeight w:val="233"/>
        </w:trPr>
        <w:tc>
          <w:tcPr>
            <w:tcW w:w="1860" w:type="dxa"/>
            <w:vAlign w:val="bottom"/>
            <w:shd w:val="clear" w:color="auto" w:fill="C0C0C0"/>
          </w:tcPr>
          <w:p>
            <w:pPr>
              <w:spacing w:after="0"/>
              <w:rPr>
                <w:sz w:val="20"/>
                <w:szCs w:val="20"/>
                <w:color w:val="auto"/>
              </w:rPr>
            </w:pPr>
            <w:r>
              <w:rPr>
                <w:rFonts w:ascii="Arial" w:cs="Arial" w:eastAsia="Arial" w:hAnsi="Arial"/>
                <w:sz w:val="17"/>
                <w:szCs w:val="17"/>
                <w:color w:val="auto"/>
              </w:rPr>
              <w:t>Lowe</w:t>
            </w:r>
          </w:p>
        </w:tc>
        <w:tc>
          <w:tcPr>
            <w:tcW w:w="1580" w:type="dxa"/>
            <w:vAlign w:val="bottom"/>
            <w:shd w:val="clear" w:color="auto" w:fill="C0C0C0"/>
          </w:tcPr>
          <w:p>
            <w:pPr>
              <w:jc w:val="center"/>
              <w:ind w:left="901"/>
              <w:spacing w:after="0"/>
              <w:rPr>
                <w:sz w:val="20"/>
                <w:szCs w:val="20"/>
                <w:color w:val="auto"/>
              </w:rPr>
            </w:pPr>
            <w:r>
              <w:rPr>
                <w:rFonts w:ascii="Arial" w:cs="Arial" w:eastAsia="Arial" w:hAnsi="Arial"/>
                <w:sz w:val="17"/>
                <w:szCs w:val="17"/>
                <w:color w:val="auto"/>
                <w:w w:val="96"/>
              </w:rPr>
              <w:t>(1)</w:t>
            </w: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6"/>
              <w:spacing w:after="0"/>
              <w:rPr>
                <w:sz w:val="20"/>
                <w:szCs w:val="20"/>
                <w:color w:val="auto"/>
              </w:rPr>
            </w:pPr>
            <w:r>
              <w:rPr>
                <w:rFonts w:ascii="Arial" w:cs="Arial" w:eastAsia="Arial" w:hAnsi="Arial"/>
                <w:sz w:val="17"/>
                <w:szCs w:val="17"/>
                <w:color w:val="auto"/>
              </w:rPr>
              <w:t>1,463,958</w:t>
            </w:r>
          </w:p>
        </w:tc>
        <w:tc>
          <w:tcPr>
            <w:tcW w:w="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423,741</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4,190,400</w:t>
            </w: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6,078,099</w:t>
            </w:r>
          </w:p>
        </w:tc>
      </w:tr>
      <w:tr>
        <w:trPr>
          <w:trHeight w:val="233"/>
        </w:trPr>
        <w:tc>
          <w:tcPr>
            <w:tcW w:w="1860" w:type="dxa"/>
            <w:vAlign w:val="bottom"/>
          </w:tcPr>
          <w:p>
            <w:pPr>
              <w:spacing w:after="0"/>
              <w:rPr>
                <w:sz w:val="20"/>
                <w:szCs w:val="20"/>
                <w:color w:val="auto"/>
              </w:rPr>
            </w:pPr>
            <w:r>
              <w:rPr>
                <w:rFonts w:ascii="Arial" w:cs="Arial" w:eastAsia="Arial" w:hAnsi="Arial"/>
                <w:sz w:val="17"/>
                <w:szCs w:val="17"/>
                <w:color w:val="auto"/>
              </w:rPr>
              <w:t>Ritchie</w:t>
            </w:r>
          </w:p>
        </w:tc>
        <w:tc>
          <w:tcPr>
            <w:tcW w:w="1580" w:type="dxa"/>
            <w:vAlign w:val="bottom"/>
          </w:tcPr>
          <w:p>
            <w:pPr>
              <w:jc w:val="center"/>
              <w:ind w:left="901"/>
              <w:spacing w:after="0"/>
              <w:rPr>
                <w:sz w:val="20"/>
                <w:szCs w:val="20"/>
                <w:color w:val="auto"/>
              </w:rPr>
            </w:pPr>
            <w:r>
              <w:rPr>
                <w:rFonts w:ascii="Arial" w:cs="Arial" w:eastAsia="Arial" w:hAnsi="Arial"/>
                <w:sz w:val="17"/>
                <w:szCs w:val="17"/>
                <w:color w:val="auto"/>
                <w:w w:val="96"/>
              </w:rPr>
              <w:t>(1)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6"/>
              <w:spacing w:after="0"/>
              <w:rPr>
                <w:sz w:val="20"/>
                <w:szCs w:val="20"/>
                <w:color w:val="auto"/>
              </w:rPr>
            </w:pPr>
            <w:r>
              <w:rPr>
                <w:rFonts w:ascii="Arial" w:cs="Arial" w:eastAsia="Arial" w:hAnsi="Arial"/>
                <w:sz w:val="17"/>
                <w:szCs w:val="17"/>
                <w:color w:val="auto"/>
              </w:rPr>
              <w:t>1,965,664</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43,311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2,328,000</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4,336,975</w:t>
            </w:r>
          </w:p>
        </w:tc>
      </w:tr>
      <w:tr>
        <w:trPr>
          <w:trHeight w:val="233"/>
        </w:trPr>
        <w:tc>
          <w:tcPr>
            <w:tcW w:w="1860" w:type="dxa"/>
            <w:vAlign w:val="bottom"/>
            <w:shd w:val="clear" w:color="auto" w:fill="C0C0C0"/>
          </w:tcPr>
          <w:p>
            <w:pPr>
              <w:spacing w:after="0"/>
              <w:rPr>
                <w:sz w:val="20"/>
                <w:szCs w:val="20"/>
                <w:color w:val="auto"/>
              </w:rPr>
            </w:pPr>
            <w:r>
              <w:rPr>
                <w:rFonts w:ascii="Arial" w:cs="Arial" w:eastAsia="Arial" w:hAnsi="Arial"/>
                <w:sz w:val="17"/>
                <w:szCs w:val="17"/>
                <w:color w:val="auto"/>
              </w:rPr>
              <w:t>Hames</w:t>
            </w:r>
          </w:p>
        </w:tc>
        <w:tc>
          <w:tcPr>
            <w:tcW w:w="1580" w:type="dxa"/>
            <w:vAlign w:val="bottom"/>
            <w:shd w:val="clear" w:color="auto" w:fill="C0C0C0"/>
          </w:tcPr>
          <w:p>
            <w:pPr>
              <w:jc w:val="center"/>
              <w:ind w:left="901"/>
              <w:spacing w:after="0"/>
              <w:rPr>
                <w:sz w:val="20"/>
                <w:szCs w:val="20"/>
                <w:color w:val="auto"/>
              </w:rPr>
            </w:pPr>
            <w:r>
              <w:rPr>
                <w:rFonts w:ascii="Arial" w:cs="Arial" w:eastAsia="Arial" w:hAnsi="Arial"/>
                <w:sz w:val="17"/>
                <w:szCs w:val="17"/>
                <w:color w:val="auto"/>
                <w:w w:val="96"/>
              </w:rPr>
              <w:t>(1)</w:t>
            </w: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4"/>
              </w:rPr>
              <w:t>0</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6"/>
              <w:spacing w:after="0"/>
              <w:rPr>
                <w:sz w:val="20"/>
                <w:szCs w:val="20"/>
                <w:color w:val="auto"/>
              </w:rPr>
            </w:pPr>
            <w:r>
              <w:rPr>
                <w:rFonts w:ascii="Arial" w:cs="Arial" w:eastAsia="Arial" w:hAnsi="Arial"/>
                <w:sz w:val="17"/>
                <w:szCs w:val="17"/>
                <w:color w:val="auto"/>
              </w:rPr>
              <w:t>1,551,036</w:t>
            </w:r>
          </w:p>
        </w:tc>
        <w:tc>
          <w:tcPr>
            <w:tcW w:w="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74,741</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2,172,800</w:t>
            </w: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3,798,577</w:t>
            </w:r>
          </w:p>
        </w:tc>
      </w:tr>
    </w:tbl>
    <w:p>
      <w:pPr>
        <w:spacing w:after="0" w:line="236" w:lineRule="exact"/>
        <w:rPr>
          <w:sz w:val="20"/>
          <w:szCs w:val="20"/>
          <w:color w:val="auto"/>
        </w:rPr>
      </w:pPr>
    </w:p>
    <w:p>
      <w:pPr>
        <w:ind w:left="440" w:hanging="436"/>
        <w:spacing w:after="0"/>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31" w:lineRule="exact"/>
        <w:rPr>
          <w:rFonts w:ascii="Arial" w:cs="Arial" w:eastAsia="Arial" w:hAnsi="Arial"/>
          <w:sz w:val="17"/>
          <w:szCs w:val="17"/>
          <w:color w:val="auto"/>
        </w:rPr>
      </w:pPr>
    </w:p>
    <w:p>
      <w:pPr>
        <w:ind w:left="440" w:right="60" w:hanging="436"/>
        <w:spacing w:after="0" w:line="246"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Lump sum value of the December 31, 2008 accrued benefit calculated as required by the terms of the plan assuming the earliest possible payment date.</w:t>
      </w:r>
    </w:p>
    <w:p>
      <w:pPr>
        <w:spacing w:after="0" w:line="220" w:lineRule="exact"/>
        <w:rPr>
          <w:rFonts w:ascii="Arial" w:cs="Arial" w:eastAsia="Arial" w:hAnsi="Arial"/>
          <w:sz w:val="17"/>
          <w:szCs w:val="17"/>
          <w:color w:val="auto"/>
        </w:rPr>
      </w:pPr>
    </w:p>
    <w:p>
      <w:pPr>
        <w:ind w:left="440" w:right="520" w:hanging="436"/>
        <w:spacing w:after="0" w:line="246"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Aggregate account value as of December 31, 2008. The amounts shown in the 2008 Non-qualified Deferred Compensation table on page 79 include the amounts shown in this column.</w:t>
      </w:r>
    </w:p>
    <w:p>
      <w:pPr>
        <w:spacing w:after="0" w:line="220" w:lineRule="exact"/>
        <w:rPr>
          <w:rFonts w:ascii="Arial" w:cs="Arial" w:eastAsia="Arial" w:hAnsi="Arial"/>
          <w:sz w:val="17"/>
          <w:szCs w:val="17"/>
          <w:color w:val="auto"/>
        </w:rPr>
      </w:pPr>
    </w:p>
    <w:p>
      <w:pPr>
        <w:ind w:left="440" w:hanging="436"/>
        <w:spacing w:after="0"/>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change in control affects only RSUs awarded after January 18, 2006. Calculated by multiplying the number of RSUs granted after January 18,</w:t>
      </w:r>
    </w:p>
    <w:p>
      <w:pPr>
        <w:sectPr>
          <w:pgSz w:w="11900" w:h="16838" w:orient="portrait"/>
          <w:cols w:equalWidth="0" w:num="1">
            <w:col w:w="11420"/>
          </w:cols>
          <w:pgMar w:left="240" w:top="143" w:right="239" w:bottom="0" w:gutter="0" w:footer="0" w:header="0"/>
        </w:sectPr>
      </w:pPr>
    </w:p>
    <w:bookmarkStart w:id="26" w:name="page27"/>
    <w:bookmarkEnd w:id="26"/>
    <w:p>
      <w:pPr>
        <w:ind w:left="440"/>
        <w:spacing w:after="0"/>
        <w:rPr>
          <w:sz w:val="20"/>
          <w:szCs w:val="20"/>
          <w:color w:val="auto"/>
        </w:rPr>
      </w:pPr>
      <w:r>
        <w:rPr>
          <w:rFonts w:ascii="Arial" w:cs="Arial" w:eastAsia="Arial" w:hAnsi="Arial"/>
          <w:sz w:val="17"/>
          <w:szCs w:val="17"/>
          <w:color w:val="auto"/>
        </w:rPr>
        <w:t>2006, by the closing price of the company’s common stock as of December 31, 2008 ($15.52).</w:t>
      </w:r>
    </w:p>
    <w:p>
      <w:pPr>
        <w:spacing w:after="0" w:line="232" w:lineRule="exact"/>
        <w:rPr>
          <w:sz w:val="20"/>
          <w:szCs w:val="20"/>
          <w:color w:val="auto"/>
        </w:rPr>
      </w:pPr>
    </w:p>
    <w:p>
      <w:pPr>
        <w:ind w:left="440" w:right="140" w:hanging="436"/>
        <w:spacing w:after="0" w:line="241"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a change in control meeting the standard definition (please see page 76), all outstanding options become immediately exercisable. Calculated as the difference between the grant price of in-the-money options not already exercisable and the closing price of the company’s common stock as of December 31, 2008 ($15.52), multiplied by the number of those options as of December 31, 2008. As of December 31, 2008, no outstanding options were in-the-money.</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[ 84 ]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 furnished the following report:</w:t>
      </w:r>
    </w:p>
    <w:p>
      <w:pPr>
        <w:ind w:right="60" w:firstLine="225"/>
        <w:spacing w:after="0" w:line="238" w:lineRule="auto"/>
        <w:rPr>
          <w:sz w:val="20"/>
          <w:szCs w:val="20"/>
          <w:color w:val="auto"/>
        </w:rPr>
      </w:pPr>
      <w:r>
        <w:rPr>
          <w:rFonts w:ascii="Arial" w:cs="Arial" w:eastAsia="Arial" w:hAnsi="Arial"/>
          <w:sz w:val="17"/>
          <w:szCs w:val="17"/>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 w:lineRule="exact"/>
        <w:rPr>
          <w:sz w:val="20"/>
          <w:szCs w:val="20"/>
          <w:color w:val="auto"/>
        </w:rPr>
      </w:pPr>
    </w:p>
    <w:p>
      <w:pPr>
        <w:ind w:right="760" w:firstLine="234"/>
        <w:spacing w:after="0" w:line="253"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 w:lineRule="exact"/>
        <w:rPr>
          <w:sz w:val="20"/>
          <w:szCs w:val="20"/>
          <w:color w:val="auto"/>
        </w:rPr>
      </w:pPr>
    </w:p>
    <w:p>
      <w:pPr>
        <w:ind w:right="180" w:firstLine="234"/>
        <w:spacing w:after="0" w:line="238" w:lineRule="auto"/>
        <w:rPr>
          <w:sz w:val="20"/>
          <w:szCs w:val="20"/>
          <w:color w:val="auto"/>
        </w:rPr>
      </w:pPr>
      <w:r>
        <w:rPr>
          <w:rFonts w:ascii="Arial" w:cs="Arial" w:eastAsia="Arial" w:hAnsi="Arial"/>
          <w:sz w:val="17"/>
          <w:szCs w:val="17"/>
          <w:color w:val="auto"/>
        </w:rPr>
        <w:t xml:space="preserve">The committee has discussed with the independent registered public accounting firm, Ernst &amp; Young, the matters required to be discussed by Statement of Auditing Standards No. 61,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as amended (AICPA </w:t>
      </w:r>
      <w:r>
        <w:rPr>
          <w:rFonts w:ascii="Arial" w:cs="Arial" w:eastAsia="Arial" w:hAnsi="Arial"/>
          <w:sz w:val="17"/>
          <w:szCs w:val="17"/>
          <w:i w:val="1"/>
          <w:iCs w:val="1"/>
          <w:color w:val="auto"/>
        </w:rPr>
        <w:t>Professional Standards</w:t>
      </w:r>
      <w:r>
        <w:rPr>
          <w:rFonts w:ascii="Arial" w:cs="Arial" w:eastAsia="Arial" w:hAnsi="Arial"/>
          <w:sz w:val="17"/>
          <w:szCs w:val="17"/>
          <w:color w:val="auto"/>
        </w:rPr>
        <w:t>, Vol. 1. AU Section 380), as adopted by the Public Company Accounting Oversight Board.</w:t>
      </w:r>
    </w:p>
    <w:p>
      <w:pPr>
        <w:spacing w:after="0" w:line="1" w:lineRule="exact"/>
        <w:rPr>
          <w:sz w:val="20"/>
          <w:szCs w:val="20"/>
          <w:color w:val="auto"/>
        </w:rPr>
      </w:pPr>
    </w:p>
    <w:p>
      <w:pPr>
        <w:ind w:right="20" w:firstLine="231"/>
        <w:spacing w:after="0" w:line="238"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 w:lineRule="exact"/>
        <w:rPr>
          <w:sz w:val="20"/>
          <w:szCs w:val="20"/>
          <w:color w:val="auto"/>
        </w:rPr>
      </w:pPr>
    </w:p>
    <w:p>
      <w:pPr>
        <w:ind w:right="20" w:firstLine="234"/>
        <w:spacing w:after="0" w:line="246" w:lineRule="auto"/>
        <w:rPr>
          <w:sz w:val="20"/>
          <w:szCs w:val="20"/>
          <w:color w:val="auto"/>
        </w:rPr>
      </w:pPr>
      <w:r>
        <w:rPr>
          <w:rFonts w:ascii="Arial" w:cs="Arial" w:eastAsia="Arial" w:hAnsi="Arial"/>
          <w:sz w:val="17"/>
          <w:szCs w:val="17"/>
          <w:color w:val="auto"/>
        </w:rPr>
        <w:t>Based on the review and discussions referred to above, the committee recommended to the board of directors that the audited financial statements be included in the company’s Annual Report on Form 10-K for 2008 for filing with the SEC.</w:t>
      </w:r>
    </w:p>
    <w:p>
      <w:pPr>
        <w:spacing w:after="0" w:line="195" w:lineRule="exact"/>
        <w:rPr>
          <w:sz w:val="20"/>
          <w:szCs w:val="20"/>
          <w:color w:val="auto"/>
        </w:rPr>
      </w:pPr>
    </w:p>
    <w:p>
      <w:pPr>
        <w:ind w:left="2160"/>
        <w:spacing w:after="0"/>
        <w:tabs>
          <w:tab w:leader="none" w:pos="4380" w:val="left"/>
          <w:tab w:leader="none" w:pos="5860" w:val="left"/>
          <w:tab w:leader="none" w:pos="7860" w:val="left"/>
        </w:tabs>
        <w:rPr>
          <w:sz w:val="20"/>
          <w:szCs w:val="20"/>
          <w:color w:val="auto"/>
        </w:rPr>
      </w:pPr>
      <w:r>
        <w:rPr>
          <w:rFonts w:ascii="Arial" w:cs="Arial" w:eastAsia="Arial" w:hAnsi="Arial"/>
          <w:sz w:val="17"/>
          <w:szCs w:val="17"/>
          <w:color w:val="auto"/>
        </w:rPr>
        <w:t>Pamela H. Patsley, Chair</w:t>
      </w:r>
      <w:r>
        <w:rPr>
          <w:sz w:val="20"/>
          <w:szCs w:val="20"/>
          <w:color w:val="auto"/>
        </w:rPr>
        <w:tab/>
      </w:r>
      <w:r>
        <w:rPr>
          <w:rFonts w:ascii="Arial" w:cs="Arial" w:eastAsia="Arial" w:hAnsi="Arial"/>
          <w:sz w:val="17"/>
          <w:szCs w:val="17"/>
          <w:color w:val="auto"/>
        </w:rPr>
        <w:t>David L. Boren</w:t>
      </w:r>
      <w:r>
        <w:rPr>
          <w:sz w:val="20"/>
          <w:szCs w:val="20"/>
          <w:color w:val="auto"/>
        </w:rPr>
        <w:tab/>
      </w:r>
      <w:r>
        <w:rPr>
          <w:rFonts w:ascii="Arial" w:cs="Arial" w:eastAsia="Arial" w:hAnsi="Arial"/>
          <w:sz w:val="17"/>
          <w:szCs w:val="17"/>
          <w:color w:val="auto"/>
        </w:rPr>
        <w:t>Stephen P. MacMillan</w:t>
      </w:r>
      <w:r>
        <w:rPr>
          <w:sz w:val="20"/>
          <w:szCs w:val="20"/>
          <w:color w:val="auto"/>
        </w:rPr>
        <w:tab/>
      </w:r>
      <w:r>
        <w:rPr>
          <w:rFonts w:ascii="Arial" w:cs="Arial" w:eastAsia="Arial" w:hAnsi="Arial"/>
          <w:sz w:val="16"/>
          <w:szCs w:val="16"/>
          <w:color w:val="auto"/>
        </w:rPr>
        <w:t>Wayne R. Sanders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to ratify appointment of independent registered public accounting firm</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has appointed Ernst &amp; Young LLP to be TI’s independent registered public accounting firm for 2009.</w:t>
      </w:r>
    </w:p>
    <w:p>
      <w:pPr>
        <w:spacing w:after="0" w:line="25" w:lineRule="exact"/>
        <w:rPr>
          <w:sz w:val="20"/>
          <w:szCs w:val="20"/>
          <w:color w:val="auto"/>
        </w:rPr>
      </w:pPr>
    </w:p>
    <w:p>
      <w:pPr>
        <w:ind w:right="20" w:firstLine="259"/>
        <w:spacing w:after="0" w:line="262" w:lineRule="auto"/>
        <w:rPr>
          <w:sz w:val="20"/>
          <w:szCs w:val="20"/>
          <w:color w:val="auto"/>
        </w:rPr>
      </w:pPr>
      <w:r>
        <w:rPr>
          <w:rFonts w:ascii="Arial" w:cs="Arial" w:eastAsia="Arial" w:hAnsi="Arial"/>
          <w:sz w:val="17"/>
          <w:szCs w:val="17"/>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 w:lineRule="exact"/>
        <w:rPr>
          <w:sz w:val="20"/>
          <w:szCs w:val="20"/>
          <w:color w:val="auto"/>
        </w:rPr>
      </w:pPr>
    </w:p>
    <w:p>
      <w:pPr>
        <w:ind w:right="200" w:firstLine="259"/>
        <w:spacing w:after="0" w:line="262" w:lineRule="auto"/>
        <w:rPr>
          <w:sz w:val="20"/>
          <w:szCs w:val="20"/>
          <w:color w:val="auto"/>
        </w:rPr>
      </w:pPr>
      <w:r>
        <w:rPr>
          <w:rFonts w:ascii="Arial" w:cs="Arial" w:eastAsia="Arial" w:hAnsi="Arial"/>
          <w:sz w:val="17"/>
          <w:szCs w:val="17"/>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paid fees to Ernst &amp; Young for the services described below:</w:t>
      </w:r>
    </w:p>
    <w:p>
      <w:pPr>
        <w:spacing w:after="0" w:line="199"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color w:val="auto"/>
        </w:rPr>
        <w:t xml:space="preserve">Audit fees. </w:t>
      </w:r>
      <w:r>
        <w:rPr>
          <w:rFonts w:ascii="Arial" w:cs="Arial" w:eastAsia="Arial" w:hAnsi="Arial"/>
          <w:sz w:val="17"/>
          <w:szCs w:val="17"/>
          <w:color w:val="auto"/>
        </w:rPr>
        <w:t>Ernst &amp; Young’s Audit Fees were $7,277,000 in 2008 and $6,785,000 in 2007. The services provided in exchange for these fees were our</w:t>
      </w:r>
      <w:r>
        <w:rPr>
          <w:rFonts w:ascii="Arial" w:cs="Arial" w:eastAsia="Arial" w:hAnsi="Arial"/>
          <w:sz w:val="17"/>
          <w:szCs w:val="17"/>
          <w:b w:val="1"/>
          <w:bCs w:val="1"/>
          <w:color w:val="auto"/>
        </w:rPr>
        <w:t xml:space="preserve"> </w:t>
      </w:r>
      <w:r>
        <w:rPr>
          <w:rFonts w:ascii="Arial" w:cs="Arial" w:eastAsia="Arial" w:hAnsi="Arial"/>
          <w:sz w:val="17"/>
          <w:szCs w:val="17"/>
          <w:color w:val="auto"/>
        </w:rPr>
        <w:t>annual audit, including the audit of internal control over financial reporting, reports on Form 10-Q, and statutory audits required internationally.</w:t>
      </w:r>
    </w:p>
    <w:p>
      <w:pPr>
        <w:spacing w:after="0" w:line="154"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b w:val="1"/>
          <w:bCs w:val="1"/>
          <w:color w:val="auto"/>
        </w:rPr>
        <w:t xml:space="preserve">Audit-related fees. </w:t>
      </w:r>
      <w:r>
        <w:rPr>
          <w:rFonts w:ascii="Arial" w:cs="Arial" w:eastAsia="Arial" w:hAnsi="Arial"/>
          <w:sz w:val="17"/>
          <w:szCs w:val="17"/>
          <w:color w:val="auto"/>
        </w:rPr>
        <w:t>In addition to the Audit Fees, the company paid Ernst &amp; Young $556,000 in 2008 and $586,000 in 2007. The services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for these fees included employee benefit plan audits, a grant certification audit, access to Ernst &amp; Young’s online research tool, an environmental certification audit, an energy-usage certification audit for a non-U.S. subsidiary and a research and development certification audit for a non-U.S. subsidiary.</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Tax fees. </w:t>
      </w:r>
      <w:r>
        <w:rPr>
          <w:rFonts w:ascii="Arial" w:cs="Arial" w:eastAsia="Arial" w:hAnsi="Arial"/>
          <w:sz w:val="17"/>
          <w:szCs w:val="17"/>
          <w:color w:val="auto"/>
        </w:rPr>
        <w:t>Ernst &amp; Young’s fees for professional services rendered for tax compliance (preparation and review of non-U.S. tax returns), tax advice and tax</w:t>
      </w:r>
      <w:r>
        <w:rPr>
          <w:rFonts w:ascii="Arial" w:cs="Arial" w:eastAsia="Arial" w:hAnsi="Arial"/>
          <w:sz w:val="17"/>
          <w:szCs w:val="17"/>
          <w:b w:val="1"/>
          <w:bCs w:val="1"/>
          <w:color w:val="auto"/>
        </w:rPr>
        <w:t xml:space="preserve"> </w:t>
      </w:r>
      <w:r>
        <w:rPr>
          <w:rFonts w:ascii="Arial" w:cs="Arial" w:eastAsia="Arial" w:hAnsi="Arial"/>
          <w:sz w:val="17"/>
          <w:szCs w:val="17"/>
          <w:color w:val="auto"/>
        </w:rPr>
        <w:t>planning (including expatriate tax services) were $495,000 in 2008 and $503,000 in 2007.</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color w:val="auto"/>
        </w:rPr>
        <w:t xml:space="preserve">All other fees. </w:t>
      </w:r>
      <w:r>
        <w:rPr>
          <w:rFonts w:ascii="Arial" w:cs="Arial" w:eastAsia="Arial" w:hAnsi="Arial"/>
          <w:sz w:val="17"/>
          <w:szCs w:val="17"/>
          <w:color w:val="auto"/>
        </w:rPr>
        <w:t>Ernst &amp; Young’s fees for all other professional services rendered were $38,000 in 2008 and $21,000 in 2007 for audit services for the TI</w:t>
      </w:r>
      <w:r>
        <w:rPr>
          <w:rFonts w:ascii="Arial" w:cs="Arial" w:eastAsia="Arial" w:hAnsi="Arial"/>
          <w:sz w:val="17"/>
          <w:szCs w:val="17"/>
          <w:b w:val="1"/>
          <w:bCs w:val="1"/>
          <w:color w:val="auto"/>
        </w:rPr>
        <w:t xml:space="preserve"> </w:t>
      </w:r>
      <w:r>
        <w:rPr>
          <w:rFonts w:ascii="Arial" w:cs="Arial" w:eastAsia="Arial" w:hAnsi="Arial"/>
          <w:sz w:val="17"/>
          <w:szCs w:val="17"/>
          <w:color w:val="auto"/>
        </w:rPr>
        <w:t>Foundation, as well as for various training programs.</w:t>
      </w:r>
    </w:p>
    <w:p>
      <w:pPr>
        <w:spacing w:after="0" w:line="154"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b w:val="1"/>
          <w:bCs w:val="1"/>
          <w:color w:val="auto"/>
        </w:rPr>
        <w:t xml:space="preserve">Pre-approval policy. </w:t>
      </w:r>
      <w:r>
        <w:rPr>
          <w:rFonts w:ascii="Arial" w:cs="Arial" w:eastAsia="Arial" w:hAnsi="Arial"/>
          <w:sz w:val="17"/>
          <w:szCs w:val="17"/>
          <w:color w:val="auto"/>
        </w:rPr>
        <w:t>The Audit Committee is required to pre-approve the audit and non-audit services to be performed by the independent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public accounting firm in order to assure that the provision of such services does not impair the firm’s independence.</w:t>
      </w:r>
    </w:p>
    <w:p>
      <w:pPr>
        <w:spacing w:after="0" w:line="1" w:lineRule="exact"/>
        <w:rPr>
          <w:sz w:val="20"/>
          <w:szCs w:val="20"/>
          <w:color w:val="auto"/>
        </w:rPr>
      </w:pPr>
    </w:p>
    <w:p>
      <w:pPr>
        <w:ind w:right="60" w:firstLine="259"/>
        <w:spacing w:after="0" w:line="241" w:lineRule="auto"/>
        <w:rPr>
          <w:sz w:val="20"/>
          <w:szCs w:val="20"/>
          <w:color w:val="auto"/>
        </w:rPr>
      </w:pPr>
      <w:r>
        <w:rPr>
          <w:rFonts w:ascii="Arial" w:cs="Arial" w:eastAsia="Arial" w:hAnsi="Arial"/>
          <w:sz w:val="17"/>
          <w:szCs w:val="17"/>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of 1934).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20" w:firstLine="234"/>
        <w:spacing w:after="0" w:line="238" w:lineRule="auto"/>
        <w:rPr>
          <w:sz w:val="20"/>
          <w:szCs w:val="20"/>
          <w:color w:val="auto"/>
        </w:rPr>
      </w:pPr>
      <w:r>
        <w:rPr>
          <w:rFonts w:ascii="Arial" w:cs="Arial" w:eastAsia="Arial" w:hAnsi="Arial"/>
          <w:sz w:val="17"/>
          <w:szCs w:val="17"/>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2" w:lineRule="exact"/>
        <w:rPr>
          <w:sz w:val="20"/>
          <w:szCs w:val="20"/>
          <w:color w:val="auto"/>
        </w:rPr>
      </w:pPr>
    </w:p>
    <w:p>
      <w:pPr>
        <w:ind w:right="40" w:firstLine="231"/>
        <w:spacing w:after="0" w:line="238" w:lineRule="auto"/>
        <w:rPr>
          <w:sz w:val="20"/>
          <w:szCs w:val="20"/>
          <w:color w:val="auto"/>
        </w:rPr>
      </w:pPr>
      <w:r>
        <w:rPr>
          <w:rFonts w:ascii="Arial" w:cs="Arial" w:eastAsia="Arial" w:hAnsi="Arial"/>
          <w:sz w:val="17"/>
          <w:szCs w:val="17"/>
          <w:color w:val="auto"/>
        </w:rPr>
        <w:t>The Audit Committee or its Chair pre-approved all services provided by Ernst &amp; Young during 2008, except for certain training representing 45 percent ($17,000) of All Other Fees for 2008, for which the pre-approval requirement is waived under SEC rules due to the de minimis amount. The Chair approved the provision of these services after the fact, and all approvals by the Chair were subsequently ratified by the Audit Committee.</w:t>
      </w:r>
    </w:p>
    <w:p>
      <w:pPr>
        <w:spacing w:after="0" w:line="1" w:lineRule="exact"/>
        <w:rPr>
          <w:sz w:val="20"/>
          <w:szCs w:val="20"/>
          <w:color w:val="auto"/>
        </w:rPr>
      </w:pPr>
    </w:p>
    <w:p>
      <w:pPr>
        <w:ind w:right="460" w:firstLine="234"/>
        <w:spacing w:after="0" w:line="246"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Ernst &amp; Young LLP as the company’s independent registered public accounting firm for 2009.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to approve the Texas Instruments 2009 Long-Term Incentive Plan</w:t>
      </w:r>
    </w:p>
    <w:p>
      <w:pPr>
        <w:spacing w:after="0" w:line="19"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Since 1965 the company has had in effect key employee incentive plans, currently consisting of the Texas Instruments 2000 Long-Term Incentive Plan (the “2000 Plan”), which is used to grant equity compensation to senior managers, and the Texas Instruments 2003 Long-Term Incentive Plan, which is used to grant equity compensation to other employees (the “Current Plans”). These plans were designed to provide an additional incentive for the employees who are key to the company’s success in the technological and highly competitive markets in which it operates. The board of directors believes these plans have been effective in providing such incentive. The board also believes that for the company to continue to attract and retain outstanding individuals, it must continue to have incentive plans of these types in place.</w:t>
      </w:r>
    </w:p>
    <w:p>
      <w:pPr>
        <w:sectPr>
          <w:pgSz w:w="11900" w:h="16838" w:orient="portrait"/>
          <w:cols w:equalWidth="0" w:num="1">
            <w:col w:w="11420"/>
          </w:cols>
          <w:pgMar w:left="240" w:top="143" w:right="239" w:bottom="0" w:gutter="0" w:footer="0" w:header="0"/>
        </w:sectPr>
      </w:pPr>
    </w:p>
    <w:bookmarkStart w:id="27" w:name="page28"/>
    <w:bookmarkEnd w:id="27"/>
    <w:p>
      <w:pPr>
        <w:ind w:right="180" w:firstLine="231"/>
        <w:spacing w:after="0" w:line="241" w:lineRule="auto"/>
        <w:rPr>
          <w:sz w:val="20"/>
          <w:szCs w:val="20"/>
          <w:color w:val="auto"/>
        </w:rPr>
      </w:pPr>
      <w:r>
        <w:rPr>
          <w:rFonts w:ascii="Arial" w:cs="Arial" w:eastAsia="Arial" w:hAnsi="Arial"/>
          <w:sz w:val="17"/>
          <w:szCs w:val="17"/>
          <w:color w:val="auto"/>
        </w:rPr>
        <w:t>The 2000 Plan expires in April 2010. The company proposes the adoption of a new plan, the Texas Instruments 2009 Long-Term Incentive Plan (the “2009 Plan”), to replace both of the Current Plans. If stockholders approve the 2009 Plan, the Current Plans will be closed to further grants. The shares still available for grant under the Current Plans (approximately 200 million as of December 31, 2008) will not be available for grant under this plan. If stockholders do not approve the 2009 Plan, it will not be implemented.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Texas Instruments 2009 Long-Term Incentive Plan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proposed 2009 Plan is attached as Exhibit A to this proxy statement. The principal features of the 2009 Plan are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 of awards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2009 Plan provides for the grant of the same types of awards as the Current Plans: (1) stock options, (2) restricted stock and restricted stock units,</w:t>
      </w:r>
    </w:p>
    <w:p>
      <w:pPr>
        <w:ind w:right="20" w:firstLine="4"/>
        <w:spacing w:after="0" w:line="246" w:lineRule="auto"/>
        <w:tabs>
          <w:tab w:leader="none" w:pos="2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performance units and (4) other awards (including stock appreciation rights) valued in whole or in part by reference to or otherwise based on common stock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available for awards</w:t>
      </w:r>
    </w:p>
    <w:p>
      <w:pPr>
        <w:spacing w:after="0" w:line="19"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Under the 2009 Plan, the number of shares of common stock available for issuance will be 75,000,000 shares, subject to adjustment by the Committee (defined below) for stock splits and other events as set forth in the 2009 Plan, plus any shares under awards granted under the Current Plans that terminate or are cancelled.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features of the 2009 Plan</w:t>
      </w:r>
    </w:p>
    <w:p>
      <w:pPr>
        <w:spacing w:after="0" w:line="1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2009 Plan will be administered by a board committee appointed by the board of directors (the “Committee”). The Committee will have, among other powers, the power to interpret and construe any provision of the plan, to adopt rules and regulations for administering the plan, and to perform other acts relating to the plan, including, at the Committee’s discretion, the delegation of any administrative responsibilities. Decisions of the Committee are final and binding on all parties.</w:t>
      </w:r>
    </w:p>
    <w:p>
      <w:pPr>
        <w:spacing w:after="0" w:line="2" w:lineRule="exact"/>
        <w:rPr>
          <w:sz w:val="20"/>
          <w:szCs w:val="20"/>
          <w:color w:val="auto"/>
        </w:rPr>
      </w:pPr>
    </w:p>
    <w:p>
      <w:pPr>
        <w:ind w:right="60" w:firstLine="231"/>
        <w:spacing w:after="0" w:line="238" w:lineRule="auto"/>
        <w:rPr>
          <w:sz w:val="20"/>
          <w:szCs w:val="20"/>
          <w:color w:val="auto"/>
        </w:rPr>
      </w:pPr>
      <w:r>
        <w:rPr>
          <w:rFonts w:ascii="Arial" w:cs="Arial" w:eastAsia="Arial" w:hAnsi="Arial"/>
          <w:sz w:val="17"/>
          <w:szCs w:val="17"/>
          <w:color w:val="auto"/>
        </w:rPr>
        <w:t>The Committee will have the sole discretion to grant to eligible participants one or more equity awards, including options, restricted stock and restricted stock units, performance units, or any combination thereof. The Committee will have the sole discretion to determine the number or amount of any award to be granted to any participant. If a dividend or other distribution, recapitalization, stock split, or other corporate event or transaction (more fully described in Section 5(e) of the 2009 Plan) affects the shares in such a way that an adjustment is appropriate to prevent dilution or enlargement of the benefits, or potential benefits, intended to be made available under the 2009 Plan, then an equitable adjustment shall be made to: (i) the number and type of shares (or other securities or property) which may be made the subject of awards, (ii) the number and type of shares (or other securities or property) subject to outstanding awards, and (iii) the grant, purchase or exercise price with respect to any award. The Committee may not take any other action to reduce the exercise price of any option as established at the time of grant.</w:t>
      </w:r>
    </w:p>
    <w:p>
      <w:pPr>
        <w:spacing w:after="0" w:line="3" w:lineRule="exact"/>
        <w:rPr>
          <w:sz w:val="20"/>
          <w:szCs w:val="20"/>
          <w:color w:val="auto"/>
        </w:rPr>
      </w:pPr>
    </w:p>
    <w:p>
      <w:pPr>
        <w:jc w:val="both"/>
        <w:ind w:right="140" w:firstLine="225"/>
        <w:spacing w:after="0" w:line="238" w:lineRule="auto"/>
        <w:rPr>
          <w:sz w:val="20"/>
          <w:szCs w:val="20"/>
          <w:color w:val="auto"/>
        </w:rPr>
      </w:pPr>
      <w:r>
        <w:rPr>
          <w:rFonts w:ascii="Arial" w:cs="Arial" w:eastAsia="Arial" w:hAnsi="Arial"/>
          <w:sz w:val="17"/>
          <w:szCs w:val="17"/>
          <w:color w:val="auto"/>
        </w:rPr>
        <w:t>Awards will be granted for no cash consideration, or for minimal cash consideration if required by applicable law. Awards may provide that upon their exercise the holder will receive cash, stock, other securities, other awards, other property or any combination thereof, as the Committee will determine. Any shares of stock deliverable under the 2009 Plan may consist in whole or in part of authorized and unissued shares or treasury shares.</w:t>
      </w:r>
    </w:p>
    <w:p>
      <w:pPr>
        <w:spacing w:after="0" w:line="1" w:lineRule="exact"/>
        <w:rPr>
          <w:sz w:val="20"/>
          <w:szCs w:val="20"/>
          <w:color w:val="auto"/>
        </w:rPr>
      </w:pPr>
    </w:p>
    <w:p>
      <w:pPr>
        <w:jc w:val="both"/>
        <w:ind w:right="60" w:firstLine="234"/>
        <w:spacing w:after="0" w:line="242" w:lineRule="auto"/>
        <w:rPr>
          <w:sz w:val="20"/>
          <w:szCs w:val="20"/>
          <w:color w:val="auto"/>
        </w:rPr>
      </w:pPr>
      <w:r>
        <w:rPr>
          <w:rFonts w:ascii="Arial" w:cs="Arial" w:eastAsia="Arial" w:hAnsi="Arial"/>
          <w:sz w:val="17"/>
          <w:szCs w:val="17"/>
          <w:color w:val="auto"/>
        </w:rPr>
        <w:t>Except in the case of awards made through assumption of, or in substitution for, outstanding awards previously granted by an acquired company, and except as a result of an adjustment event referred to above, the exercise price of stock under any stock option, the grant price of any stock appreciation right, and the purchase price of any security which may be purchased under any other stock-</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[ 86 ]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based award will not be less than 100% of the fair market value of the stock or other security on the date of the grant of the option, right or award. The Committee will determine the times at which options and other purchase rights may be exercised and the methods by which and the forms in which payment of the purchase price may be made. Determinations of fair market value under the 2009 Plan will be made in accordance with methods or procedures established by the Committee.</w:t>
      </w:r>
    </w:p>
    <w:p>
      <w:pPr>
        <w:spacing w:after="0" w:line="2" w:lineRule="exact"/>
        <w:rPr>
          <w:sz w:val="20"/>
          <w:szCs w:val="20"/>
          <w:color w:val="auto"/>
        </w:rPr>
      </w:pPr>
    </w:p>
    <w:p>
      <w:pPr>
        <w:ind w:firstLine="231"/>
        <w:spacing w:after="0" w:line="238" w:lineRule="auto"/>
        <w:rPr>
          <w:sz w:val="20"/>
          <w:szCs w:val="20"/>
          <w:color w:val="auto"/>
        </w:rPr>
      </w:pPr>
      <w:r>
        <w:rPr>
          <w:rFonts w:ascii="Arial" w:cs="Arial" w:eastAsia="Arial" w:hAnsi="Arial"/>
          <w:sz w:val="17"/>
          <w:szCs w:val="17"/>
          <w:color w:val="auto"/>
        </w:rPr>
        <w:t>The Committee may impose restrictions on restricted stock and restricted stock units at its discretion. These restrictions may lapse as the Committee deems appropriate. Upon termination of employment during the restriction period, all restricted stock and restricted stock units will be forfeited, unless the Committee determines otherwise.</w:t>
      </w:r>
    </w:p>
    <w:p>
      <w:pPr>
        <w:spacing w:after="0" w:line="1" w:lineRule="exact"/>
        <w:rPr>
          <w:sz w:val="20"/>
          <w:szCs w:val="20"/>
          <w:color w:val="auto"/>
        </w:rPr>
      </w:pPr>
    </w:p>
    <w:p>
      <w:pPr>
        <w:jc w:val="both"/>
        <w:ind w:firstLine="225"/>
        <w:spacing w:after="0" w:line="238" w:lineRule="auto"/>
        <w:rPr>
          <w:sz w:val="20"/>
          <w:szCs w:val="20"/>
          <w:color w:val="auto"/>
        </w:rPr>
      </w:pPr>
      <w:r>
        <w:rPr>
          <w:rFonts w:ascii="Arial" w:cs="Arial" w:eastAsia="Arial" w:hAnsi="Arial"/>
          <w:sz w:val="17"/>
          <w:szCs w:val="17"/>
          <w:color w:val="auto"/>
        </w:rPr>
        <w:t>Any performance units granted will vest upon the attainment of performance goals. The Committee will establish the performance criteria, the length of the performance period and the form and time of payment of the award. In addition, the Committee may establish the terms and conditions of other stock-based awards.</w:t>
      </w:r>
    </w:p>
    <w:p>
      <w:pPr>
        <w:spacing w:after="0" w:line="1" w:lineRule="exact"/>
        <w:rPr>
          <w:sz w:val="20"/>
          <w:szCs w:val="20"/>
          <w:color w:val="auto"/>
        </w:rPr>
      </w:pPr>
    </w:p>
    <w:p>
      <w:pPr>
        <w:ind w:firstLine="234"/>
        <w:spacing w:after="0" w:line="238" w:lineRule="auto"/>
        <w:rPr>
          <w:sz w:val="20"/>
          <w:szCs w:val="20"/>
          <w:color w:val="auto"/>
        </w:rPr>
      </w:pPr>
      <w:r>
        <w:rPr>
          <w:rFonts w:ascii="Arial" w:cs="Arial" w:eastAsia="Arial" w:hAnsi="Arial"/>
          <w:sz w:val="17"/>
          <w:szCs w:val="17"/>
          <w:color w:val="auto"/>
        </w:rPr>
        <w:t>Unless otherwise determined by the Committee, no award granted under the 2009 Plan may be transferred or otherwise encumbered by the individual to whom it is granted, other than by will, by designation of a beneficiary, or by the laws of descent and distribution. During the individual’s lifetime, each award will be exercisable only by the individual or by the individual’s guardian or legal representative.</w:t>
      </w:r>
    </w:p>
    <w:p>
      <w:pPr>
        <w:spacing w:after="0" w:line="1" w:lineRule="exact"/>
        <w:rPr>
          <w:sz w:val="20"/>
          <w:szCs w:val="20"/>
          <w:color w:val="auto"/>
        </w:rPr>
      </w:pPr>
    </w:p>
    <w:p>
      <w:pPr>
        <w:jc w:val="both"/>
        <w:ind w:right="220" w:firstLine="231"/>
        <w:spacing w:after="0" w:line="238" w:lineRule="auto"/>
        <w:rPr>
          <w:sz w:val="20"/>
          <w:szCs w:val="20"/>
          <w:color w:val="auto"/>
        </w:rPr>
      </w:pPr>
      <w:r>
        <w:rPr>
          <w:rFonts w:ascii="Arial" w:cs="Arial" w:eastAsia="Arial" w:hAnsi="Arial"/>
          <w:sz w:val="17"/>
          <w:szCs w:val="17"/>
          <w:color w:val="auto"/>
        </w:rPr>
        <w:t>The board of directors may amend, alter, discontinue or terminate the 2009 Plan or any portion of the plan any time. However, stockholder approval must be obtained for any plan adjustment that would increase the number of shares available for awards or any other material amendment of the 2009 Plan.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 awards may be granted under the 2009 Plan after the tenth anniversary of the effective date of the 2009 Plan.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Eligibility and participation</w:t>
      </w:r>
    </w:p>
    <w:p>
      <w:pPr>
        <w:spacing w:after="0" w:line="19"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Any employee of the company, including any officer or employee-director, will be eligible to receive awards under the 2009 Plan. Additionally, any individual who provides services to the company or to an affiliate of the company as an independent contractor is eligible to receive awards. The company had 29,537 employees as of December 31, 2008. Directors who are not full-time or part-time officers or employees of the company will not be eligible to participate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awards for certain individuals</w:t>
      </w:r>
    </w:p>
    <w:p>
      <w:pPr>
        <w:spacing w:after="0" w:line="1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Any awards under the 2009 Plan will be at the discretion of the Committee. Therefore, it is not possible at present to determine the amount or form of any award that will be available for grant to any individual during the term of the 2009 Plan or that would have been granted during 2008 had the 2009 Plan been in effect.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1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Counsel for the company has advised that a participant will recognize no income under the Internal Revenue Code upon the receipt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award. In the case of an incentive stock option, if a participant exercises the option during or within three months of employment and does not dispose of the shares within two years of the date of grant or one year after the transfer of the shares to the participant, the participant will be entitled for federal income tax purposes to treat any profit which may be recognized upon the disposition of the shares as a long-term capital gain. In contrast, a participant who receives an option under the plan that is not an incentive stock option or who does not comply with the conditions noted above will generally recognize ordinary income at the time of exercise in the amount of the excess, if any, of the fair market value of the stock on the date of exercise over the option price. If the participant is an employee, such ordinary income generally is subject to withholding of income and employment taxes. The company should be entitled to a deduction for federal income tax purposes equal to the amount of ordinary income, if any, recognized by a participant who (a) exercises an option that is not an incentive stock option, or (b) disposes of stock that was acquired pursuant to the exercise of an incentive stock option prior to the end of the required holding period described above, except to the extent such deduction is limited by applicable provisions of the Internal Revenue Code. In the case of incentive stock options, any excess of the fair market value of the stock at the time of exercise over the option price would be an item of income for purposes of the participant’s alternative minimum tax.</w:t>
      </w:r>
    </w:p>
    <w:p>
      <w:pPr>
        <w:sectPr>
          <w:pgSz w:w="11900" w:h="16838" w:orient="portrait"/>
          <w:cols w:equalWidth="0" w:num="1">
            <w:col w:w="11400"/>
          </w:cols>
          <w:pgMar w:left="240" w:top="143" w:right="259" w:bottom="0" w:gutter="0" w:footer="0" w:header="0"/>
        </w:sectPr>
      </w:pPr>
    </w:p>
    <w:bookmarkStart w:id="28" w:name="page29"/>
    <w:bookmarkEnd w:id="28"/>
    <w:p>
      <w:pPr>
        <w:spacing w:after="0" w:line="241"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Counsel for the company has advised that a participant will recognize no income under the Internal Revenue Code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a restricted stock unit award. Upon the settlement of a restricted stock unit award, participants will recognize ordinary income in the year of receipt in an amount equal to the fair market value of any shares received. If the participant is an employee, such ordinary income generally is subject to withholding of income and employment taxes. Upon the sale of any shares received, any gain or loss, based on the difference between the sale price and the fair market value on the date of settlement, will be taxed as capital gain or loss. The company should be entitled to a deduction for federal income tax purposes equal to the amount of ordinary income recognized by the participant on the determination date, except to the extent such deduction is limited by applicable provisions of the Internal Revenue Code.</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board of directors recommends a vote “FOR” the Texas Instruments 2009 Long-Term Incentive Plan.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to approve the Texas Instruments 2009 Director Compensation Plan</w:t>
      </w:r>
    </w:p>
    <w:p>
      <w:pPr>
        <w:spacing w:after="0" w:line="1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company’s 2003 Director Compensation Plan (the “2003 Plan”) governs equity compensation of the company’s non-employee directors and provides them with the opportunity to defer their compensation. This plan was designed to attract and retain qualified individuals to serve as directors of the company and to increase the proprietary and vested interest of directors in the growth and performance of the company. The board believes that the 2003 Plan has been effective in achieving these objectives and that the company continues to need a plan of this type.</w:t>
      </w:r>
    </w:p>
    <w:p>
      <w:pPr>
        <w:spacing w:after="0" w:line="2" w:lineRule="exact"/>
        <w:rPr>
          <w:sz w:val="20"/>
          <w:szCs w:val="20"/>
          <w:color w:val="auto"/>
        </w:rPr>
      </w:pPr>
    </w:p>
    <w:p>
      <w:pPr>
        <w:ind w:right="120" w:firstLine="234"/>
        <w:spacing w:after="0" w:line="238" w:lineRule="auto"/>
        <w:rPr>
          <w:sz w:val="20"/>
          <w:szCs w:val="20"/>
          <w:color w:val="auto"/>
        </w:rPr>
      </w:pPr>
      <w:r>
        <w:rPr>
          <w:rFonts w:ascii="Arial" w:cs="Arial" w:eastAsia="Arial" w:hAnsi="Arial"/>
          <w:sz w:val="17"/>
          <w:szCs w:val="17"/>
          <w:color w:val="auto"/>
        </w:rPr>
        <w:t>The 2003 Plan expires in April 2010. As of December 31, 2008, there were approximately 1.4 million shares of common stock available for grant under the 2003 Plan. The board of directors recommends that stockholders approve the adoption of the Texas Instruments 2009 Director Compensation Plan (the “2009 Director Plan”). If the 2009 Director Plan is approved, no further awards will be made under the 2003 Plan. As discussed in more detail below, the 2003 Plan will continue to govern compensation that was earned and deferred prior to January 1, 2005. No additional amounts will be able to be deferred into the 2003 Plan. If stockholders do not approve the 2009 Director Plan, it will not be implemented.</w:t>
      </w:r>
    </w:p>
    <w:p>
      <w:pPr>
        <w:spacing w:after="0" w:line="2" w:lineRule="exact"/>
        <w:rPr>
          <w:sz w:val="20"/>
          <w:szCs w:val="20"/>
          <w:color w:val="auto"/>
        </w:rPr>
      </w:pPr>
    </w:p>
    <w:p>
      <w:pPr>
        <w:ind w:right="360" w:firstLine="234"/>
        <w:spacing w:after="0" w:line="246" w:lineRule="auto"/>
        <w:rPr>
          <w:sz w:val="20"/>
          <w:szCs w:val="20"/>
          <w:color w:val="auto"/>
        </w:rPr>
      </w:pPr>
      <w:r>
        <w:rPr>
          <w:rFonts w:ascii="Arial" w:cs="Arial" w:eastAsia="Arial" w:hAnsi="Arial"/>
          <w:sz w:val="17"/>
          <w:szCs w:val="17"/>
          <w:color w:val="auto"/>
        </w:rPr>
        <w:t>The full text of the proposed 2009 Director Plan is shown on Exhibit B to this proxy statement. The principal features of the 2009 Director Plan are summarized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 of awards</w:t>
      </w:r>
    </w:p>
    <w:p>
      <w:pPr>
        <w:spacing w:after="0" w:line="19" w:lineRule="exact"/>
        <w:rPr>
          <w:sz w:val="20"/>
          <w:szCs w:val="20"/>
          <w:color w:val="auto"/>
        </w:rPr>
      </w:pPr>
    </w:p>
    <w:p>
      <w:pPr>
        <w:jc w:val="both"/>
        <w:ind w:right="280"/>
        <w:spacing w:after="0" w:line="242" w:lineRule="auto"/>
        <w:rPr>
          <w:sz w:val="20"/>
          <w:szCs w:val="20"/>
          <w:color w:val="auto"/>
        </w:rPr>
      </w:pPr>
      <w:r>
        <w:rPr>
          <w:rFonts w:ascii="Arial" w:cs="Arial" w:eastAsia="Arial" w:hAnsi="Arial"/>
          <w:sz w:val="17"/>
          <w:szCs w:val="17"/>
          <w:color w:val="auto"/>
        </w:rPr>
        <w:t>The 2009 Director Plan provides for the grant of the same types of awards as the 2003 Plan: (1) stock options, (2) restricted stock and restricted stock units, (3) performance units and (4) other awards (including stock appreciation rights) valued in whole or in part by reference to or otherwise based on common stock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available for awards</w:t>
      </w:r>
    </w:p>
    <w:p>
      <w:pPr>
        <w:spacing w:after="0" w:line="1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Under the 2009 Director Plan, the number of shares of common stock available for issuance will be 2,000,000, subject to adjustment by the Administrator (defined below) for stock splits and other events as set forth in the 2009 Director Plan, plus any shares under awards granted under the 2009 Director Plan that terminate or are cancelled.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features of the 2009 Director Plan</w:t>
      </w:r>
    </w:p>
    <w:p>
      <w:pPr>
        <w:spacing w:after="0" w:line="19"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2009 Director Plan will be administered by the board or a committee of directors appointed by the board (the “Administrator”). The Administrator will have, among other powers, the power to interpret and construe any provision of the plan, to adopt rules and regulations for administering the plan, and to perform other acts relating to the plan. Decisions of the Administrator are final and binding on all parties.</w:t>
      </w:r>
    </w:p>
    <w:p>
      <w:pPr>
        <w:spacing w:after="0" w:line="1" w:lineRule="exact"/>
        <w:rPr>
          <w:sz w:val="20"/>
          <w:szCs w:val="20"/>
          <w:color w:val="auto"/>
        </w:rPr>
      </w:pPr>
    </w:p>
    <w:p>
      <w:pPr>
        <w:jc w:val="both"/>
        <w:ind w:right="40" w:firstLine="234"/>
        <w:spacing w:after="0" w:line="238" w:lineRule="auto"/>
        <w:rPr>
          <w:sz w:val="20"/>
          <w:szCs w:val="20"/>
          <w:color w:val="auto"/>
        </w:rPr>
      </w:pPr>
      <w:r>
        <w:rPr>
          <w:rFonts w:ascii="Arial" w:cs="Arial" w:eastAsia="Arial" w:hAnsi="Arial"/>
          <w:sz w:val="17"/>
          <w:szCs w:val="17"/>
          <w:color w:val="auto"/>
        </w:rPr>
        <w:t>The 2009 Director Plan provides that each non-employee director will receive an annual grant of a non-qualified option to purchase 7,000 shares of TI common stock and an annual grant of 2,500 restricted stock units. The options will become exercisable in four equal annual installments commencing on the first anniversary date of the grant and expire not more than ten years after the date of grant.</w:t>
      </w:r>
    </w:p>
    <w:p>
      <w:pPr>
        <w:spacing w:after="0" w:line="1" w:lineRule="exact"/>
        <w:rPr>
          <w:sz w:val="20"/>
          <w:szCs w:val="20"/>
          <w:color w:val="auto"/>
        </w:rPr>
      </w:pPr>
    </w:p>
    <w:p>
      <w:pPr>
        <w:ind w:right="180" w:firstLine="234"/>
        <w:spacing w:after="0" w:line="238" w:lineRule="auto"/>
        <w:rPr>
          <w:sz w:val="20"/>
          <w:szCs w:val="20"/>
          <w:color w:val="auto"/>
        </w:rPr>
      </w:pPr>
      <w:r>
        <w:rPr>
          <w:rFonts w:ascii="Arial" w:cs="Arial" w:eastAsia="Arial" w:hAnsi="Arial"/>
          <w:sz w:val="17"/>
          <w:szCs w:val="17"/>
          <w:color w:val="auto"/>
        </w:rPr>
        <w:t>In addition, each eligible director who is initially elected or appointed after the effective date of the 2009 Director Plan will receive a one-time grant of 2,000 restricted stock units under the 2009 Director Plan. Each restricted stock unit will be paid or settled by the issuance of one share of TI common stock as soon as practicable after the fourth anniversary of the date of grant. It is expected that all options granted under the Plan will be non-qualified options for U.S. tax purposes.</w:t>
      </w:r>
    </w:p>
    <w:p>
      <w:pPr>
        <w:spacing w:after="0" w:line="2" w:lineRule="exact"/>
        <w:rPr>
          <w:sz w:val="20"/>
          <w:szCs w:val="20"/>
          <w:color w:val="auto"/>
        </w:rPr>
      </w:pPr>
    </w:p>
    <w:p>
      <w:pPr>
        <w:ind w:right="160" w:firstLine="234"/>
        <w:spacing w:after="0" w:line="238" w:lineRule="auto"/>
        <w:rPr>
          <w:sz w:val="20"/>
          <w:szCs w:val="20"/>
          <w:color w:val="auto"/>
        </w:rPr>
      </w:pPr>
      <w:r>
        <w:rPr>
          <w:rFonts w:ascii="Arial" w:cs="Arial" w:eastAsia="Arial" w:hAnsi="Arial"/>
          <w:sz w:val="17"/>
          <w:szCs w:val="17"/>
          <w:color w:val="auto"/>
        </w:rPr>
        <w:t>If a dividend or other distribution, recapitalization, stock split, or other corporate event or transaction (more fully described in Section 5(d) of the 2009 Director Plan) affects the shares in such a way that an adjustment is appropriate to prevent dilution or enlargement of the benefits, or potential benefits, intended to be made available under the 2009 Director Plan, then an equitable adjustment shall be made to: (i) the number and type of shares (or other securities or property) which may be made the subject of awards, (ii) the number and type of shares (or other securities or property) subject to outstanding awards, and (iii) the grant, purchase or exercise price with respect to any award. The Administrator may not take any other action to reduce the exercise price of any option as established at the time of grant.</w:t>
      </w:r>
    </w:p>
    <w:p>
      <w:pPr>
        <w:spacing w:after="0" w:line="2" w:lineRule="exact"/>
        <w:rPr>
          <w:sz w:val="20"/>
          <w:szCs w:val="20"/>
          <w:color w:val="auto"/>
        </w:rPr>
      </w:pPr>
    </w:p>
    <w:p>
      <w:pPr>
        <w:ind w:right="40" w:firstLine="234"/>
        <w:spacing w:after="0" w:line="253" w:lineRule="auto"/>
        <w:rPr>
          <w:sz w:val="20"/>
          <w:szCs w:val="20"/>
          <w:color w:val="auto"/>
        </w:rPr>
      </w:pPr>
      <w:r>
        <w:rPr>
          <w:rFonts w:ascii="Arial" w:cs="Arial" w:eastAsia="Arial" w:hAnsi="Arial"/>
          <w:sz w:val="16"/>
          <w:szCs w:val="16"/>
          <w:color w:val="auto"/>
        </w:rPr>
        <w:t>Awards will be granted for no cash consideration, or for minimal cash consideration if required by applicable law. Awards may provide that upon their exercise the holder will receive cash, stock, other securities, other awards, other property or any combination thereof, as the Administrator will determine. Any shares of stock deliverable under the 2009 Director Plan may consist in whole or in part of authorized and unissued shares or treasury shares.</w:t>
      </w:r>
    </w:p>
    <w:p>
      <w:pPr>
        <w:spacing w:after="0" w:line="1" w:lineRule="exact"/>
        <w:rPr>
          <w:sz w:val="20"/>
          <w:szCs w:val="20"/>
          <w:color w:val="auto"/>
        </w:rPr>
      </w:pPr>
    </w:p>
    <w:p>
      <w:pPr>
        <w:ind w:right="120" w:firstLine="234"/>
        <w:spacing w:after="0" w:line="238" w:lineRule="auto"/>
        <w:rPr>
          <w:sz w:val="20"/>
          <w:szCs w:val="20"/>
          <w:color w:val="auto"/>
        </w:rPr>
      </w:pPr>
      <w:r>
        <w:rPr>
          <w:rFonts w:ascii="Arial" w:cs="Arial" w:eastAsia="Arial" w:hAnsi="Arial"/>
          <w:sz w:val="17"/>
          <w:szCs w:val="17"/>
          <w:color w:val="auto"/>
        </w:rPr>
        <w:t>The exercise price of stock under any stock option, the grant price of any stock appreciation right, and the purchase price of any security that may be purchased under any other stock-based award will not be less than 100 percent of the fair market value (as defined in the 2009 Director Plan) of the stock or other security on the date of the grant of the option, right or award.</w:t>
      </w:r>
    </w:p>
    <w:p>
      <w:pPr>
        <w:spacing w:after="0" w:line="1" w:lineRule="exact"/>
        <w:rPr>
          <w:sz w:val="20"/>
          <w:szCs w:val="20"/>
          <w:color w:val="auto"/>
        </w:rPr>
      </w:pPr>
    </w:p>
    <w:p>
      <w:pPr>
        <w:jc w:val="both"/>
        <w:ind w:right="240" w:firstLine="234"/>
        <w:spacing w:after="0" w:line="242" w:lineRule="auto"/>
        <w:rPr>
          <w:sz w:val="20"/>
          <w:szCs w:val="20"/>
          <w:color w:val="auto"/>
        </w:rPr>
      </w:pPr>
      <w:r>
        <w:rPr>
          <w:rFonts w:ascii="Arial" w:cs="Arial" w:eastAsia="Arial" w:hAnsi="Arial"/>
          <w:sz w:val="17"/>
          <w:szCs w:val="17"/>
          <w:color w:val="auto"/>
        </w:rPr>
        <w:t>Unless otherwise determined by the Administrator, no award granted under the 2009 Director Plan may be transferred or otherwise encumbered by the individual to whom it is granted, other than by will, by designation of a beneficiary, or by the laws of descent and distribution. During the individual’s lifetime, each award will be exercisable only by the individual or by the individual’s guardian or legal representative.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[ 88 ]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right="240" w:firstLine="259"/>
        <w:spacing w:after="0" w:line="243" w:lineRule="auto"/>
        <w:rPr>
          <w:sz w:val="20"/>
          <w:szCs w:val="20"/>
          <w:color w:val="auto"/>
        </w:rPr>
      </w:pPr>
      <w:r>
        <w:rPr>
          <w:rFonts w:ascii="Arial" w:cs="Arial" w:eastAsia="Arial" w:hAnsi="Arial"/>
          <w:sz w:val="17"/>
          <w:szCs w:val="17"/>
          <w:color w:val="auto"/>
        </w:rPr>
        <w:t>The board of directors may amend, alter, discontinue or terminate the 2009 Director Plan or any portion of the plan any time. However, stockholder approval must be obtained for any plan adjustment that would increase the number of shares available for awards or any other material amendment of the 2009 Director Plan.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 awards may be granted under the 2009 Director Plan after the tenth anniversary of the effective date of the 2009 Director Plan.</w:t>
      </w:r>
    </w:p>
    <w:p>
      <w:pPr>
        <w:ind w:right="60" w:firstLine="234"/>
        <w:spacing w:after="0" w:line="242" w:lineRule="auto"/>
        <w:rPr>
          <w:sz w:val="20"/>
          <w:szCs w:val="20"/>
          <w:color w:val="auto"/>
        </w:rPr>
      </w:pPr>
      <w:r>
        <w:rPr>
          <w:rFonts w:ascii="Arial" w:cs="Arial" w:eastAsia="Arial" w:hAnsi="Arial"/>
          <w:sz w:val="17"/>
          <w:szCs w:val="17"/>
          <w:color w:val="auto"/>
        </w:rPr>
        <w:t>Each director will be able to elect, with respect to any year, that all or any portion of his or her eligible cash compensation and restricted stock unit grant be deferred in accordance with the terms of the 2009 Director Plan. Each director will be able to elect that his or her deferred compensation for any year be credited to a cash account, a stock unit account or any combination thereof.</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plan benefits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480" w:type="dxa"/>
            <w:vAlign w:val="bottom"/>
          </w:tcPr>
          <w:p>
            <w:pPr>
              <w:jc w:val="center"/>
              <w:ind w:right="169"/>
              <w:spacing w:after="0"/>
              <w:rPr>
                <w:sz w:val="20"/>
                <w:szCs w:val="20"/>
                <w:color w:val="auto"/>
              </w:rPr>
            </w:pPr>
            <w:r>
              <w:rPr>
                <w:rFonts w:ascii="Arial" w:cs="Arial" w:eastAsia="Arial" w:hAnsi="Arial"/>
                <w:sz w:val="13"/>
                <w:szCs w:val="13"/>
                <w:b w:val="1"/>
                <w:bCs w:val="1"/>
                <w:color w:val="auto"/>
                <w:w w:val="99"/>
              </w:rPr>
              <w:t>Texas Instruments 2009 Director Compensation Plan</w:t>
            </w:r>
          </w:p>
        </w:tc>
        <w:tc>
          <w:tcPr>
            <w:tcW w:w="3340" w:type="dxa"/>
            <w:vAlign w:val="bottom"/>
          </w:tcPr>
          <w:p>
            <w:pPr>
              <w:spacing w:after="0"/>
              <w:rPr>
                <w:sz w:val="14"/>
                <w:szCs w:val="14"/>
                <w:color w:val="auto"/>
              </w:rPr>
            </w:pPr>
          </w:p>
        </w:tc>
      </w:tr>
      <w:tr>
        <w:trPr>
          <w:trHeight w:val="221"/>
        </w:trPr>
        <w:tc>
          <w:tcPr>
            <w:tcW w:w="3600" w:type="dxa"/>
            <w:vAlign w:val="bottom"/>
          </w:tcPr>
          <w:p>
            <w:pPr>
              <w:jc w:val="center"/>
              <w:ind w:left="86"/>
              <w:spacing w:after="0"/>
              <w:rPr>
                <w:sz w:val="20"/>
                <w:szCs w:val="20"/>
                <w:color w:val="auto"/>
              </w:rPr>
            </w:pPr>
            <w:r>
              <w:rPr>
                <w:rFonts w:ascii="Arial" w:cs="Arial" w:eastAsia="Arial" w:hAnsi="Arial"/>
                <w:sz w:val="13"/>
                <w:szCs w:val="13"/>
                <w:b w:val="1"/>
                <w:bCs w:val="1"/>
                <w:color w:val="auto"/>
              </w:rPr>
              <w:t>Participant</w:t>
            </w:r>
          </w:p>
        </w:tc>
        <w:tc>
          <w:tcPr>
            <w:tcW w:w="4480" w:type="dxa"/>
            <w:vAlign w:val="bottom"/>
          </w:tcPr>
          <w:p>
            <w:pPr>
              <w:jc w:val="center"/>
              <w:ind w:right="189"/>
              <w:spacing w:after="0"/>
              <w:rPr>
                <w:sz w:val="20"/>
                <w:szCs w:val="20"/>
                <w:color w:val="auto"/>
              </w:rPr>
            </w:pPr>
            <w:r>
              <w:rPr>
                <w:rFonts w:ascii="Arial" w:cs="Arial" w:eastAsia="Arial" w:hAnsi="Arial"/>
                <w:sz w:val="13"/>
                <w:szCs w:val="13"/>
                <w:b w:val="1"/>
                <w:bCs w:val="1"/>
                <w:color w:val="auto"/>
                <w:w w:val="99"/>
              </w:rPr>
              <w:t>Number of Shares Subject to Options</w:t>
            </w:r>
          </w:p>
        </w:tc>
        <w:tc>
          <w:tcPr>
            <w:tcW w:w="3340" w:type="dxa"/>
            <w:vAlign w:val="bottom"/>
          </w:tcPr>
          <w:p>
            <w:pPr>
              <w:jc w:val="center"/>
              <w:ind w:right="366"/>
              <w:spacing w:after="0"/>
              <w:rPr>
                <w:sz w:val="20"/>
                <w:szCs w:val="20"/>
                <w:color w:val="auto"/>
              </w:rPr>
            </w:pPr>
            <w:r>
              <w:rPr>
                <w:rFonts w:ascii="Arial" w:cs="Arial" w:eastAsia="Arial" w:hAnsi="Arial"/>
                <w:sz w:val="13"/>
                <w:szCs w:val="13"/>
                <w:b w:val="1"/>
                <w:bCs w:val="1"/>
                <w:color w:val="auto"/>
                <w:w w:val="99"/>
              </w:rPr>
              <w:t>Restricted Stock Units</w:t>
            </w:r>
          </w:p>
        </w:tc>
      </w:tr>
      <w:tr>
        <w:trPr>
          <w:trHeight w:val="233"/>
        </w:trPr>
        <w:tc>
          <w:tcPr>
            <w:tcW w:w="3600" w:type="dxa"/>
            <w:vAlign w:val="bottom"/>
            <w:shd w:val="clear" w:color="auto" w:fill="E9E9E9"/>
          </w:tcPr>
          <w:p>
            <w:pPr>
              <w:spacing w:after="0"/>
              <w:rPr>
                <w:sz w:val="20"/>
                <w:szCs w:val="20"/>
                <w:color w:val="auto"/>
              </w:rPr>
            </w:pPr>
          </w:p>
        </w:tc>
        <w:tc>
          <w:tcPr>
            <w:tcW w:w="4480" w:type="dxa"/>
            <w:vAlign w:val="bottom"/>
            <w:shd w:val="clear" w:color="auto" w:fill="E9E9E9"/>
          </w:tcPr>
          <w:p>
            <w:pPr>
              <w:spacing w:after="0"/>
              <w:rPr>
                <w:sz w:val="20"/>
                <w:szCs w:val="20"/>
                <w:color w:val="auto"/>
              </w:rPr>
            </w:pPr>
          </w:p>
        </w:tc>
        <w:tc>
          <w:tcPr>
            <w:tcW w:w="3340" w:type="dxa"/>
            <w:vAlign w:val="bottom"/>
            <w:shd w:val="clear" w:color="auto" w:fill="E9E9E9"/>
          </w:tcPr>
          <w:p>
            <w:pPr>
              <w:spacing w:after="0"/>
              <w:rPr>
                <w:sz w:val="20"/>
                <w:szCs w:val="20"/>
                <w:color w:val="auto"/>
              </w:rPr>
            </w:pPr>
          </w:p>
        </w:tc>
      </w:tr>
      <w:tr>
        <w:trPr>
          <w:trHeight w:val="233"/>
        </w:trPr>
        <w:tc>
          <w:tcPr>
            <w:tcW w:w="3600" w:type="dxa"/>
            <w:vAlign w:val="bottom"/>
            <w:shd w:val="clear" w:color="auto" w:fill="C0C0C0"/>
          </w:tcPr>
          <w:p>
            <w:pPr>
              <w:jc w:val="center"/>
              <w:ind w:left="86"/>
              <w:spacing w:after="0"/>
              <w:rPr>
                <w:sz w:val="20"/>
                <w:szCs w:val="20"/>
                <w:color w:val="auto"/>
              </w:rPr>
            </w:pPr>
            <w:r>
              <w:rPr>
                <w:rFonts w:ascii="Arial" w:cs="Arial" w:eastAsia="Arial" w:hAnsi="Arial"/>
                <w:sz w:val="17"/>
                <w:szCs w:val="17"/>
                <w:color w:val="auto"/>
                <w:w w:val="99"/>
              </w:rPr>
              <w:t>Non-Employee Director Group(1)</w:t>
            </w:r>
          </w:p>
        </w:tc>
        <w:tc>
          <w:tcPr>
            <w:tcW w:w="4480" w:type="dxa"/>
            <w:vAlign w:val="bottom"/>
            <w:shd w:val="clear" w:color="auto" w:fill="C0C0C0"/>
          </w:tcPr>
          <w:p>
            <w:pPr>
              <w:jc w:val="center"/>
              <w:ind w:right="169"/>
              <w:spacing w:after="0"/>
              <w:rPr>
                <w:sz w:val="20"/>
                <w:szCs w:val="20"/>
                <w:color w:val="auto"/>
              </w:rPr>
            </w:pPr>
            <w:r>
              <w:rPr>
                <w:rFonts w:ascii="Arial" w:cs="Arial" w:eastAsia="Arial" w:hAnsi="Arial"/>
                <w:sz w:val="17"/>
                <w:szCs w:val="17"/>
                <w:color w:val="auto"/>
                <w:w w:val="98"/>
              </w:rPr>
              <w:t>70,000(2)</w:t>
            </w:r>
          </w:p>
        </w:tc>
        <w:tc>
          <w:tcPr>
            <w:tcW w:w="3340" w:type="dxa"/>
            <w:vAlign w:val="bottom"/>
            <w:shd w:val="clear" w:color="auto" w:fill="C0C0C0"/>
          </w:tcPr>
          <w:p>
            <w:pPr>
              <w:jc w:val="right"/>
              <w:ind w:right="1466"/>
              <w:spacing w:after="0"/>
              <w:rPr>
                <w:sz w:val="20"/>
                <w:szCs w:val="20"/>
                <w:color w:val="auto"/>
              </w:rPr>
            </w:pPr>
            <w:r>
              <w:rPr>
                <w:rFonts w:ascii="Arial" w:cs="Arial" w:eastAsia="Arial" w:hAnsi="Arial"/>
                <w:sz w:val="17"/>
                <w:szCs w:val="17"/>
                <w:color w:val="auto"/>
              </w:rPr>
              <w:t>25,000(3)</w:t>
            </w:r>
          </w:p>
        </w:tc>
      </w:tr>
    </w:tbl>
    <w:p>
      <w:pPr>
        <w:spacing w:after="0" w:line="236" w:lineRule="exact"/>
        <w:rPr>
          <w:sz w:val="20"/>
          <w:szCs w:val="20"/>
          <w:color w:val="auto"/>
        </w:rPr>
      </w:pPr>
    </w:p>
    <w:p>
      <w:pPr>
        <w:ind w:left="460" w:right="40" w:hanging="456"/>
        <w:spacing w:after="0" w:line="277"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 result of deferral elections made for 2008: seven non-employee directors deferred a total of $400,733 of their cash compensation (equivalent to 17,382 restricted stock units) into stock unit accounts under the 2003 Plan; five directors deferred receipt of their restricted stock units granted in</w:t>
      </w:r>
    </w:p>
    <w:p>
      <w:pPr>
        <w:sectPr>
          <w:pgSz w:w="11900" w:h="16838" w:orient="portrait"/>
          <w:cols w:equalWidth="0" w:num="1">
            <w:col w:w="11420"/>
          </w:cols>
          <w:pgMar w:left="240" w:top="125" w:right="239" w:bottom="0" w:gutter="0" w:footer="0" w:header="0"/>
        </w:sectPr>
      </w:pPr>
    </w:p>
    <w:bookmarkStart w:id="29" w:name="page30"/>
    <w:bookmarkEnd w:id="29"/>
    <w:p>
      <w:pPr>
        <w:ind w:left="460" w:right="320"/>
        <w:spacing w:after="0" w:line="246" w:lineRule="auto"/>
        <w:rPr>
          <w:sz w:val="20"/>
          <w:szCs w:val="20"/>
          <w:color w:val="auto"/>
        </w:rPr>
      </w:pPr>
      <w:r>
        <w:rPr>
          <w:rFonts w:ascii="Arial" w:cs="Arial" w:eastAsia="Arial" w:hAnsi="Arial"/>
          <w:sz w:val="17"/>
          <w:szCs w:val="17"/>
          <w:color w:val="auto"/>
        </w:rPr>
        <w:t>2008; one director deferred $2,966 in interest on her cash account; and cash dividends and dividend equivalents on restricted stock units in the amount of $67,402 were paid into non-employee director stock unit accounts during 2008.</w:t>
      </w:r>
    </w:p>
    <w:p>
      <w:pPr>
        <w:spacing w:after="0" w:line="234" w:lineRule="exact"/>
        <w:rPr>
          <w:sz w:val="20"/>
          <w:szCs w:val="20"/>
          <w:color w:val="auto"/>
        </w:rPr>
      </w:pPr>
    </w:p>
    <w:p>
      <w:pPr>
        <w:ind w:left="460" w:hanging="456"/>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non-employee director would have received an option to purchase 7,000 shares of TI common stock had the Plan been in effect in 2008.</w:t>
      </w:r>
    </w:p>
    <w:p>
      <w:pPr>
        <w:spacing w:after="0" w:line="257" w:lineRule="exact"/>
        <w:rPr>
          <w:rFonts w:ascii="Arial" w:cs="Arial" w:eastAsia="Arial" w:hAnsi="Arial"/>
          <w:sz w:val="17"/>
          <w:szCs w:val="17"/>
          <w:color w:val="auto"/>
        </w:rPr>
      </w:pPr>
    </w:p>
    <w:p>
      <w:pPr>
        <w:ind w:left="460" w:hanging="456"/>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non-employee director would have received a grant of 2,500 restricted stock units had the plan been in effect in 2008. The 2009 Director Plan also provides for additional benefits in the form of other stock-based awards. To date, these types of awards have not been utilized and the non-employee directors would not have been eligible for automatic grant of any such awards. In addition, as set forth in note (1), 17,382 restricted stock units were credited to Directors’ deferred compensation accounts in 2008. Therefore, the related benefits the non-employee directors may have received or will in the future receive under these terms of the 2009 Director Plan are not determinable.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1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Counsel for the company has advised that a participant who receives a grant of an option or a restricted stock unit will not be in receipt of taxable income under the Internal Revenue Code upon the making of the grant. A participant who receives an option under the 2009 Director Plan will generally recognize ordinary income at the time of exercise in the amount of the excess, if any, of the fair market value of the stock on the date of exercise over the option price. Upon payment or settlement of a restricted stock unit award in cash or stock, the participant will recognize ordinary income equal to the value of any cash or shares received.</w:t>
      </w:r>
    </w:p>
    <w:p>
      <w:pPr>
        <w:spacing w:after="0" w:line="2" w:lineRule="exact"/>
        <w:rPr>
          <w:sz w:val="20"/>
          <w:szCs w:val="20"/>
          <w:color w:val="auto"/>
        </w:rPr>
      </w:pPr>
    </w:p>
    <w:p>
      <w:pPr>
        <w:ind w:firstLine="234"/>
        <w:spacing w:after="0" w:line="238" w:lineRule="auto"/>
        <w:rPr>
          <w:sz w:val="20"/>
          <w:szCs w:val="20"/>
          <w:color w:val="auto"/>
        </w:rPr>
      </w:pPr>
      <w:r>
        <w:rPr>
          <w:rFonts w:ascii="Arial" w:cs="Arial" w:eastAsia="Arial" w:hAnsi="Arial"/>
          <w:sz w:val="17"/>
          <w:szCs w:val="17"/>
          <w:color w:val="auto"/>
        </w:rPr>
        <w:t>Counsel for the company has also advised that the company will not be allowed any deduction for federal income tax purposes upon the grant of options or restricted stock units. The company will be entitled to a deduction for federal income tax purposes in an amount equal to the ordinary income, if any, realized by a participant who exercises an option. Also, the company will be entitled to a deduction for federal income tax purposes at the same time as, and in an amount equal to, the recognition of ordinary income by a participant in respect of restricted stock unit awards under the 2009 Director Plan and the settlement thereof.</w:t>
      </w:r>
    </w:p>
    <w:p>
      <w:pPr>
        <w:spacing w:after="0" w:line="2" w:lineRule="exact"/>
        <w:rPr>
          <w:sz w:val="20"/>
          <w:szCs w:val="20"/>
          <w:color w:val="auto"/>
        </w:rPr>
      </w:pPr>
    </w:p>
    <w:p>
      <w:pPr>
        <w:ind w:right="80" w:firstLine="234"/>
        <w:spacing w:after="0" w:line="238" w:lineRule="auto"/>
        <w:rPr>
          <w:sz w:val="20"/>
          <w:szCs w:val="20"/>
          <w:color w:val="auto"/>
        </w:rPr>
      </w:pPr>
      <w:r>
        <w:rPr>
          <w:rFonts w:ascii="Arial" w:cs="Arial" w:eastAsia="Arial" w:hAnsi="Arial"/>
          <w:sz w:val="17"/>
          <w:szCs w:val="17"/>
          <w:color w:val="auto"/>
        </w:rPr>
        <w:t>Counsel for the company has further advised that a participant will not be deemed to have received any taxable income under the Internal Revenue Code as a result of a deferral election until the participant receives a distribution. When a distribution is made from a cash account or stock unit account, the participant will recognize ordinary income equal to the value of any cash and shares received. The company will be entitled to a deduction for federal income tax purposes at the time a distribution is made from a cash account or stock unit account in an amount equal to the income recognized by the participant.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board of directors recommends a vote “FOR” the Texas Instruments 2009 Director Compensation Plan.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the company’s equity compensation plans as of December 31,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jc w:val="center"/>
              <w:ind w:left="90"/>
              <w:spacing w:after="0"/>
              <w:rPr>
                <w:sz w:val="20"/>
                <w:szCs w:val="20"/>
                <w:color w:val="auto"/>
              </w:rPr>
            </w:pPr>
            <w:r>
              <w:rPr>
                <w:rFonts w:ascii="Arial" w:cs="Arial" w:eastAsia="Arial" w:hAnsi="Arial"/>
                <w:sz w:val="13"/>
                <w:szCs w:val="13"/>
                <w:b w:val="1"/>
                <w:bCs w:val="1"/>
                <w:color w:val="auto"/>
              </w:rPr>
              <w:t>Number of</w:t>
            </w:r>
          </w:p>
        </w:tc>
      </w:tr>
      <w:tr>
        <w:trPr>
          <w:trHeight w:val="142"/>
        </w:trPr>
        <w:tc>
          <w:tcPr>
            <w:tcW w:w="7380" w:type="dxa"/>
            <w:vAlign w:val="bottom"/>
          </w:tcPr>
          <w:p>
            <w:pPr>
              <w:spacing w:after="0"/>
              <w:rPr>
                <w:sz w:val="12"/>
                <w:szCs w:val="12"/>
                <w:color w:val="auto"/>
              </w:rPr>
            </w:pPr>
          </w:p>
        </w:tc>
        <w:tc>
          <w:tcPr>
            <w:tcW w:w="13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98"/>
              </w:rPr>
              <w:t>Number of</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jc w:val="center"/>
              <w:ind w:left="90"/>
              <w:spacing w:after="0" w:line="143" w:lineRule="exact"/>
              <w:rPr>
                <w:sz w:val="20"/>
                <w:szCs w:val="20"/>
                <w:color w:val="auto"/>
              </w:rPr>
            </w:pPr>
            <w:r>
              <w:rPr>
                <w:rFonts w:ascii="Arial" w:cs="Arial" w:eastAsia="Arial" w:hAnsi="Arial"/>
                <w:sz w:val="13"/>
                <w:szCs w:val="13"/>
                <w:b w:val="1"/>
                <w:bCs w:val="1"/>
                <w:color w:val="auto"/>
                <w:w w:val="99"/>
              </w:rPr>
              <w:t>Securities</w:t>
            </w:r>
          </w:p>
        </w:tc>
      </w:tr>
      <w:tr>
        <w:trPr>
          <w:trHeight w:val="142"/>
        </w:trPr>
        <w:tc>
          <w:tcPr>
            <w:tcW w:w="7380" w:type="dxa"/>
            <w:vAlign w:val="bottom"/>
          </w:tcPr>
          <w:p>
            <w:pPr>
              <w:spacing w:after="0"/>
              <w:rPr>
                <w:sz w:val="12"/>
                <w:szCs w:val="12"/>
                <w:color w:val="auto"/>
              </w:rPr>
            </w:pPr>
          </w:p>
        </w:tc>
        <w:tc>
          <w:tcPr>
            <w:tcW w:w="1300" w:type="dxa"/>
            <w:vAlign w:val="bottom"/>
          </w:tcPr>
          <w:p>
            <w:pPr>
              <w:jc w:val="center"/>
              <w:ind w:right="50"/>
              <w:spacing w:after="0" w:line="143" w:lineRule="exact"/>
              <w:rPr>
                <w:sz w:val="20"/>
                <w:szCs w:val="20"/>
                <w:color w:val="auto"/>
              </w:rPr>
            </w:pPr>
            <w:r>
              <w:rPr>
                <w:rFonts w:ascii="Arial" w:cs="Arial" w:eastAsia="Arial" w:hAnsi="Arial"/>
                <w:sz w:val="13"/>
                <w:szCs w:val="13"/>
                <w:b w:val="1"/>
                <w:bCs w:val="1"/>
                <w:color w:val="auto"/>
                <w:w w:val="99"/>
              </w:rPr>
              <w:t>Securities</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jc w:val="center"/>
              <w:ind w:left="90"/>
              <w:spacing w:after="0" w:line="143" w:lineRule="exact"/>
              <w:rPr>
                <w:sz w:val="20"/>
                <w:szCs w:val="20"/>
                <w:color w:val="auto"/>
              </w:rPr>
            </w:pPr>
            <w:r>
              <w:rPr>
                <w:rFonts w:ascii="Arial" w:cs="Arial" w:eastAsia="Arial" w:hAnsi="Arial"/>
                <w:sz w:val="13"/>
                <w:szCs w:val="13"/>
                <w:b w:val="1"/>
                <w:bCs w:val="1"/>
                <w:color w:val="auto"/>
                <w:w w:val="99"/>
              </w:rPr>
              <w:t>Remaining</w:t>
            </w:r>
          </w:p>
        </w:tc>
      </w:tr>
      <w:tr>
        <w:trPr>
          <w:trHeight w:val="142"/>
        </w:trPr>
        <w:tc>
          <w:tcPr>
            <w:tcW w:w="7380" w:type="dxa"/>
            <w:vAlign w:val="bottom"/>
          </w:tcPr>
          <w:p>
            <w:pPr>
              <w:spacing w:after="0"/>
              <w:rPr>
                <w:sz w:val="12"/>
                <w:szCs w:val="12"/>
                <w:color w:val="auto"/>
              </w:rPr>
            </w:pPr>
          </w:p>
        </w:tc>
        <w:tc>
          <w:tcPr>
            <w:tcW w:w="13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99"/>
              </w:rPr>
              <w:t>to be Issued Upon</w:t>
            </w:r>
          </w:p>
        </w:tc>
        <w:tc>
          <w:tcPr>
            <w:tcW w:w="144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8"/>
              </w:rPr>
              <w:t>Weighted-Average</w:t>
            </w:r>
          </w:p>
        </w:tc>
        <w:tc>
          <w:tcPr>
            <w:tcW w:w="1300" w:type="dxa"/>
            <w:vAlign w:val="bottom"/>
          </w:tcPr>
          <w:p>
            <w:pPr>
              <w:jc w:val="center"/>
              <w:ind w:left="90"/>
              <w:spacing w:after="0" w:line="143" w:lineRule="exact"/>
              <w:rPr>
                <w:sz w:val="20"/>
                <w:szCs w:val="20"/>
                <w:color w:val="auto"/>
              </w:rPr>
            </w:pPr>
            <w:r>
              <w:rPr>
                <w:rFonts w:ascii="Arial" w:cs="Arial" w:eastAsia="Arial" w:hAnsi="Arial"/>
                <w:sz w:val="13"/>
                <w:szCs w:val="13"/>
                <w:b w:val="1"/>
                <w:bCs w:val="1"/>
                <w:color w:val="auto"/>
              </w:rPr>
              <w:t>Available</w:t>
            </w:r>
          </w:p>
        </w:tc>
      </w:tr>
      <w:tr>
        <w:trPr>
          <w:trHeight w:val="142"/>
        </w:trPr>
        <w:tc>
          <w:tcPr>
            <w:tcW w:w="7380" w:type="dxa"/>
            <w:vAlign w:val="bottom"/>
          </w:tcPr>
          <w:p>
            <w:pPr>
              <w:spacing w:after="0"/>
              <w:rPr>
                <w:sz w:val="12"/>
                <w:szCs w:val="12"/>
                <w:color w:val="auto"/>
              </w:rPr>
            </w:pPr>
          </w:p>
        </w:tc>
        <w:tc>
          <w:tcPr>
            <w:tcW w:w="13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97"/>
              </w:rPr>
              <w:t>Exercise of</w:t>
            </w:r>
          </w:p>
        </w:tc>
        <w:tc>
          <w:tcPr>
            <w:tcW w:w="144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9"/>
              </w:rPr>
              <w:t>Exercise Price of</w:t>
            </w:r>
          </w:p>
        </w:tc>
        <w:tc>
          <w:tcPr>
            <w:tcW w:w="1300" w:type="dxa"/>
            <w:vAlign w:val="bottom"/>
          </w:tcPr>
          <w:p>
            <w:pPr>
              <w:jc w:val="center"/>
              <w:ind w:left="90"/>
              <w:spacing w:after="0" w:line="143" w:lineRule="exact"/>
              <w:rPr>
                <w:sz w:val="20"/>
                <w:szCs w:val="20"/>
                <w:color w:val="auto"/>
              </w:rPr>
            </w:pPr>
            <w:r>
              <w:rPr>
                <w:rFonts w:ascii="Arial" w:cs="Arial" w:eastAsia="Arial" w:hAnsi="Arial"/>
                <w:sz w:val="13"/>
                <w:szCs w:val="13"/>
                <w:b w:val="1"/>
                <w:bCs w:val="1"/>
                <w:color w:val="auto"/>
              </w:rPr>
              <w:t>for Future</w:t>
            </w:r>
          </w:p>
        </w:tc>
      </w:tr>
      <w:tr>
        <w:trPr>
          <w:trHeight w:val="142"/>
        </w:trPr>
        <w:tc>
          <w:tcPr>
            <w:tcW w:w="7380" w:type="dxa"/>
            <w:vAlign w:val="bottom"/>
          </w:tcPr>
          <w:p>
            <w:pPr>
              <w:spacing w:after="0"/>
              <w:rPr>
                <w:sz w:val="12"/>
                <w:szCs w:val="12"/>
                <w:color w:val="auto"/>
              </w:rPr>
            </w:pPr>
          </w:p>
        </w:tc>
        <w:tc>
          <w:tcPr>
            <w:tcW w:w="13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99"/>
              </w:rPr>
              <w:t>Outstanding</w:t>
            </w:r>
          </w:p>
        </w:tc>
        <w:tc>
          <w:tcPr>
            <w:tcW w:w="144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9"/>
              </w:rPr>
              <w:t>Outstanding</w:t>
            </w:r>
          </w:p>
        </w:tc>
        <w:tc>
          <w:tcPr>
            <w:tcW w:w="1300" w:type="dxa"/>
            <w:vAlign w:val="bottom"/>
          </w:tcPr>
          <w:p>
            <w:pPr>
              <w:jc w:val="center"/>
              <w:ind w:left="90"/>
              <w:spacing w:after="0" w:line="143" w:lineRule="exact"/>
              <w:rPr>
                <w:sz w:val="20"/>
                <w:szCs w:val="20"/>
                <w:color w:val="auto"/>
              </w:rPr>
            </w:pPr>
            <w:r>
              <w:rPr>
                <w:rFonts w:ascii="Arial" w:cs="Arial" w:eastAsia="Arial" w:hAnsi="Arial"/>
                <w:sz w:val="13"/>
                <w:szCs w:val="13"/>
                <w:b w:val="1"/>
                <w:bCs w:val="1"/>
                <w:color w:val="auto"/>
                <w:w w:val="96"/>
              </w:rPr>
              <w:t>Issuance</w:t>
            </w:r>
          </w:p>
        </w:tc>
      </w:tr>
      <w:tr>
        <w:trPr>
          <w:trHeight w:val="142"/>
        </w:trPr>
        <w:tc>
          <w:tcPr>
            <w:tcW w:w="7380" w:type="dxa"/>
            <w:vAlign w:val="bottom"/>
          </w:tcPr>
          <w:p>
            <w:pPr>
              <w:spacing w:after="0"/>
              <w:rPr>
                <w:sz w:val="12"/>
                <w:szCs w:val="12"/>
                <w:color w:val="auto"/>
              </w:rPr>
            </w:pPr>
          </w:p>
        </w:tc>
        <w:tc>
          <w:tcPr>
            <w:tcW w:w="1300" w:type="dxa"/>
            <w:vAlign w:val="bottom"/>
          </w:tcPr>
          <w:p>
            <w:pPr>
              <w:jc w:val="center"/>
              <w:ind w:right="70"/>
              <w:spacing w:after="0" w:line="143" w:lineRule="exact"/>
              <w:rPr>
                <w:sz w:val="20"/>
                <w:szCs w:val="20"/>
                <w:color w:val="auto"/>
              </w:rPr>
            </w:pPr>
            <w:r>
              <w:rPr>
                <w:rFonts w:ascii="Arial" w:cs="Arial" w:eastAsia="Arial" w:hAnsi="Arial"/>
                <w:sz w:val="13"/>
                <w:szCs w:val="13"/>
                <w:b w:val="1"/>
                <w:bCs w:val="1"/>
                <w:color w:val="auto"/>
                <w:w w:val="98"/>
              </w:rPr>
              <w:t>Options,</w:t>
            </w:r>
          </w:p>
        </w:tc>
        <w:tc>
          <w:tcPr>
            <w:tcW w:w="144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8"/>
              </w:rPr>
              <w:t>Options,</w:t>
            </w:r>
          </w:p>
        </w:tc>
        <w:tc>
          <w:tcPr>
            <w:tcW w:w="1300" w:type="dxa"/>
            <w:vAlign w:val="bottom"/>
          </w:tcPr>
          <w:p>
            <w:pPr>
              <w:jc w:val="center"/>
              <w:ind w:left="90"/>
              <w:spacing w:after="0" w:line="143" w:lineRule="exact"/>
              <w:rPr>
                <w:sz w:val="20"/>
                <w:szCs w:val="20"/>
                <w:color w:val="auto"/>
              </w:rPr>
            </w:pPr>
            <w:r>
              <w:rPr>
                <w:rFonts w:ascii="Arial" w:cs="Arial" w:eastAsia="Arial" w:hAnsi="Arial"/>
                <w:sz w:val="13"/>
                <w:szCs w:val="13"/>
                <w:b w:val="1"/>
                <w:bCs w:val="1"/>
                <w:color w:val="auto"/>
                <w:w w:val="98"/>
              </w:rPr>
              <w:t>under Equity</w:t>
            </w:r>
          </w:p>
        </w:tc>
      </w:tr>
      <w:tr>
        <w:trPr>
          <w:trHeight w:val="171"/>
        </w:trPr>
        <w:tc>
          <w:tcPr>
            <w:tcW w:w="7380" w:type="dxa"/>
            <w:vAlign w:val="bottom"/>
          </w:tcPr>
          <w:p>
            <w:pPr>
              <w:spacing w:after="0"/>
              <w:rPr>
                <w:sz w:val="14"/>
                <w:szCs w:val="14"/>
                <w:color w:val="auto"/>
              </w:rPr>
            </w:pPr>
          </w:p>
        </w:tc>
        <w:tc>
          <w:tcPr>
            <w:tcW w:w="1300" w:type="dxa"/>
            <w:vAlign w:val="bottom"/>
          </w:tcPr>
          <w:p>
            <w:pPr>
              <w:jc w:val="center"/>
              <w:ind w:right="70"/>
              <w:spacing w:after="0"/>
              <w:rPr>
                <w:sz w:val="20"/>
                <w:szCs w:val="20"/>
                <w:color w:val="auto"/>
              </w:rPr>
            </w:pPr>
            <w:r>
              <w:rPr>
                <w:rFonts w:ascii="Arial" w:cs="Arial" w:eastAsia="Arial" w:hAnsi="Arial"/>
                <w:sz w:val="13"/>
                <w:szCs w:val="13"/>
                <w:b w:val="1"/>
                <w:bCs w:val="1"/>
                <w:color w:val="auto"/>
              </w:rPr>
              <w:t>Warrants and</w:t>
            </w: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Warrants and</w:t>
            </w:r>
          </w:p>
        </w:tc>
        <w:tc>
          <w:tcPr>
            <w:tcW w:w="1300" w:type="dxa"/>
            <w:vAlign w:val="bottom"/>
          </w:tcPr>
          <w:p>
            <w:pPr>
              <w:jc w:val="center"/>
              <w:ind w:left="90"/>
              <w:spacing w:after="0"/>
              <w:rPr>
                <w:sz w:val="20"/>
                <w:szCs w:val="20"/>
                <w:color w:val="auto"/>
              </w:rPr>
            </w:pPr>
            <w:r>
              <w:rPr>
                <w:rFonts w:ascii="Arial" w:cs="Arial" w:eastAsia="Arial" w:hAnsi="Arial"/>
                <w:sz w:val="13"/>
                <w:szCs w:val="13"/>
                <w:b w:val="1"/>
                <w:bCs w:val="1"/>
                <w:color w:val="auto"/>
                <w:w w:val="99"/>
              </w:rPr>
              <w:t>Compensation</w:t>
            </w:r>
          </w:p>
        </w:tc>
      </w:tr>
      <w:tr>
        <w:trPr>
          <w:trHeight w:val="221"/>
        </w:trPr>
        <w:tc>
          <w:tcPr>
            <w:tcW w:w="738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1300" w:type="dxa"/>
            <w:vAlign w:val="bottom"/>
          </w:tcPr>
          <w:p>
            <w:pPr>
              <w:jc w:val="center"/>
              <w:ind w:right="70"/>
              <w:spacing w:after="0"/>
              <w:rPr>
                <w:sz w:val="20"/>
                <w:szCs w:val="20"/>
                <w:color w:val="auto"/>
              </w:rPr>
            </w:pPr>
            <w:r>
              <w:rPr>
                <w:rFonts w:ascii="Arial" w:cs="Arial" w:eastAsia="Arial" w:hAnsi="Arial"/>
                <w:sz w:val="13"/>
                <w:szCs w:val="13"/>
                <w:b w:val="1"/>
                <w:bCs w:val="1"/>
                <w:color w:val="auto"/>
                <w:w w:val="98"/>
              </w:rPr>
              <w:t>Rights</w:t>
            </w:r>
          </w:p>
        </w:tc>
        <w:tc>
          <w:tcPr>
            <w:tcW w:w="500" w:type="dxa"/>
            <w:vAlign w:val="bottom"/>
          </w:tcPr>
          <w:p>
            <w:pPr>
              <w:spacing w:after="0"/>
              <w:rPr>
                <w:sz w:val="19"/>
                <w:szCs w:val="19"/>
                <w:color w:val="auto"/>
              </w:rPr>
            </w:pPr>
          </w:p>
        </w:tc>
        <w:tc>
          <w:tcPr>
            <w:tcW w:w="940" w:type="dxa"/>
            <w:vAlign w:val="bottom"/>
          </w:tcPr>
          <w:p>
            <w:pPr>
              <w:jc w:val="center"/>
              <w:ind w:right="421"/>
              <w:spacing w:after="0"/>
              <w:rPr>
                <w:sz w:val="20"/>
                <w:szCs w:val="20"/>
                <w:color w:val="auto"/>
              </w:rPr>
            </w:pPr>
            <w:r>
              <w:rPr>
                <w:rFonts w:ascii="Arial" w:cs="Arial" w:eastAsia="Arial" w:hAnsi="Arial"/>
                <w:sz w:val="13"/>
                <w:szCs w:val="13"/>
                <w:b w:val="1"/>
                <w:bCs w:val="1"/>
                <w:color w:val="auto"/>
                <w:w w:val="98"/>
              </w:rPr>
              <w:t>Rights</w:t>
            </w:r>
          </w:p>
        </w:tc>
        <w:tc>
          <w:tcPr>
            <w:tcW w:w="1300" w:type="dxa"/>
            <w:vAlign w:val="bottom"/>
          </w:tcPr>
          <w:p>
            <w:pPr>
              <w:jc w:val="center"/>
              <w:ind w:left="90"/>
              <w:spacing w:after="0"/>
              <w:rPr>
                <w:sz w:val="20"/>
                <w:szCs w:val="20"/>
                <w:color w:val="auto"/>
              </w:rPr>
            </w:pPr>
            <w:r>
              <w:rPr>
                <w:rFonts w:ascii="Arial" w:cs="Arial" w:eastAsia="Arial" w:hAnsi="Arial"/>
                <w:sz w:val="13"/>
                <w:szCs w:val="13"/>
                <w:b w:val="1"/>
                <w:bCs w:val="1"/>
                <w:color w:val="auto"/>
                <w:w w:val="97"/>
              </w:rPr>
              <w:t>Plans</w:t>
            </w:r>
          </w:p>
        </w:tc>
      </w:tr>
      <w:tr>
        <w:trPr>
          <w:trHeight w:val="233"/>
        </w:trPr>
        <w:tc>
          <w:tcPr>
            <w:tcW w:w="7380" w:type="dxa"/>
            <w:vAlign w:val="bottom"/>
            <w:shd w:val="clear" w:color="auto" w:fill="E9E9E9"/>
          </w:tcPr>
          <w:p>
            <w:pPr>
              <w:spacing w:after="0"/>
              <w:rPr>
                <w:sz w:val="20"/>
                <w:szCs w:val="20"/>
                <w:color w:val="auto"/>
              </w:rPr>
            </w:pPr>
          </w:p>
        </w:tc>
        <w:tc>
          <w:tcPr>
            <w:tcW w:w="1300" w:type="dxa"/>
            <w:vAlign w:val="bottom"/>
            <w:shd w:val="clear" w:color="auto" w:fill="E9E9E9"/>
          </w:tcPr>
          <w:p>
            <w:pPr>
              <w:spacing w:after="0"/>
              <w:rPr>
                <w:sz w:val="20"/>
                <w:szCs w:val="20"/>
                <w:color w:val="auto"/>
              </w:rPr>
            </w:pPr>
          </w:p>
        </w:tc>
        <w:tc>
          <w:tcPr>
            <w:tcW w:w="500" w:type="dxa"/>
            <w:vAlign w:val="bottom"/>
            <w:shd w:val="clear" w:color="auto" w:fill="E9E9E9"/>
          </w:tcPr>
          <w:p>
            <w:pPr>
              <w:spacing w:after="0"/>
              <w:rPr>
                <w:sz w:val="20"/>
                <w:szCs w:val="20"/>
                <w:color w:val="auto"/>
              </w:rPr>
            </w:pPr>
          </w:p>
        </w:tc>
        <w:tc>
          <w:tcPr>
            <w:tcW w:w="940" w:type="dxa"/>
            <w:vAlign w:val="bottom"/>
            <w:shd w:val="clear" w:color="auto" w:fill="E9E9E9"/>
          </w:tcPr>
          <w:p>
            <w:pPr>
              <w:spacing w:after="0"/>
              <w:rPr>
                <w:sz w:val="20"/>
                <w:szCs w:val="20"/>
                <w:color w:val="auto"/>
              </w:rPr>
            </w:pPr>
          </w:p>
        </w:tc>
        <w:tc>
          <w:tcPr>
            <w:tcW w:w="1300" w:type="dxa"/>
            <w:vAlign w:val="bottom"/>
            <w:shd w:val="clear" w:color="auto" w:fill="E9E9E9"/>
          </w:tcPr>
          <w:p>
            <w:pPr>
              <w:spacing w:after="0"/>
              <w:rPr>
                <w:sz w:val="20"/>
                <w:szCs w:val="20"/>
                <w:color w:val="auto"/>
              </w:rPr>
            </w:pPr>
          </w:p>
        </w:tc>
      </w:tr>
      <w:tr>
        <w:trPr>
          <w:trHeight w:val="194"/>
        </w:trPr>
        <w:tc>
          <w:tcPr>
            <w:tcW w:w="7380" w:type="dxa"/>
            <w:vAlign w:val="bottom"/>
            <w:shd w:val="clear" w:color="auto" w:fill="C0C0C0"/>
          </w:tcPr>
          <w:p>
            <w:pPr>
              <w:spacing w:after="0" w:line="194" w:lineRule="exact"/>
              <w:rPr>
                <w:sz w:val="20"/>
                <w:szCs w:val="20"/>
                <w:color w:val="auto"/>
              </w:rPr>
            </w:pPr>
            <w:r>
              <w:rPr>
                <w:rFonts w:ascii="Arial" w:cs="Arial" w:eastAsia="Arial" w:hAnsi="Arial"/>
                <w:sz w:val="17"/>
                <w:szCs w:val="17"/>
                <w:color w:val="auto"/>
              </w:rPr>
              <w:t>Equity compensation plans</w:t>
            </w:r>
          </w:p>
        </w:tc>
        <w:tc>
          <w:tcPr>
            <w:tcW w:w="130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940" w:type="dxa"/>
            <w:vAlign w:val="bottom"/>
            <w:shd w:val="clear" w:color="auto" w:fill="C0C0C0"/>
          </w:tcPr>
          <w:p>
            <w:pPr>
              <w:spacing w:after="0"/>
              <w:rPr>
                <w:sz w:val="16"/>
                <w:szCs w:val="16"/>
                <w:color w:val="auto"/>
              </w:rPr>
            </w:pPr>
          </w:p>
        </w:tc>
        <w:tc>
          <w:tcPr>
            <w:tcW w:w="1300" w:type="dxa"/>
            <w:vAlign w:val="bottom"/>
            <w:shd w:val="clear" w:color="auto" w:fill="C0C0C0"/>
          </w:tcPr>
          <w:p>
            <w:pPr>
              <w:spacing w:after="0"/>
              <w:rPr>
                <w:sz w:val="16"/>
                <w:szCs w:val="16"/>
                <w:color w:val="auto"/>
              </w:rPr>
            </w:pPr>
          </w:p>
        </w:tc>
      </w:tr>
      <w:tr>
        <w:trPr>
          <w:trHeight w:val="233"/>
        </w:trPr>
        <w:tc>
          <w:tcPr>
            <w:tcW w:w="73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approved by security holders</w:t>
            </w:r>
          </w:p>
        </w:tc>
        <w:tc>
          <w:tcPr>
            <w:tcW w:w="1300" w:type="dxa"/>
            <w:vAlign w:val="bottom"/>
            <w:shd w:val="clear" w:color="auto" w:fill="C0C0C0"/>
          </w:tcPr>
          <w:p>
            <w:pPr>
              <w:jc w:val="right"/>
              <w:ind w:right="70"/>
              <w:spacing w:after="0"/>
              <w:rPr>
                <w:sz w:val="20"/>
                <w:szCs w:val="20"/>
                <w:color w:val="auto"/>
              </w:rPr>
            </w:pPr>
            <w:r>
              <w:rPr>
                <w:rFonts w:ascii="Arial" w:cs="Arial" w:eastAsia="Arial" w:hAnsi="Arial"/>
                <w:sz w:val="17"/>
                <w:szCs w:val="17"/>
                <w:color w:val="auto"/>
                <w:w w:val="98"/>
              </w:rPr>
              <w:t>120,221,106(1)</w:t>
            </w: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ind w:left="60"/>
              <w:spacing w:after="0"/>
              <w:rPr>
                <w:sz w:val="20"/>
                <w:szCs w:val="20"/>
                <w:color w:val="auto"/>
              </w:rPr>
            </w:pPr>
            <w:r>
              <w:rPr>
                <w:rFonts w:ascii="Arial" w:cs="Arial" w:eastAsia="Arial" w:hAnsi="Arial"/>
                <w:sz w:val="17"/>
                <w:szCs w:val="17"/>
                <w:color w:val="auto"/>
              </w:rPr>
              <w:t>33.55(2)</w:t>
            </w:r>
          </w:p>
        </w:tc>
        <w:tc>
          <w:tcPr>
            <w:tcW w:w="1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90,851,474(3)</w:t>
            </w:r>
          </w:p>
        </w:tc>
      </w:tr>
      <w:tr>
        <w:trPr>
          <w:trHeight w:val="205"/>
        </w:trPr>
        <w:tc>
          <w:tcPr>
            <w:tcW w:w="7380" w:type="dxa"/>
            <w:vAlign w:val="bottom"/>
          </w:tcPr>
          <w:p>
            <w:pPr>
              <w:spacing w:after="0"/>
              <w:rPr>
                <w:sz w:val="20"/>
                <w:szCs w:val="20"/>
                <w:color w:val="auto"/>
              </w:rPr>
            </w:pPr>
            <w:r>
              <w:rPr>
                <w:rFonts w:ascii="Arial" w:cs="Arial" w:eastAsia="Arial" w:hAnsi="Arial"/>
                <w:sz w:val="17"/>
                <w:szCs w:val="17"/>
                <w:color w:val="auto"/>
              </w:rPr>
              <w:t>Equity compensation plans</w:t>
            </w: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2"/>
        </w:trPr>
        <w:tc>
          <w:tcPr>
            <w:tcW w:w="7380" w:type="dxa"/>
            <w:vAlign w:val="bottom"/>
          </w:tcPr>
          <w:p>
            <w:pPr>
              <w:ind w:left="260"/>
              <w:spacing w:after="0"/>
              <w:rPr>
                <w:sz w:val="20"/>
                <w:szCs w:val="20"/>
                <w:color w:val="auto"/>
              </w:rPr>
            </w:pPr>
            <w:r>
              <w:rPr>
                <w:rFonts w:ascii="Arial" w:cs="Arial" w:eastAsia="Arial" w:hAnsi="Arial"/>
                <w:sz w:val="17"/>
                <w:szCs w:val="17"/>
                <w:color w:val="auto"/>
              </w:rPr>
              <w:t>not approved by security holders</w:t>
            </w:r>
          </w:p>
        </w:tc>
        <w:tc>
          <w:tcPr>
            <w:tcW w:w="1300" w:type="dxa"/>
            <w:vAlign w:val="bottom"/>
          </w:tcPr>
          <w:p>
            <w:pPr>
              <w:jc w:val="right"/>
              <w:ind w:right="70"/>
              <w:spacing w:after="0"/>
              <w:rPr>
                <w:sz w:val="20"/>
                <w:szCs w:val="20"/>
                <w:color w:val="auto"/>
              </w:rPr>
            </w:pPr>
            <w:r>
              <w:rPr>
                <w:rFonts w:ascii="Arial" w:cs="Arial" w:eastAsia="Arial" w:hAnsi="Arial"/>
                <w:sz w:val="17"/>
                <w:szCs w:val="17"/>
                <w:color w:val="auto"/>
              </w:rPr>
              <w:t>72,347,886(4)</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ind w:left="60"/>
              <w:spacing w:after="0"/>
              <w:rPr>
                <w:sz w:val="20"/>
                <w:szCs w:val="20"/>
                <w:color w:val="auto"/>
              </w:rPr>
            </w:pPr>
            <w:r>
              <w:rPr>
                <w:rFonts w:ascii="Arial" w:cs="Arial" w:eastAsia="Arial" w:hAnsi="Arial"/>
                <w:sz w:val="17"/>
                <w:szCs w:val="17"/>
                <w:color w:val="auto"/>
              </w:rPr>
              <w:t>27.11(2)</w:t>
            </w:r>
          </w:p>
        </w:tc>
        <w:tc>
          <w:tcPr>
            <w:tcW w:w="1300" w:type="dxa"/>
            <w:vAlign w:val="bottom"/>
          </w:tcPr>
          <w:p>
            <w:pPr>
              <w:jc w:val="right"/>
              <w:spacing w:after="0"/>
              <w:rPr>
                <w:sz w:val="20"/>
                <w:szCs w:val="20"/>
                <w:color w:val="auto"/>
              </w:rPr>
            </w:pPr>
            <w:r>
              <w:rPr>
                <w:rFonts w:ascii="Arial" w:cs="Arial" w:eastAsia="Arial" w:hAnsi="Arial"/>
                <w:sz w:val="17"/>
                <w:szCs w:val="17"/>
                <w:color w:val="auto"/>
              </w:rPr>
              <w:t>152,727,260(5)</w:t>
            </w:r>
          </w:p>
        </w:tc>
      </w:tr>
      <w:tr>
        <w:trPr>
          <w:trHeight w:val="233"/>
        </w:trPr>
        <w:tc>
          <w:tcPr>
            <w:tcW w:w="7380" w:type="dxa"/>
            <w:vAlign w:val="bottom"/>
            <w:shd w:val="clear" w:color="auto" w:fill="C0C0C0"/>
          </w:tcPr>
          <w:p>
            <w:pPr>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0C0C0"/>
          </w:tcPr>
          <w:p>
            <w:pPr>
              <w:jc w:val="right"/>
              <w:ind w:right="290"/>
              <w:spacing w:after="0"/>
              <w:rPr>
                <w:sz w:val="20"/>
                <w:szCs w:val="20"/>
                <w:color w:val="auto"/>
              </w:rPr>
            </w:pPr>
            <w:r>
              <w:rPr>
                <w:rFonts w:ascii="Arial" w:cs="Arial" w:eastAsia="Arial" w:hAnsi="Arial"/>
                <w:sz w:val="17"/>
                <w:szCs w:val="17"/>
                <w:color w:val="auto"/>
                <w:w w:val="97"/>
              </w:rPr>
              <w:t>192,568,992</w:t>
            </w: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ind w:left="60"/>
              <w:spacing w:after="0"/>
              <w:rPr>
                <w:sz w:val="20"/>
                <w:szCs w:val="20"/>
                <w:color w:val="auto"/>
              </w:rPr>
            </w:pPr>
            <w:r>
              <w:rPr>
                <w:rFonts w:ascii="Arial" w:cs="Arial" w:eastAsia="Arial" w:hAnsi="Arial"/>
                <w:sz w:val="17"/>
                <w:szCs w:val="17"/>
                <w:color w:val="auto"/>
              </w:rPr>
              <w:t>31.22</w:t>
            </w:r>
          </w:p>
        </w:tc>
        <w:tc>
          <w:tcPr>
            <w:tcW w:w="1300" w:type="dxa"/>
            <w:vAlign w:val="bottom"/>
            <w:shd w:val="clear" w:color="auto" w:fill="C0C0C0"/>
          </w:tcPr>
          <w:p>
            <w:pPr>
              <w:jc w:val="right"/>
              <w:ind w:right="130"/>
              <w:spacing w:after="0"/>
              <w:rPr>
                <w:sz w:val="20"/>
                <w:szCs w:val="20"/>
                <w:color w:val="auto"/>
              </w:rPr>
            </w:pPr>
            <w:r>
              <w:rPr>
                <w:rFonts w:ascii="Arial" w:cs="Arial" w:eastAsia="Arial" w:hAnsi="Arial"/>
                <w:sz w:val="17"/>
                <w:szCs w:val="17"/>
                <w:color w:val="auto"/>
              </w:rPr>
              <w:t>243,578,734</w:t>
            </w:r>
          </w:p>
        </w:tc>
      </w:tr>
    </w:tbl>
    <w:p>
      <w:pPr>
        <w:spacing w:after="0" w:line="236" w:lineRule="exact"/>
        <w:rPr>
          <w:sz w:val="20"/>
          <w:szCs w:val="20"/>
          <w:color w:val="auto"/>
        </w:rPr>
      </w:pPr>
    </w:p>
    <w:p>
      <w:pPr>
        <w:ind w:left="440" w:right="220" w:hanging="436"/>
        <w:spacing w:after="0" w:line="246"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shares of TI common stock to be issued under the Texas Instruments 2000 Long-Term Incentive Plan and predecessor plans, the Texas Instruments 2003 Director Compensation Plan and the TI Employees 2005 Stock Purchase Plan.</w:t>
      </w:r>
    </w:p>
    <w:p>
      <w:pPr>
        <w:spacing w:after="0" w:line="19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7"/>
          <w:szCs w:val="17"/>
          <w:color w:val="auto"/>
        </w:rPr>
        <w:t>Excludes the following:</w:t>
      </w:r>
    </w:p>
    <w:p>
      <w:pPr>
        <w:spacing w:after="0" w:line="24" w:lineRule="exact"/>
        <w:rPr>
          <w:rFonts w:ascii="Arial" w:cs="Arial" w:eastAsia="Arial" w:hAnsi="Arial"/>
          <w:sz w:val="17"/>
          <w:szCs w:val="17"/>
          <w:color w:val="auto"/>
        </w:rPr>
      </w:pPr>
    </w:p>
    <w:p>
      <w:pPr>
        <w:ind w:left="1160" w:right="220" w:hanging="227"/>
        <w:spacing w:after="0"/>
        <w:rPr>
          <w:rFonts w:ascii="Arial" w:cs="Arial" w:eastAsia="Arial" w:hAnsi="Arial"/>
          <w:sz w:val="17"/>
          <w:szCs w:val="17"/>
          <w:color w:val="auto"/>
        </w:rPr>
      </w:pPr>
      <w:r>
        <w:rPr>
          <w:rFonts w:ascii="Arial" w:cs="Arial" w:eastAsia="Arial" w:hAnsi="Arial"/>
          <w:sz w:val="1"/>
          <w:szCs w:val="1"/>
          <w:color w:val="auto"/>
        </w:rPr>
        <w:drawing>
          <wp:inline distT="0" distB="0" distL="0" distR="0">
            <wp:extent cx="66675" cy="6667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675" cy="66675"/>
                    </a:xfrm>
                    <a:prstGeom prst="rect">
                      <a:avLst/>
                    </a:prstGeom>
                    <a:noFill/>
                    <a:ln>
                      <a:noFill/>
                    </a:ln>
                  </pic:spPr>
                </pic:pic>
              </a:graphicData>
            </a:graphic>
          </wp:inline>
        </w:drawing>
      </w:r>
      <w:r>
        <w:rPr>
          <w:rFonts w:ascii="Arial" w:cs="Arial" w:eastAsia="Arial" w:hAnsi="Arial"/>
          <w:sz w:val="17"/>
          <w:szCs w:val="17"/>
          <w:color w:val="auto"/>
        </w:rPr>
        <w:t xml:space="preserve"> 1,356,335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 and</w:t>
      </w:r>
    </w:p>
    <w:p>
      <w:pPr>
        <w:spacing w:after="0" w:line="30" w:lineRule="exact"/>
        <w:rPr>
          <w:rFonts w:ascii="Arial" w:cs="Arial" w:eastAsia="Arial" w:hAnsi="Arial"/>
          <w:sz w:val="17"/>
          <w:szCs w:val="17"/>
          <w:color w:val="auto"/>
        </w:rPr>
      </w:pPr>
    </w:p>
    <w:p>
      <w:pPr>
        <w:ind w:left="1160" w:hanging="227"/>
        <w:spacing w:after="0"/>
        <w:rPr>
          <w:rFonts w:ascii="Arial" w:cs="Arial" w:eastAsia="Arial" w:hAnsi="Arial"/>
          <w:sz w:val="17"/>
          <w:szCs w:val="17"/>
          <w:color w:val="auto"/>
        </w:rPr>
      </w:pPr>
      <w:r>
        <w:rPr>
          <w:rFonts w:ascii="Arial" w:cs="Arial" w:eastAsia="Arial" w:hAnsi="Arial"/>
          <w:sz w:val="1"/>
          <w:szCs w:val="1"/>
          <w:color w:val="auto"/>
        </w:rPr>
        <w:drawing>
          <wp:inline distT="0" distB="0" distL="0" distR="0">
            <wp:extent cx="66675" cy="6667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675" cy="66675"/>
                    </a:xfrm>
                    <a:prstGeom prst="rect">
                      <a:avLst/>
                    </a:prstGeom>
                    <a:noFill/>
                    <a:ln>
                      <a:noFill/>
                    </a:ln>
                  </pic:spPr>
                </pic:pic>
              </a:graphicData>
            </a:graphic>
          </wp:inline>
        </w:drawing>
      </w:r>
      <w:r>
        <w:rPr>
          <w:rFonts w:ascii="Arial" w:cs="Arial" w:eastAsia="Arial" w:hAnsi="Arial"/>
          <w:sz w:val="17"/>
          <w:szCs w:val="17"/>
          <w:color w:val="auto"/>
        </w:rPr>
        <w:t xml:space="preserve"> 47,466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pacing w:after="0" w:line="224" w:lineRule="exact"/>
        <w:rPr>
          <w:rFonts w:ascii="Arial" w:cs="Arial" w:eastAsia="Arial" w:hAnsi="Arial"/>
          <w:sz w:val="17"/>
          <w:szCs w:val="17"/>
          <w:color w:val="auto"/>
        </w:rPr>
      </w:pPr>
    </w:p>
    <w:p>
      <w:pPr>
        <w:ind w:left="440" w:right="60" w:hanging="436"/>
        <w:spacing w:after="0" w:line="246"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220" w:lineRule="exact"/>
        <w:rPr>
          <w:rFonts w:ascii="Arial" w:cs="Arial" w:eastAsia="Arial" w:hAnsi="Arial"/>
          <w:sz w:val="17"/>
          <w:szCs w:val="17"/>
          <w:color w:val="auto"/>
        </w:rPr>
      </w:pPr>
    </w:p>
    <w:p>
      <w:pPr>
        <w:ind w:left="440" w:right="560" w:hanging="436"/>
        <w:spacing w:after="0" w:line="246"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Shares of TI common stock available for issuance under the Texas Instruments 2000 Long-Term Incentive Plan, the Texas Instruments 2003 Director Compensation Plan and the TI Employees 2005 Stock Purchase Plan.</w:t>
      </w:r>
    </w:p>
    <w:p>
      <w:pPr>
        <w:spacing w:after="0" w:line="220" w:lineRule="exact"/>
        <w:rPr>
          <w:rFonts w:ascii="Arial" w:cs="Arial" w:eastAsia="Arial" w:hAnsi="Arial"/>
          <w:sz w:val="17"/>
          <w:szCs w:val="17"/>
          <w:color w:val="auto"/>
        </w:rPr>
      </w:pPr>
    </w:p>
    <w:p>
      <w:pPr>
        <w:ind w:left="440" w:hanging="436"/>
        <w:spacing w:after="0" w:line="239"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shares to be issued under the Texas Instruments 2003 Long-Term Incentive Plan, a plan for non-management employees; executive officers and approximately 200 managers of the company are ineligible to receive awards under the plan. The plan authorizes the grant of: (1) stock options, (2) restricted stock and restricted stock units, (3) performance units and (4) other awards (including stock appreciation rights) valued in whole or in part by reference to or otherwise based on common stock of the company. The plan is administered by a board committee appointed by the board of directors consisting entirely of independent directors (the Committee). The Committee has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may be purchased under any other stock-based award under the plan will not be less than 100 percent of the fair market value of the stock or other security on the effective date of the grant of the option, right or award.</w:t>
      </w:r>
    </w:p>
    <w:p>
      <w:pPr>
        <w:spacing w:after="0" w:line="228" w:lineRule="exact"/>
        <w:rPr>
          <w:rFonts w:ascii="Arial" w:cs="Arial" w:eastAsia="Arial" w:hAnsi="Arial"/>
          <w:sz w:val="17"/>
          <w:szCs w:val="17"/>
          <w:color w:val="auto"/>
        </w:rPr>
      </w:pPr>
    </w:p>
    <w:p>
      <w:pPr>
        <w:ind w:left="440" w:right="20"/>
        <w:spacing w:after="0" w:line="242" w:lineRule="auto"/>
        <w:rPr>
          <w:rFonts w:ascii="Arial" w:cs="Arial" w:eastAsia="Arial" w:hAnsi="Arial"/>
          <w:sz w:val="17"/>
          <w:szCs w:val="17"/>
          <w:color w:val="auto"/>
        </w:rPr>
      </w:pPr>
      <w:r>
        <w:rPr>
          <w:rFonts w:ascii="Arial" w:cs="Arial" w:eastAsia="Arial" w:hAnsi="Arial"/>
          <w:sz w:val="17"/>
          <w:szCs w:val="17"/>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and no further grants may be made under them.</w:t>
      </w:r>
    </w:p>
    <w:p>
      <w:pPr>
        <w:sectPr>
          <w:pgSz w:w="11900" w:h="16838" w:orient="portrait"/>
          <w:cols w:equalWidth="0" w:num="1">
            <w:col w:w="11420"/>
          </w:cols>
          <w:pgMar w:left="240" w:top="143" w:right="239" w:bottom="0" w:gutter="0" w:footer="0" w:header="0"/>
        </w:sectPr>
      </w:pPr>
    </w:p>
    <w:bookmarkStart w:id="30" w:name="page31"/>
    <w:bookmarkEnd w:id="30"/>
    <w:p>
      <w:pPr>
        <w:ind w:left="440" w:right="280" w:hanging="436"/>
        <w:spacing w:after="0" w:line="246"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Shares of TI common stock available for issuance under the Texas Instruments 2003 Long-Term Incentive Plan. Stockholders have approved all other active equity compensation plans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[ 90 ]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w:t>
      </w:r>
    </w:p>
    <w:p>
      <w:pPr>
        <w:spacing w:after="0" w:line="19"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 xml:space="preserve">A stockholder submitted a proposal for consideration at the 2009 annual meeting. The name and address of the stockholder will be furnished promptly upon request made to the company. </w:t>
      </w:r>
      <w:r>
        <w:rPr>
          <w:rFonts w:ascii="Arial" w:cs="Arial" w:eastAsia="Arial" w:hAnsi="Arial"/>
          <w:sz w:val="17"/>
          <w:szCs w:val="17"/>
          <w:i w:val="1"/>
          <w:iCs w:val="1"/>
          <w:color w:val="auto"/>
        </w:rPr>
        <w:t>The board of directors opposes the proposal for the reasons stated after the proposal.</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proposal reads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Resolved:</w:t>
      </w:r>
    </w:p>
    <w:p>
      <w:pPr>
        <w:ind w:right="40"/>
        <w:spacing w:after="0" w:line="242" w:lineRule="auto"/>
        <w:rPr>
          <w:sz w:val="20"/>
          <w:szCs w:val="20"/>
          <w:color w:val="auto"/>
        </w:rPr>
      </w:pPr>
      <w:r>
        <w:rPr>
          <w:rFonts w:ascii="Arial" w:cs="Arial" w:eastAsia="Arial" w:hAnsi="Arial"/>
          <w:sz w:val="17"/>
          <w:szCs w:val="17"/>
          <w:color w:val="auto"/>
        </w:rPr>
        <w:t>Shareholders request that the Board of Directors take the necessary steps to establish a policy or amend the corporate by-laws to require that, whenever possible and subject to any presently existing contractual obligations, the Chairman of the Board be an independent member of the board who has not served as an executive officer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Supporting statement:</w:t>
      </w:r>
    </w:p>
    <w:p>
      <w:pPr>
        <w:ind w:right="220"/>
        <w:spacing w:after="0" w:line="246" w:lineRule="auto"/>
        <w:rPr>
          <w:sz w:val="20"/>
          <w:szCs w:val="20"/>
          <w:color w:val="auto"/>
        </w:rPr>
      </w:pPr>
      <w:r>
        <w:rPr>
          <w:rFonts w:ascii="Arial" w:cs="Arial" w:eastAsia="Arial" w:hAnsi="Arial"/>
          <w:sz w:val="17"/>
          <w:szCs w:val="17"/>
          <w:color w:val="auto"/>
        </w:rPr>
        <w:t>Members of the board of directors are elected to represent shareholders’ interests and pursue the creation of long-term shareholder value. To fulfill this responsibility effectively, a substantial percentage of board members should be independent and accountable to all shareholders.</w:t>
      </w:r>
    </w:p>
    <w:p>
      <w:pPr>
        <w:spacing w:after="0" w:line="14" w:lineRule="exact"/>
        <w:rPr>
          <w:sz w:val="20"/>
          <w:szCs w:val="20"/>
          <w:color w:val="auto"/>
        </w:rPr>
      </w:pPr>
    </w:p>
    <w:p>
      <w:pPr>
        <w:ind w:right="320" w:firstLine="259"/>
        <w:spacing w:after="0" w:line="262" w:lineRule="auto"/>
        <w:rPr>
          <w:sz w:val="20"/>
          <w:szCs w:val="20"/>
          <w:color w:val="auto"/>
        </w:rPr>
      </w:pPr>
      <w:r>
        <w:rPr>
          <w:rFonts w:ascii="Arial" w:cs="Arial" w:eastAsia="Arial" w:hAnsi="Arial"/>
          <w:sz w:val="17"/>
          <w:szCs w:val="17"/>
          <w:color w:val="auto"/>
        </w:rPr>
        <w:t>Increasingly, shareholders are concluding that board leadership should be independent, so as to strengthen board integrity and accountability. We believe the Chairman of the Board should be in an independent director who is neither a former or current executive of the company.</w:t>
      </w:r>
    </w:p>
    <w:p>
      <w:pPr>
        <w:spacing w:after="0" w:line="1" w:lineRule="exact"/>
        <w:rPr>
          <w:sz w:val="20"/>
          <w:szCs w:val="20"/>
          <w:color w:val="auto"/>
        </w:rPr>
      </w:pPr>
    </w:p>
    <w:p>
      <w:pPr>
        <w:ind w:right="280" w:firstLine="259"/>
        <w:spacing w:after="0" w:line="250" w:lineRule="auto"/>
        <w:rPr>
          <w:sz w:val="20"/>
          <w:szCs w:val="20"/>
          <w:color w:val="auto"/>
        </w:rPr>
      </w:pPr>
      <w:r>
        <w:rPr>
          <w:rFonts w:ascii="Arial" w:cs="Arial" w:eastAsia="Arial" w:hAnsi="Arial"/>
          <w:sz w:val="17"/>
          <w:szCs w:val="17"/>
          <w:color w:val="auto"/>
        </w:rPr>
        <w:t>The board is responsible for providing strategic direction, guidance and oversight. A CEO is responsible for the management and operation of a company. A CEO should not be directing, guiding or overseeing himself. Additionally, the skills that make for a good CEO are not necessarily the skills that provide appropriate management of the board of directors.</w:t>
      </w:r>
    </w:p>
    <w:p>
      <w:pPr>
        <w:spacing w:after="0" w:line="11" w:lineRule="exact"/>
        <w:rPr>
          <w:sz w:val="20"/>
          <w:szCs w:val="20"/>
          <w:color w:val="auto"/>
        </w:rPr>
      </w:pPr>
    </w:p>
    <w:p>
      <w:pPr>
        <w:ind w:right="180" w:firstLine="259"/>
        <w:spacing w:after="0" w:line="262" w:lineRule="auto"/>
        <w:rPr>
          <w:sz w:val="20"/>
          <w:szCs w:val="20"/>
          <w:color w:val="auto"/>
        </w:rPr>
      </w:pPr>
      <w:r>
        <w:rPr>
          <w:rFonts w:ascii="Arial" w:cs="Arial" w:eastAsia="Arial" w:hAnsi="Arial"/>
          <w:sz w:val="17"/>
          <w:szCs w:val="17"/>
          <w:color w:val="auto"/>
        </w:rPr>
        <w:t>An independent Chairman is better able to oversee the executives of the company without management conflicts and establish a board agenda that promotes shareholders’ interests. This, in turn, can lead to a more effective board of directors.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An independent Chairman can also enhance relationships with investors and instill greater investor confidence.</w:t>
      </w:r>
    </w:p>
    <w:p>
      <w:pPr>
        <w:spacing w:after="0" w:line="38" w:lineRule="exact"/>
        <w:rPr>
          <w:sz w:val="20"/>
          <w:szCs w:val="20"/>
          <w:color w:val="auto"/>
        </w:rPr>
      </w:pPr>
    </w:p>
    <w:p>
      <w:pPr>
        <w:ind w:right="20" w:firstLine="259"/>
        <w:spacing w:after="0" w:line="244" w:lineRule="auto"/>
        <w:rPr>
          <w:sz w:val="20"/>
          <w:szCs w:val="20"/>
          <w:color w:val="auto"/>
        </w:rPr>
      </w:pPr>
      <w:r>
        <w:rPr>
          <w:rFonts w:ascii="Arial" w:cs="Arial" w:eastAsia="Arial" w:hAnsi="Arial"/>
          <w:sz w:val="17"/>
          <w:szCs w:val="17"/>
          <w:color w:val="auto"/>
        </w:rPr>
        <w:t>We seek to establish an appropriate balance of power between the board and management. We recognize that different board structures can produce effective independent board leadership, and many companies that do not have an independent Chairman of the Board have established a position of lead or presiding independent director whose responsibilities are intended to ensure that the board provides independent oversight of management and the CEO. Although most companies of the size of our company have adopted either a single lead director or independent chair position, we note that our company has not established either position, and thus, we believe it is critical that the Chairman be independent.</w:t>
      </w:r>
    </w:p>
    <w:p>
      <w:pPr>
        <w:spacing w:after="0" w:line="16" w:lineRule="exact"/>
        <w:rPr>
          <w:sz w:val="20"/>
          <w:szCs w:val="20"/>
          <w:color w:val="auto"/>
        </w:rPr>
      </w:pPr>
    </w:p>
    <w:p>
      <w:pPr>
        <w:ind w:right="20" w:firstLine="259"/>
        <w:spacing w:after="0" w:line="250" w:lineRule="auto"/>
        <w:rPr>
          <w:sz w:val="20"/>
          <w:szCs w:val="20"/>
          <w:color w:val="auto"/>
        </w:rPr>
      </w:pPr>
      <w:r>
        <w:rPr>
          <w:rFonts w:ascii="Arial" w:cs="Arial" w:eastAsia="Arial" w:hAnsi="Arial"/>
          <w:sz w:val="17"/>
          <w:szCs w:val="17"/>
          <w:color w:val="auto"/>
        </w:rPr>
        <w:t>An increasing number of companies are recognizing that the separation of the Chairman of the Board and Chief Executive Officer is a matter of sound corporate governance. Current estimates are that 45% of S&amp;P 1500 companies have separated the positions, and 17% have identified independent Chairmen.</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urge our company to take steps to promote shareholders’ interests. We urge a vote FOR this resolution.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The board of directors recommends a vote “AGAINST” the above stockholder proposal for the following reasons:</w:t>
      </w:r>
    </w:p>
    <w:p>
      <w:pPr>
        <w:spacing w:after="0" w:line="38" w:lineRule="exact"/>
        <w:rPr>
          <w:sz w:val="20"/>
          <w:szCs w:val="20"/>
          <w:color w:val="auto"/>
        </w:rPr>
      </w:pPr>
    </w:p>
    <w:p>
      <w:pPr>
        <w:ind w:right="640" w:firstLine="259"/>
        <w:spacing w:after="0" w:line="258" w:lineRule="auto"/>
        <w:rPr>
          <w:sz w:val="20"/>
          <w:szCs w:val="20"/>
          <w:color w:val="auto"/>
        </w:rPr>
      </w:pPr>
      <w:r>
        <w:rPr>
          <w:rFonts w:ascii="Arial" w:cs="Arial" w:eastAsia="Arial" w:hAnsi="Arial"/>
          <w:sz w:val="17"/>
          <w:szCs w:val="17"/>
          <w:color w:val="auto"/>
        </w:rPr>
        <w:t>The directors recommend a vote “</w:t>
      </w:r>
      <w:r>
        <w:rPr>
          <w:rFonts w:ascii="Arial" w:cs="Arial" w:eastAsia="Arial" w:hAnsi="Arial"/>
          <w:sz w:val="17"/>
          <w:szCs w:val="17"/>
          <w:b w:val="1"/>
          <w:bCs w:val="1"/>
          <w:color w:val="auto"/>
        </w:rPr>
        <w:t>AGAINST</w:t>
      </w:r>
      <w:r>
        <w:rPr>
          <w:rFonts w:ascii="Arial" w:cs="Arial" w:eastAsia="Arial" w:hAnsi="Arial"/>
          <w:sz w:val="17"/>
          <w:szCs w:val="17"/>
          <w:color w:val="auto"/>
        </w:rPr>
        <w:t>” the above stockholder proposal because they believe the current structure of the board uniquely provides for a more effective and inclusive form of governance. Specifically: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directors share in the responsibility of setting the board’s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The egalitarian dynamic that this approach renders creates an environment of equal influence and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The absence of a rigid structural policy gives directors flexibility to revise the leadership structure if needed, which it has done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-88900</wp:posOffset>
            </wp:positionV>
            <wp:extent cx="58420" cy="58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Discussion:</w:t>
      </w:r>
    </w:p>
    <w:p>
      <w:pPr>
        <w:ind w:right="60"/>
        <w:spacing w:after="0"/>
        <w:rPr>
          <w:sz w:val="20"/>
          <w:szCs w:val="20"/>
          <w:color w:val="auto"/>
        </w:rPr>
      </w:pPr>
      <w:r>
        <w:rPr>
          <w:rFonts w:ascii="Arial" w:cs="Arial" w:eastAsia="Arial" w:hAnsi="Arial"/>
          <w:sz w:val="17"/>
          <w:szCs w:val="17"/>
          <w:color w:val="auto"/>
        </w:rPr>
        <w:t>The board maintains a long-standing commitment to responsible and effective corporate governance. A critical example of its commitment is the long practice of having a substantial majority of independent directors. Our independent directors are leaders in industry, education and government, and they have not reached their positions without exercising their own critical thought and sound judgment. They do not leave these skills at the TI boardroom door. Collegial, yet rigorous, debate and disagreement at board meetings are common. Their independence is defined not just by satisfying various objective criteria, but also by how the directors relate to one another and TI’s management.</w:t>
      </w:r>
    </w:p>
    <w:p>
      <w:pPr>
        <w:spacing w:after="0" w:line="20" w:lineRule="exact"/>
        <w:rPr>
          <w:sz w:val="20"/>
          <w:szCs w:val="20"/>
          <w:color w:val="auto"/>
        </w:rPr>
      </w:pPr>
    </w:p>
    <w:p>
      <w:pPr>
        <w:ind w:right="60" w:firstLine="259"/>
        <w:spacing w:after="0" w:line="243" w:lineRule="auto"/>
        <w:rPr>
          <w:sz w:val="20"/>
          <w:szCs w:val="20"/>
          <w:color w:val="auto"/>
        </w:rPr>
      </w:pPr>
      <w:r>
        <w:rPr>
          <w:rFonts w:ascii="Arial" w:cs="Arial" w:eastAsia="Arial" w:hAnsi="Arial"/>
          <w:sz w:val="17"/>
          <w:szCs w:val="17"/>
          <w:color w:val="auto"/>
        </w:rPr>
        <w:t>The board chose its current structure and practices to facilitate oversight of management and to fully engage the independent directors. For example, our independent directors meet in executive session at each regularly scheduled meeting to voice their observations and to shape future board agendas. Immediately following each session, the director who served as chair notifies the CEO of the independent directors’ assessment of the meeting and desired agenda for future meetings. Thus does the board have the opportunity to take up issues it believes are important. In addition, each independent director is aware of his or her ability to call a special meeting of the board. These agenda-setting and governance roles would, under the terms of the proposal, be performed only by the chairman instead of by each of TI’s independent directors.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00" w:firstLine="259"/>
        <w:spacing w:after="0" w:line="262" w:lineRule="auto"/>
        <w:rPr>
          <w:sz w:val="20"/>
          <w:szCs w:val="20"/>
          <w:color w:val="auto"/>
        </w:rPr>
      </w:pPr>
      <w:r>
        <w:rPr>
          <w:rFonts w:ascii="Arial" w:cs="Arial" w:eastAsia="Arial" w:hAnsi="Arial"/>
          <w:sz w:val="17"/>
          <w:szCs w:val="17"/>
          <w:color w:val="auto"/>
        </w:rPr>
        <w:t>With these practices, each director has an equal stake in the board’s actions and equal accountability to the corporation and its stockholders. Both of these benefits would be lost if the policy sought by the proponent is implemented.</w:t>
      </w:r>
    </w:p>
    <w:p>
      <w:pPr>
        <w:spacing w:after="0" w:line="1" w:lineRule="exact"/>
        <w:rPr>
          <w:sz w:val="20"/>
          <w:szCs w:val="20"/>
          <w:color w:val="auto"/>
        </w:rPr>
      </w:pPr>
    </w:p>
    <w:p>
      <w:pPr>
        <w:ind w:right="160" w:firstLine="259"/>
        <w:spacing w:after="0" w:line="243" w:lineRule="auto"/>
        <w:rPr>
          <w:sz w:val="20"/>
          <w:szCs w:val="20"/>
          <w:color w:val="auto"/>
        </w:rPr>
      </w:pPr>
      <w:r>
        <w:rPr>
          <w:rFonts w:ascii="Arial" w:cs="Arial" w:eastAsia="Arial" w:hAnsi="Arial"/>
          <w:sz w:val="17"/>
          <w:szCs w:val="17"/>
          <w:color w:val="auto"/>
        </w:rPr>
        <w:t>Finally, the board believes that it is in the best position to determine the structure through which it fulfills its fiduciary obligations, a flexibility the proposal would eliminate. The board regularly monitors corporate governance practices and thoughtfully and deliberately implements the practices that will best ensure the success of the company. Consequently, corporate governance at TI has evolved over time, adapting to meet the needs of TI and its stockholders and will continue to do so as both TI and its board change in the years ahead. The board has separated the roles of Chairman and CEO before when deemed appropriate, and it would do so again if the situation warranted. However, the board has concluded that the existing structure benefits both TI and its stockholders more than the structure advocated by the stockholder proposal.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securities</w:t>
      </w:r>
    </w:p>
    <w:p>
      <w:pPr>
        <w:spacing w:after="0" w:line="1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February 17, 2009, 1,273,392,222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17, 2009, may vote at the meeting or any adjournment of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following table shows the only person who has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ectPr>
          <w:pgSz w:w="11900" w:h="16838" w:orient="portrait"/>
          <w:cols w:equalWidth="0" w:num="1">
            <w:col w:w="11420"/>
          </w:cols>
          <w:pgMar w:left="240" w:top="143" w:right="2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9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8"/>
              </w:rPr>
              <w:t>Shares Owned at</w:t>
            </w:r>
          </w:p>
        </w:tc>
        <w:tc>
          <w:tcPr>
            <w:tcW w:w="620" w:type="dxa"/>
            <w:vAlign w:val="bottom"/>
          </w:tcPr>
          <w:p>
            <w:pPr>
              <w:ind w:left="120"/>
              <w:spacing w:after="0"/>
              <w:rPr>
                <w:sz w:val="20"/>
                <w:szCs w:val="20"/>
                <w:color w:val="auto"/>
              </w:rPr>
            </w:pPr>
            <w:r>
              <w:rPr>
                <w:rFonts w:ascii="Arial" w:cs="Arial" w:eastAsia="Arial" w:hAnsi="Arial"/>
                <w:sz w:val="13"/>
                <w:szCs w:val="13"/>
                <w:b w:val="1"/>
                <w:bCs w:val="1"/>
                <w:color w:val="auto"/>
              </w:rPr>
              <w:t>Percent</w:t>
            </w:r>
          </w:p>
        </w:tc>
      </w:tr>
      <w:tr>
        <w:trPr>
          <w:trHeight w:val="221"/>
        </w:trPr>
        <w:tc>
          <w:tcPr>
            <w:tcW w:w="9400" w:type="dxa"/>
            <w:vAlign w:val="bottom"/>
          </w:tcPr>
          <w:p>
            <w:pPr>
              <w:spacing w:after="0"/>
              <w:rPr>
                <w:sz w:val="20"/>
                <w:szCs w:val="20"/>
                <w:color w:val="auto"/>
              </w:rPr>
            </w:pPr>
            <w:r>
              <w:rPr>
                <w:rFonts w:ascii="Arial" w:cs="Arial" w:eastAsia="Arial" w:hAnsi="Arial"/>
                <w:sz w:val="13"/>
                <w:szCs w:val="13"/>
                <w:b w:val="1"/>
                <w:bCs w:val="1"/>
                <w:color w:val="auto"/>
              </w:rPr>
              <w:t>Name and Address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9"/>
              </w:rPr>
              <w:t>December 31, 2008</w:t>
            </w: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w w:val="98"/>
              </w:rPr>
              <w:t>of Class</w:t>
            </w:r>
          </w:p>
        </w:tc>
      </w:tr>
      <w:tr>
        <w:trPr>
          <w:trHeight w:val="233"/>
        </w:trPr>
        <w:tc>
          <w:tcPr>
            <w:tcW w:w="9400" w:type="dxa"/>
            <w:vAlign w:val="bottom"/>
            <w:shd w:val="clear" w:color="auto" w:fill="E9E9E9"/>
          </w:tcPr>
          <w:p>
            <w:pPr>
              <w:spacing w:after="0"/>
              <w:rPr>
                <w:sz w:val="20"/>
                <w:szCs w:val="20"/>
                <w:color w:val="auto"/>
              </w:rPr>
            </w:pPr>
          </w:p>
        </w:tc>
        <w:tc>
          <w:tcPr>
            <w:tcW w:w="140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r>
      <w:tr>
        <w:trPr>
          <w:trHeight w:val="231"/>
        </w:trPr>
        <w:tc>
          <w:tcPr>
            <w:tcW w:w="9400" w:type="dxa"/>
            <w:vAlign w:val="bottom"/>
            <w:shd w:val="clear" w:color="auto" w:fill="C0C0C0"/>
          </w:tcPr>
          <w:p>
            <w:pPr>
              <w:spacing w:after="0"/>
              <w:rPr>
                <w:sz w:val="20"/>
                <w:szCs w:val="20"/>
                <w:color w:val="auto"/>
              </w:rPr>
            </w:pPr>
            <w:r>
              <w:rPr>
                <w:rFonts w:ascii="Arial" w:cs="Arial" w:eastAsia="Arial" w:hAnsi="Arial"/>
                <w:sz w:val="17"/>
                <w:szCs w:val="17"/>
                <w:color w:val="auto"/>
              </w:rPr>
              <w:t>Capital World Investors (1)</w:t>
            </w:r>
          </w:p>
        </w:tc>
        <w:tc>
          <w:tcPr>
            <w:tcW w:w="14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r>
      <w:tr>
        <w:trPr>
          <w:trHeight w:val="233"/>
        </w:trPr>
        <w:tc>
          <w:tcPr>
            <w:tcW w:w="9400" w:type="dxa"/>
            <w:vAlign w:val="bottom"/>
            <w:shd w:val="clear" w:color="auto" w:fill="C0C0C0"/>
          </w:tcPr>
          <w:p>
            <w:pPr>
              <w:spacing w:after="0"/>
              <w:rPr>
                <w:sz w:val="20"/>
                <w:szCs w:val="20"/>
                <w:color w:val="auto"/>
              </w:rPr>
            </w:pPr>
            <w:r>
              <w:rPr>
                <w:rFonts w:ascii="Arial" w:cs="Arial" w:eastAsia="Arial" w:hAnsi="Arial"/>
                <w:sz w:val="17"/>
                <w:szCs w:val="17"/>
                <w:color w:val="auto"/>
              </w:rPr>
              <w:t>333 South Hope Street</w:t>
            </w:r>
          </w:p>
        </w:tc>
        <w:tc>
          <w:tcPr>
            <w:tcW w:w="14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r>
      <w:tr>
        <w:trPr>
          <w:trHeight w:val="235"/>
        </w:trPr>
        <w:tc>
          <w:tcPr>
            <w:tcW w:w="9400" w:type="dxa"/>
            <w:vAlign w:val="bottom"/>
            <w:shd w:val="clear" w:color="auto" w:fill="C0C0C0"/>
          </w:tcPr>
          <w:p>
            <w:pPr>
              <w:spacing w:after="0"/>
              <w:rPr>
                <w:sz w:val="20"/>
                <w:szCs w:val="20"/>
                <w:color w:val="auto"/>
              </w:rPr>
            </w:pPr>
            <w:r>
              <w:rPr>
                <w:rFonts w:ascii="Arial" w:cs="Arial" w:eastAsia="Arial" w:hAnsi="Arial"/>
                <w:sz w:val="17"/>
                <w:szCs w:val="17"/>
                <w:color w:val="auto"/>
              </w:rPr>
              <w:t>Los Angeles, CA 90071</w:t>
            </w:r>
          </w:p>
        </w:tc>
        <w:tc>
          <w:tcPr>
            <w:tcW w:w="14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8"/>
              </w:rPr>
              <w:t>66,663,000(2)</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bl>
    <w:p>
      <w:pPr>
        <w:spacing w:after="0" w:line="236" w:lineRule="exact"/>
        <w:rPr>
          <w:sz w:val="20"/>
          <w:szCs w:val="20"/>
          <w:color w:val="auto"/>
        </w:rPr>
      </w:pPr>
    </w:p>
    <w:p>
      <w:pPr>
        <w:ind w:left="460" w:hanging="456"/>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division of Capital Research and Management Company (CRMC).</w:t>
      </w:r>
    </w:p>
    <w:p>
      <w:pPr>
        <w:spacing w:after="0" w:line="270" w:lineRule="exact"/>
        <w:rPr>
          <w:rFonts w:ascii="Arial" w:cs="Arial" w:eastAsia="Arial" w:hAnsi="Arial"/>
          <w:sz w:val="17"/>
          <w:szCs w:val="17"/>
          <w:color w:val="auto"/>
        </w:rPr>
      </w:pPr>
    </w:p>
    <w:p>
      <w:pPr>
        <w:ind w:left="460" w:right="360" w:hanging="456"/>
        <w:spacing w:after="0" w:line="242"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TI understands that Capital World Investors is deemed to be the beneficial owner of these shares as a result of CRMC acting as an investment advisor to various investment companies. Capital World Investors has sole voting power for 20,293,000 shares and sole dispositive power for 66,663,000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w:t>
      </w:r>
    </w:p>
    <w:p>
      <w:pPr>
        <w:spacing w:after="0" w:line="19"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The following table shows the beneficial ownership of TI common stock by the named executive officers and all executive officers and directors as a group.</w:t>
      </w:r>
    </w:p>
    <w:p>
      <w:pPr>
        <w:sectPr>
          <w:pgSz w:w="11900" w:h="16838" w:orient="portrait"/>
          <w:cols w:equalWidth="0" w:num="1">
            <w:col w:w="11420"/>
          </w:cols>
          <w:pgMar w:left="240" w:top="213" w:right="239" w:bottom="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52335" cy="295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2335" cy="29591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R. K. Templeton (1)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 P. March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52335" cy="147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G. A. Lowe (1)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 J. Ritchie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52335" cy="147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 J. Hames (1)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All executive officers and directors as a group (2)</w:t>
      </w:r>
    </w:p>
    <w:p>
      <w:pPr>
        <w:spacing w:after="0" w:line="245" w:lineRule="exact"/>
        <w:rPr>
          <w:sz w:val="20"/>
          <w:szCs w:val="20"/>
          <w:color w:val="auto"/>
        </w:rPr>
      </w:pPr>
    </w:p>
    <w:p>
      <w:pPr>
        <w:ind w:left="460" w:hanging="456"/>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less than 1 percent</w:t>
      </w:r>
    </w:p>
    <w:p>
      <w:pPr>
        <w:spacing w:after="0" w:line="271" w:lineRule="exact"/>
        <w:rPr>
          <w:sz w:val="20"/>
          <w:szCs w:val="20"/>
          <w:color w:val="auto"/>
        </w:rPr>
      </w:pPr>
    </w:p>
    <w:p>
      <w:pPr>
        <w:ind w:left="460" w:hanging="456"/>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shares owned at December 31, 2008: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Executive Officer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1240" w:type="dxa"/>
        <w:tblCellMar>
          <w:top w:w="0" w:type="dxa"/>
          <w:left w:w="0" w:type="dxa"/>
          <w:bottom w:w="0" w:type="dxa"/>
          <w:right w:w="0" w:type="dxa"/>
        </w:tblCellMar>
      </w:tblPr>
      <w:tr>
        <w:trPr>
          <w:trHeight w:val="171"/>
        </w:trPr>
        <w:tc>
          <w:tcPr>
            <w:tcW w:w="1300" w:type="dxa"/>
            <w:vAlign w:val="bottom"/>
          </w:tcPr>
          <w:p>
            <w:pPr>
              <w:jc w:val="right"/>
              <w:ind w:right="121"/>
              <w:spacing w:after="0"/>
              <w:rPr>
                <w:sz w:val="20"/>
                <w:szCs w:val="20"/>
                <w:color w:val="auto"/>
              </w:rPr>
            </w:pPr>
            <w:r>
              <w:rPr>
                <w:rFonts w:ascii="Arial" w:cs="Arial" w:eastAsia="Arial" w:hAnsi="Arial"/>
                <w:sz w:val="13"/>
                <w:szCs w:val="13"/>
                <w:b w:val="1"/>
                <w:bCs w:val="1"/>
                <w:color w:val="auto"/>
              </w:rPr>
              <w:t>Shares Owned at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r>
      <w:tr>
        <w:trPr>
          <w:trHeight w:val="233"/>
        </w:trPr>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w w:val="97"/>
              </w:rPr>
              <w:t>December 31, 2008</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of Class</w:t>
            </w:r>
          </w:p>
        </w:tc>
      </w:tr>
      <w:tr>
        <w:trPr>
          <w:trHeight w:val="465"/>
        </w:trPr>
        <w:tc>
          <w:tcPr>
            <w:tcW w:w="1300" w:type="dxa"/>
            <w:vAlign w:val="bottom"/>
          </w:tcPr>
          <w:p>
            <w:pPr>
              <w:jc w:val="right"/>
              <w:ind w:right="221"/>
              <w:spacing w:after="0"/>
              <w:rPr>
                <w:sz w:val="20"/>
                <w:szCs w:val="20"/>
                <w:color w:val="auto"/>
              </w:rPr>
            </w:pPr>
            <w:r>
              <w:rPr>
                <w:rFonts w:ascii="Arial" w:cs="Arial" w:eastAsia="Arial" w:hAnsi="Arial"/>
                <w:sz w:val="17"/>
                <w:szCs w:val="17"/>
                <w:color w:val="auto"/>
              </w:rPr>
              <w:t>5,574,742</w:t>
            </w:r>
          </w:p>
        </w:tc>
        <w:tc>
          <w:tcPr>
            <w:tcW w:w="700" w:type="dxa"/>
            <w:vAlign w:val="bottom"/>
          </w:tcPr>
          <w:p>
            <w:pPr>
              <w:jc w:val="right"/>
              <w:ind w:right="81"/>
              <w:spacing w:after="0"/>
              <w:rPr>
                <w:sz w:val="20"/>
                <w:szCs w:val="20"/>
                <w:color w:val="auto"/>
              </w:rPr>
            </w:pPr>
            <w:r>
              <w:rPr>
                <w:rFonts w:ascii="Arial" w:cs="Arial" w:eastAsia="Arial" w:hAnsi="Arial"/>
                <w:sz w:val="17"/>
                <w:szCs w:val="17"/>
                <w:color w:val="auto"/>
              </w:rPr>
              <w:t>*</w:t>
            </w:r>
          </w:p>
        </w:tc>
      </w:tr>
      <w:tr>
        <w:trPr>
          <w:trHeight w:val="233"/>
        </w:trPr>
        <w:tc>
          <w:tcPr>
            <w:tcW w:w="1300" w:type="dxa"/>
            <w:vAlign w:val="bottom"/>
          </w:tcPr>
          <w:p>
            <w:pPr>
              <w:jc w:val="right"/>
              <w:ind w:right="221"/>
              <w:spacing w:after="0"/>
              <w:rPr>
                <w:sz w:val="20"/>
                <w:szCs w:val="20"/>
                <w:color w:val="auto"/>
              </w:rPr>
            </w:pPr>
            <w:r>
              <w:rPr>
                <w:rFonts w:ascii="Arial" w:cs="Arial" w:eastAsia="Arial" w:hAnsi="Arial"/>
                <w:sz w:val="17"/>
                <w:szCs w:val="17"/>
                <w:color w:val="auto"/>
              </w:rPr>
              <w:t>684,165</w:t>
            </w:r>
          </w:p>
        </w:tc>
        <w:tc>
          <w:tcPr>
            <w:tcW w:w="700" w:type="dxa"/>
            <w:vAlign w:val="bottom"/>
          </w:tcPr>
          <w:p>
            <w:pPr>
              <w:jc w:val="right"/>
              <w:ind w:right="81"/>
              <w:spacing w:after="0"/>
              <w:rPr>
                <w:sz w:val="20"/>
                <w:szCs w:val="20"/>
                <w:color w:val="auto"/>
              </w:rPr>
            </w:pPr>
            <w:r>
              <w:rPr>
                <w:rFonts w:ascii="Arial" w:cs="Arial" w:eastAsia="Arial" w:hAnsi="Arial"/>
                <w:sz w:val="17"/>
                <w:szCs w:val="17"/>
                <w:color w:val="auto"/>
              </w:rPr>
              <w:t>*</w:t>
            </w:r>
          </w:p>
        </w:tc>
      </w:tr>
      <w:tr>
        <w:trPr>
          <w:trHeight w:val="233"/>
        </w:trPr>
        <w:tc>
          <w:tcPr>
            <w:tcW w:w="1300" w:type="dxa"/>
            <w:vAlign w:val="bottom"/>
          </w:tcPr>
          <w:p>
            <w:pPr>
              <w:jc w:val="right"/>
              <w:ind w:right="221"/>
              <w:spacing w:after="0"/>
              <w:rPr>
                <w:sz w:val="20"/>
                <w:szCs w:val="20"/>
                <w:color w:val="auto"/>
              </w:rPr>
            </w:pPr>
            <w:r>
              <w:rPr>
                <w:rFonts w:ascii="Arial" w:cs="Arial" w:eastAsia="Arial" w:hAnsi="Arial"/>
                <w:sz w:val="17"/>
                <w:szCs w:val="17"/>
                <w:color w:val="auto"/>
              </w:rPr>
              <w:t>1,061,105</w:t>
            </w:r>
          </w:p>
        </w:tc>
        <w:tc>
          <w:tcPr>
            <w:tcW w:w="700" w:type="dxa"/>
            <w:vAlign w:val="bottom"/>
          </w:tcPr>
          <w:p>
            <w:pPr>
              <w:jc w:val="right"/>
              <w:ind w:right="81"/>
              <w:spacing w:after="0"/>
              <w:rPr>
                <w:sz w:val="20"/>
                <w:szCs w:val="20"/>
                <w:color w:val="auto"/>
              </w:rPr>
            </w:pPr>
            <w:r>
              <w:rPr>
                <w:rFonts w:ascii="Arial" w:cs="Arial" w:eastAsia="Arial" w:hAnsi="Arial"/>
                <w:sz w:val="17"/>
                <w:szCs w:val="17"/>
                <w:color w:val="auto"/>
              </w:rPr>
              <w:t>*</w:t>
            </w:r>
          </w:p>
        </w:tc>
      </w:tr>
      <w:tr>
        <w:trPr>
          <w:trHeight w:val="233"/>
        </w:trPr>
        <w:tc>
          <w:tcPr>
            <w:tcW w:w="1300" w:type="dxa"/>
            <w:vAlign w:val="bottom"/>
          </w:tcPr>
          <w:p>
            <w:pPr>
              <w:jc w:val="right"/>
              <w:ind w:right="221"/>
              <w:spacing w:after="0"/>
              <w:rPr>
                <w:sz w:val="20"/>
                <w:szCs w:val="20"/>
                <w:color w:val="auto"/>
              </w:rPr>
            </w:pPr>
            <w:r>
              <w:rPr>
                <w:rFonts w:ascii="Arial" w:cs="Arial" w:eastAsia="Arial" w:hAnsi="Arial"/>
                <w:sz w:val="17"/>
                <w:szCs w:val="17"/>
                <w:color w:val="auto"/>
              </w:rPr>
              <w:t>1,204,947</w:t>
            </w:r>
          </w:p>
        </w:tc>
        <w:tc>
          <w:tcPr>
            <w:tcW w:w="700" w:type="dxa"/>
            <w:vAlign w:val="bottom"/>
          </w:tcPr>
          <w:p>
            <w:pPr>
              <w:jc w:val="right"/>
              <w:ind w:right="81"/>
              <w:spacing w:after="0"/>
              <w:rPr>
                <w:sz w:val="20"/>
                <w:szCs w:val="20"/>
                <w:color w:val="auto"/>
              </w:rPr>
            </w:pPr>
            <w:r>
              <w:rPr>
                <w:rFonts w:ascii="Arial" w:cs="Arial" w:eastAsia="Arial" w:hAnsi="Arial"/>
                <w:sz w:val="17"/>
                <w:szCs w:val="17"/>
                <w:color w:val="auto"/>
              </w:rPr>
              <w:t>*</w:t>
            </w:r>
          </w:p>
        </w:tc>
      </w:tr>
      <w:tr>
        <w:trPr>
          <w:trHeight w:val="233"/>
        </w:trPr>
        <w:tc>
          <w:tcPr>
            <w:tcW w:w="1300" w:type="dxa"/>
            <w:vAlign w:val="bottom"/>
          </w:tcPr>
          <w:p>
            <w:pPr>
              <w:jc w:val="right"/>
              <w:ind w:right="221"/>
              <w:spacing w:after="0"/>
              <w:rPr>
                <w:sz w:val="20"/>
                <w:szCs w:val="20"/>
                <w:color w:val="auto"/>
              </w:rPr>
            </w:pPr>
            <w:r>
              <w:rPr>
                <w:rFonts w:ascii="Arial" w:cs="Arial" w:eastAsia="Arial" w:hAnsi="Arial"/>
                <w:sz w:val="17"/>
                <w:szCs w:val="17"/>
                <w:color w:val="auto"/>
              </w:rPr>
              <w:t>1,559,084</w:t>
            </w:r>
          </w:p>
        </w:tc>
        <w:tc>
          <w:tcPr>
            <w:tcW w:w="700" w:type="dxa"/>
            <w:vAlign w:val="bottom"/>
          </w:tcPr>
          <w:p>
            <w:pPr>
              <w:jc w:val="right"/>
              <w:ind w:right="81"/>
              <w:spacing w:after="0"/>
              <w:rPr>
                <w:sz w:val="20"/>
                <w:szCs w:val="20"/>
                <w:color w:val="auto"/>
              </w:rPr>
            </w:pPr>
            <w:r>
              <w:rPr>
                <w:rFonts w:ascii="Arial" w:cs="Arial" w:eastAsia="Arial" w:hAnsi="Arial"/>
                <w:sz w:val="17"/>
                <w:szCs w:val="17"/>
                <w:color w:val="auto"/>
              </w:rPr>
              <w:t>*</w:t>
            </w:r>
          </w:p>
        </w:tc>
      </w:tr>
      <w:tr>
        <w:trPr>
          <w:trHeight w:val="233"/>
        </w:trPr>
        <w:tc>
          <w:tcPr>
            <w:tcW w:w="1300" w:type="dxa"/>
            <w:vAlign w:val="bottom"/>
          </w:tcPr>
          <w:p>
            <w:pPr>
              <w:jc w:val="right"/>
              <w:ind w:right="221"/>
              <w:spacing w:after="0"/>
              <w:rPr>
                <w:sz w:val="20"/>
                <w:szCs w:val="20"/>
                <w:color w:val="auto"/>
              </w:rPr>
            </w:pPr>
            <w:r>
              <w:rPr>
                <w:rFonts w:ascii="Arial" w:cs="Arial" w:eastAsia="Arial" w:hAnsi="Arial"/>
                <w:sz w:val="17"/>
                <w:szCs w:val="17"/>
                <w:color w:val="auto"/>
              </w:rPr>
              <w:t>15,336,615</w:t>
            </w:r>
          </w:p>
        </w:tc>
        <w:tc>
          <w:tcPr>
            <w:tcW w:w="700" w:type="dxa"/>
            <w:vAlign w:val="bottom"/>
          </w:tcPr>
          <w:p>
            <w:pPr>
              <w:jc w:val="right"/>
              <w:spacing w:after="0"/>
              <w:rPr>
                <w:sz w:val="20"/>
                <w:szCs w:val="20"/>
                <w:color w:val="auto"/>
              </w:rPr>
            </w:pPr>
            <w:r>
              <w:rPr>
                <w:rFonts w:ascii="Arial" w:cs="Arial" w:eastAsia="Arial" w:hAnsi="Arial"/>
                <w:sz w:val="17"/>
                <w:szCs w:val="17"/>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Shares Credited</w:t>
            </w:r>
          </w:p>
        </w:tc>
        <w:tc>
          <w:tcPr>
            <w:tcW w:w="760" w:type="dxa"/>
            <w:vAlign w:val="bottom"/>
          </w:tcPr>
          <w:p>
            <w:pPr>
              <w:jc w:val="center"/>
              <w:ind w:left="55"/>
              <w:spacing w:after="0"/>
              <w:rPr>
                <w:sz w:val="20"/>
                <w:szCs w:val="20"/>
                <w:color w:val="auto"/>
              </w:rPr>
            </w:pPr>
            <w:r>
              <w:rPr>
                <w:rFonts w:ascii="Arial" w:cs="Arial" w:eastAsia="Arial" w:hAnsi="Arial"/>
                <w:sz w:val="13"/>
                <w:szCs w:val="13"/>
                <w:b w:val="1"/>
                <w:bCs w:val="1"/>
                <w:color w:val="auto"/>
              </w:rPr>
              <w:t>Restricted</w:t>
            </w:r>
          </w:p>
        </w:tc>
      </w:tr>
      <w:tr>
        <w:trPr>
          <w:trHeight w:val="233"/>
        </w:trPr>
        <w:tc>
          <w:tcPr>
            <w:tcW w:w="12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9"/>
              </w:rPr>
              <w:t>to 401(k) and</w:t>
            </w:r>
          </w:p>
        </w:tc>
        <w:tc>
          <w:tcPr>
            <w:tcW w:w="760" w:type="dxa"/>
            <w:vAlign w:val="bottom"/>
          </w:tcPr>
          <w:p>
            <w:pPr>
              <w:jc w:val="center"/>
              <w:ind w:left="55"/>
              <w:spacing w:after="0"/>
              <w:rPr>
                <w:sz w:val="20"/>
                <w:szCs w:val="20"/>
                <w:color w:val="auto"/>
              </w:rPr>
            </w:pPr>
            <w:r>
              <w:rPr>
                <w:rFonts w:ascii="Arial" w:cs="Arial" w:eastAsia="Arial" w:hAnsi="Arial"/>
                <w:sz w:val="13"/>
                <w:szCs w:val="13"/>
                <w:b w:val="1"/>
                <w:bCs w:val="1"/>
                <w:color w:val="auto"/>
              </w:rPr>
              <w:t>Stock</w:t>
            </w:r>
          </w:p>
        </w:tc>
      </w:tr>
      <w:tr>
        <w:trPr>
          <w:trHeight w:val="233"/>
        </w:trPr>
        <w:tc>
          <w:tcPr>
            <w:tcW w:w="1260" w:type="dxa"/>
            <w:vAlign w:val="bottom"/>
          </w:tcPr>
          <w:p>
            <w:pPr>
              <w:jc w:val="center"/>
              <w:ind w:right="55"/>
              <w:spacing w:after="0"/>
              <w:rPr>
                <w:sz w:val="20"/>
                <w:szCs w:val="20"/>
                <w:color w:val="auto"/>
              </w:rPr>
            </w:pPr>
            <w:r>
              <w:rPr>
                <w:rFonts w:ascii="Arial" w:cs="Arial" w:eastAsia="Arial" w:hAnsi="Arial"/>
                <w:sz w:val="13"/>
                <w:szCs w:val="13"/>
                <w:b w:val="1"/>
                <w:bCs w:val="1"/>
                <w:color w:val="auto"/>
                <w:w w:val="99"/>
              </w:rPr>
              <w:t>Shares Obtainable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Profit Sharing</w:t>
            </w:r>
          </w:p>
        </w:tc>
        <w:tc>
          <w:tcPr>
            <w:tcW w:w="760" w:type="dxa"/>
            <w:vAlign w:val="bottom"/>
          </w:tcPr>
          <w:p>
            <w:pPr>
              <w:jc w:val="center"/>
              <w:ind w:left="55"/>
              <w:spacing w:after="0"/>
              <w:rPr>
                <w:sz w:val="20"/>
                <w:szCs w:val="20"/>
                <w:color w:val="auto"/>
              </w:rPr>
            </w:pPr>
            <w:r>
              <w:rPr>
                <w:rFonts w:ascii="Arial" w:cs="Arial" w:eastAsia="Arial" w:hAnsi="Arial"/>
                <w:sz w:val="13"/>
                <w:szCs w:val="13"/>
                <w:b w:val="1"/>
                <w:bCs w:val="1"/>
                <w:color w:val="auto"/>
                <w:w w:val="98"/>
              </w:rPr>
              <w:t>Units</w:t>
            </w:r>
          </w:p>
        </w:tc>
      </w:tr>
      <w:tr>
        <w:trPr>
          <w:trHeight w:val="221"/>
        </w:trPr>
        <w:tc>
          <w:tcPr>
            <w:tcW w:w="1260" w:type="dxa"/>
            <w:vAlign w:val="bottom"/>
          </w:tcPr>
          <w:p>
            <w:pPr>
              <w:jc w:val="center"/>
              <w:ind w:right="55"/>
              <w:spacing w:after="0"/>
              <w:rPr>
                <w:sz w:val="20"/>
                <w:szCs w:val="20"/>
                <w:color w:val="auto"/>
              </w:rPr>
            </w:pPr>
            <w:r>
              <w:rPr>
                <w:rFonts w:ascii="Arial" w:cs="Arial" w:eastAsia="Arial" w:hAnsi="Arial"/>
                <w:sz w:val="13"/>
                <w:szCs w:val="13"/>
                <w:b w:val="1"/>
                <w:bCs w:val="1"/>
                <w:color w:val="auto"/>
                <w:w w:val="99"/>
              </w:rPr>
              <w:t>within 60 Days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Accounts</w:t>
            </w:r>
          </w:p>
        </w:tc>
        <w:tc>
          <w:tcPr>
            <w:tcW w:w="760" w:type="dxa"/>
            <w:vAlign w:val="bottom"/>
          </w:tcPr>
          <w:p>
            <w:pPr>
              <w:jc w:val="center"/>
              <w:ind w:left="35"/>
              <w:spacing w:after="0"/>
              <w:rPr>
                <w:sz w:val="20"/>
                <w:szCs w:val="20"/>
                <w:color w:val="auto"/>
              </w:rPr>
            </w:pPr>
            <w:r>
              <w:rPr>
                <w:rFonts w:ascii="Arial" w:cs="Arial" w:eastAsia="Arial" w:hAnsi="Arial"/>
                <w:sz w:val="13"/>
                <w:szCs w:val="13"/>
                <w:b w:val="1"/>
                <w:bCs w:val="1"/>
                <w:color w:val="auto"/>
              </w:rPr>
              <w:t>(in shares)</w:t>
            </w:r>
          </w:p>
        </w:tc>
      </w:tr>
    </w:tbl>
    <w:p>
      <w:pPr>
        <w:spacing w:after="0" w:line="20" w:lineRule="exact"/>
        <w:rPr>
          <w:sz w:val="20"/>
          <w:szCs w:val="20"/>
          <w:color w:val="auto"/>
        </w:rPr>
      </w:pPr>
    </w:p>
    <w:p>
      <w:pPr>
        <w:sectPr>
          <w:pgSz w:w="11900" w:h="16838" w:orient="portrait"/>
          <w:cols w:equalWidth="0" w:num="2">
            <w:col w:w="7460" w:space="720"/>
            <w:col w:w="3240"/>
          </w:cols>
          <w:pgMar w:left="240" w:top="213" w:right="239" w:bottom="0" w:gutter="0" w:footer="0" w:header="0"/>
          <w:type w:val="continuous"/>
        </w:sectPr>
      </w:pPr>
    </w:p>
    <w:tbl>
      <w:tblPr>
        <w:tblLayout w:type="fixed"/>
        <w:tblInd w:w="460" w:type="dxa"/>
        <w:tblCellMar>
          <w:top w:w="0" w:type="dxa"/>
          <w:left w:w="0" w:type="dxa"/>
          <w:bottom w:w="0" w:type="dxa"/>
          <w:right w:w="0" w:type="dxa"/>
        </w:tblCellMar>
      </w:tblPr>
      <w:tr>
        <w:trPr>
          <w:trHeight w:val="213"/>
        </w:trPr>
        <w:tc>
          <w:tcPr>
            <w:tcW w:w="4560" w:type="dxa"/>
            <w:vAlign w:val="bottom"/>
            <w:shd w:val="clear" w:color="auto" w:fill="E9E9E9"/>
          </w:tcPr>
          <w:p>
            <w:pPr>
              <w:spacing w:after="0"/>
              <w:rPr>
                <w:sz w:val="18"/>
                <w:szCs w:val="18"/>
                <w:color w:val="auto"/>
              </w:rPr>
            </w:pPr>
          </w:p>
        </w:tc>
        <w:tc>
          <w:tcPr>
            <w:tcW w:w="4460" w:type="dxa"/>
            <w:vAlign w:val="bottom"/>
            <w:shd w:val="clear" w:color="auto" w:fill="E9E9E9"/>
          </w:tcPr>
          <w:p>
            <w:pPr>
              <w:spacing w:after="0"/>
              <w:rPr>
                <w:sz w:val="18"/>
                <w:szCs w:val="18"/>
                <w:color w:val="auto"/>
              </w:rPr>
            </w:pPr>
          </w:p>
        </w:tc>
        <w:tc>
          <w:tcPr>
            <w:tcW w:w="1080" w:type="dxa"/>
            <w:vAlign w:val="bottom"/>
            <w:shd w:val="clear" w:color="auto" w:fill="E9E9E9"/>
          </w:tcPr>
          <w:p>
            <w:pPr>
              <w:spacing w:after="0"/>
              <w:rPr>
                <w:sz w:val="18"/>
                <w:szCs w:val="18"/>
                <w:color w:val="auto"/>
              </w:rPr>
            </w:pPr>
          </w:p>
        </w:tc>
        <w:tc>
          <w:tcPr>
            <w:tcW w:w="860" w:type="dxa"/>
            <w:vAlign w:val="bottom"/>
            <w:shd w:val="clear" w:color="auto" w:fill="E9E9E9"/>
          </w:tcPr>
          <w:p>
            <w:pPr>
              <w:spacing w:after="0"/>
              <w:rPr>
                <w:sz w:val="18"/>
                <w:szCs w:val="18"/>
                <w:color w:val="auto"/>
              </w:rPr>
            </w:pPr>
          </w:p>
        </w:tc>
      </w:tr>
      <w:tr>
        <w:trPr>
          <w:trHeight w:val="233"/>
        </w:trPr>
        <w:tc>
          <w:tcPr>
            <w:tcW w:w="4560" w:type="dxa"/>
            <w:vAlign w:val="bottom"/>
            <w:shd w:val="clear" w:color="auto" w:fill="C0C0C0"/>
          </w:tcPr>
          <w:p>
            <w:pPr>
              <w:spacing w:after="0"/>
              <w:rPr>
                <w:sz w:val="20"/>
                <w:szCs w:val="20"/>
                <w:color w:val="auto"/>
              </w:rPr>
            </w:pPr>
            <w:r>
              <w:rPr>
                <w:rFonts w:ascii="Arial" w:cs="Arial" w:eastAsia="Arial" w:hAnsi="Arial"/>
                <w:sz w:val="17"/>
                <w:szCs w:val="17"/>
                <w:color w:val="auto"/>
              </w:rPr>
              <w:t>R. K. Templeton</w:t>
            </w:r>
          </w:p>
        </w:tc>
        <w:tc>
          <w:tcPr>
            <w:tcW w:w="4460" w:type="dxa"/>
            <w:vAlign w:val="bottom"/>
            <w:shd w:val="clear" w:color="auto" w:fill="C0C0C0"/>
          </w:tcPr>
          <w:p>
            <w:pPr>
              <w:jc w:val="right"/>
              <w:ind w:right="256"/>
              <w:spacing w:after="0"/>
              <w:rPr>
                <w:sz w:val="20"/>
                <w:szCs w:val="20"/>
                <w:color w:val="auto"/>
              </w:rPr>
            </w:pPr>
            <w:r>
              <w:rPr>
                <w:rFonts w:ascii="Arial" w:cs="Arial" w:eastAsia="Arial" w:hAnsi="Arial"/>
                <w:sz w:val="17"/>
                <w:szCs w:val="17"/>
                <w:color w:val="auto"/>
              </w:rPr>
              <w:t>4,825,446</w:t>
            </w:r>
          </w:p>
        </w:tc>
        <w:tc>
          <w:tcPr>
            <w:tcW w:w="1080" w:type="dxa"/>
            <w:vAlign w:val="bottom"/>
            <w:shd w:val="clear" w:color="auto" w:fill="C0C0C0"/>
          </w:tcPr>
          <w:p>
            <w:pPr>
              <w:jc w:val="right"/>
              <w:ind w:right="156"/>
              <w:spacing w:after="0"/>
              <w:rPr>
                <w:sz w:val="20"/>
                <w:szCs w:val="20"/>
                <w:color w:val="auto"/>
              </w:rPr>
            </w:pPr>
            <w:r>
              <w:rPr>
                <w:rFonts w:ascii="Arial" w:cs="Arial" w:eastAsia="Arial" w:hAnsi="Arial"/>
                <w:sz w:val="17"/>
                <w:szCs w:val="17"/>
                <w:color w:val="auto"/>
              </w:rPr>
              <w:t>11,498</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670,000</w:t>
            </w:r>
          </w:p>
        </w:tc>
      </w:tr>
      <w:tr>
        <w:trPr>
          <w:trHeight w:val="233"/>
        </w:trPr>
        <w:tc>
          <w:tcPr>
            <w:tcW w:w="4560" w:type="dxa"/>
            <w:vAlign w:val="bottom"/>
          </w:tcPr>
          <w:p>
            <w:pPr>
              <w:spacing w:after="0"/>
              <w:rPr>
                <w:sz w:val="20"/>
                <w:szCs w:val="20"/>
                <w:color w:val="auto"/>
              </w:rPr>
            </w:pPr>
            <w:r>
              <w:rPr>
                <w:rFonts w:ascii="Arial" w:cs="Arial" w:eastAsia="Arial" w:hAnsi="Arial"/>
                <w:sz w:val="17"/>
                <w:szCs w:val="17"/>
                <w:color w:val="auto"/>
              </w:rPr>
              <w:t>K. P. March</w:t>
            </w:r>
          </w:p>
        </w:tc>
        <w:tc>
          <w:tcPr>
            <w:tcW w:w="4460" w:type="dxa"/>
            <w:vAlign w:val="bottom"/>
          </w:tcPr>
          <w:p>
            <w:pPr>
              <w:jc w:val="right"/>
              <w:ind w:right="256"/>
              <w:spacing w:after="0"/>
              <w:rPr>
                <w:sz w:val="20"/>
                <w:szCs w:val="20"/>
                <w:color w:val="auto"/>
              </w:rPr>
            </w:pPr>
            <w:r>
              <w:rPr>
                <w:rFonts w:ascii="Arial" w:cs="Arial" w:eastAsia="Arial" w:hAnsi="Arial"/>
                <w:sz w:val="17"/>
                <w:szCs w:val="17"/>
                <w:color w:val="auto"/>
              </w:rPr>
              <w:t>549,746</w:t>
            </w:r>
          </w:p>
        </w:tc>
        <w:tc>
          <w:tcPr>
            <w:tcW w:w="1080" w:type="dxa"/>
            <w:vAlign w:val="bottom"/>
          </w:tcPr>
          <w:p>
            <w:pPr>
              <w:jc w:val="right"/>
              <w:ind w:right="156"/>
              <w:spacing w:after="0"/>
              <w:rPr>
                <w:sz w:val="20"/>
                <w:szCs w:val="20"/>
                <w:color w:val="auto"/>
              </w:rPr>
            </w:pPr>
            <w:r>
              <w:rPr>
                <w:rFonts w:ascii="Arial" w:cs="Arial" w:eastAsia="Arial" w:hAnsi="Arial"/>
                <w:sz w:val="17"/>
                <w:szCs w:val="17"/>
                <w:color w:val="auto"/>
              </w:rPr>
              <w:t>1,854</w:t>
            </w:r>
          </w:p>
        </w:tc>
        <w:tc>
          <w:tcPr>
            <w:tcW w:w="860" w:type="dxa"/>
            <w:vAlign w:val="bottom"/>
          </w:tcPr>
          <w:p>
            <w:pPr>
              <w:jc w:val="right"/>
              <w:spacing w:after="0"/>
              <w:rPr>
                <w:sz w:val="20"/>
                <w:szCs w:val="20"/>
                <w:color w:val="auto"/>
              </w:rPr>
            </w:pPr>
            <w:r>
              <w:rPr>
                <w:rFonts w:ascii="Arial" w:cs="Arial" w:eastAsia="Arial" w:hAnsi="Arial"/>
                <w:sz w:val="17"/>
                <w:szCs w:val="17"/>
                <w:color w:val="auto"/>
              </w:rPr>
              <w:t>125,000</w:t>
            </w:r>
          </w:p>
        </w:tc>
      </w:tr>
      <w:tr>
        <w:trPr>
          <w:trHeight w:val="233"/>
        </w:trPr>
        <w:tc>
          <w:tcPr>
            <w:tcW w:w="4560" w:type="dxa"/>
            <w:vAlign w:val="bottom"/>
            <w:shd w:val="clear" w:color="auto" w:fill="C0C0C0"/>
          </w:tcPr>
          <w:p>
            <w:pPr>
              <w:spacing w:after="0"/>
              <w:rPr>
                <w:sz w:val="20"/>
                <w:szCs w:val="20"/>
                <w:color w:val="auto"/>
              </w:rPr>
            </w:pPr>
            <w:r>
              <w:rPr>
                <w:rFonts w:ascii="Arial" w:cs="Arial" w:eastAsia="Arial" w:hAnsi="Arial"/>
                <w:sz w:val="17"/>
                <w:szCs w:val="17"/>
                <w:color w:val="auto"/>
              </w:rPr>
              <w:t>G. A. Lowe</w:t>
            </w:r>
          </w:p>
        </w:tc>
        <w:tc>
          <w:tcPr>
            <w:tcW w:w="4460" w:type="dxa"/>
            <w:vAlign w:val="bottom"/>
            <w:shd w:val="clear" w:color="auto" w:fill="C0C0C0"/>
          </w:tcPr>
          <w:p>
            <w:pPr>
              <w:jc w:val="right"/>
              <w:ind w:right="256"/>
              <w:spacing w:after="0"/>
              <w:rPr>
                <w:sz w:val="20"/>
                <w:szCs w:val="20"/>
                <w:color w:val="auto"/>
              </w:rPr>
            </w:pPr>
            <w:r>
              <w:rPr>
                <w:rFonts w:ascii="Arial" w:cs="Arial" w:eastAsia="Arial" w:hAnsi="Arial"/>
                <w:sz w:val="17"/>
                <w:szCs w:val="17"/>
                <w:color w:val="auto"/>
              </w:rPr>
              <w:t>735,446</w:t>
            </w:r>
          </w:p>
        </w:tc>
        <w:tc>
          <w:tcPr>
            <w:tcW w:w="1080" w:type="dxa"/>
            <w:vAlign w:val="bottom"/>
            <w:shd w:val="clear" w:color="auto" w:fill="C0C0C0"/>
          </w:tcPr>
          <w:p>
            <w:pPr>
              <w:jc w:val="right"/>
              <w:ind w:right="156"/>
              <w:spacing w:after="0"/>
              <w:rPr>
                <w:sz w:val="20"/>
                <w:szCs w:val="20"/>
                <w:color w:val="auto"/>
              </w:rPr>
            </w:pPr>
            <w:r>
              <w:rPr>
                <w:rFonts w:ascii="Arial" w:cs="Arial" w:eastAsia="Arial" w:hAnsi="Arial"/>
                <w:sz w:val="17"/>
                <w:szCs w:val="17"/>
                <w:color w:val="auto"/>
              </w:rPr>
              <w:t>3,574</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320,000</w:t>
            </w:r>
          </w:p>
        </w:tc>
      </w:tr>
      <w:tr>
        <w:trPr>
          <w:trHeight w:val="233"/>
        </w:trPr>
        <w:tc>
          <w:tcPr>
            <w:tcW w:w="4560" w:type="dxa"/>
            <w:vAlign w:val="bottom"/>
          </w:tcPr>
          <w:p>
            <w:pPr>
              <w:spacing w:after="0"/>
              <w:rPr>
                <w:sz w:val="20"/>
                <w:szCs w:val="20"/>
                <w:color w:val="auto"/>
              </w:rPr>
            </w:pPr>
            <w:r>
              <w:rPr>
                <w:rFonts w:ascii="Arial" w:cs="Arial" w:eastAsia="Arial" w:hAnsi="Arial"/>
                <w:sz w:val="17"/>
                <w:szCs w:val="17"/>
                <w:color w:val="auto"/>
              </w:rPr>
              <w:t>K. J. Ritchie</w:t>
            </w:r>
          </w:p>
        </w:tc>
        <w:tc>
          <w:tcPr>
            <w:tcW w:w="4460" w:type="dxa"/>
            <w:vAlign w:val="bottom"/>
          </w:tcPr>
          <w:p>
            <w:pPr>
              <w:jc w:val="right"/>
              <w:ind w:right="256"/>
              <w:spacing w:after="0"/>
              <w:rPr>
                <w:sz w:val="20"/>
                <w:szCs w:val="20"/>
                <w:color w:val="auto"/>
              </w:rPr>
            </w:pPr>
            <w:r>
              <w:rPr>
                <w:rFonts w:ascii="Arial" w:cs="Arial" w:eastAsia="Arial" w:hAnsi="Arial"/>
                <w:sz w:val="17"/>
                <w:szCs w:val="17"/>
                <w:color w:val="auto"/>
              </w:rPr>
              <w:t>990,100</w:t>
            </w:r>
          </w:p>
        </w:tc>
        <w:tc>
          <w:tcPr>
            <w:tcW w:w="1080" w:type="dxa"/>
            <w:vAlign w:val="bottom"/>
          </w:tcPr>
          <w:p>
            <w:pPr>
              <w:jc w:val="right"/>
              <w:ind w:right="156"/>
              <w:spacing w:after="0"/>
              <w:rPr>
                <w:sz w:val="20"/>
                <w:szCs w:val="20"/>
                <w:color w:val="auto"/>
              </w:rPr>
            </w:pPr>
            <w:r>
              <w:rPr>
                <w:rFonts w:ascii="Arial" w:cs="Arial" w:eastAsia="Arial" w:hAnsi="Arial"/>
                <w:sz w:val="17"/>
                <w:szCs w:val="17"/>
                <w:color w:val="auto"/>
              </w:rPr>
              <w:t>8,064</w:t>
            </w:r>
          </w:p>
        </w:tc>
        <w:tc>
          <w:tcPr>
            <w:tcW w:w="860" w:type="dxa"/>
            <w:vAlign w:val="bottom"/>
          </w:tcPr>
          <w:p>
            <w:pPr>
              <w:jc w:val="right"/>
              <w:spacing w:after="0"/>
              <w:rPr>
                <w:sz w:val="20"/>
                <w:szCs w:val="20"/>
                <w:color w:val="auto"/>
              </w:rPr>
            </w:pPr>
            <w:r>
              <w:rPr>
                <w:rFonts w:ascii="Arial" w:cs="Arial" w:eastAsia="Arial" w:hAnsi="Arial"/>
                <w:sz w:val="17"/>
                <w:szCs w:val="17"/>
                <w:color w:val="auto"/>
              </w:rPr>
              <w:t>200,000</w:t>
            </w:r>
          </w:p>
        </w:tc>
      </w:tr>
      <w:tr>
        <w:trPr>
          <w:trHeight w:val="233"/>
        </w:trPr>
        <w:tc>
          <w:tcPr>
            <w:tcW w:w="4560" w:type="dxa"/>
            <w:vAlign w:val="bottom"/>
            <w:shd w:val="clear" w:color="auto" w:fill="C0C0C0"/>
          </w:tcPr>
          <w:p>
            <w:pPr>
              <w:spacing w:after="0"/>
              <w:rPr>
                <w:sz w:val="20"/>
                <w:szCs w:val="20"/>
                <w:color w:val="auto"/>
              </w:rPr>
            </w:pPr>
            <w:r>
              <w:rPr>
                <w:rFonts w:ascii="Arial" w:cs="Arial" w:eastAsia="Arial" w:hAnsi="Arial"/>
                <w:sz w:val="17"/>
                <w:szCs w:val="17"/>
                <w:color w:val="auto"/>
              </w:rPr>
              <w:t>M. J. Hames</w:t>
            </w:r>
          </w:p>
        </w:tc>
        <w:tc>
          <w:tcPr>
            <w:tcW w:w="4460" w:type="dxa"/>
            <w:vAlign w:val="bottom"/>
            <w:shd w:val="clear" w:color="auto" w:fill="C0C0C0"/>
          </w:tcPr>
          <w:p>
            <w:pPr>
              <w:jc w:val="right"/>
              <w:ind w:right="256"/>
              <w:spacing w:after="0"/>
              <w:rPr>
                <w:sz w:val="20"/>
                <w:szCs w:val="20"/>
                <w:color w:val="auto"/>
              </w:rPr>
            </w:pPr>
            <w:r>
              <w:rPr>
                <w:rFonts w:ascii="Arial" w:cs="Arial" w:eastAsia="Arial" w:hAnsi="Arial"/>
                <w:sz w:val="17"/>
                <w:szCs w:val="17"/>
                <w:color w:val="auto"/>
              </w:rPr>
              <w:t>1,321,250</w:t>
            </w:r>
          </w:p>
        </w:tc>
        <w:tc>
          <w:tcPr>
            <w:tcW w:w="1080" w:type="dxa"/>
            <w:vAlign w:val="bottom"/>
            <w:shd w:val="clear" w:color="auto" w:fill="C0C0C0"/>
          </w:tcPr>
          <w:p>
            <w:pPr>
              <w:jc w:val="right"/>
              <w:ind w:right="156"/>
              <w:spacing w:after="0"/>
              <w:rPr>
                <w:sz w:val="20"/>
                <w:szCs w:val="20"/>
                <w:color w:val="auto"/>
              </w:rPr>
            </w:pPr>
            <w:r>
              <w:rPr>
                <w:rFonts w:ascii="Arial" w:cs="Arial" w:eastAsia="Arial" w:hAnsi="Arial"/>
                <w:sz w:val="17"/>
                <w:szCs w:val="17"/>
                <w:color w:val="auto"/>
              </w:rPr>
              <w:t>7,204</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190,000</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[ 92 ]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named executive officer has sole voting and sole investment power with respect to the shares owned.</w:t>
      </w:r>
    </w:p>
    <w:p>
      <w:pPr>
        <w:spacing w:after="0" w:line="38" w:lineRule="exact"/>
        <w:rPr>
          <w:sz w:val="20"/>
          <w:szCs w:val="20"/>
          <w:color w:val="auto"/>
        </w:rPr>
      </w:pPr>
    </w:p>
    <w:p>
      <w:pPr>
        <w:ind w:left="460" w:hanging="456"/>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w:t>
      </w:r>
    </w:p>
    <w:p>
      <w:pPr>
        <w:spacing w:after="0" w:line="37" w:lineRule="exact"/>
        <w:rPr>
          <w:rFonts w:ascii="Arial" w:cs="Arial" w:eastAsia="Arial" w:hAnsi="Arial"/>
          <w:sz w:val="17"/>
          <w:szCs w:val="17"/>
          <w:color w:val="auto"/>
        </w:rPr>
      </w:pPr>
    </w:p>
    <w:p>
      <w:pPr>
        <w:ind w:left="940" w:hanging="470"/>
        <w:spacing w:after="0"/>
        <w:tabs>
          <w:tab w:leader="none" w:pos="9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12,254,700 shares obtainable within 60 days;</w:t>
      </w:r>
    </w:p>
    <w:p>
      <w:pPr>
        <w:spacing w:after="0" w:line="37" w:lineRule="exact"/>
        <w:rPr>
          <w:rFonts w:ascii="Arial" w:cs="Arial" w:eastAsia="Arial" w:hAnsi="Arial"/>
          <w:sz w:val="17"/>
          <w:szCs w:val="17"/>
          <w:color w:val="auto"/>
        </w:rPr>
      </w:pPr>
    </w:p>
    <w:p>
      <w:pPr>
        <w:ind w:left="940" w:hanging="470"/>
        <w:spacing w:after="0"/>
        <w:tabs>
          <w:tab w:leader="none" w:pos="9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71,172 shares credited to 401(k) and profit sharing stock accounts;</w:t>
      </w:r>
    </w:p>
    <w:p>
      <w:pPr>
        <w:spacing w:after="0" w:line="37" w:lineRule="exact"/>
        <w:rPr>
          <w:rFonts w:ascii="Arial" w:cs="Arial" w:eastAsia="Arial" w:hAnsi="Arial"/>
          <w:sz w:val="17"/>
          <w:szCs w:val="17"/>
          <w:color w:val="auto"/>
        </w:rPr>
      </w:pPr>
    </w:p>
    <w:p>
      <w:pPr>
        <w:ind w:left="940" w:hanging="470"/>
        <w:spacing w:after="0"/>
        <w:tabs>
          <w:tab w:leader="none" w:pos="9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2,372,091 shares subject to restricted stock unit awards; for the terms of these restricted stock units, please see pages 59-61 and 76-77.</w:t>
      </w:r>
    </w:p>
    <w:p>
      <w:pPr>
        <w:spacing w:after="0" w:line="37" w:lineRule="exact"/>
        <w:rPr>
          <w:rFonts w:ascii="Arial" w:cs="Arial" w:eastAsia="Arial" w:hAnsi="Arial"/>
          <w:sz w:val="17"/>
          <w:szCs w:val="17"/>
          <w:color w:val="auto"/>
        </w:rPr>
      </w:pPr>
    </w:p>
    <w:p>
      <w:pPr>
        <w:ind w:left="940" w:right="60" w:hanging="470"/>
        <w:spacing w:after="0" w:line="238" w:lineRule="auto"/>
        <w:tabs>
          <w:tab w:leader="none" w:pos="9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117,451 shares credited to certain non-employee directors’ deferred compensation accounts; shares in deferred compensation accounts are issued following a director’s termination of service.</w:t>
      </w:r>
    </w:p>
    <w:p>
      <w:pPr>
        <w:spacing w:after="0" w:line="1" w:lineRule="exact"/>
        <w:rPr>
          <w:sz w:val="20"/>
          <w:szCs w:val="20"/>
          <w:color w:val="auto"/>
        </w:rPr>
      </w:pPr>
    </w:p>
    <w:p>
      <w:pPr>
        <w:ind w:left="460" w:right="80"/>
        <w:spacing w:after="0" w:line="246" w:lineRule="auto"/>
        <w:rPr>
          <w:sz w:val="20"/>
          <w:szCs w:val="20"/>
          <w:color w:val="auto"/>
        </w:rPr>
      </w:pPr>
      <w:r>
        <w:rPr>
          <w:rFonts w:ascii="Arial" w:cs="Arial" w:eastAsia="Arial" w:hAnsi="Arial"/>
          <w:sz w:val="17"/>
          <w:szCs w:val="17"/>
          <w:color w:val="auto"/>
        </w:rPr>
        <w:t>Excludes shares held by a family member if a director or executive officer has disclaimed beneficial ownership. No director or executive officer has pledged shares of TI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19"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2" w:lineRule="exact"/>
        <w:rPr>
          <w:sz w:val="20"/>
          <w:szCs w:val="20"/>
          <w:color w:val="auto"/>
        </w:rPr>
      </w:pPr>
    </w:p>
    <w:p>
      <w:pPr>
        <w:ind w:left="660" w:hanging="397"/>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TI or any TI subsidiary is or will be a participant;</w:t>
      </w:r>
    </w:p>
    <w:p>
      <w:pPr>
        <w:spacing w:after="0" w:line="37" w:lineRule="exact"/>
        <w:rPr>
          <w:rFonts w:ascii="Arial" w:cs="Arial" w:eastAsia="Arial" w:hAnsi="Arial"/>
          <w:sz w:val="17"/>
          <w:szCs w:val="17"/>
          <w:color w:val="auto"/>
        </w:rPr>
      </w:pPr>
    </w:p>
    <w:p>
      <w:pPr>
        <w:ind w:left="660" w:hanging="397"/>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 involved exceeds or is expected to exceed $100,000 in a fiscal year; and</w:t>
      </w:r>
    </w:p>
    <w:p>
      <w:pPr>
        <w:spacing w:after="0" w:line="37" w:lineRule="exact"/>
        <w:rPr>
          <w:rFonts w:ascii="Arial" w:cs="Arial" w:eastAsia="Arial" w:hAnsi="Arial"/>
          <w:sz w:val="17"/>
          <w:szCs w:val="17"/>
          <w:color w:val="auto"/>
        </w:rPr>
      </w:pPr>
    </w:p>
    <w:p>
      <w:pPr>
        <w:ind w:left="660" w:hanging="397"/>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of the following (a “related person”) has or will have a direct or indirect interest:</w:t>
      </w:r>
    </w:p>
    <w:p>
      <w:pPr>
        <w:spacing w:after="0" w:line="37" w:lineRule="exact"/>
        <w:rPr>
          <w:rFonts w:ascii="Arial" w:cs="Arial" w:eastAsia="Arial" w:hAnsi="Arial"/>
          <w:sz w:val="17"/>
          <w:szCs w:val="17"/>
          <w:color w:val="auto"/>
        </w:rPr>
      </w:pPr>
    </w:p>
    <w:p>
      <w:pPr>
        <w:ind w:left="1140" w:hanging="476"/>
        <w:spacing w:after="0"/>
        <w:tabs>
          <w:tab w:leader="none" w:pos="11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 TI director or executive officer, or an Immediate Family Member of a director or executive officer;</w:t>
      </w:r>
    </w:p>
    <w:p>
      <w:pPr>
        <w:spacing w:after="0" w:line="37" w:lineRule="exact"/>
        <w:rPr>
          <w:rFonts w:ascii="Arial" w:cs="Arial" w:eastAsia="Arial" w:hAnsi="Arial"/>
          <w:sz w:val="17"/>
          <w:szCs w:val="17"/>
          <w:color w:val="auto"/>
        </w:rPr>
      </w:pPr>
    </w:p>
    <w:p>
      <w:pPr>
        <w:ind w:left="1140" w:right="240" w:hanging="476"/>
        <w:spacing w:after="0" w:line="253" w:lineRule="auto"/>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ind w:left="1140" w:right="40" w:hanging="476"/>
        <w:spacing w:after="0" w:line="246" w:lineRule="auto"/>
        <w:tabs>
          <w:tab w:leader="none" w:pos="11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 entity in which someone listed in (a) or (b) above has a 5 percent or greater ownership interest, by which someone listed in (a) or (b) is employed, or of which someone listed in (a) or (b) is a director, principal or partner.</w:t>
      </w:r>
    </w:p>
    <w:p>
      <w:pPr>
        <w:spacing w:after="0" w:line="14"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1" w:lineRule="exact"/>
        <w:rPr>
          <w:sz w:val="20"/>
          <w:szCs w:val="20"/>
          <w:color w:val="auto"/>
        </w:rPr>
      </w:pPr>
    </w:p>
    <w:p>
      <w:pPr>
        <w:ind w:right="240" w:firstLine="259"/>
        <w:spacing w:after="0" w:line="262" w:lineRule="auto"/>
        <w:rPr>
          <w:sz w:val="20"/>
          <w:szCs w:val="20"/>
          <w:color w:val="auto"/>
        </w:rPr>
      </w:pPr>
      <w:r>
        <w:rPr>
          <w:rFonts w:ascii="Arial" w:cs="Arial" w:eastAsia="Arial" w:hAnsi="Arial"/>
          <w:sz w:val="17"/>
          <w:szCs w:val="17"/>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ectPr>
          <w:pgSz w:w="11900" w:h="16838" w:orient="portrait"/>
          <w:cols w:equalWidth="0" w:num="1">
            <w:col w:w="11420"/>
          </w:cols>
          <w:pgMar w:left="240" w:top="213" w:right="239" w:bottom="0" w:gutter="0" w:footer="0" w:header="0"/>
          <w:type w:val="continuous"/>
        </w:sectPr>
      </w:pPr>
    </w:p>
    <w:bookmarkStart w:id="32" w:name="page33"/>
    <w:bookmarkEnd w:id="3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Approval required</w:t>
            </w:r>
          </w:p>
        </w:tc>
        <w:tc>
          <w:tcPr>
            <w:tcW w:w="43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407"/>
        </w:trPr>
        <w:tc>
          <w:tcPr>
            <w:tcW w:w="5640" w:type="dxa"/>
            <w:vAlign w:val="bottom"/>
            <w:gridSpan w:val="3"/>
          </w:tcPr>
          <w:p>
            <w:pPr>
              <w:spacing w:after="0"/>
              <w:rPr>
                <w:sz w:val="20"/>
                <w:szCs w:val="20"/>
                <w:color w:val="auto"/>
              </w:rPr>
            </w:pPr>
            <w:r>
              <w:rPr>
                <w:rFonts w:ascii="Arial" w:cs="Arial" w:eastAsia="Arial" w:hAnsi="Arial"/>
                <w:sz w:val="17"/>
                <w:szCs w:val="17"/>
                <w:color w:val="auto"/>
              </w:rPr>
              <w:t>Arrangement involving:</w:t>
            </w:r>
          </w:p>
        </w:tc>
        <w:tc>
          <w:tcPr>
            <w:tcW w:w="5780" w:type="dxa"/>
            <w:vAlign w:val="bottom"/>
            <w:gridSpan w:val="3"/>
          </w:tcPr>
          <w:p>
            <w:pPr>
              <w:ind w:left="200"/>
              <w:spacing w:after="0"/>
              <w:rPr>
                <w:sz w:val="20"/>
                <w:szCs w:val="20"/>
                <w:color w:val="auto"/>
              </w:rPr>
            </w:pPr>
            <w:r>
              <w:rPr>
                <w:rFonts w:ascii="Arial" w:cs="Arial" w:eastAsia="Arial" w:hAnsi="Arial"/>
                <w:sz w:val="17"/>
                <w:szCs w:val="17"/>
                <w:color w:val="auto"/>
              </w:rPr>
              <w:t>Approval required by:</w:t>
            </w:r>
          </w:p>
        </w:tc>
      </w:tr>
      <w:tr>
        <w:trPr>
          <w:trHeight w:val="29"/>
        </w:trPr>
        <w:tc>
          <w:tcPr>
            <w:tcW w:w="1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020" w:type="dxa"/>
            <w:vAlign w:val="bottom"/>
          </w:tcPr>
          <w:p>
            <w:pPr>
              <w:spacing w:after="0"/>
              <w:rPr>
                <w:sz w:val="2"/>
                <w:szCs w:val="2"/>
                <w:color w:val="auto"/>
              </w:rPr>
            </w:pPr>
          </w:p>
        </w:tc>
      </w:tr>
      <w:tr>
        <w:trPr>
          <w:trHeight w:val="207"/>
        </w:trPr>
        <w:tc>
          <w:tcPr>
            <w:tcW w:w="56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Executive officer who is also a member of the TI board, an Immediate</w:t>
            </w:r>
          </w:p>
        </w:tc>
        <w:tc>
          <w:tcPr>
            <w:tcW w:w="5780" w:type="dxa"/>
            <w:vAlign w:val="bottom"/>
            <w:gridSpan w:val="3"/>
            <w:shd w:val="clear" w:color="auto" w:fill="C0C0C0"/>
          </w:tcPr>
          <w:p>
            <w:pPr>
              <w:ind w:left="200"/>
              <w:spacing w:after="0"/>
              <w:rPr>
                <w:sz w:val="20"/>
                <w:szCs w:val="20"/>
                <w:color w:val="auto"/>
              </w:rPr>
            </w:pPr>
            <w:r>
              <w:rPr>
                <w:rFonts w:ascii="Arial" w:cs="Arial" w:eastAsia="Arial" w:hAnsi="Arial"/>
                <w:sz w:val="17"/>
                <w:szCs w:val="17"/>
                <w:color w:val="auto"/>
              </w:rPr>
              <w:t>Governance and Stockholder Relations Committee</w:t>
            </w:r>
          </w:p>
        </w:tc>
      </w:tr>
      <w:tr>
        <w:trPr>
          <w:trHeight w:val="194"/>
        </w:trPr>
        <w:tc>
          <w:tcPr>
            <w:tcW w:w="5640" w:type="dxa"/>
            <w:vAlign w:val="bottom"/>
            <w:gridSpan w:val="3"/>
            <w:shd w:val="clear" w:color="auto" w:fill="C0C0C0"/>
          </w:tcPr>
          <w:p>
            <w:pPr>
              <w:spacing w:after="0" w:line="194" w:lineRule="exact"/>
              <w:rPr>
                <w:sz w:val="20"/>
                <w:szCs w:val="20"/>
                <w:color w:val="auto"/>
              </w:rPr>
            </w:pPr>
            <w:r>
              <w:rPr>
                <w:rFonts w:ascii="Arial" w:cs="Arial" w:eastAsia="Arial" w:hAnsi="Arial"/>
                <w:sz w:val="17"/>
                <w:szCs w:val="17"/>
                <w:color w:val="auto"/>
              </w:rPr>
              <w:t>Family Member of such person, or an entity in which any of the foregoing</w:t>
            </w:r>
          </w:p>
        </w:tc>
        <w:tc>
          <w:tcPr>
            <w:tcW w:w="200" w:type="dxa"/>
            <w:vAlign w:val="bottom"/>
            <w:shd w:val="clear" w:color="auto" w:fill="C0C0C0"/>
          </w:tcPr>
          <w:p>
            <w:pPr>
              <w:spacing w:after="0"/>
              <w:rPr>
                <w:sz w:val="16"/>
                <w:szCs w:val="16"/>
                <w:color w:val="auto"/>
              </w:rPr>
            </w:pPr>
          </w:p>
        </w:tc>
        <w:tc>
          <w:tcPr>
            <w:tcW w:w="1560" w:type="dxa"/>
            <w:vAlign w:val="bottom"/>
            <w:shd w:val="clear" w:color="auto" w:fill="C0C0C0"/>
          </w:tcPr>
          <w:p>
            <w:pPr>
              <w:spacing w:after="0"/>
              <w:rPr>
                <w:sz w:val="16"/>
                <w:szCs w:val="16"/>
                <w:color w:val="auto"/>
              </w:rPr>
            </w:pPr>
          </w:p>
        </w:tc>
        <w:tc>
          <w:tcPr>
            <w:tcW w:w="4020" w:type="dxa"/>
            <w:vAlign w:val="bottom"/>
            <w:shd w:val="clear" w:color="auto" w:fill="C0C0C0"/>
          </w:tcPr>
          <w:p>
            <w:pPr>
              <w:spacing w:after="0"/>
              <w:rPr>
                <w:sz w:val="16"/>
                <w:szCs w:val="16"/>
                <w:color w:val="auto"/>
              </w:rPr>
            </w:pPr>
          </w:p>
        </w:tc>
      </w:tr>
      <w:tr>
        <w:trPr>
          <w:trHeight w:val="191"/>
        </w:trPr>
        <w:tc>
          <w:tcPr>
            <w:tcW w:w="5640" w:type="dxa"/>
            <w:vAlign w:val="bottom"/>
            <w:gridSpan w:val="3"/>
            <w:shd w:val="clear" w:color="auto" w:fill="C0C0C0"/>
          </w:tcPr>
          <w:p>
            <w:pPr>
              <w:spacing w:after="0" w:line="191" w:lineRule="exact"/>
              <w:rPr>
                <w:sz w:val="20"/>
                <w:szCs w:val="20"/>
                <w:color w:val="auto"/>
              </w:rPr>
            </w:pPr>
            <w:r>
              <w:rPr>
                <w:rFonts w:ascii="Arial" w:cs="Arial" w:eastAsia="Arial" w:hAnsi="Arial"/>
                <w:sz w:val="17"/>
                <w:szCs w:val="17"/>
                <w:color w:val="auto"/>
              </w:rPr>
              <w:t>has a 5 percent or greater ownership interest</w:t>
            </w:r>
          </w:p>
        </w:tc>
        <w:tc>
          <w:tcPr>
            <w:tcW w:w="200" w:type="dxa"/>
            <w:vAlign w:val="bottom"/>
            <w:shd w:val="clear" w:color="auto" w:fill="C0C0C0"/>
          </w:tcPr>
          <w:p>
            <w:pPr>
              <w:spacing w:after="0"/>
              <w:rPr>
                <w:sz w:val="16"/>
                <w:szCs w:val="16"/>
                <w:color w:val="auto"/>
              </w:rPr>
            </w:pPr>
          </w:p>
        </w:tc>
        <w:tc>
          <w:tcPr>
            <w:tcW w:w="1560" w:type="dxa"/>
            <w:vAlign w:val="bottom"/>
            <w:shd w:val="clear" w:color="auto" w:fill="C0C0C0"/>
          </w:tcPr>
          <w:p>
            <w:pPr>
              <w:spacing w:after="0"/>
              <w:rPr>
                <w:sz w:val="16"/>
                <w:szCs w:val="16"/>
                <w:color w:val="auto"/>
              </w:rPr>
            </w:pPr>
          </w:p>
        </w:tc>
        <w:tc>
          <w:tcPr>
            <w:tcW w:w="4020" w:type="dxa"/>
            <w:vAlign w:val="bottom"/>
            <w:shd w:val="clear" w:color="auto" w:fill="C0C0C0"/>
          </w:tcPr>
          <w:p>
            <w:pPr>
              <w:spacing w:after="0"/>
              <w:rPr>
                <w:sz w:val="16"/>
                <w:szCs w:val="16"/>
                <w:color w:val="auto"/>
              </w:rPr>
            </w:pPr>
          </w:p>
        </w:tc>
      </w:tr>
      <w:tr>
        <w:trPr>
          <w:trHeight w:val="197"/>
        </w:trPr>
        <w:tc>
          <w:tcPr>
            <w:tcW w:w="5640" w:type="dxa"/>
            <w:vAlign w:val="bottom"/>
            <w:gridSpan w:val="3"/>
          </w:tcPr>
          <w:p>
            <w:pPr>
              <w:spacing w:after="0"/>
              <w:rPr>
                <w:sz w:val="20"/>
                <w:szCs w:val="20"/>
                <w:color w:val="auto"/>
              </w:rPr>
            </w:pPr>
            <w:r>
              <w:rPr>
                <w:rFonts w:ascii="Arial" w:cs="Arial" w:eastAsia="Arial" w:hAnsi="Arial"/>
                <w:sz w:val="17"/>
                <w:szCs w:val="17"/>
                <w:color w:val="auto"/>
              </w:rPr>
              <w:t>Chief compliance officer, any of his or her Immediate Family Members, or</w:t>
            </w:r>
          </w:p>
        </w:tc>
        <w:tc>
          <w:tcPr>
            <w:tcW w:w="5780" w:type="dxa"/>
            <w:vAlign w:val="bottom"/>
            <w:gridSpan w:val="3"/>
          </w:tcPr>
          <w:p>
            <w:pPr>
              <w:ind w:left="200"/>
              <w:spacing w:after="0"/>
              <w:rPr>
                <w:sz w:val="20"/>
                <w:szCs w:val="20"/>
                <w:color w:val="auto"/>
              </w:rPr>
            </w:pPr>
            <w:r>
              <w:rPr>
                <w:rFonts w:ascii="Arial" w:cs="Arial" w:eastAsia="Arial" w:hAnsi="Arial"/>
                <w:sz w:val="17"/>
                <w:szCs w:val="17"/>
                <w:color w:val="auto"/>
              </w:rPr>
              <w:t>Governance and Stockholder Relations Committee</w:t>
            </w:r>
          </w:p>
        </w:tc>
      </w:tr>
      <w:tr>
        <w:trPr>
          <w:trHeight w:val="194"/>
        </w:trPr>
        <w:tc>
          <w:tcPr>
            <w:tcW w:w="5640" w:type="dxa"/>
            <w:vAlign w:val="bottom"/>
            <w:gridSpan w:val="3"/>
          </w:tcPr>
          <w:p>
            <w:pPr>
              <w:spacing w:after="0" w:line="194" w:lineRule="exact"/>
              <w:rPr>
                <w:sz w:val="20"/>
                <w:szCs w:val="20"/>
                <w:color w:val="auto"/>
              </w:rPr>
            </w:pPr>
            <w:r>
              <w:rPr>
                <w:rFonts w:ascii="Arial" w:cs="Arial" w:eastAsia="Arial" w:hAnsi="Arial"/>
                <w:sz w:val="17"/>
                <w:szCs w:val="17"/>
                <w:color w:val="auto"/>
              </w:rPr>
              <w:t>an entity in which any of the foregoing has a 5 percent or greater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91"/>
        </w:trPr>
        <w:tc>
          <w:tcPr>
            <w:tcW w:w="5640" w:type="dxa"/>
            <w:vAlign w:val="bottom"/>
            <w:gridSpan w:val="3"/>
          </w:tcPr>
          <w:p>
            <w:pPr>
              <w:spacing w:after="0" w:line="191" w:lineRule="exact"/>
              <w:rPr>
                <w:sz w:val="20"/>
                <w:szCs w:val="20"/>
                <w:color w:val="auto"/>
              </w:rPr>
            </w:pPr>
            <w:r>
              <w:rPr>
                <w:rFonts w:ascii="Arial" w:cs="Arial" w:eastAsia="Arial" w:hAnsi="Arial"/>
                <w:sz w:val="17"/>
                <w:szCs w:val="17"/>
                <w:color w:val="auto"/>
              </w:rPr>
              <w:t>ownership interest</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197"/>
        </w:trPr>
        <w:tc>
          <w:tcPr>
            <w:tcW w:w="56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Any other director or executive officer, an Immediate Family Member of</w:t>
            </w:r>
          </w:p>
        </w:tc>
        <w:tc>
          <w:tcPr>
            <w:tcW w:w="5780" w:type="dxa"/>
            <w:vAlign w:val="bottom"/>
            <w:gridSpan w:val="3"/>
            <w:shd w:val="clear" w:color="auto" w:fill="C0C0C0"/>
          </w:tcPr>
          <w:p>
            <w:pPr>
              <w:ind w:left="200"/>
              <w:spacing w:after="0"/>
              <w:rPr>
                <w:sz w:val="20"/>
                <w:szCs w:val="20"/>
                <w:color w:val="auto"/>
              </w:rPr>
            </w:pPr>
            <w:r>
              <w:rPr>
                <w:rFonts w:ascii="Arial" w:cs="Arial" w:eastAsia="Arial" w:hAnsi="Arial"/>
                <w:sz w:val="17"/>
                <w:szCs w:val="17"/>
                <w:color w:val="auto"/>
              </w:rPr>
              <w:t>Chief compliance officer in consultation with the Chair of the Governance</w:t>
            </w:r>
          </w:p>
        </w:tc>
      </w:tr>
      <w:tr>
        <w:trPr>
          <w:trHeight w:val="194"/>
        </w:trPr>
        <w:tc>
          <w:tcPr>
            <w:tcW w:w="5640" w:type="dxa"/>
            <w:vAlign w:val="bottom"/>
            <w:gridSpan w:val="3"/>
            <w:shd w:val="clear" w:color="auto" w:fill="C0C0C0"/>
          </w:tcPr>
          <w:p>
            <w:pPr>
              <w:spacing w:after="0" w:line="194" w:lineRule="exact"/>
              <w:rPr>
                <w:sz w:val="20"/>
                <w:szCs w:val="20"/>
                <w:color w:val="auto"/>
              </w:rPr>
            </w:pPr>
            <w:r>
              <w:rPr>
                <w:rFonts w:ascii="Arial" w:cs="Arial" w:eastAsia="Arial" w:hAnsi="Arial"/>
                <w:sz w:val="17"/>
                <w:szCs w:val="17"/>
                <w:color w:val="auto"/>
              </w:rPr>
              <w:t>such person, or an entity in which any of the foregoing has a 5 percent or</w:t>
            </w:r>
          </w:p>
        </w:tc>
        <w:tc>
          <w:tcPr>
            <w:tcW w:w="5780" w:type="dxa"/>
            <w:vAlign w:val="bottom"/>
            <w:gridSpan w:val="3"/>
            <w:shd w:val="clear" w:color="auto" w:fill="C0C0C0"/>
          </w:tcPr>
          <w:p>
            <w:pPr>
              <w:ind w:left="200"/>
              <w:spacing w:after="0" w:line="194" w:lineRule="exact"/>
              <w:rPr>
                <w:sz w:val="20"/>
                <w:szCs w:val="20"/>
                <w:color w:val="auto"/>
              </w:rPr>
            </w:pPr>
            <w:r>
              <w:rPr>
                <w:rFonts w:ascii="Arial" w:cs="Arial" w:eastAsia="Arial" w:hAnsi="Arial"/>
                <w:sz w:val="17"/>
                <w:szCs w:val="17"/>
                <w:color w:val="auto"/>
              </w:rPr>
              <w:t>and Stockholder Relations Committee</w:t>
            </w:r>
          </w:p>
        </w:tc>
      </w:tr>
      <w:tr>
        <w:trPr>
          <w:trHeight w:val="191"/>
        </w:trPr>
        <w:tc>
          <w:tcPr>
            <w:tcW w:w="5640" w:type="dxa"/>
            <w:vAlign w:val="bottom"/>
            <w:gridSpan w:val="3"/>
            <w:shd w:val="clear" w:color="auto" w:fill="C0C0C0"/>
          </w:tcPr>
          <w:p>
            <w:pPr>
              <w:spacing w:after="0" w:line="191" w:lineRule="exact"/>
              <w:rPr>
                <w:sz w:val="20"/>
                <w:szCs w:val="20"/>
                <w:color w:val="auto"/>
              </w:rPr>
            </w:pPr>
            <w:r>
              <w:rPr>
                <w:rFonts w:ascii="Arial" w:cs="Arial" w:eastAsia="Arial" w:hAnsi="Arial"/>
                <w:sz w:val="17"/>
                <w:szCs w:val="17"/>
                <w:color w:val="auto"/>
              </w:rPr>
              <w:t>greater ownership interest</w:t>
            </w:r>
          </w:p>
        </w:tc>
        <w:tc>
          <w:tcPr>
            <w:tcW w:w="200" w:type="dxa"/>
            <w:vAlign w:val="bottom"/>
            <w:shd w:val="clear" w:color="auto" w:fill="C0C0C0"/>
          </w:tcPr>
          <w:p>
            <w:pPr>
              <w:spacing w:after="0"/>
              <w:rPr>
                <w:sz w:val="16"/>
                <w:szCs w:val="16"/>
                <w:color w:val="auto"/>
              </w:rPr>
            </w:pPr>
          </w:p>
        </w:tc>
        <w:tc>
          <w:tcPr>
            <w:tcW w:w="1560" w:type="dxa"/>
            <w:vAlign w:val="bottom"/>
            <w:shd w:val="clear" w:color="auto" w:fill="C0C0C0"/>
          </w:tcPr>
          <w:p>
            <w:pPr>
              <w:spacing w:after="0"/>
              <w:rPr>
                <w:sz w:val="16"/>
                <w:szCs w:val="16"/>
                <w:color w:val="auto"/>
              </w:rPr>
            </w:pPr>
          </w:p>
        </w:tc>
        <w:tc>
          <w:tcPr>
            <w:tcW w:w="4020" w:type="dxa"/>
            <w:vAlign w:val="bottom"/>
            <w:shd w:val="clear" w:color="auto" w:fill="C0C0C0"/>
          </w:tcPr>
          <w:p>
            <w:pPr>
              <w:spacing w:after="0"/>
              <w:rPr>
                <w:sz w:val="16"/>
                <w:szCs w:val="16"/>
                <w:color w:val="auto"/>
              </w:rPr>
            </w:pPr>
          </w:p>
        </w:tc>
      </w:tr>
      <w:tr>
        <w:trPr>
          <w:trHeight w:val="205"/>
        </w:trPr>
        <w:tc>
          <w:tcPr>
            <w:tcW w:w="5640" w:type="dxa"/>
            <w:vAlign w:val="bottom"/>
            <w:gridSpan w:val="3"/>
          </w:tcPr>
          <w:p>
            <w:pPr>
              <w:spacing w:after="0"/>
              <w:rPr>
                <w:sz w:val="20"/>
                <w:szCs w:val="20"/>
                <w:color w:val="auto"/>
              </w:rPr>
            </w:pPr>
            <w:r>
              <w:rPr>
                <w:rFonts w:ascii="Arial" w:cs="Arial" w:eastAsia="Arial" w:hAnsi="Arial"/>
                <w:sz w:val="17"/>
                <w:szCs w:val="17"/>
                <w:color w:val="auto"/>
              </w:rPr>
              <w:t>A 5 percent holder</w:t>
            </w:r>
          </w:p>
        </w:tc>
        <w:tc>
          <w:tcPr>
            <w:tcW w:w="5780" w:type="dxa"/>
            <w:vAlign w:val="bottom"/>
            <w:gridSpan w:val="3"/>
          </w:tcPr>
          <w:p>
            <w:pPr>
              <w:ind w:left="200"/>
              <w:spacing w:after="0"/>
              <w:rPr>
                <w:sz w:val="20"/>
                <w:szCs w:val="20"/>
                <w:color w:val="auto"/>
              </w:rPr>
            </w:pPr>
            <w:r>
              <w:rPr>
                <w:rFonts w:ascii="Arial" w:cs="Arial" w:eastAsia="Arial" w:hAnsi="Arial"/>
                <w:sz w:val="17"/>
                <w:szCs w:val="17"/>
                <w:color w:val="auto"/>
              </w:rPr>
              <w:t>Governance and Stockholder Relations Committee</w:t>
            </w:r>
          </w:p>
        </w:tc>
      </w:tr>
    </w:tbl>
    <w:p>
      <w:pPr>
        <w:spacing w:after="0" w:line="200" w:lineRule="exact"/>
        <w:rPr>
          <w:sz w:val="20"/>
          <w:szCs w:val="20"/>
          <w:color w:val="auto"/>
        </w:rPr>
      </w:pPr>
    </w:p>
    <w:p>
      <w:pPr>
        <w:spacing w:after="0" w:line="23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No member of the Governance and Stockholder Relations Committee will participate in the consideration of a related person arrangement in which such member or any of his or her Immediate Family Members is the related person.</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259"/>
        <w:spacing w:after="0" w:line="243"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7" w:lineRule="exact"/>
        <w:rPr>
          <w:sz w:val="20"/>
          <w:szCs w:val="20"/>
          <w:color w:val="auto"/>
        </w:rPr>
      </w:pPr>
    </w:p>
    <w:p>
      <w:pPr>
        <w:ind w:right="320" w:firstLine="259"/>
        <w:spacing w:after="0" w:line="262" w:lineRule="auto"/>
        <w:rPr>
          <w:sz w:val="20"/>
          <w:szCs w:val="20"/>
          <w:color w:val="auto"/>
        </w:rPr>
      </w:pPr>
      <w:r>
        <w:rPr>
          <w:rFonts w:ascii="Arial" w:cs="Arial" w:eastAsia="Arial" w:hAnsi="Arial"/>
          <w:sz w:val="17"/>
          <w:szCs w:val="17"/>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 w:lineRule="exact"/>
        <w:rPr>
          <w:sz w:val="20"/>
          <w:szCs w:val="20"/>
          <w:color w:val="auto"/>
        </w:rPr>
      </w:pPr>
    </w:p>
    <w:p>
      <w:pPr>
        <w:ind w:right="60" w:firstLine="259"/>
        <w:spacing w:after="0" w:line="250" w:lineRule="auto"/>
        <w:rPr>
          <w:sz w:val="20"/>
          <w:szCs w:val="20"/>
          <w:color w:val="auto"/>
        </w:rPr>
      </w:pPr>
      <w:r>
        <w:rPr>
          <w:rFonts w:ascii="Arial" w:cs="Arial" w:eastAsia="Arial" w:hAnsi="Arial"/>
          <w:sz w:val="17"/>
          <w:szCs w:val="17"/>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1" w:lineRule="exact"/>
        <w:rPr>
          <w:sz w:val="20"/>
          <w:szCs w:val="20"/>
          <w:color w:val="auto"/>
        </w:rPr>
      </w:pPr>
    </w:p>
    <w:p>
      <w:pPr>
        <w:ind w:right="80" w:firstLine="259"/>
        <w:spacing w:after="0" w:line="242" w:lineRule="auto"/>
        <w:rPr>
          <w:sz w:val="20"/>
          <w:szCs w:val="20"/>
          <w:color w:val="auto"/>
        </w:rPr>
      </w:pPr>
      <w:r>
        <w:rPr>
          <w:rFonts w:ascii="Arial" w:cs="Arial" w:eastAsia="Arial" w:hAnsi="Arial"/>
          <w:sz w:val="17"/>
          <w:szCs w:val="17"/>
          <w:color w:val="auto"/>
        </w:rPr>
        <w:t>Joseph F. Hubach, senior vice president, secretary, general counsel and chief compliance officer of the company, is the brother of Francis P. Hubach, Jr., who was a partner of the law firm of Jones Day in 2008. The company, whose relationship with Jones Day began before Mr. J. Hubach joined the company, engaged the services of Jones Day during 2008. Mr. F. Hubach provided no services to the company. Mr. F. Hubach retired from Jones Day as of December 31, 2008. In accordance with TI’s policy, the committee reviewed the details of this relationship and, having determined that Mr. F. Hubach has no material interest, direct or indirect, in the transactions between TI and Jones Day, approved the continued engagement of Jones Day by the company. Mr. J. Hubach did not participate in any discussions regarding this matter. Given the determination that Mr. F. Hubach has no material interest, this relationship is not a related person transaction. However, TI discloses it in the interest of transparency.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2008, Mr. Carp, Ms. Cox, Mr. Goode, Ms. Simmons and Ms. Whitman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solicitation</w:t>
      </w:r>
    </w:p>
    <w:p>
      <w:pPr>
        <w:spacing w:after="0" w:line="1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7" w:lineRule="exact"/>
        <w:rPr>
          <w:sz w:val="20"/>
          <w:szCs w:val="20"/>
          <w:color w:val="auto"/>
        </w:rPr>
      </w:pPr>
    </w:p>
    <w:p>
      <w:pPr>
        <w:jc w:val="both"/>
        <w:ind w:right="60" w:firstLine="259"/>
        <w:spacing w:after="0" w:line="250" w:lineRule="auto"/>
        <w:rPr>
          <w:sz w:val="20"/>
          <w:szCs w:val="20"/>
          <w:color w:val="auto"/>
        </w:rPr>
      </w:pPr>
      <w:r>
        <w:rPr>
          <w:rFonts w:ascii="Arial" w:cs="Arial" w:eastAsia="Arial" w:hAnsi="Arial"/>
          <w:sz w:val="17"/>
          <w:szCs w:val="17"/>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2010</w:t>
      </w:r>
    </w:p>
    <w:p>
      <w:pPr>
        <w:spacing w:after="0" w:line="1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If you wish to submit a proposal for possible inclusion in TI’s 2010 proxy material, we must receive your notice, in accordance with rules of the SEC, on or before November 5, 2009. Proposals are to be sent to: Texas Instruments Incorporated, 12500 TI Boulevard, MS 8658, Dallas, Texas, 75243, Attn: Secretary.</w:t>
      </w:r>
    </w:p>
    <w:p>
      <w:pPr>
        <w:spacing w:after="0" w:line="17" w:lineRule="exact"/>
        <w:rPr>
          <w:sz w:val="20"/>
          <w:szCs w:val="20"/>
          <w:color w:val="auto"/>
        </w:rPr>
      </w:pPr>
    </w:p>
    <w:p>
      <w:pPr>
        <w:ind w:right="60" w:firstLine="259"/>
        <w:spacing w:after="0" w:line="262" w:lineRule="auto"/>
        <w:rPr>
          <w:sz w:val="20"/>
          <w:szCs w:val="20"/>
          <w:color w:val="auto"/>
        </w:rPr>
      </w:pPr>
      <w:r>
        <w:rPr>
          <w:rFonts w:ascii="Arial" w:cs="Arial" w:eastAsia="Arial" w:hAnsi="Arial"/>
          <w:sz w:val="17"/>
          <w:szCs w:val="17"/>
          <w:color w:val="auto"/>
        </w:rPr>
        <w:t>If you wish to submit a proposal at the 2010 annual meeting (but not seek inclusion of the proposal in the company’s proxy material), we must receive your notice, in accordance with the company’s by-laws, on or before January 16, 2010.</w:t>
      </w:r>
    </w:p>
    <w:p>
      <w:pPr>
        <w:spacing w:after="0" w:line="1" w:lineRule="exact"/>
        <w:rPr>
          <w:sz w:val="20"/>
          <w:szCs w:val="20"/>
          <w:color w:val="auto"/>
        </w:rPr>
      </w:pPr>
    </w:p>
    <w:p>
      <w:pPr>
        <w:ind w:right="80" w:firstLine="259"/>
        <w:spacing w:after="0" w:line="244" w:lineRule="auto"/>
        <w:rPr>
          <w:sz w:val="20"/>
          <w:szCs w:val="20"/>
          <w:color w:val="auto"/>
        </w:rPr>
      </w:pPr>
      <w:r>
        <w:rPr>
          <w:rFonts w:ascii="Arial" w:cs="Arial" w:eastAsia="Arial" w:hAnsi="Arial"/>
          <w:sz w:val="17"/>
          <w:szCs w:val="17"/>
          <w:color w:val="auto"/>
        </w:rPr>
        <w:t>All suggestions from stockholders concerning the company’s business are welcome and will be carefully considered by TI’s management. To ensure that your suggestions receive appropriate review, the Governance and Stockholder Relations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54 for information on contacting the board.</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[ 94 ]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requirement</w:t>
      </w:r>
    </w:p>
    <w:p>
      <w:pPr>
        <w:spacing w:after="0" w:line="19"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A quorum of stockholders is necessary to hold a valid meeting. If at least a majority of the shares of TI stock issued and outstanding and entitled to vote are present in person or by proxy, a quorum will exist.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1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For all matters submitted at the meeting, including the election of directors, an affirmative vote of the majority of the shares present in person or by proxy and entitled to vote thereon is necessary for approval.</w:t>
      </w:r>
    </w:p>
    <w:p>
      <w:pPr>
        <w:spacing w:after="0" w:line="14" w:lineRule="exact"/>
        <w:rPr>
          <w:sz w:val="20"/>
          <w:szCs w:val="20"/>
          <w:color w:val="auto"/>
        </w:rPr>
      </w:pPr>
    </w:p>
    <w:p>
      <w:pPr>
        <w:ind w:right="20" w:firstLine="259"/>
        <w:spacing w:after="0" w:line="266" w:lineRule="auto"/>
        <w:rPr>
          <w:sz w:val="20"/>
          <w:szCs w:val="20"/>
          <w:color w:val="auto"/>
        </w:rPr>
      </w:pPr>
      <w:r>
        <w:rPr>
          <w:rFonts w:ascii="Arial" w:cs="Arial" w:eastAsia="Arial" w:hAnsi="Arial"/>
          <w:sz w:val="16"/>
          <w:szCs w:val="16"/>
          <w:color w:val="auto"/>
        </w:rPr>
        <w:t>We do not expect any matters to be presented for a vote at the annual meeting other than (1) the election of directors, (2) the proposal to ratify the appointment of the company’s independent registered public accounting firm for 2009, (3) the proposal to approve the Texas Instruments 2009 Long-Term Incentive Plan, (4) the proposal to approve the Texas Instruments 2009 Director Compensation Plan and (5) the stockholder proposal. If you grant a proxy, the persons named in the proxy will have the discretion to vote your shares on any additional matters properly presented for a vote at the meeting.</w:t>
      </w:r>
    </w:p>
    <w:p>
      <w:pPr>
        <w:ind w:right="220" w:firstLine="259"/>
        <w:spacing w:after="0" w:line="294" w:lineRule="auto"/>
        <w:rPr>
          <w:sz w:val="20"/>
          <w:szCs w:val="20"/>
          <w:color w:val="auto"/>
        </w:rPr>
      </w:pPr>
      <w:r>
        <w:rPr>
          <w:rFonts w:ascii="Arial" w:cs="Arial" w:eastAsia="Arial" w:hAnsi="Arial"/>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w:t>
      </w:r>
    </w:p>
    <w:p>
      <w:pPr>
        <w:sectPr>
          <w:pgSz w:w="11900" w:h="16850" w:orient="portrait"/>
          <w:cols w:equalWidth="0" w:num="1">
            <w:col w:w="11420"/>
          </w:cols>
          <w:pgMar w:left="240" w:top="112" w:right="239" w:bottom="0" w:gutter="0" w:footer="0" w:header="0"/>
        </w:sectPr>
      </w:pPr>
    </w:p>
    <w:bookmarkStart w:id="33" w:name="page34"/>
    <w:bookmarkEnd w:id="33"/>
    <w:p>
      <w:pPr>
        <w:spacing w:after="0" w:line="97"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 TI has appointed independent inspectors of election to tabulate the voting for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 voting</w:t>
      </w:r>
    </w:p>
    <w:p>
      <w:pPr>
        <w:spacing w:after="0" w:line="1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13, 2009, in the manner described in the notice of meeting.</w:t>
      </w:r>
    </w:p>
    <w:p>
      <w:pPr>
        <w:spacing w:after="0" w:line="18" w:lineRule="exact"/>
        <w:rPr>
          <w:sz w:val="20"/>
          <w:szCs w:val="20"/>
          <w:color w:val="auto"/>
        </w:rPr>
      </w:pPr>
    </w:p>
    <w:p>
      <w:pPr>
        <w:ind w:right="160" w:firstLine="259"/>
        <w:spacing w:after="0" w:line="250" w:lineRule="auto"/>
        <w:rPr>
          <w:sz w:val="20"/>
          <w:szCs w:val="20"/>
          <w:color w:val="auto"/>
        </w:rPr>
      </w:pPr>
      <w:r>
        <w:rPr>
          <w:rFonts w:ascii="Arial" w:cs="Arial" w:eastAsia="Arial" w:hAnsi="Arial"/>
          <w:sz w:val="17"/>
          <w:szCs w:val="17"/>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13, 2009, will be voted in the same proportions as the shares in the plans for which voting instructions have been received by that date.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9"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Section 16(a) of the Securities Exchange Act of 1934 requires certain persons, including the company’s directors and executive officers, to file reports with the SEC regarding beneficial ownership of certain equity securities of the company. During 2008, all reports were timely filed.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and Internet voting</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 xml:space="preserve">Registered stockholders and benefit plan participants. </w:t>
      </w:r>
      <w:r>
        <w:rPr>
          <w:rFonts w:ascii="Arial" w:cs="Arial" w:eastAsia="Arial" w:hAnsi="Arial"/>
          <w:sz w:val="17"/>
          <w:szCs w:val="17"/>
          <w:color w:val="auto"/>
        </w:rPr>
        <w:t>Stockholders with shares registered directly with Computershare (TI’s transfer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who beneficially own shares in a TI benefit plan may vote telephonically by calling (800) 690-6903 (within the U.S. and Canada only, toll-free) or via the Internet at www.proxyvote.com.</w:t>
      </w:r>
    </w:p>
    <w:p>
      <w:pPr>
        <w:spacing w:after="0" w:line="8" w:lineRule="exact"/>
        <w:rPr>
          <w:sz w:val="20"/>
          <w:szCs w:val="20"/>
          <w:color w:val="auto"/>
        </w:rPr>
      </w:pPr>
    </w:p>
    <w:p>
      <w:pPr>
        <w:ind w:right="100" w:firstLine="259"/>
        <w:spacing w:after="0" w:line="246" w:lineRule="auto"/>
        <w:rPr>
          <w:sz w:val="20"/>
          <w:szCs w:val="20"/>
          <w:color w:val="auto"/>
        </w:rPr>
      </w:pPr>
      <w:r>
        <w:rPr>
          <w:rFonts w:ascii="Arial" w:cs="Arial" w:eastAsia="Arial" w:hAnsi="Arial"/>
          <w:sz w:val="17"/>
          <w:szCs w:val="17"/>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Investor Communication Solutions, Inc., are consistent with the requirements of applicable law.</w:t>
      </w:r>
    </w:p>
    <w:p>
      <w:pPr>
        <w:spacing w:after="0" w:line="17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b w:val="1"/>
          <w:bCs w:val="1"/>
          <w:color w:val="auto"/>
        </w:rPr>
        <w:t xml:space="preserve">Stockholders with shares registered in the name of a brokerage firm or bank. </w:t>
      </w:r>
      <w:r>
        <w:rPr>
          <w:rFonts w:ascii="Arial" w:cs="Arial" w:eastAsia="Arial" w:hAnsi="Arial"/>
          <w:sz w:val="17"/>
          <w:szCs w:val="17"/>
          <w:color w:val="auto"/>
        </w:rPr>
        <w:t>A number of brokerage firms and banks offer telephone and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sharing the same address</w:t>
      </w:r>
    </w:p>
    <w:p>
      <w:pPr>
        <w:spacing w:after="0" w:line="1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proxy materials</w:t>
      </w:r>
    </w:p>
    <w:p>
      <w:pPr>
        <w:spacing w:after="0" w:line="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(972) 995-3773 for more information. If you are a participant in a TI benefit plan and would like to request electronic delivery, please call TI Investor Relations for more information.</w:t>
      </w:r>
    </w:p>
    <w:p>
      <w:pPr>
        <w:spacing w:after="0" w:line="166"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April 16, 2009. This 2009 proxy statement and the company’s 2008 annual report are accessible at: www.proxyvote.com.</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-1905</wp:posOffset>
            </wp:positionV>
            <wp:extent cx="2121535" cy="6083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2153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Joseph F. Hubach</w:t>
      </w:r>
    </w:p>
    <w:p>
      <w:pPr>
        <w:ind w:left="5860"/>
        <w:spacing w:after="0" w:line="238" w:lineRule="auto"/>
        <w:rPr>
          <w:sz w:val="20"/>
          <w:szCs w:val="20"/>
          <w:color w:val="auto"/>
        </w:rPr>
      </w:pPr>
      <w:r>
        <w:rPr>
          <w:rFonts w:ascii="Arial" w:cs="Arial" w:eastAsia="Arial" w:hAnsi="Arial"/>
          <w:sz w:val="17"/>
          <w:szCs w:val="17"/>
          <w:color w:val="auto"/>
        </w:rPr>
        <w:t>Senior Vice President,</w:t>
      </w:r>
    </w:p>
    <w:p>
      <w:pPr>
        <w:ind w:left="5860"/>
        <w:spacing w:after="0"/>
        <w:rPr>
          <w:sz w:val="20"/>
          <w:szCs w:val="20"/>
          <w:color w:val="auto"/>
        </w:rPr>
      </w:pPr>
      <w:r>
        <w:rPr>
          <w:rFonts w:ascii="Arial" w:cs="Arial" w:eastAsia="Arial" w:hAnsi="Arial"/>
          <w:sz w:val="17"/>
          <w:szCs w:val="17"/>
          <w:color w:val="auto"/>
        </w:rPr>
        <w:t>Secretary and General Counsel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March 5, 2009</w:t>
      </w:r>
    </w:p>
    <w:p>
      <w:pPr>
        <w:spacing w:after="0"/>
        <w:rPr>
          <w:sz w:val="20"/>
          <w:szCs w:val="20"/>
          <w:color w:val="auto"/>
        </w:rPr>
      </w:pPr>
      <w:r>
        <w:rPr>
          <w:rFonts w:ascii="Arial" w:cs="Arial" w:eastAsia="Arial" w:hAnsi="Arial"/>
          <w:sz w:val="17"/>
          <w:szCs w:val="17"/>
          <w:color w:val="auto"/>
        </w:rPr>
        <w:t>Dallas, Texas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[ 96 ]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Directions and other annual meeting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Directions</w:t>
      </w:r>
    </w:p>
    <w:p>
      <w:pPr>
        <w:spacing w:after="0" w:line="206"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b w:val="1"/>
          <w:b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 right</w:t>
      </w:r>
      <w:r>
        <w:rPr>
          <w:rFonts w:ascii="Arial" w:cs="Arial" w:eastAsia="Arial" w:hAnsi="Arial"/>
          <w:sz w:val="17"/>
          <w:szCs w:val="17"/>
          <w:b w:val="1"/>
          <w:bCs w:val="1"/>
          <w:color w:val="auto"/>
        </w:rPr>
        <w:t xml:space="preserve"> </w:t>
      </w:r>
      <w:r>
        <w:rPr>
          <w:rFonts w:ascii="Arial" w:cs="Arial" w:eastAsia="Arial" w:hAnsi="Arial"/>
          <w:sz w:val="17"/>
          <w:szCs w:val="17"/>
          <w:color w:val="auto"/>
        </w:rPr>
        <w:t>(West) on Forest Lane. Texas Instruments will be on your right at the second traffic light. Please use the North entrance to the building.</w:t>
      </w:r>
    </w:p>
    <w:p>
      <w:pPr>
        <w:spacing w:after="0" w:line="154"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b w:val="1"/>
          <w:bCs w:val="1"/>
          <w:color w:val="auto"/>
        </w:rPr>
        <w:t xml:space="preserve">From Love Field airport: </w:t>
      </w:r>
      <w:r>
        <w:rPr>
          <w:rFonts w:ascii="Arial" w:cs="Arial" w:eastAsia="Arial" w:hAnsi="Arial"/>
          <w:sz w:val="17"/>
          <w:szCs w:val="17"/>
          <w:color w:val="auto"/>
        </w:rPr>
        <w:t>Take Mockingbird Lane East to US-75N (Central Expressway). Travel North on 75N to the Forest Lane exit. Turn right (East)</w:t>
      </w:r>
      <w:r>
        <w:rPr>
          <w:rFonts w:ascii="Arial" w:cs="Arial" w:eastAsia="Arial" w:hAnsi="Arial"/>
          <w:sz w:val="17"/>
          <w:szCs w:val="17"/>
          <w:b w:val="1"/>
          <w:bCs w:val="1"/>
          <w:color w:val="auto"/>
        </w:rPr>
        <w:t xml:space="preserve"> </w:t>
      </w:r>
      <w:r>
        <w:rPr>
          <w:rFonts w:ascii="Arial" w:cs="Arial" w:eastAsia="Arial" w:hAnsi="Arial"/>
          <w:sz w:val="17"/>
          <w:szCs w:val="17"/>
          <w:color w:val="auto"/>
        </w:rPr>
        <w:t>on Forest Lane. You will pass two traffic lights. At the third light, the entrance to Texas Instruments will be on your left. Please use the North entrance to the building.</w:t>
      </w:r>
    </w:p>
    <w:p>
      <w:pPr>
        <w:sectPr>
          <w:pgSz w:w="11900" w:h="16935" w:orient="portrait"/>
          <w:cols w:equalWidth="0" w:num="1">
            <w:col w:w="11420"/>
          </w:cols>
          <w:pgMar w:left="240" w:top="143" w:right="239" w:bottom="0" w:gutter="0" w:footer="0" w:header="0"/>
        </w:sectPr>
      </w:pPr>
    </w:p>
    <w:bookmarkStart w:id="34" w:name="page35"/>
    <w:bookmarkEnd w:id="34"/>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Parking</w:t>
      </w:r>
    </w:p>
    <w:p>
      <w:pPr>
        <w:spacing w:after="0" w:line="19"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There will be reserved parking for all visitors at the North Lobby. Visitors with special needs requiring assistance will be accommodated at the South Lobby entrance.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w:t>
      </w:r>
    </w:p>
    <w:p>
      <w:pPr>
        <w:spacing w:after="0" w:line="19"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Please be advised that TI’s security policy forbids weapons, cameras and audio/video recording devices inside TI buildings. All bags will be subject to search upon entry into the building.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TEXAS INSTRUMENTS 2009 LONG-TERM INCENTIVE PLAN</w:t>
      </w:r>
    </w:p>
    <w:p>
      <w:pPr>
        <w:spacing w:after="0"/>
        <w:rPr>
          <w:sz w:val="20"/>
          <w:szCs w:val="20"/>
          <w:color w:val="auto"/>
        </w:rPr>
      </w:pPr>
      <w:r>
        <w:rPr>
          <w:rFonts w:ascii="Arial" w:cs="Arial" w:eastAsia="Arial" w:hAnsi="Arial"/>
          <w:sz w:val="17"/>
          <w:szCs w:val="17"/>
          <w:b w:val="1"/>
          <w:bCs w:val="1"/>
          <w:color w:val="auto"/>
        </w:rPr>
        <w:t>Dated April 16, 2009</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PURPOSE.</w:t>
      </w:r>
    </w:p>
    <w:p>
      <w:pPr>
        <w:spacing w:after="0" w:line="19"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Texas Instruments 2009 Long-Term Incentive Plan is intended as a successor plan to the Company’s 2000 Long-Term Incentive Plan, 2003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DEFINITIONS.</w:t>
      </w:r>
    </w:p>
    <w:p>
      <w:pPr>
        <w:spacing w:after="0" w:line="1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As used in the Plan, the following terms shall have the meanings set forth in this Section 2. Any definition of a performance measure used in connection with an Award described by Section 11(f) shall have the meaning commonly ascribed to such term by generally acceptable accounting principles as practiced in the United States.</w:t>
      </w:r>
    </w:p>
    <w:p>
      <w:pPr>
        <w:spacing w:after="0" w:line="1" w:lineRule="exact"/>
        <w:rPr>
          <w:sz w:val="20"/>
          <w:szCs w:val="20"/>
          <w:color w:val="auto"/>
        </w:rPr>
      </w:pPr>
    </w:p>
    <w:p>
      <w:pPr>
        <w:ind w:left="780" w:right="4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shall mean (i) any entity that, directly or indirectly, is controlled by the Company and (ii) any entity in which the Company has a significant equity interest, in either case as determined by the Committee.</w:t>
      </w:r>
    </w:p>
    <w:p>
      <w:pPr>
        <w:ind w:left="780" w:right="42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shall mean any Option, award of Restricted Stock, Restricted Stock Unit, Performance Unit or Other Stock-Based Award granted under the Plan.</w:t>
      </w:r>
    </w:p>
    <w:p>
      <w:pPr>
        <w:ind w:left="780" w:right="40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 Agreement</w:t>
      </w:r>
      <w:r>
        <w:rPr>
          <w:rFonts w:ascii="Arial" w:cs="Arial" w:eastAsia="Arial" w:hAnsi="Arial"/>
          <w:sz w:val="17"/>
          <w:szCs w:val="17"/>
          <w:color w:val="auto"/>
        </w:rPr>
        <w:t>” shall mean any written agreement, contract or other instrument or document evidencing an Award granted under the Plan, which may, but need not, be executed or acknowledged by a Participant. An Award Agreement may be in electronic form.</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shall mean the board of directors of the Company.</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Flow</w:t>
      </w:r>
      <w:r>
        <w:rPr>
          <w:rFonts w:ascii="Arial" w:cs="Arial" w:eastAsia="Arial" w:hAnsi="Arial"/>
          <w:sz w:val="17"/>
          <w:szCs w:val="17"/>
          <w:color w:val="auto"/>
        </w:rPr>
        <w:t>” for a period shall mean net cash provided by operating activities.</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shall mean the Internal Revenue Code of 1986, as amended from time to time.</w:t>
      </w:r>
    </w:p>
    <w:p>
      <w:pPr>
        <w:ind w:left="780" w:right="2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shall mean a committee of the Board designated by the Board to administer the Plan. Unless otherwise determined by the Board, the Compensation Committee designated by the Board shall be the Committee under the Plan.</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shall mean Texas Instruments Incorporated, together with any successor thereto.</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Cycle Time</w:t>
      </w:r>
      <w:r>
        <w:rPr>
          <w:rFonts w:ascii="Arial" w:cs="Arial" w:eastAsia="Arial" w:hAnsi="Arial"/>
          <w:sz w:val="17"/>
          <w:szCs w:val="17"/>
          <w:color w:val="auto"/>
        </w:rPr>
        <w:t>” shall mean the actual time a specific process relating to a product or service of the Company takes to accomplish.</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 Before Income Taxes</w:t>
      </w:r>
      <w:r>
        <w:rPr>
          <w:rFonts w:ascii="Arial" w:cs="Arial" w:eastAsia="Arial" w:hAnsi="Arial"/>
          <w:sz w:val="17"/>
          <w:szCs w:val="17"/>
          <w:color w:val="auto"/>
        </w:rPr>
        <w:t>” shall mean income from continuing operations plus provision for income taxes.</w:t>
      </w:r>
    </w:p>
    <w:p>
      <w:pPr>
        <w:ind w:left="780" w:right="54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 Before Income Taxes, Depreciation and Amortization</w:t>
      </w:r>
      <w:r>
        <w:rPr>
          <w:rFonts w:ascii="Arial" w:cs="Arial" w:eastAsia="Arial" w:hAnsi="Arial"/>
          <w:sz w:val="17"/>
          <w:szCs w:val="17"/>
          <w:color w:val="auto"/>
        </w:rPr>
        <w:t>” or “</w:t>
      </w:r>
      <w:r>
        <w:rPr>
          <w:rFonts w:ascii="Arial" w:cs="Arial" w:eastAsia="Arial" w:hAnsi="Arial"/>
          <w:sz w:val="17"/>
          <w:szCs w:val="17"/>
          <w:b w:val="1"/>
          <w:bCs w:val="1"/>
          <w:color w:val="auto"/>
        </w:rPr>
        <w:t>EBITDA</w:t>
      </w:r>
      <w:r>
        <w:rPr>
          <w:rFonts w:ascii="Arial" w:cs="Arial" w:eastAsia="Arial" w:hAnsi="Arial"/>
          <w:sz w:val="17"/>
          <w:szCs w:val="17"/>
          <w:color w:val="auto"/>
        </w:rPr>
        <w:t>” shall mean income from continuing operations plus (i) provision for income taxes, (ii) depreciation expense and (iii) amortization expense.</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 Per Share</w:t>
      </w:r>
      <w:r>
        <w:rPr>
          <w:rFonts w:ascii="Arial" w:cs="Arial" w:eastAsia="Arial" w:hAnsi="Arial"/>
          <w:sz w:val="17"/>
          <w:szCs w:val="17"/>
          <w:color w:val="auto"/>
        </w:rPr>
        <w:t>” for a period shall mean diluted earnings per common share from continuing operations before extraordinary items.</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Executive Group</w:t>
      </w:r>
      <w:r>
        <w:rPr>
          <w:rFonts w:ascii="Arial" w:cs="Arial" w:eastAsia="Arial" w:hAnsi="Arial"/>
          <w:sz w:val="17"/>
          <w:szCs w:val="17"/>
          <w:color w:val="auto"/>
        </w:rPr>
        <w:t>” shall mean every person who is expected by the Committee to be both (i) a “covered employee” as defined in Section 162(m) of the Code as of the end of the taxable year in which an amount related to or arising in connection with the Award may be deducted by the Company, and (ii) the recipient of taxable compensation of more than $1,000,000 for that taxable year.</w:t>
      </w:r>
    </w:p>
    <w:p>
      <w:pPr>
        <w:spacing w:after="0" w:line="1" w:lineRule="exact"/>
        <w:rPr>
          <w:rFonts w:ascii="Arial" w:cs="Arial" w:eastAsia="Arial" w:hAnsi="Arial"/>
          <w:sz w:val="17"/>
          <w:szCs w:val="17"/>
          <w:color w:val="auto"/>
        </w:rPr>
      </w:pPr>
    </w:p>
    <w:p>
      <w:pPr>
        <w:ind w:left="780" w:right="2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ind w:left="780" w:right="2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Free Cash Flow</w:t>
      </w:r>
      <w:r>
        <w:rPr>
          <w:rFonts w:ascii="Arial" w:cs="Arial" w:eastAsia="Arial" w:hAnsi="Arial"/>
          <w:sz w:val="17"/>
          <w:szCs w:val="17"/>
          <w:color w:val="auto"/>
        </w:rPr>
        <w:t>” for a period shall mean net cash provided by operating activities of continuing operations less additions to property, plant and equipment.</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Gross Profit</w:t>
      </w:r>
      <w:r>
        <w:rPr>
          <w:rFonts w:ascii="Arial" w:cs="Arial" w:eastAsia="Arial" w:hAnsi="Arial"/>
          <w:sz w:val="17"/>
          <w:szCs w:val="17"/>
          <w:color w:val="auto"/>
        </w:rPr>
        <w:t>” for a period shall mean net revenue less cost of revenue.</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Gross Profit Margin</w:t>
      </w:r>
      <w:r>
        <w:rPr>
          <w:rFonts w:ascii="Arial" w:cs="Arial" w:eastAsia="Arial" w:hAnsi="Arial"/>
          <w:sz w:val="17"/>
          <w:szCs w:val="17"/>
          <w:color w:val="auto"/>
        </w:rPr>
        <w:t>” for a period shall mean Gross Profit divided by net revenue.</w:t>
      </w:r>
    </w:p>
    <w:p>
      <w:pPr>
        <w:ind w:left="780" w:right="6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Incentive Stock Option</w:t>
      </w:r>
      <w:r>
        <w:rPr>
          <w:rFonts w:ascii="Arial" w:cs="Arial" w:eastAsia="Arial" w:hAnsi="Arial"/>
          <w:sz w:val="17"/>
          <w:szCs w:val="17"/>
          <w:color w:val="auto"/>
        </w:rPr>
        <w:t>” shall mean an option granted under Section 6 that is intended to meet the requirements of Section 422 of the Code, or any successor provision thereto.</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Manufacturing Process Yield</w:t>
      </w:r>
      <w:r>
        <w:rPr>
          <w:rFonts w:ascii="Arial" w:cs="Arial" w:eastAsia="Arial" w:hAnsi="Arial"/>
          <w:sz w:val="17"/>
          <w:szCs w:val="17"/>
          <w:color w:val="auto"/>
        </w:rPr>
        <w:t>” shall mean the good units produced as a percent of the total units processed.</w:t>
      </w:r>
    </w:p>
    <w:p>
      <w:pPr>
        <w:ind w:left="780" w:right="6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Share</w:t>
      </w:r>
      <w:r>
        <w:rPr>
          <w:rFonts w:ascii="Arial" w:cs="Arial" w:eastAsia="Arial" w:hAnsi="Arial"/>
          <w:sz w:val="17"/>
          <w:szCs w:val="17"/>
          <w:color w:val="auto"/>
        </w:rPr>
        <w:t>” shall mean the percent of sales of the total available market in an industry, product line or product attained by the Company or one or more of its business units, product lines or products during a time period.</w:t>
      </w:r>
    </w:p>
    <w:p>
      <w:pPr>
        <w:ind w:left="780" w:right="16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Net Revenue Per Employee</w:t>
      </w:r>
      <w:r>
        <w:rPr>
          <w:rFonts w:ascii="Arial" w:cs="Arial" w:eastAsia="Arial" w:hAnsi="Arial"/>
          <w:sz w:val="17"/>
          <w:szCs w:val="17"/>
          <w:color w:val="auto"/>
        </w:rPr>
        <w:t>” in a period shall mean net revenue divided by the average number of employees, with average defined as the sum of the number of employees at the beginning and ending of the period divided by two.</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Non-Qualified Stock Option</w:t>
      </w:r>
      <w:r>
        <w:rPr>
          <w:rFonts w:ascii="Arial" w:cs="Arial" w:eastAsia="Arial" w:hAnsi="Arial"/>
          <w:sz w:val="17"/>
          <w:szCs w:val="17"/>
          <w:color w:val="auto"/>
        </w:rPr>
        <w:t>” shall mean an option granted under Section 6 that is not intended to be an Incentive Stock Option.</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shall mean an Incentive Stock Option or a Non-Qualified Stock Option.</w:t>
      </w:r>
    </w:p>
    <w:p>
      <w:pPr>
        <w:ind w:left="780" w:hanging="517"/>
        <w:spacing w:after="0" w:line="23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Stock-Based Award</w:t>
      </w:r>
      <w:r>
        <w:rPr>
          <w:rFonts w:ascii="Arial" w:cs="Arial" w:eastAsia="Arial" w:hAnsi="Arial"/>
          <w:sz w:val="17"/>
          <w:szCs w:val="17"/>
          <w:color w:val="auto"/>
        </w:rPr>
        <w:t>” shall mean any right granted under Section 10.</w:t>
      </w:r>
    </w:p>
    <w:p>
      <w:pPr>
        <w:ind w:left="780" w:hanging="517"/>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shall mean an individual granted an Award under the Plan.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A-1 ]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20" w:hanging="657"/>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Unit</w:t>
      </w:r>
      <w:r>
        <w:rPr>
          <w:rFonts w:ascii="Arial" w:cs="Arial" w:eastAsia="Arial" w:hAnsi="Arial"/>
          <w:sz w:val="17"/>
          <w:szCs w:val="17"/>
          <w:color w:val="auto"/>
        </w:rPr>
        <w:t>” shall mean any right granted under Section 8.</w:t>
      </w:r>
    </w:p>
    <w:p>
      <w:pPr>
        <w:spacing w:after="0" w:line="38" w:lineRule="exact"/>
        <w:rPr>
          <w:sz w:val="20"/>
          <w:szCs w:val="20"/>
          <w:color w:val="auto"/>
        </w:rPr>
      </w:pPr>
    </w:p>
    <w:p>
      <w:pPr>
        <w:ind w:left="920" w:hanging="657"/>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shall mean this Texas Instruments 2009 Long-Term Incentive Plan.</w:t>
      </w:r>
    </w:p>
    <w:p>
      <w:pPr>
        <w:spacing w:after="0" w:line="18" w:lineRule="exact"/>
        <w:rPr>
          <w:rFonts w:ascii="Arial" w:cs="Arial" w:eastAsia="Arial" w:hAnsi="Arial"/>
          <w:sz w:val="17"/>
          <w:szCs w:val="17"/>
          <w:color w:val="auto"/>
        </w:rPr>
      </w:pPr>
    </w:p>
    <w:p>
      <w:pPr>
        <w:ind w:left="920" w:right="74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Operating Profit</w:t>
      </w:r>
      <w:r>
        <w:rPr>
          <w:rFonts w:ascii="Arial" w:cs="Arial" w:eastAsia="Arial" w:hAnsi="Arial"/>
          <w:sz w:val="17"/>
          <w:szCs w:val="17"/>
          <w:color w:val="auto"/>
        </w:rPr>
        <w:t>” shall mean revenue less (i) cost of revenue, (ii) research and development expense and (iii) selling, general and administrative expense.</w:t>
      </w:r>
    </w:p>
    <w:p>
      <w:pPr>
        <w:ind w:left="9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Stock</w:t>
      </w:r>
      <w:r>
        <w:rPr>
          <w:rFonts w:ascii="Arial" w:cs="Arial" w:eastAsia="Arial" w:hAnsi="Arial"/>
          <w:sz w:val="17"/>
          <w:szCs w:val="17"/>
          <w:color w:val="auto"/>
        </w:rPr>
        <w:t>” shall mean any Share granted under Section 7.</w:t>
      </w:r>
    </w:p>
    <w:p>
      <w:pPr>
        <w:ind w:left="920" w:right="2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Stock Unit</w:t>
      </w:r>
      <w:r>
        <w:rPr>
          <w:rFonts w:ascii="Arial" w:cs="Arial" w:eastAsia="Arial" w:hAnsi="Arial"/>
          <w:sz w:val="17"/>
          <w:szCs w:val="17"/>
          <w:color w:val="auto"/>
        </w:rPr>
        <w: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1" w:lineRule="exact"/>
        <w:rPr>
          <w:rFonts w:ascii="Arial" w:cs="Arial" w:eastAsia="Arial" w:hAnsi="Arial"/>
          <w:sz w:val="17"/>
          <w:szCs w:val="17"/>
          <w:color w:val="auto"/>
        </w:rPr>
      </w:pPr>
    </w:p>
    <w:p>
      <w:pPr>
        <w:ind w:left="920" w:right="2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Return on Assets</w:t>
      </w:r>
      <w:r>
        <w:rPr>
          <w:rFonts w:ascii="Arial" w:cs="Arial" w:eastAsia="Arial" w:hAnsi="Arial"/>
          <w:sz w:val="17"/>
          <w:szCs w:val="17"/>
          <w:color w:val="auto"/>
        </w:rPr>
        <w:t>” for a period shall mean net income divided by average total assets, with average defined as the sum of the amount of assets at the beginning and ending of the period divided by two.</w:t>
      </w:r>
    </w:p>
    <w:p>
      <w:pPr>
        <w:ind w:left="9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Return on Capital</w:t>
      </w:r>
      <w:r>
        <w:rPr>
          <w:rFonts w:ascii="Arial" w:cs="Arial" w:eastAsia="Arial" w:hAnsi="Arial"/>
          <w:sz w:val="17"/>
          <w:szCs w:val="17"/>
          <w:color w:val="auto"/>
        </w:rPr>
        <w:t>” for a period shall mean net income divided by stockholders’ equity.</w:t>
      </w:r>
    </w:p>
    <w:p>
      <w:pPr>
        <w:ind w:left="920" w:right="26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Return on Common Equity</w:t>
      </w:r>
      <w:r>
        <w:rPr>
          <w:rFonts w:ascii="Arial" w:cs="Arial" w:eastAsia="Arial" w:hAnsi="Arial"/>
          <w:sz w:val="17"/>
          <w:szCs w:val="17"/>
          <w:color w:val="auto"/>
        </w:rPr>
        <w:t>” for a period shall mean net income divided by total stockholders’ equity, less amounts, if any, attributable to preferred stock.</w:t>
      </w:r>
    </w:p>
    <w:p>
      <w:pPr>
        <w:ind w:left="9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Return on Invested Capital</w:t>
      </w:r>
      <w:r>
        <w:rPr>
          <w:rFonts w:ascii="Arial" w:cs="Arial" w:eastAsia="Arial" w:hAnsi="Arial"/>
          <w:sz w:val="17"/>
          <w:szCs w:val="17"/>
          <w:color w:val="auto"/>
        </w:rPr>
        <w:t>” for a period shall mean net income divided by the sum of stockholders’ equity and long-term debt.</w:t>
      </w:r>
    </w:p>
    <w:p>
      <w:pPr>
        <w:ind w:left="920" w:right="7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Return on Net Assets</w:t>
      </w:r>
      <w:r>
        <w:rPr>
          <w:rFonts w:ascii="Arial" w:cs="Arial" w:eastAsia="Arial" w:hAnsi="Arial"/>
          <w:sz w:val="17"/>
          <w:szCs w:val="17"/>
          <w:color w:val="auto"/>
        </w:rPr>
        <w:t>” for a period shall mean net income divided by the difference of average total assets less average non-debt liabilities, with average defined as the sum of assets or liabilities at the beginning and ending of the period divided by two.</w:t>
      </w:r>
    </w:p>
    <w:p>
      <w:pPr>
        <w:ind w:left="9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 Growth</w:t>
      </w:r>
      <w:r>
        <w:rPr>
          <w:rFonts w:ascii="Arial" w:cs="Arial" w:eastAsia="Arial" w:hAnsi="Arial"/>
          <w:sz w:val="17"/>
          <w:szCs w:val="17"/>
          <w:color w:val="auto"/>
        </w:rPr>
        <w:t>” shall mean the percentage change in revenue from one period to another.</w:t>
      </w:r>
    </w:p>
    <w:p>
      <w:pPr>
        <w:ind w:left="920" w:hanging="657"/>
        <w:spacing w:after="0" w:line="238"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shall mean shares of the common stock of the Company, $1.00 par value.</w:t>
      </w:r>
    </w:p>
    <w:p>
      <w:pPr>
        <w:ind w:left="920" w:hanging="657"/>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shall mean any right granted pursuant to Section 9 to receive, upon exercise by the Participant, the</w:t>
      </w:r>
    </w:p>
    <w:p>
      <w:pPr>
        <w:sectPr>
          <w:pgSz w:w="11900" w:h="16893" w:orient="portrait"/>
          <w:cols w:equalWidth="0" w:num="1">
            <w:col w:w="11420"/>
          </w:cols>
          <w:pgMar w:left="240" w:top="123" w:right="239" w:bottom="0" w:gutter="0" w:footer="0" w:header="0"/>
        </w:sectPr>
      </w:pPr>
    </w:p>
    <w:bookmarkStart w:id="35" w:name="page36"/>
    <w:bookmarkEnd w:id="35"/>
    <w:p>
      <w:pPr>
        <w:ind w:left="920" w:right="40"/>
        <w:spacing w:after="0" w:line="238" w:lineRule="auto"/>
        <w:rPr>
          <w:sz w:val="20"/>
          <w:szCs w:val="20"/>
          <w:color w:val="auto"/>
        </w:rPr>
      </w:pPr>
      <w:r>
        <w:rPr>
          <w:rFonts w:ascii="Arial" w:cs="Arial" w:eastAsia="Arial" w:hAnsi="Arial"/>
          <w:sz w:val="17"/>
          <w:szCs w:val="17"/>
          <w:color w:val="auto"/>
        </w:rPr>
        <w:t>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1" w:lineRule="exact"/>
        <w:rPr>
          <w:sz w:val="20"/>
          <w:szCs w:val="20"/>
          <w:color w:val="auto"/>
        </w:rPr>
      </w:pPr>
    </w:p>
    <w:p>
      <w:pPr>
        <w:ind w:left="920" w:right="660" w:hanging="657"/>
        <w:spacing w:after="0" w:line="238"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Awards</w:t>
      </w:r>
      <w:r>
        <w:rPr>
          <w:rFonts w:ascii="Arial" w:cs="Arial" w:eastAsia="Arial" w:hAnsi="Arial"/>
          <w:sz w:val="17"/>
          <w:szCs w:val="17"/>
          <w:color w:val="auto"/>
        </w:rPr>
        <w:t>” shall mean Awards granted in assumption of, or in substitution for, outstanding awards previously granted by a company acquired by the Company or with which the Company combines.</w:t>
      </w:r>
    </w:p>
    <w:p>
      <w:pPr>
        <w:ind w:left="920" w:right="120" w:hanging="657"/>
        <w:spacing w:after="0" w:line="246"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Stockholder Return</w:t>
      </w:r>
      <w:r>
        <w:rPr>
          <w:rFonts w:ascii="Arial" w:cs="Arial" w:eastAsia="Arial" w:hAnsi="Arial"/>
          <w:sz w:val="17"/>
          <w:szCs w:val="17"/>
          <w:color w:val="auto"/>
        </w:rPr>
        <w:t>” shall mean the sum of the appreciation in stock price and dividends paid on common stock over a given period of time.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ELIGIBILITY.</w:t>
      </w:r>
    </w:p>
    <w:p>
      <w:pPr>
        <w:spacing w:after="0" w:line="32" w:lineRule="exact"/>
        <w:rPr>
          <w:sz w:val="20"/>
          <w:szCs w:val="20"/>
          <w:color w:val="auto"/>
        </w:rPr>
      </w:pPr>
    </w:p>
    <w:p>
      <w:pPr>
        <w:ind w:left="720" w:right="20" w:hanging="457"/>
        <w:spacing w:after="0" w:line="238" w:lineRule="auto"/>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ind w:left="720" w:right="60" w:hanging="457"/>
        <w:spacing w:after="0" w:line="238" w:lineRule="auto"/>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individual who has agreed to accept employment by, or to provide services to, the Company or an Affiliate shall be deemed to be eligible for Awards hereunder as of commencement of employment.</w:t>
      </w:r>
    </w:p>
    <w:p>
      <w:pPr>
        <w:ind w:left="720" w:hanging="457"/>
        <w:spacing w:after="0" w:line="238" w:lineRule="auto"/>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Directors who are not full-time or part-time officers or employees are not eligible to receive Awards hereunder.</w:t>
      </w:r>
    </w:p>
    <w:p>
      <w:pPr>
        <w:ind w:left="720" w:right="540" w:hanging="457"/>
        <w:spacing w:after="0" w:line="246" w:lineRule="auto"/>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Holders of options and other types of Awards granted by a company acquired by the Company or with which the Company combines are eligible for grant of Substitute Awards hereunder.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ADMINISTRATION.</w:t>
      </w:r>
    </w:p>
    <w:p>
      <w:pPr>
        <w:spacing w:after="0" w:line="32" w:lineRule="exact"/>
        <w:rPr>
          <w:sz w:val="20"/>
          <w:szCs w:val="20"/>
          <w:color w:val="auto"/>
        </w:rPr>
      </w:pPr>
    </w:p>
    <w:p>
      <w:pPr>
        <w:ind w:left="720" w:right="40" w:hanging="457"/>
        <w:spacing w:after="0" w:line="253"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be appointed by the Board. A director may serve as a member or alternate member of the Committee only during periods in which the director is (i) independent within the meaning of the rules of the New York Stock Exchange and the Company’s director independence standards and (ii) an “outside director” as described in Section 162(m) of the Code.</w:t>
      </w:r>
    </w:p>
    <w:p>
      <w:pPr>
        <w:ind w:left="720" w:hanging="457"/>
        <w:spacing w:after="0" w:line="255"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11(g),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 A-2 ]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20" w:right="740" w:hanging="457"/>
        <w:spacing w:after="0" w:line="246"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decisions of the Committee shall be final, conclusive and binding upon all parties, including the Company, the stockholders and the Participants.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SHARES AVAILABLE FOR AWARDS.</w:t>
      </w:r>
    </w:p>
    <w:p>
      <w:pPr>
        <w:spacing w:after="0" w:line="32" w:lineRule="exact"/>
        <w:rPr>
          <w:sz w:val="20"/>
          <w:szCs w:val="20"/>
          <w:color w:val="auto"/>
        </w:rPr>
      </w:pPr>
    </w:p>
    <w:p>
      <w:pPr>
        <w:ind w:left="720" w:right="180" w:hanging="457"/>
        <w:spacing w:after="0" w:line="238"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adjustment as provided in this Section 5, the number of Shares available for issuance under the Plan shall be 75,000,000 shares. Notwithstanding the foregoing and subject to adjustment as provided in Section 5(e), no Participant may receive Options and SARs under the Plan in any calendar year that relate to more than 4,000,000 Shares.</w:t>
      </w:r>
    </w:p>
    <w:p>
      <w:pPr>
        <w:spacing w:after="0" w:line="1" w:lineRule="exact"/>
        <w:rPr>
          <w:rFonts w:ascii="Arial" w:cs="Arial" w:eastAsia="Arial" w:hAnsi="Arial"/>
          <w:sz w:val="17"/>
          <w:szCs w:val="17"/>
          <w:color w:val="auto"/>
        </w:rPr>
      </w:pPr>
    </w:p>
    <w:p>
      <w:pPr>
        <w:ind w:left="720" w:right="20" w:hanging="457"/>
        <w:spacing w:after="0" w:line="238"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2" w:lineRule="exact"/>
        <w:rPr>
          <w:rFonts w:ascii="Arial" w:cs="Arial" w:eastAsia="Arial" w:hAnsi="Arial"/>
          <w:sz w:val="17"/>
          <w:szCs w:val="17"/>
          <w:color w:val="auto"/>
        </w:rPr>
      </w:pPr>
    </w:p>
    <w:p>
      <w:pPr>
        <w:ind w:left="720" w:hanging="457"/>
        <w:spacing w:after="0" w:line="238"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Shares underlying Substitute Awards shall not be counted against the Shares available for granting Awards.</w:t>
      </w:r>
    </w:p>
    <w:p>
      <w:pPr>
        <w:ind w:left="720" w:hanging="457"/>
        <w:spacing w:after="0" w:line="238"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Shares delivered pursuant to an Award may consist, in whole or in part, of authorized and unissued Shares, of treasury Shares or of both.</w:t>
      </w:r>
    </w:p>
    <w:p>
      <w:pPr>
        <w:ind w:left="720" w:right="60" w:hanging="457"/>
        <w:spacing w:after="0" w:line="239"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cash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OPTIONS.</w:t>
      </w:r>
    </w:p>
    <w:p>
      <w:pPr>
        <w:spacing w:after="0" w:line="32" w:lineRule="exact"/>
        <w:rPr>
          <w:sz w:val="20"/>
          <w:szCs w:val="20"/>
          <w:color w:val="auto"/>
        </w:rPr>
      </w:pPr>
    </w:p>
    <w:p>
      <w:pPr>
        <w:ind w:left="720" w:right="300" w:hanging="457"/>
        <w:spacing w:after="0" w:line="238"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ind w:left="720" w:right="60" w:hanging="457"/>
        <w:spacing w:after="0" w:line="238"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purchase price per Share under an Option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in the case of Substitute Awards, such purchase price shall not be less than the Fair Market Value of a Share on the date of grant of such Option.</w:t>
      </w:r>
    </w:p>
    <w:p>
      <w:pPr>
        <w:ind w:left="720" w:right="60" w:hanging="457"/>
        <w:spacing w:after="0" w:line="238"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term of each Option shall be fixed by the Committee but shall not exceed 10 years;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provide for a longer term to accommodate regulations in non-U.S. jurisdictions that require a minimum exercise or vesting period following a Participant’s death to achieve favorable tax results or comply with local law.</w:t>
      </w:r>
    </w:p>
    <w:p>
      <w:pPr>
        <w:spacing w:after="0" w:line="1" w:lineRule="exact"/>
        <w:rPr>
          <w:rFonts w:ascii="Arial" w:cs="Arial" w:eastAsia="Arial" w:hAnsi="Arial"/>
          <w:sz w:val="17"/>
          <w:szCs w:val="17"/>
          <w:color w:val="auto"/>
        </w:rPr>
      </w:pPr>
    </w:p>
    <w:p>
      <w:pPr>
        <w:ind w:left="720" w:right="40" w:hanging="457"/>
        <w:spacing w:after="0" w:line="238"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 w:lineRule="exact"/>
        <w:rPr>
          <w:rFonts w:ascii="Arial" w:cs="Arial" w:eastAsia="Arial" w:hAnsi="Arial"/>
          <w:sz w:val="17"/>
          <w:szCs w:val="17"/>
          <w:color w:val="auto"/>
        </w:rPr>
      </w:pPr>
    </w:p>
    <w:p>
      <w:pPr>
        <w:jc w:val="both"/>
        <w:ind w:left="720" w:right="140" w:hanging="457"/>
        <w:spacing w:after="0" w:line="242"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ectPr>
          <w:pgSz w:w="11900" w:h="16838" w:orient="portrait"/>
          <w:cols w:equalWidth="0" w:num="1">
            <w:col w:w="11420"/>
          </w:cols>
          <w:pgMar w:left="240" w:top="143" w:right="239" w:bottom="0" w:gutter="0" w:footer="0" w:header="0"/>
        </w:sectPr>
      </w:pPr>
    </w:p>
    <w:bookmarkStart w:id="36" w:name="page37"/>
    <w:bookmarkEnd w:id="36"/>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RESTRICTED STOCK AND RESTRICTED STOCK UNITS.</w:t>
      </w:r>
    </w:p>
    <w:p>
      <w:pPr>
        <w:spacing w:after="0" w:line="32" w:lineRule="exact"/>
        <w:rPr>
          <w:sz w:val="20"/>
          <w:szCs w:val="20"/>
          <w:color w:val="auto"/>
        </w:rPr>
      </w:pPr>
    </w:p>
    <w:p>
      <w:pPr>
        <w:ind w:left="720" w:right="260" w:hanging="457"/>
        <w:spacing w:after="0" w:line="238"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1" w:lineRule="exact"/>
        <w:rPr>
          <w:rFonts w:ascii="Arial" w:cs="Arial" w:eastAsia="Arial" w:hAnsi="Arial"/>
          <w:sz w:val="17"/>
          <w:szCs w:val="17"/>
          <w:color w:val="auto"/>
        </w:rPr>
      </w:pPr>
    </w:p>
    <w:p>
      <w:pPr>
        <w:ind w:left="720" w:right="300" w:hanging="457"/>
        <w:spacing w:after="0" w:line="241"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A-3 ]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20" w:right="20" w:hanging="457"/>
        <w:spacing w:after="0" w:line="238" w:lineRule="auto"/>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 w:lineRule="exact"/>
        <w:rPr>
          <w:rFonts w:ascii="Arial" w:cs="Arial" w:eastAsia="Arial" w:hAnsi="Arial"/>
          <w:sz w:val="17"/>
          <w:szCs w:val="17"/>
          <w:color w:val="auto"/>
        </w:rPr>
      </w:pPr>
    </w:p>
    <w:p>
      <w:pPr>
        <w:ind w:left="720" w:right="220" w:hanging="457"/>
        <w:spacing w:after="0"/>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when it finds that a waiver would be in the best interests of the Company, waive in whole or in part any or all remaining restrictions with respect to Shares of Restricted Stock or Restricted Stock Units.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PERFORMANCE UNITS.</w:t>
      </w:r>
    </w:p>
    <w:p>
      <w:pPr>
        <w:spacing w:after="0" w:line="32" w:lineRule="exact"/>
        <w:rPr>
          <w:sz w:val="20"/>
          <w:szCs w:val="20"/>
          <w:color w:val="auto"/>
        </w:rPr>
      </w:pPr>
    </w:p>
    <w:p>
      <w:pPr>
        <w:ind w:left="720" w:right="20" w:hanging="457"/>
        <w:spacing w:after="0" w:line="238" w:lineRule="auto"/>
        <w:tabs>
          <w:tab w:leader="none" w:pos="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Committee is hereby authorized to grant Performance Units to Participants with terms and conditions as the Committee shall determine not inconsistent with the provisions of the Plan.</w:t>
      </w:r>
    </w:p>
    <w:p>
      <w:pPr>
        <w:ind w:left="720" w:right="120" w:hanging="457"/>
        <w:spacing w:after="0" w:line="258" w:lineRule="auto"/>
        <w:tabs>
          <w:tab w:leader="none" w:pos="7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STOCK APPRECIATION RIGHTS (SARs).</w:t>
      </w:r>
    </w:p>
    <w:p>
      <w:pPr>
        <w:spacing w:after="0" w:line="32" w:lineRule="exact"/>
        <w:rPr>
          <w:sz w:val="20"/>
          <w:szCs w:val="20"/>
          <w:color w:val="auto"/>
        </w:rPr>
      </w:pPr>
    </w:p>
    <w:p>
      <w:pPr>
        <w:ind w:left="720" w:right="60" w:hanging="457"/>
        <w:spacing w:after="0" w:line="238" w:lineRule="auto"/>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Committee is hereby authorized to grant SARs to Participants with terms and conditions as the Committee shall determine not inconsistent with the provisions of the Plan.</w:t>
      </w:r>
    </w:p>
    <w:p>
      <w:pPr>
        <w:ind w:left="720" w:right="80" w:hanging="457"/>
        <w:spacing w:after="0" w:line="242" w:lineRule="auto"/>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term of each SAR shall be fixed by the Committee but shall not exceed 10 years;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provide for a longer term to accommodate regulations in non-U.S. jurisdictions that require a minimum exercise or vesting period following a Participant’s death.</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OTHER STOCK-BASED AWARDS.</w:t>
      </w:r>
    </w:p>
    <w:p>
      <w:pPr>
        <w:spacing w:after="0" w:line="1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GENERAL PROVISIONS APPLICABLE TO AWARDS.</w:t>
      </w:r>
    </w:p>
    <w:p>
      <w:pPr>
        <w:spacing w:after="0" w:line="18" w:lineRule="exact"/>
        <w:rPr>
          <w:sz w:val="20"/>
          <w:szCs w:val="20"/>
          <w:color w:val="auto"/>
        </w:rPr>
      </w:pPr>
    </w:p>
    <w:p>
      <w:pPr>
        <w:ind w:left="720" w:hanging="457"/>
        <w:spacing w:after="0"/>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Awards shall be granted for no cash consideration or for such minimal cash consideration as may be required by applicable law.</w:t>
      </w:r>
    </w:p>
    <w:p>
      <w:pPr>
        <w:ind w:left="720" w:right="100" w:hanging="457"/>
        <w:spacing w:after="0" w:line="238"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 w:lineRule="exact"/>
        <w:rPr>
          <w:rFonts w:ascii="Arial" w:cs="Arial" w:eastAsia="Arial" w:hAnsi="Arial"/>
          <w:sz w:val="17"/>
          <w:szCs w:val="17"/>
          <w:color w:val="auto"/>
        </w:rPr>
      </w:pPr>
    </w:p>
    <w:p>
      <w:pPr>
        <w:ind w:left="720" w:right="40" w:hanging="457"/>
        <w:spacing w:after="0" w:line="238"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11(g)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2" w:lineRule="exact"/>
        <w:rPr>
          <w:rFonts w:ascii="Arial" w:cs="Arial" w:eastAsia="Arial" w:hAnsi="Arial"/>
          <w:sz w:val="17"/>
          <w:szCs w:val="17"/>
          <w:color w:val="auto"/>
        </w:rPr>
      </w:pPr>
    </w:p>
    <w:p>
      <w:pPr>
        <w:ind w:left="720" w:right="20" w:hanging="457"/>
        <w:spacing w:after="0" w:line="241"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so determined by the Committee, a Participant may, in the manner established by the Committee, designate a beneficiary or beneficiaries to exercise the rights of the Participant, and to receive any property distributable, with respect</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A-4 ]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00" w:right="20"/>
        <w:spacing w:after="0" w:line="238" w:lineRule="auto"/>
        <w:rPr>
          <w:sz w:val="20"/>
          <w:szCs w:val="20"/>
          <w:color w:val="auto"/>
        </w:rPr>
      </w:pPr>
      <w:r>
        <w:rPr>
          <w:rFonts w:ascii="Arial" w:cs="Arial" w:eastAsia="Arial" w:hAnsi="Arial"/>
          <w:sz w:val="17"/>
          <w:szCs w:val="17"/>
          <w:color w:val="auto"/>
        </w:rPr>
        <w:t>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2" w:lineRule="exact"/>
        <w:rPr>
          <w:sz w:val="20"/>
          <w:szCs w:val="20"/>
          <w:color w:val="auto"/>
        </w:rPr>
      </w:pPr>
    </w:p>
    <w:p>
      <w:pPr>
        <w:ind w:left="700" w:right="60" w:hanging="437"/>
        <w:spacing w:after="0"/>
        <w:tabs>
          <w:tab w:leader="none" w:pos="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ectPr>
          <w:pgSz w:w="11900" w:h="16911" w:orient="portrait"/>
          <w:cols w:equalWidth="0" w:num="1">
            <w:col w:w="11420"/>
          </w:cols>
          <w:pgMar w:left="240" w:top="382" w:right="239" w:bottom="0" w:gutter="0" w:footer="0" w:header="0"/>
        </w:sectPr>
      </w:pPr>
    </w:p>
    <w:bookmarkStart w:id="37" w:name="page38"/>
    <w:bookmarkEnd w:id="37"/>
    <w:p>
      <w:pPr>
        <w:spacing w:after="0" w:line="85" w:lineRule="exact"/>
        <w:rPr>
          <w:sz w:val="20"/>
          <w:szCs w:val="20"/>
          <w:color w:val="auto"/>
        </w:rPr>
      </w:pPr>
    </w:p>
    <w:p>
      <w:pPr>
        <w:ind w:left="700" w:right="140" w:hanging="437"/>
        <w:spacing w:after="0" w:line="257"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Every Award (other than an Option or SAR) to a member of the Executive Group that the Committee intends to constitute “qualified performance-based compensation” for purposes of Section 162(m) of the Code shall include a pre-established formula, such that payment, retention or vesting of the Award is subject to the achievement during a performance period or periods, as determined by the Committee, of a level or levels, on an absolute basis or relative to other companies, as determined by the Committee, of one or more of the following performance measures: (i) Cash Flow, (ii) Cycle Time, (iii) Earnings Before Income Taxes, (iv) Earnings Per Share, (v) EBITDA, (vi) Free Cash Flow, (vii) Gross Profit, (viii) Gross Profit Margin, (ix) Manufacturing Process Yield, (x) Market Share, (xi) net income, (xii) Net Revenue Per Employee, (xiii) Operating Profit, (xiv) Return on Assets, (xv) Return on Capital, (xvi) Return on Common Equity, (xvii) Return on Invested</w:t>
      </w:r>
    </w:p>
    <w:p>
      <w:pPr>
        <w:spacing w:after="0" w:line="6" w:lineRule="exact"/>
        <w:rPr>
          <w:rFonts w:ascii="Arial" w:cs="Arial" w:eastAsia="Arial" w:hAnsi="Arial"/>
          <w:sz w:val="16"/>
          <w:szCs w:val="16"/>
          <w:color w:val="auto"/>
        </w:rPr>
      </w:pPr>
    </w:p>
    <w:p>
      <w:pPr>
        <w:ind w:left="700" w:right="60"/>
        <w:spacing w:after="0" w:line="243" w:lineRule="auto"/>
        <w:rPr>
          <w:rFonts w:ascii="Arial" w:cs="Arial" w:eastAsia="Arial" w:hAnsi="Arial"/>
          <w:sz w:val="16"/>
          <w:szCs w:val="16"/>
          <w:color w:val="auto"/>
        </w:rPr>
      </w:pPr>
      <w:r>
        <w:rPr>
          <w:rFonts w:ascii="Arial" w:cs="Arial" w:eastAsia="Arial" w:hAnsi="Arial"/>
          <w:sz w:val="17"/>
          <w:szCs w:val="17"/>
          <w:color w:val="auto"/>
        </w:rPr>
        <w:t xml:space="preserve">Capital, (xviii) Return on Net Assets, (xix) Revenue Growth or (xx) Total Stockholder Return. For any Award subject to any such pre-established formula, no more than $5,000,000 can be paid in satisfaction of such Award to any Participant,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performance formula relating to such Award is expressed in Shares, the maximum limit shall be 4,000,000 Shares in lieu of such dollar limit.</w:t>
      </w:r>
    </w:p>
    <w:p>
      <w:pPr>
        <w:spacing w:after="0" w:line="1" w:lineRule="exact"/>
        <w:rPr>
          <w:rFonts w:ascii="Arial" w:cs="Arial" w:eastAsia="Arial" w:hAnsi="Arial"/>
          <w:sz w:val="16"/>
          <w:szCs w:val="16"/>
          <w:color w:val="auto"/>
        </w:rPr>
      </w:pPr>
    </w:p>
    <w:p>
      <w:pPr>
        <w:ind w:left="700" w:hanging="437"/>
        <w:spacing w:after="0" w:line="238" w:lineRule="auto"/>
        <w:tabs>
          <w:tab w:leader="none" w:pos="7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Unless the Committee expressly determines otherwise in the Award Agreement, any Award of an Option, SAR, or Restricted Stock is intended to qualify as a stock right exempt under Section 409A of the Code, and the terms of the Award Agreement and any related rules and procedures adopted by the Committee shall reflect such intention. Unless the Committee expressly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 or covenant that any Award granted under the Plan will comply with Section 409A.</w:t>
      </w:r>
    </w:p>
    <w:p>
      <w:pPr>
        <w:spacing w:after="0" w:line="2" w:lineRule="exact"/>
        <w:rPr>
          <w:rFonts w:ascii="Arial" w:cs="Arial" w:eastAsia="Arial" w:hAnsi="Arial"/>
          <w:sz w:val="17"/>
          <w:szCs w:val="17"/>
          <w:color w:val="auto"/>
        </w:rPr>
      </w:pPr>
    </w:p>
    <w:p>
      <w:pPr>
        <w:ind w:left="700" w:right="120" w:hanging="437"/>
        <w:spacing w:after="0" w:line="246" w:lineRule="auto"/>
        <w:tabs>
          <w:tab w:leader="none" w:pos="7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Committee shall not have the authority to provide in any Award granted hereunder for the automatic award of an Option upon the exercise or settlement of such Award.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AMENDMENT AND TERMINATION.</w:t>
      </w:r>
    </w:p>
    <w:p>
      <w:pPr>
        <w:spacing w:after="0" w:line="19" w:lineRule="exact"/>
        <w:rPr>
          <w:sz w:val="20"/>
          <w:szCs w:val="20"/>
          <w:color w:val="auto"/>
        </w:rPr>
      </w:pPr>
    </w:p>
    <w:p>
      <w:pPr>
        <w:ind w:left="700" w:right="40" w:hanging="437"/>
        <w:spacing w:after="0" w:line="238" w:lineRule="auto"/>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amendment, alteration, suspension, discontinuation or termination shall be made without (i) stockholder approval if such approval is necessary to comply with the listing requirements of the New York Stock Exchange or (ii) the consent of the affected Participants, if such action would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2" w:lineRule="exact"/>
        <w:rPr>
          <w:rFonts w:ascii="Arial" w:cs="Arial" w:eastAsia="Arial" w:hAnsi="Arial"/>
          <w:sz w:val="17"/>
          <w:szCs w:val="17"/>
          <w:color w:val="auto"/>
        </w:rPr>
      </w:pPr>
    </w:p>
    <w:p>
      <w:pPr>
        <w:ind w:left="700" w:right="20" w:hanging="437"/>
        <w:spacing w:after="0" w:line="239" w:lineRule="auto"/>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 no such action shall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(y) another Option or SAR with an exercise price that is less than the exercise price of the cancelled Option or SAR, or (z) any other type of Award.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of the Code shall be consistent with the requirements for exemption under Section 409A, and any such action taken with respect to an Award that constitutes deferred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A-5 ]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00" w:right="260"/>
        <w:spacing w:after="0" w:line="238" w:lineRule="auto"/>
        <w:rPr>
          <w:sz w:val="20"/>
          <w:szCs w:val="20"/>
          <w:color w:val="auto"/>
        </w:rPr>
      </w:pPr>
      <w:r>
        <w:rPr>
          <w:rFonts w:ascii="Arial" w:cs="Arial" w:eastAsia="Arial" w:hAnsi="Arial"/>
          <w:sz w:val="17"/>
          <w:szCs w:val="17"/>
          <w:color w:val="auto"/>
        </w:rPr>
        <w:t>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12(b) will comply with Section 409A.</w:t>
      </w:r>
    </w:p>
    <w:p>
      <w:pPr>
        <w:spacing w:after="0" w:line="1" w:lineRule="exact"/>
        <w:rPr>
          <w:sz w:val="20"/>
          <w:szCs w:val="20"/>
          <w:color w:val="auto"/>
        </w:rPr>
      </w:pPr>
    </w:p>
    <w:p>
      <w:pPr>
        <w:ind w:left="700" w:right="40" w:hanging="437"/>
        <w:spacing w:after="0" w:line="238"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2" w:lineRule="exact"/>
        <w:rPr>
          <w:rFonts w:ascii="Arial" w:cs="Arial" w:eastAsia="Arial" w:hAnsi="Arial"/>
          <w:sz w:val="17"/>
          <w:szCs w:val="17"/>
          <w:color w:val="auto"/>
        </w:rPr>
      </w:pPr>
    </w:p>
    <w:p>
      <w:pPr>
        <w:ind w:left="700" w:right="120" w:hanging="437"/>
        <w:spacing w:after="0" w:line="246"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Committee may correct any defect, supply any omission, or reconcile any inconsistency in the Plan or any Award in the manner and to the extent it shall deem desirable to carry the Plan into effect.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MISCELLANEOUS.</w:t>
      </w:r>
    </w:p>
    <w:p>
      <w:pPr>
        <w:spacing w:after="0" w:line="19" w:lineRule="exact"/>
        <w:rPr>
          <w:sz w:val="20"/>
          <w:szCs w:val="20"/>
          <w:color w:val="auto"/>
        </w:rPr>
      </w:pPr>
    </w:p>
    <w:p>
      <w:pPr>
        <w:ind w:left="700" w:right="60" w:hanging="437"/>
        <w:spacing w:after="0" w:line="238"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1" w:lineRule="exact"/>
        <w:rPr>
          <w:rFonts w:ascii="Arial" w:cs="Arial" w:eastAsia="Arial" w:hAnsi="Arial"/>
          <w:sz w:val="17"/>
          <w:szCs w:val="17"/>
          <w:color w:val="auto"/>
        </w:rPr>
      </w:pPr>
    </w:p>
    <w:p>
      <w:pPr>
        <w:ind w:left="700" w:right="120" w:hanging="437"/>
        <w:spacing w:after="0" w:line="238"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such delegation to management shall conform with the requirements of the General Corporation Law of Delaware, as in effect from time to time.</w:t>
      </w:r>
    </w:p>
    <w:p>
      <w:pPr>
        <w:spacing w:after="0" w:line="1" w:lineRule="exact"/>
        <w:rPr>
          <w:rFonts w:ascii="Arial" w:cs="Arial" w:eastAsia="Arial" w:hAnsi="Arial"/>
          <w:sz w:val="17"/>
          <w:szCs w:val="17"/>
          <w:color w:val="auto"/>
        </w:rPr>
      </w:pPr>
    </w:p>
    <w:p>
      <w:pPr>
        <w:ind w:left="700" w:right="20" w:hanging="437"/>
        <w:spacing w:after="0" w:line="238"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2" w:lineRule="exact"/>
        <w:rPr>
          <w:rFonts w:ascii="Arial" w:cs="Arial" w:eastAsia="Arial" w:hAnsi="Arial"/>
          <w:sz w:val="17"/>
          <w:szCs w:val="17"/>
          <w:color w:val="auto"/>
        </w:rPr>
      </w:pPr>
    </w:p>
    <w:p>
      <w:pPr>
        <w:ind w:left="700" w:right="120" w:hanging="437"/>
        <w:spacing w:after="0" w:line="238"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Nothing contained in the Plan shall prevent the Company from adopting or continuing in effect other or additional compensation arrangements, and such arrangements may be either generally applicable or applicable only in specific cases.</w:t>
      </w:r>
    </w:p>
    <w:p>
      <w:pPr>
        <w:ind w:left="700" w:right="80" w:hanging="437"/>
        <w:spacing w:after="0" w:line="238"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 w:lineRule="exact"/>
        <w:rPr>
          <w:rFonts w:ascii="Arial" w:cs="Arial" w:eastAsia="Arial" w:hAnsi="Arial"/>
          <w:sz w:val="17"/>
          <w:szCs w:val="17"/>
          <w:color w:val="auto"/>
        </w:rPr>
      </w:pPr>
    </w:p>
    <w:p>
      <w:pPr>
        <w:ind w:left="700" w:right="100" w:hanging="437"/>
        <w:spacing w:after="0"/>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ectPr>
          <w:pgSz w:w="11900" w:h="16924" w:orient="portrait"/>
          <w:cols w:equalWidth="0" w:num="1">
            <w:col w:w="11420"/>
          </w:cols>
          <w:pgMar w:left="240" w:top="143" w:right="239" w:bottom="0" w:gutter="0" w:footer="0" w:header="0"/>
        </w:sectPr>
      </w:pPr>
    </w:p>
    <w:bookmarkStart w:id="38" w:name="page39"/>
    <w:bookmarkEnd w:id="38"/>
    <w:p>
      <w:pPr>
        <w:spacing w:after="0" w:line="49" w:lineRule="exact"/>
        <w:rPr>
          <w:sz w:val="20"/>
          <w:szCs w:val="20"/>
          <w:color w:val="auto"/>
        </w:rPr>
      </w:pPr>
    </w:p>
    <w:p>
      <w:pPr>
        <w:jc w:val="both"/>
        <w:ind w:left="700" w:right="20" w:hanging="437"/>
        <w:spacing w:after="0" w:line="238" w:lineRule="auto"/>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 w:lineRule="exact"/>
        <w:rPr>
          <w:rFonts w:ascii="Arial" w:cs="Arial" w:eastAsia="Arial" w:hAnsi="Arial"/>
          <w:sz w:val="17"/>
          <w:szCs w:val="17"/>
          <w:color w:val="auto"/>
        </w:rPr>
      </w:pPr>
    </w:p>
    <w:p>
      <w:pPr>
        <w:ind w:left="700" w:right="220" w:hanging="437"/>
        <w:spacing w:after="0" w:line="242" w:lineRule="auto"/>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A-6 ]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EFFECTIVE DATE OF THE PLAN.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Plan shall be effective as of the date of its approval by the stockholders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 TERM OF THE PLAN.</w:t>
      </w:r>
    </w:p>
    <w:p>
      <w:pPr>
        <w:spacing w:after="0" w:line="1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and the Board under Section 12 to amend, alter, adjust, suspend, discontinue, or terminate any such Award, or to waive any conditions or rights under any such Award, and to amend the Plan, shall extend beyond such date.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 GOVERNING LAW.</w:t>
      </w:r>
    </w:p>
    <w:p>
      <w:pPr>
        <w:spacing w:after="0" w:line="19"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The Plan shall be construed in accordance with and governed by the laws of the State of Texas without giving effect to the principles of conflict of laws thereof.</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A-7 ]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B</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TEXAS INSTRUMENTS 2009 DIRECTOR COMPENSATION PLAN</w:t>
      </w:r>
    </w:p>
    <w:p>
      <w:pPr>
        <w:spacing w:after="0"/>
        <w:rPr>
          <w:sz w:val="20"/>
          <w:szCs w:val="20"/>
          <w:color w:val="auto"/>
        </w:rPr>
      </w:pPr>
      <w:r>
        <w:rPr>
          <w:rFonts w:ascii="Arial" w:cs="Arial" w:eastAsia="Arial" w:hAnsi="Arial"/>
          <w:sz w:val="17"/>
          <w:szCs w:val="17"/>
          <w:b w:val="1"/>
          <w:bCs w:val="1"/>
          <w:color w:val="auto"/>
        </w:rPr>
        <w:t>Dated April 16, 2009</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PURPOSE.</w:t>
      </w:r>
    </w:p>
    <w:p>
      <w:pPr>
        <w:spacing w:after="0" w:line="1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Texas Instruments 2009 Director Compensation Plan (“the Plan”) is intended as a successor plan to the Company’s 2003 Director Compensation Plan (“2003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 With respect to Deferred Compensation, as of the Effective Date, the Post-2004 Accounts (as defined in the 2003 Plan) of the participants in the 2003 Plan are hereby merged into the Deferred Compensation accounts under this Plan and the amounts in those Accounts shall be governed thereafter by the terms of this Plan. Any elections made under Section 8 of the 2003 Plan shall remain applicable to and shall govern the Deferred Compensation Accounts of this Plan unless changed by the Participant in accordance with the terms of this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DEFINITIONS.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 used in the Plan, the following terms shall have the meanings set forth below:</w:t>
      </w:r>
    </w:p>
    <w:p>
      <w:pPr>
        <w:ind w:left="700" w:hanging="437"/>
        <w:spacing w:after="0"/>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means a Cash Account or Stock Unit Account established under Section 9 of the Plan.</w:t>
      </w:r>
    </w:p>
    <w:p>
      <w:pPr>
        <w:spacing w:after="0" w:line="19" w:lineRule="exact"/>
        <w:rPr>
          <w:rFonts w:ascii="Arial" w:cs="Arial" w:eastAsia="Arial" w:hAnsi="Arial"/>
          <w:sz w:val="17"/>
          <w:szCs w:val="17"/>
          <w:color w:val="auto"/>
        </w:rPr>
      </w:pPr>
    </w:p>
    <w:p>
      <w:pPr>
        <w:ind w:left="700" w:hanging="437"/>
        <w:spacing w:after="0"/>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means the Board or a committee of directors designated by the Board to administer the Plan.</w:t>
      </w:r>
    </w:p>
    <w:p>
      <w:pPr>
        <w:spacing w:after="0" w:line="16"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any Option, Restricted Stock Unit, Stock Appreciation Right or other stock-based award under the Plan.</w:t>
      </w:r>
    </w:p>
    <w:p>
      <w:pPr>
        <w:ind w:left="700" w:right="28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 Agreement</w:t>
      </w:r>
      <w:r>
        <w:rPr>
          <w:rFonts w:ascii="Arial" w:cs="Arial" w:eastAsia="Arial" w:hAnsi="Arial"/>
          <w:sz w:val="17"/>
          <w:szCs w:val="17"/>
          <w:color w:val="auto"/>
        </w:rPr>
        <w:t>” means any written agreement, contract or other instrument or document evidencing any Award granted under the Plan, which may, but need not, be executed or acknowledged by a Director. An Award Agreement may be in electronic form.</w:t>
      </w: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of the Company, as constituted from time to time.</w:t>
      </w:r>
    </w:p>
    <w:p>
      <w:pPr>
        <w:ind w:left="700" w:right="14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Account</w:t>
      </w:r>
      <w:r>
        <w:rPr>
          <w:rFonts w:ascii="Arial" w:cs="Arial" w:eastAsia="Arial" w:hAnsi="Arial"/>
          <w:sz w:val="17"/>
          <w:szCs w:val="17"/>
          <w:color w:val="auto"/>
        </w:rPr>
        <w:t>” means the bookkeeping accounts established or maintained pursuant to Section 9(b)(i) on behalf of each Director who elects pursuant to Section 9(b) to have any of his or her Deferred Compensation credited to a cash account.</w:t>
      </w:r>
    </w:p>
    <w:p>
      <w:pPr>
        <w:ind w:left="700" w:right="4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an event when (i) any Person, alone or together with its Affiliates and Associates or otherwise, shall become an Acquiring Person otherwise than pursuant to a transaction or agreement approved by the Board prior to the time the Acquiring Person 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Notwithstanding the foregoing, if a Restricted Stock Unit granted under this Plan is or becomes subject to Section 409A of the Code, then with respect to such Restricted Stock Unit “Change in Control” means a change in control event as to the Company, as defined in Section 409A of the Code and the regulations thereunder.</w:t>
      </w:r>
    </w:p>
    <w:p>
      <w:pPr>
        <w:spacing w:after="0" w:line="3"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w:t>
      </w: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Texas Instruments Incorporated, together with any successor thereto.</w:t>
      </w:r>
    </w:p>
    <w:p>
      <w:pPr>
        <w:ind w:left="700" w:right="2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Cash Compensation</w:t>
      </w:r>
      <w:r>
        <w:rPr>
          <w:rFonts w:ascii="Arial" w:cs="Arial" w:eastAsia="Arial" w:hAnsi="Arial"/>
          <w:sz w:val="17"/>
          <w:szCs w:val="17"/>
          <w:color w:val="auto"/>
        </w:rPr>
        <w:t>” means that portion of any Director’s Eligible Compensation that is payable in cash and that he or she elects pursuant to Section 9(a) to be deferred in accordance with this Plan.</w:t>
      </w:r>
    </w:p>
    <w:p>
      <w:pPr>
        <w:ind w:left="700" w:right="44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Compensation</w:t>
      </w:r>
      <w:r>
        <w:rPr>
          <w:rFonts w:ascii="Arial" w:cs="Arial" w:eastAsia="Arial" w:hAnsi="Arial"/>
          <w:sz w:val="17"/>
          <w:szCs w:val="17"/>
          <w:color w:val="auto"/>
        </w:rPr>
        <w:t>” means that portion of any Director’s Eligible Compensation that he or she elects pursuant to Section 9(a) to be deferred in accordance with this Plan.</w:t>
      </w:r>
    </w:p>
    <w:p>
      <w:pPr>
        <w:ind w:left="700" w:right="8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Compensation Account</w:t>
      </w:r>
      <w:r>
        <w:rPr>
          <w:rFonts w:ascii="Arial" w:cs="Arial" w:eastAsia="Arial" w:hAnsi="Arial"/>
          <w:sz w:val="17"/>
          <w:szCs w:val="17"/>
          <w:color w:val="auto"/>
        </w:rPr>
        <w:t>” means a Cash Account or Stock Unit Account containing amounts earned and deferred under this Plan or the 2003 Plan and Restricted Stock Units, the receipt of which a Director has elected to defer.</w:t>
      </w: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 member of the Board who is not an employee of the Company or any subsidiary thereof.</w:t>
      </w: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this Plan is approved by stockholders of the Company.</w:t>
      </w:r>
    </w:p>
    <w:p>
      <w:pPr>
        <w:ind w:left="700" w:right="24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Compensation</w:t>
      </w:r>
      <w:r>
        <w:rPr>
          <w:rFonts w:ascii="Arial" w:cs="Arial" w:eastAsia="Arial" w:hAnsi="Arial"/>
          <w:sz w:val="17"/>
          <w:szCs w:val="17"/>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7(f).</w:t>
      </w:r>
    </w:p>
    <w:p>
      <w:pPr>
        <w:spacing w:after="0" w:line="1" w:lineRule="exact"/>
        <w:rPr>
          <w:rFonts w:ascii="Arial" w:cs="Arial" w:eastAsia="Arial" w:hAnsi="Arial"/>
          <w:sz w:val="17"/>
          <w:szCs w:val="17"/>
          <w:color w:val="auto"/>
        </w:rPr>
      </w:pPr>
    </w:p>
    <w:p>
      <w:pPr>
        <w:ind w:left="700" w:right="1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the closing price of the Shares on the date specified (or, if there is no trading on the New York Stock Exchange on such date, then on the first previous date on which there is such trading) as reported in “New York Stock Exchange Composite Transactions” in “The Wall Street Journal” or by WSJ.com or Bloomberg L.P., or if unavailable, then by reference to any other source as may be deemed appropriate by the G&amp;SR Committee.</w:t>
      </w:r>
    </w:p>
    <w:p>
      <w:pPr>
        <w:spacing w:after="0" w:line="1"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G&amp;SR Committee</w:t>
      </w:r>
      <w:r>
        <w:rPr>
          <w:rFonts w:ascii="Arial" w:cs="Arial" w:eastAsia="Arial" w:hAnsi="Arial"/>
          <w:sz w:val="17"/>
          <w:szCs w:val="17"/>
          <w:color w:val="auto"/>
        </w:rPr>
        <w:t>” means the Governance and Stockholder Relations Committee of the Board or any successor committee.</w:t>
      </w:r>
    </w:p>
    <w:p>
      <w:pPr>
        <w:ind w:left="700" w:hanging="437"/>
        <w:spacing w:after="0"/>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an option granted under Section 6.</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B-1 ]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87" w:orient="portrait"/>
          <w:cols w:equalWidth="0" w:num="1">
            <w:col w:w="11420"/>
          </w:cols>
          <w:pgMar w:left="240" w:top="143" w:right="239"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700" w:hanging="437"/>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individual who has received an Award or established an Account under the Plan.</w:t>
      </w:r>
    </w:p>
    <w:p>
      <w:pPr>
        <w:sectPr>
          <w:pgSz w:w="11900" w:h="16887" w:orient="portrait"/>
          <w:cols w:equalWidth="0" w:num="1">
            <w:col w:w="11420"/>
          </w:cols>
          <w:pgMar w:left="240" w:top="143" w:right="239" w:bottom="0" w:gutter="0" w:footer="0" w:header="0"/>
          <w:type w:val="continuous"/>
        </w:sectPr>
      </w:pPr>
    </w:p>
    <w:bookmarkStart w:id="39" w:name="page40"/>
    <w:bookmarkEnd w:id="39"/>
    <w:p>
      <w:pPr>
        <w:ind w:left="700" w:hanging="437"/>
        <w:spacing w:after="0"/>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this Texas Instruments 2009 Director Compensation Plan.</w:t>
      </w:r>
    </w:p>
    <w:p>
      <w:pPr>
        <w:spacing w:after="0" w:line="18" w:lineRule="exact"/>
        <w:rPr>
          <w:rFonts w:ascii="Arial" w:cs="Arial" w:eastAsia="Arial" w:hAnsi="Arial"/>
          <w:sz w:val="17"/>
          <w:szCs w:val="17"/>
          <w:color w:val="auto"/>
        </w:rPr>
      </w:pPr>
    </w:p>
    <w:p>
      <w:pPr>
        <w:ind w:left="700" w:right="180" w:hanging="437"/>
        <w:spacing w:after="0" w:line="238"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Stock Unit</w:t>
      </w:r>
      <w:r>
        <w:rPr>
          <w:rFonts w:ascii="Arial" w:cs="Arial" w:eastAsia="Arial" w:hAnsi="Arial"/>
          <w:sz w:val="17"/>
          <w:szCs w:val="17"/>
          <w:color w:val="auto"/>
        </w:rPr>
        <w:t>” means a contractual right granted under Section 7 that is denominated in Shares, each of which represents a right to receive a Share on the terms and conditions set forth in the Plan and the applicable Award Agreement.</w:t>
      </w:r>
    </w:p>
    <w:p>
      <w:pPr>
        <w:ind w:left="700" w:hanging="437"/>
        <w:spacing w:after="0" w:line="238"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Secretary</w:t>
      </w:r>
      <w:r>
        <w:rPr>
          <w:rFonts w:ascii="Arial" w:cs="Arial" w:eastAsia="Arial" w:hAnsi="Arial"/>
          <w:sz w:val="17"/>
          <w:szCs w:val="17"/>
          <w:color w:val="auto"/>
        </w:rPr>
        <w:t>” means the Secretary of the Company.</w:t>
      </w:r>
    </w:p>
    <w:p>
      <w:pPr>
        <w:ind w:left="700" w:right="40" w:hanging="437"/>
        <w:spacing w:after="0" w:line="238"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Separation from Service</w:t>
      </w:r>
      <w:r>
        <w:rPr>
          <w:rFonts w:ascii="Arial" w:cs="Arial" w:eastAsia="Arial" w:hAnsi="Arial"/>
          <w:sz w:val="17"/>
          <w:szCs w:val="17"/>
          <w:color w:val="auto"/>
        </w:rPr>
        <w:t>” means a termination of services provided by a Participant as a member of the Board or of the board of directors of any other member of the controlled group of corporations (as defined in Section 414(b) of the Code) which includes the Company (for purposes of this Section 2(w),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2" w:lineRule="exact"/>
        <w:rPr>
          <w:rFonts w:ascii="Arial" w:cs="Arial" w:eastAsia="Arial" w:hAnsi="Arial"/>
          <w:sz w:val="17"/>
          <w:szCs w:val="17"/>
          <w:color w:val="auto"/>
        </w:rPr>
      </w:pPr>
    </w:p>
    <w:p>
      <w:pPr>
        <w:ind w:left="1100" w:right="120" w:hanging="397"/>
        <w:spacing w:after="0" w:line="238" w:lineRule="auto"/>
        <w:tabs>
          <w:tab w:leader="none" w:pos="11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1" w:lineRule="exact"/>
        <w:rPr>
          <w:rFonts w:ascii="Arial" w:cs="Arial" w:eastAsia="Arial" w:hAnsi="Arial"/>
          <w:sz w:val="17"/>
          <w:szCs w:val="17"/>
          <w:color w:val="auto"/>
        </w:rPr>
      </w:pPr>
    </w:p>
    <w:p>
      <w:pPr>
        <w:ind w:left="1100" w:right="140" w:hanging="397"/>
        <w:spacing w:after="0" w:line="238" w:lineRule="auto"/>
        <w:tabs>
          <w:tab w:leader="none" w:pos="11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1" w:lineRule="exact"/>
        <w:rPr>
          <w:rFonts w:ascii="Arial" w:cs="Arial" w:eastAsia="Arial" w:hAnsi="Arial"/>
          <w:sz w:val="17"/>
          <w:szCs w:val="17"/>
          <w:color w:val="auto"/>
        </w:rPr>
      </w:pPr>
    </w:p>
    <w:p>
      <w:pPr>
        <w:ind w:left="1100" w:right="180" w:hanging="397"/>
        <w:spacing w:after="0" w:line="238" w:lineRule="auto"/>
        <w:tabs>
          <w:tab w:leader="none" w:pos="11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1"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shall mean shares of the common stock of the Company, $1.00 par value.</w:t>
      </w:r>
    </w:p>
    <w:p>
      <w:pPr>
        <w:ind w:left="700" w:right="40" w:hanging="437"/>
        <w:spacing w:after="0" w:line="253" w:lineRule="auto"/>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Employee</w:t>
      </w:r>
      <w:r>
        <w:rPr>
          <w:rFonts w:ascii="Arial" w:cs="Arial" w:eastAsia="Arial" w:hAnsi="Arial"/>
          <w:sz w:val="16"/>
          <w:szCs w:val="16"/>
          <w:color w:val="auto"/>
        </w:rPr>
        <w:t>” means any Participant who is determined to be a “key employee” (as defined under Section 416(i) of the Code without regard to paragraph (5) thereof) for the applicable period, as determined annually by the Administrator in accordance with Treas. Reg. §1.409A-</w:t>
      </w:r>
    </w:p>
    <w:p>
      <w:pPr>
        <w:ind w:left="700"/>
        <w:spacing w:after="0" w:line="238" w:lineRule="auto"/>
        <w:rPr>
          <w:rFonts w:ascii="Arial" w:cs="Arial" w:eastAsia="Arial" w:hAnsi="Arial"/>
          <w:sz w:val="16"/>
          <w:szCs w:val="16"/>
          <w:color w:val="auto"/>
        </w:rPr>
      </w:pPr>
      <w:r>
        <w:rPr>
          <w:rFonts w:ascii="Arial" w:cs="Arial" w:eastAsia="Arial" w:hAnsi="Arial"/>
          <w:sz w:val="17"/>
          <w:szCs w:val="17"/>
          <w:color w:val="auto"/>
        </w:rPr>
        <w:t>1(i). In determining whether a Participant is a Specified Employee, the following provisions shall apply:</w:t>
      </w:r>
    </w:p>
    <w:p>
      <w:pPr>
        <w:ind w:left="1100" w:hanging="397"/>
        <w:spacing w:after="0" w:line="238" w:lineRule="auto"/>
        <w:tabs>
          <w:tab w:leader="none" w:pos="11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1" w:lineRule="exact"/>
        <w:rPr>
          <w:rFonts w:ascii="Arial" w:cs="Arial" w:eastAsia="Arial" w:hAnsi="Arial"/>
          <w:sz w:val="17"/>
          <w:szCs w:val="17"/>
          <w:color w:val="auto"/>
        </w:rPr>
      </w:pPr>
    </w:p>
    <w:p>
      <w:pPr>
        <w:ind w:left="1100" w:hanging="397"/>
        <w:spacing w:after="0" w:line="238" w:lineRule="auto"/>
        <w:tabs>
          <w:tab w:leader="none" w:pos="11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Each Participant who is among the individuals identified as a “key employee” in accordance with part (i) of this Section 2(y) shall be treated as a Specified Employee for purposes of this Plan if such Participant experiences a Separation from Service during the 12-month period that begins on the April 1st following the applicable identification date.</w:t>
      </w:r>
    </w:p>
    <w:p>
      <w:pPr>
        <w:spacing w:after="0" w:line="1"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means a right granted pursuant to Section 8 to receive, upon exercise by the</w:t>
      </w:r>
    </w:p>
    <w:p>
      <w:pPr>
        <w:ind w:left="700"/>
        <w:spacing w:after="0" w:line="238" w:lineRule="auto"/>
        <w:rPr>
          <w:rFonts w:ascii="Arial" w:cs="Arial" w:eastAsia="Arial" w:hAnsi="Arial"/>
          <w:sz w:val="17"/>
          <w:szCs w:val="17"/>
          <w:color w:val="auto"/>
        </w:rPr>
      </w:pPr>
      <w:r>
        <w:rPr>
          <w:rFonts w:ascii="Arial" w:cs="Arial" w:eastAsia="Arial" w:hAnsi="Arial"/>
          <w:sz w:val="17"/>
          <w:szCs w:val="17"/>
          <w:color w:val="auto"/>
        </w:rPr>
        <w:t>Participant, the excess of (i) the 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1" w:lineRule="exact"/>
        <w:rPr>
          <w:sz w:val="20"/>
          <w:szCs w:val="20"/>
          <w:color w:val="auto"/>
        </w:rPr>
      </w:pPr>
    </w:p>
    <w:p>
      <w:pPr>
        <w:ind w:left="700" w:right="620" w:hanging="437"/>
        <w:spacing w:after="0" w:line="238" w:lineRule="auto"/>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Unit Account</w:t>
      </w:r>
      <w:r>
        <w:rPr>
          <w:rFonts w:ascii="Arial" w:cs="Arial" w:eastAsia="Arial" w:hAnsi="Arial"/>
          <w:sz w:val="17"/>
          <w:szCs w:val="17"/>
          <w:color w:val="auto"/>
        </w:rPr>
        <w:t>” means the bookkeeping accounts established, pursuant to Section 9(b)(ii), on behalf of each Director who elects, pursuant to Section 9(b), to have any of his or her Deferred Cash Compensation credited to a stock unit account.</w:t>
      </w:r>
    </w:p>
    <w:p>
      <w:pPr>
        <w:ind w:left="700" w:right="140" w:hanging="437"/>
        <w:spacing w:after="0" w:line="253"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Unforeseeable Emergency</w:t>
      </w:r>
      <w:r>
        <w:rPr>
          <w:rFonts w:ascii="Arial" w:cs="Arial" w:eastAsia="Arial" w:hAnsi="Arial"/>
          <w:sz w:val="16"/>
          <w:szCs w:val="16"/>
          <w:color w:val="auto"/>
        </w:rPr>
        <w:t>” means a severe financial hardship to the Participant resulting from (i) an illness or accident of the Participant or the Participant’s spouse, beneficiary, or dependent (as defined in Section 152 of the Code, without regard to Sections 152(b)(1), (b)(2), and (d)</w:t>
      </w:r>
    </w:p>
    <w:p>
      <w:pPr>
        <w:ind w:left="700" w:right="360"/>
        <w:spacing w:after="0" w:line="238" w:lineRule="auto"/>
        <w:rPr>
          <w:rFonts w:ascii="Arial" w:cs="Arial" w:eastAsia="Arial" w:hAnsi="Arial"/>
          <w:sz w:val="16"/>
          <w:szCs w:val="16"/>
          <w:color w:val="auto"/>
        </w:rPr>
      </w:pPr>
      <w:r>
        <w:rPr>
          <w:rFonts w:ascii="Arial" w:cs="Arial" w:eastAsia="Arial" w:hAnsi="Arial"/>
          <w:sz w:val="17"/>
          <w:szCs w:val="17"/>
          <w:color w:val="auto"/>
        </w:rPr>
        <w:t>(1)(B)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1" w:lineRule="exact"/>
        <w:rPr>
          <w:rFonts w:ascii="Arial" w:cs="Arial" w:eastAsia="Arial" w:hAnsi="Arial"/>
          <w:sz w:val="16"/>
          <w:szCs w:val="16"/>
          <w:color w:val="auto"/>
        </w:rPr>
      </w:pPr>
    </w:p>
    <w:p>
      <w:pPr>
        <w:ind w:left="700" w:hanging="437"/>
        <w:spacing w:after="0"/>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Year</w:t>
      </w:r>
      <w:r>
        <w:rPr>
          <w:rFonts w:ascii="Arial" w:cs="Arial" w:eastAsia="Arial" w:hAnsi="Arial"/>
          <w:sz w:val="17"/>
          <w:szCs w:val="17"/>
          <w:color w:val="auto"/>
        </w:rPr>
        <w:t>” means a calendar year.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ELIGIBILITY.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Each Director shall be eligible to defer Eligible Compensation and to receive Awards under the Plan.</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 B-2 ]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ADMINISTRATION.</w:t>
      </w:r>
    </w:p>
    <w:p>
      <w:pPr>
        <w:spacing w:after="0" w:line="19"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SHARES SUBJECT TO THE PLAN.</w:t>
      </w:r>
    </w:p>
    <w:p>
      <w:pPr>
        <w:spacing w:after="0" w:line="32" w:lineRule="exact"/>
        <w:rPr>
          <w:sz w:val="20"/>
          <w:szCs w:val="20"/>
          <w:color w:val="auto"/>
        </w:rPr>
      </w:pPr>
    </w:p>
    <w:p>
      <w:pPr>
        <w:ind w:left="700" w:hanging="437"/>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Subject to adjustment as provided in this Section 5, the number of Shares available for issuance under the Plan shall be 2,000,000 Shares.</w:t>
      </w:r>
    </w:p>
    <w:p>
      <w:pPr>
        <w:spacing w:after="0" w:line="24" w:lineRule="exact"/>
        <w:rPr>
          <w:rFonts w:ascii="Arial" w:cs="Arial" w:eastAsia="Arial" w:hAnsi="Arial"/>
          <w:sz w:val="17"/>
          <w:szCs w:val="17"/>
          <w:color w:val="auto"/>
        </w:rPr>
      </w:pPr>
    </w:p>
    <w:p>
      <w:pPr>
        <w:ind w:left="700" w:right="40" w:hanging="437"/>
        <w:spacing w:after="0" w:line="238" w:lineRule="auto"/>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after the effective date of the Plan, (i) any Shares covered by an Award or Stock Unit Account, or to which such an Award relates, are forfeited, or (ii) 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not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3" w:lineRule="exact"/>
        <w:rPr>
          <w:rFonts w:ascii="Arial" w:cs="Arial" w:eastAsia="Arial" w:hAnsi="Arial"/>
          <w:sz w:val="17"/>
          <w:szCs w:val="17"/>
          <w:color w:val="auto"/>
        </w:rPr>
      </w:pPr>
    </w:p>
    <w:p>
      <w:pPr>
        <w:ind w:left="700" w:right="520" w:hanging="437"/>
        <w:spacing w:after="0" w:line="238" w:lineRule="auto"/>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Shares delivered pursuant to an Award or Stock Unit Account may consist, in whole or in part, of authorized and unissued Shares, of treasury Shares or of both.</w:t>
      </w:r>
    </w:p>
    <w:p>
      <w:pPr>
        <w:ind w:left="700" w:right="100" w:hanging="437"/>
        <w:spacing w:after="0" w:line="239" w:lineRule="auto"/>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aggregate limit specified in Section 5(a);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ectPr>
          <w:pgSz w:w="11900" w:h="16838" w:orient="portrait"/>
          <w:cols w:equalWidth="0" w:num="1">
            <w:col w:w="11420"/>
          </w:cols>
          <w:pgMar w:left="240" w:top="356" w:right="239" w:bottom="0" w:gutter="0" w:footer="0" w:header="0"/>
        </w:sectPr>
      </w:pPr>
    </w:p>
    <w:bookmarkStart w:id="40" w:name="page41"/>
    <w:bookmarkEnd w:id="40"/>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OPTIONS.</w:t>
      </w:r>
    </w:p>
    <w:p>
      <w:pPr>
        <w:spacing w:after="0" w:line="19"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Following the effective date of this Plan, each Director will be granted annually an Option to purchase 7,000 Shares. The Options granted will be nonstatutory stock options not intended to qualify under Section 422 of the Code and shall have the terms and conditions described in this Section 6:</w:t>
      </w:r>
    </w:p>
    <w:p>
      <w:pPr>
        <w:spacing w:after="0" w:line="1" w:lineRule="exact"/>
        <w:rPr>
          <w:sz w:val="20"/>
          <w:szCs w:val="20"/>
          <w:color w:val="auto"/>
        </w:rPr>
      </w:pPr>
    </w:p>
    <w:p>
      <w:pPr>
        <w:ind w:left="700" w:right="40" w:hanging="437"/>
        <w:spacing w:after="0" w:line="238" w:lineRule="auto"/>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Price and Term of Options. </w:t>
      </w:r>
      <w:r>
        <w:rPr>
          <w:rFonts w:ascii="Arial" w:cs="Arial" w:eastAsia="Arial" w:hAnsi="Arial"/>
          <w:sz w:val="17"/>
          <w:szCs w:val="17"/>
          <w:color w:val="auto"/>
        </w:rPr>
        <w:t>The purchase price per share of Shares deliverable upon the exercise of each Option shall be 100% of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per share of the Shares on the date the Option is granted. In each Year, the effective date for the annual grant of options to the Company’s executive officers by the Compensation Committee of the Board (or any successor committee) shall be the date Options are granted; provided that in any Year in which the Compensation Committee does not grant options to any of the Company’s executive officers in connection with the annual compensation review process, then the effective date of the first options granted by the Compensation Committee in such Year shall be the date Options are granted. Each Option shall have a term not to exceed ten years from the date of grant.</w:t>
      </w:r>
    </w:p>
    <w:p>
      <w:pPr>
        <w:spacing w:after="0" w:line="2" w:lineRule="exact"/>
        <w:rPr>
          <w:rFonts w:ascii="Arial" w:cs="Arial" w:eastAsia="Arial" w:hAnsi="Arial"/>
          <w:sz w:val="17"/>
          <w:szCs w:val="17"/>
          <w:color w:val="auto"/>
        </w:rPr>
      </w:pPr>
    </w:p>
    <w:p>
      <w:pPr>
        <w:ind w:left="700" w:right="80" w:hanging="437"/>
        <w:spacing w:after="0" w:line="238" w:lineRule="auto"/>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The Secretary shall determine the method or methods by which, and the form or forms, including, without limitation, cash, Shares,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property, or any combination thereof, having a Fair Market Value on the exercise date equal to the relevant exercise price, in which payment of the exercise price with respect to an Option may be made or deemed to have been made.</w:t>
      </w:r>
    </w:p>
    <w:p>
      <w:pPr>
        <w:spacing w:after="0" w:line="1" w:lineRule="exact"/>
        <w:rPr>
          <w:rFonts w:ascii="Arial" w:cs="Arial" w:eastAsia="Arial" w:hAnsi="Arial"/>
          <w:sz w:val="17"/>
          <w:szCs w:val="17"/>
          <w:color w:val="auto"/>
        </w:rPr>
      </w:pPr>
    </w:p>
    <w:p>
      <w:pPr>
        <w:ind w:left="700" w:right="180" w:hanging="437"/>
        <w:spacing w:after="0" w:line="238" w:lineRule="auto"/>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Exercisability. </w:t>
      </w:r>
      <w:r>
        <w:rPr>
          <w:rFonts w:ascii="Arial" w:cs="Arial" w:eastAsia="Arial" w:hAnsi="Arial"/>
          <w:sz w:val="17"/>
          <w:szCs w:val="17"/>
          <w:color w:val="auto"/>
        </w:rPr>
        <w:t>Subject to Sections 6(d) and 6(e), Options shall become exercisable in four equal annual installments commencing on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anniversary date of the grant.</w:t>
      </w:r>
    </w:p>
    <w:p>
      <w:pPr>
        <w:ind w:left="700" w:right="100" w:hanging="437"/>
        <w:spacing w:after="0" w:line="246" w:lineRule="auto"/>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In the event of a Change in Control, the provisions of Sections 6(c) and 6(e) shall not apply (except for Section 6(e)(iv)(B),</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apply) and Options outstanding under the Plan shall be immediately exercisable in full and continue to full term.</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B-3 ]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700" w:right="320" w:hanging="437"/>
        <w:spacing w:after="0" w:line="250" w:lineRule="auto"/>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Service as a Director. </w:t>
      </w:r>
      <w:r>
        <w:rPr>
          <w:rFonts w:ascii="Arial" w:cs="Arial" w:eastAsia="Arial" w:hAnsi="Arial"/>
          <w:sz w:val="17"/>
          <w:szCs w:val="17"/>
          <w:color w:val="auto"/>
        </w:rPr>
        <w:t>Except under the circumstances described in Section 6(d), the effect of a Participant’s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as a member of the Board shall be as follows:</w:t>
      </w:r>
    </w:p>
    <w:p>
      <w:pPr>
        <w:spacing w:after="0" w:line="1" w:lineRule="exact"/>
        <w:rPr>
          <w:rFonts w:ascii="Arial" w:cs="Arial" w:eastAsia="Arial" w:hAnsi="Arial"/>
          <w:sz w:val="17"/>
          <w:szCs w:val="17"/>
          <w:color w:val="auto"/>
        </w:rPr>
      </w:pPr>
    </w:p>
    <w:p>
      <w:pPr>
        <w:ind w:left="1100" w:hanging="397"/>
        <w:spacing w:after="0" w:line="238" w:lineRule="auto"/>
        <w:tabs>
          <w:tab w:leader="none" w:pos="1100"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Termination for cause</w:t>
      </w:r>
      <w:r>
        <w:rPr>
          <w:rFonts w:ascii="Arial" w:cs="Arial" w:eastAsia="Arial" w:hAnsi="Arial"/>
          <w:sz w:val="17"/>
          <w:szCs w:val="17"/>
          <w:color w:val="auto"/>
        </w:rPr>
        <w:t>: All outstanding Options held by the Participant shall be canceled immediately upon termination.</w:t>
      </w:r>
    </w:p>
    <w:p>
      <w:pPr>
        <w:ind w:left="1100" w:right="280" w:hanging="397"/>
        <w:spacing w:after="0" w:line="238" w:lineRule="auto"/>
        <w:tabs>
          <w:tab w:leader="none" w:pos="1100"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Death</w:t>
      </w:r>
      <w:r>
        <w:rPr>
          <w:rFonts w:ascii="Arial" w:cs="Arial" w:eastAsia="Arial" w:hAnsi="Arial"/>
          <w:sz w:val="17"/>
          <w:szCs w:val="17"/>
          <w:color w:val="auto"/>
        </w:rPr>
        <w:t>: All outstanding Options held by the Participant shall continue to full term, becoming exercisable in accordance with Section 6(c),</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be exercisable by such Participant’s heirs or legal representatives.</w:t>
      </w:r>
    </w:p>
    <w:p>
      <w:pPr>
        <w:ind w:left="1100" w:right="180" w:hanging="397"/>
        <w:spacing w:after="0" w:line="238" w:lineRule="auto"/>
        <w:tabs>
          <w:tab w:leader="none" w:pos="1100"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Permanent disability, termination after 8 years of service, or termination for reason of ineligibility to stand for reelection under the Company’s By-Laws</w:t>
      </w:r>
      <w:r>
        <w:rPr>
          <w:rFonts w:ascii="Arial" w:cs="Arial" w:eastAsia="Arial" w:hAnsi="Arial"/>
          <w:sz w:val="17"/>
          <w:szCs w:val="17"/>
          <w:color w:val="auto"/>
        </w:rPr>
        <w:t>: All outstanding Options held by the Participant shall continue to full term, becoming exercisable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6(c).</w:t>
      </w:r>
    </w:p>
    <w:p>
      <w:pPr>
        <w:spacing w:after="0" w:line="1" w:lineRule="exact"/>
        <w:rPr>
          <w:rFonts w:ascii="Arial" w:cs="Arial" w:eastAsia="Arial" w:hAnsi="Arial"/>
          <w:sz w:val="17"/>
          <w:szCs w:val="17"/>
          <w:color w:val="auto"/>
        </w:rPr>
      </w:pPr>
    </w:p>
    <w:p>
      <w:pPr>
        <w:ind w:left="1100" w:right="360" w:hanging="397"/>
        <w:spacing w:after="0" w:line="253" w:lineRule="auto"/>
        <w:tabs>
          <w:tab w:leader="none" w:pos="1100"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For any termination other than those specified above, all outstanding Options held by the Participant shall be exercisable for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after the date of termination, only to the extent that such Options were exercisable on the date of termination, except as follows:</w:t>
      </w:r>
    </w:p>
    <w:p>
      <w:pPr>
        <w:ind w:left="1560" w:right="120" w:hanging="469"/>
        <w:spacing w:after="0" w:line="238" w:lineRule="auto"/>
        <w:tabs>
          <w:tab w:leader="none" w:pos="1560" w:val="left"/>
        </w:tabs>
        <w:numPr>
          <w:ilvl w:val="2"/>
          <w:numId w:val="78"/>
        </w:numPr>
        <w:rPr>
          <w:rFonts w:ascii="Arial" w:cs="Arial" w:eastAsia="Arial" w:hAnsi="Arial"/>
          <w:sz w:val="17"/>
          <w:szCs w:val="17"/>
          <w:color w:val="auto"/>
        </w:rPr>
      </w:pPr>
      <w:r>
        <w:rPr>
          <w:rFonts w:ascii="Arial" w:cs="Arial" w:eastAsia="Arial" w:hAnsi="Arial"/>
          <w:sz w:val="17"/>
          <w:szCs w:val="17"/>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 w:lineRule="exact"/>
        <w:rPr>
          <w:rFonts w:ascii="Arial" w:cs="Arial" w:eastAsia="Arial" w:hAnsi="Arial"/>
          <w:sz w:val="17"/>
          <w:szCs w:val="17"/>
          <w:color w:val="auto"/>
        </w:rPr>
      </w:pPr>
    </w:p>
    <w:p>
      <w:pPr>
        <w:ind w:left="1560" w:right="20" w:hanging="469"/>
        <w:spacing w:after="0" w:line="238" w:lineRule="auto"/>
        <w:tabs>
          <w:tab w:leader="none" w:pos="1560" w:val="left"/>
        </w:tabs>
        <w:numPr>
          <w:ilvl w:val="2"/>
          <w:numId w:val="78"/>
        </w:numPr>
        <w:rPr>
          <w:rFonts w:ascii="Arial" w:cs="Arial" w:eastAsia="Arial" w:hAnsi="Arial"/>
          <w:sz w:val="17"/>
          <w:szCs w:val="17"/>
          <w:color w:val="auto"/>
        </w:rPr>
      </w:pPr>
      <w:r>
        <w:rPr>
          <w:rFonts w:ascii="Arial" w:cs="Arial" w:eastAsia="Arial" w:hAnsi="Arial"/>
          <w:sz w:val="17"/>
          <w:szCs w:val="17"/>
          <w:color w:val="auto"/>
        </w:rPr>
        <w:t>If the Participant’s termination occurs within 30 days before the effective date of a Change in Control, then the Change in Control will be deemed to have occurred first and the Options outstanding shall be immediately exercisable in full by the Participant as of the date of the Change in Control and continue to full term.</w:t>
      </w:r>
    </w:p>
    <w:p>
      <w:pPr>
        <w:spacing w:after="0" w:line="1" w:lineRule="exact"/>
        <w:rPr>
          <w:rFonts w:ascii="Arial" w:cs="Arial" w:eastAsia="Arial" w:hAnsi="Arial"/>
          <w:sz w:val="17"/>
          <w:szCs w:val="17"/>
          <w:color w:val="auto"/>
        </w:rPr>
      </w:pPr>
    </w:p>
    <w:p>
      <w:pPr>
        <w:ind w:left="700" w:right="340" w:hanging="437"/>
        <w:spacing w:after="0" w:line="246" w:lineRule="auto"/>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Option Agreement. </w:t>
      </w:r>
      <w:r>
        <w:rPr>
          <w:rFonts w:ascii="Arial" w:cs="Arial" w:eastAsia="Arial" w:hAnsi="Arial"/>
          <w:sz w:val="17"/>
          <w:szCs w:val="17"/>
          <w:color w:val="auto"/>
        </w:rPr>
        <w:t>Each Option granted hereunder shall be evidenced by an Award Agreement with the Company, which shall contain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provisions set forth herein and shall otherwise be consistent with the provisions of the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RESTRICTED STOCK UNITS.</w:t>
      </w:r>
    </w:p>
    <w:p>
      <w:pPr>
        <w:spacing w:after="0" w:line="1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Following the effective date of this Plan, each Director shall, (i) effective as of the date of such individual’s initial election or appointment to the Board, be granted 2,000 Restricted Stock Units; and (ii) shall also be granted annually 2,500 Restricted Stock Units. Each Restricted Stock Unit granted pursuant to this Section 7 shall be paid or settled by the issuance of one Share and shall have the terms and conditions described in this Section 7:</w:t>
      </w:r>
    </w:p>
    <w:p>
      <w:pPr>
        <w:spacing w:after="0" w:line="1" w:lineRule="exact"/>
        <w:rPr>
          <w:sz w:val="20"/>
          <w:szCs w:val="20"/>
          <w:color w:val="auto"/>
        </w:rPr>
      </w:pPr>
    </w:p>
    <w:p>
      <w:pPr>
        <w:ind w:left="700" w:right="120" w:hanging="437"/>
        <w:spacing w:after="0" w:line="238"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Effective Date of Annual Grant. </w:t>
      </w:r>
      <w:r>
        <w:rPr>
          <w:rFonts w:ascii="Arial" w:cs="Arial" w:eastAsia="Arial" w:hAnsi="Arial"/>
          <w:sz w:val="17"/>
          <w:szCs w:val="17"/>
          <w:color w:val="auto"/>
        </w:rPr>
        <w:t>In each Year, the effective date for the annual grant of restricted stock units to the Company’s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by the Compensation Committee of the Board (or any successor committee) shall be the date Restricted Stock Units are granted annually under (ii) of the first paragraph of this Section; provided that in any Year in which the Compensation Committee does not grant restricted stock units to any of the Company’s executive officers in connection with the annual compensation review process, then the effective date of the first restricted stock units granted by the Compensation Committee in such Year shall be the date such Restricted Stock Units are granted.</w:t>
      </w:r>
    </w:p>
    <w:p>
      <w:pPr>
        <w:spacing w:after="0" w:line="2" w:lineRule="exact"/>
        <w:rPr>
          <w:rFonts w:ascii="Arial" w:cs="Arial" w:eastAsia="Arial" w:hAnsi="Arial"/>
          <w:sz w:val="17"/>
          <w:szCs w:val="17"/>
          <w:color w:val="auto"/>
        </w:rPr>
      </w:pPr>
    </w:p>
    <w:p>
      <w:pPr>
        <w:jc w:val="both"/>
        <w:ind w:left="700" w:right="120" w:hanging="437"/>
        <w:spacing w:after="0" w:line="238"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Vesting and Settlement. </w:t>
      </w:r>
      <w:r>
        <w:rPr>
          <w:rFonts w:ascii="Arial" w:cs="Arial" w:eastAsia="Arial" w:hAnsi="Arial"/>
          <w:sz w:val="17"/>
          <w:szCs w:val="17"/>
          <w:color w:val="auto"/>
        </w:rPr>
        <w:t>Subject to Section 7(c) and subject to a Director’s election to defer the settlement of Restricted Stock Units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9, the shares covered by the Restricted Stock Units shall be paid or settled as soon as practicable after the fourth anniversary of the date of grant.</w:t>
      </w:r>
    </w:p>
    <w:p>
      <w:pPr>
        <w:spacing w:after="0" w:line="1" w:lineRule="exact"/>
        <w:rPr>
          <w:rFonts w:ascii="Arial" w:cs="Arial" w:eastAsia="Arial" w:hAnsi="Arial"/>
          <w:sz w:val="17"/>
          <w:szCs w:val="17"/>
          <w:color w:val="auto"/>
        </w:rPr>
      </w:pPr>
    </w:p>
    <w:p>
      <w:pPr>
        <w:jc w:val="both"/>
        <w:ind w:left="700" w:right="400" w:hanging="437"/>
        <w:spacing w:after="0" w:line="238"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In the event of a Change in Control, the provisions of Sections 7(b) and (d) shall not apply (except for Section 7(d)(iv),</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apply), any election by a Director to defer settlement of Restricted Stock Units pursuant to Section 9 shall be cancelled and any Restricted Stock Units outstanding under this Plan shall vest and be paid immediately.</w:t>
      </w:r>
    </w:p>
    <w:p>
      <w:pPr>
        <w:spacing w:after="0" w:line="1"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Service as a Director. </w:t>
      </w:r>
      <w:r>
        <w:rPr>
          <w:rFonts w:ascii="Arial" w:cs="Arial" w:eastAsia="Arial" w:hAnsi="Arial"/>
          <w:sz w:val="17"/>
          <w:szCs w:val="17"/>
          <w:color w:val="auto"/>
        </w:rPr>
        <w:t>The effect of a Participant’s termination of service as a member of the Board shall be as follows:</w:t>
      </w:r>
    </w:p>
    <w:p>
      <w:pPr>
        <w:jc w:val="both"/>
        <w:ind w:left="1100" w:right="80" w:hanging="397"/>
        <w:spacing w:after="0" w:line="238" w:lineRule="auto"/>
        <w:tabs>
          <w:tab w:leader="none" w:pos="1100"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All outstanding Restricted Stock Units held by the Participant shall continue to full term subject to the other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Plan, and shares shall be issued to such Participant’s heirs at such times and in such manner as if the Participant were still a member of the Board.</w:t>
      </w:r>
    </w:p>
    <w:p>
      <w:pPr>
        <w:spacing w:after="0" w:line="1" w:lineRule="exact"/>
        <w:rPr>
          <w:rFonts w:ascii="Arial" w:cs="Arial" w:eastAsia="Arial" w:hAnsi="Arial"/>
          <w:sz w:val="17"/>
          <w:szCs w:val="17"/>
          <w:color w:val="auto"/>
        </w:rPr>
      </w:pPr>
    </w:p>
    <w:p>
      <w:pPr>
        <w:ind w:left="1100" w:hanging="397"/>
        <w:spacing w:after="0" w:line="238" w:lineRule="auto"/>
        <w:tabs>
          <w:tab w:leader="none" w:pos="1100"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Permanent disability, termination after 8 years of service, or termination for reason of ineligibility to stand for reelection under the Company’s By-Laws. </w:t>
      </w:r>
      <w:r>
        <w:rPr>
          <w:rFonts w:ascii="Arial" w:cs="Arial" w:eastAsia="Arial" w:hAnsi="Arial"/>
          <w:sz w:val="17"/>
          <w:szCs w:val="17"/>
          <w:color w:val="auto"/>
        </w:rPr>
        <w:t>All outstanding Restricted Stock Units held by the Participant shall continue to full term subject to the other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this Plan, and shares shall be issued to such Participant at such times and in such manner as if the Participant were still a member of the Board.</w:t>
      </w:r>
    </w:p>
    <w:p>
      <w:pPr>
        <w:spacing w:after="0" w:line="1" w:lineRule="exact"/>
        <w:rPr>
          <w:rFonts w:ascii="Arial" w:cs="Arial" w:eastAsia="Arial" w:hAnsi="Arial"/>
          <w:sz w:val="17"/>
          <w:szCs w:val="17"/>
          <w:color w:val="auto"/>
        </w:rPr>
      </w:pPr>
    </w:p>
    <w:p>
      <w:pPr>
        <w:ind w:left="1100" w:right="160" w:hanging="397"/>
        <w:spacing w:after="0" w:line="238" w:lineRule="auto"/>
        <w:tabs>
          <w:tab w:leader="none" w:pos="1100"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For any termination other than those specified above, all outstanding Restricted Stock Units held by the Participant shall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and become void without any shares being issued, except as provided in Section 7(c).</w:t>
      </w:r>
    </w:p>
    <w:p>
      <w:pPr>
        <w:ind w:left="1100" w:right="340" w:hanging="397"/>
        <w:spacing w:after="0" w:line="238" w:lineRule="auto"/>
        <w:tabs>
          <w:tab w:leader="none" w:pos="11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If a Participant’s termination of service (other than for cause) occurs within 30 days of a Change in Control, then the Change in Control shall be deemed to have occurred first and the provisions of Section 7(c) shall apply.</w:t>
      </w:r>
    </w:p>
    <w:p>
      <w:pPr>
        <w:ind w:left="700" w:hanging="437"/>
        <w:spacing w:after="0" w:line="238"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Restricted Stock Unit Agreement. </w:t>
      </w:r>
      <w:r>
        <w:rPr>
          <w:rFonts w:ascii="Arial" w:cs="Arial" w:eastAsia="Arial" w:hAnsi="Arial"/>
          <w:sz w:val="17"/>
          <w:szCs w:val="17"/>
          <w:color w:val="auto"/>
        </w:rPr>
        <w:t>Each Restricted Stock Unit Award granted under this Section 7(a) shall be evidenced by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the Company, which shall contain the terms and conditions set forth herein and shall otherwise be consistent with the provisions of this Plan.</w:t>
      </w:r>
    </w:p>
    <w:p>
      <w:pPr>
        <w:spacing w:after="0" w:line="1" w:lineRule="exact"/>
        <w:rPr>
          <w:rFonts w:ascii="Arial" w:cs="Arial" w:eastAsia="Arial" w:hAnsi="Arial"/>
          <w:sz w:val="17"/>
          <w:szCs w:val="17"/>
          <w:color w:val="auto"/>
        </w:rPr>
      </w:pPr>
    </w:p>
    <w:p>
      <w:pPr>
        <w:ind w:left="700" w:right="160" w:hanging="437"/>
        <w:spacing w:after="0" w:line="242"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Right to Dividend Equivalents. </w:t>
      </w:r>
      <w:r>
        <w:rPr>
          <w:rFonts w:ascii="Arial" w:cs="Arial" w:eastAsia="Arial" w:hAnsi="Arial"/>
          <w:sz w:val="17"/>
          <w:szCs w:val="17"/>
          <w:color w:val="auto"/>
        </w:rPr>
        <w:t>Each recipient of Restricted Stock Units under this Plan shall have the right, during the period when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Units are outstanding and prior to the termination, forfeiture or payment or settlement thereof, to receive dividend equivalents equal to the amount or value of any cash or other distributions or dividends payable on the same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B-4 ]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00" w:right="200"/>
        <w:spacing w:after="0" w:line="238" w:lineRule="auto"/>
        <w:rPr>
          <w:sz w:val="20"/>
          <w:szCs w:val="20"/>
          <w:color w:val="auto"/>
        </w:rPr>
      </w:pPr>
      <w:r>
        <w:rPr>
          <w:rFonts w:ascii="Arial" w:cs="Arial" w:eastAsia="Arial" w:hAnsi="Arial"/>
          <w:sz w:val="17"/>
          <w:szCs w:val="17"/>
          <w:color w:val="auto"/>
        </w:rPr>
        <w:t>number of Shares. The Company shall accumulate dividend equivalents on each dividend payment date and, unless a Director has elected to defer receipt of such dividend equivalents pursuant to Section 9, pay such accumulated amounts without interest in December of each fiscal year, but no later than March 15 of the calendar year following the calendar year in which the related dividend is declared.</w:t>
      </w:r>
    </w:p>
    <w:p>
      <w:pPr>
        <w:spacing w:after="0" w:line="1" w:lineRule="exact"/>
        <w:rPr>
          <w:sz w:val="20"/>
          <w:szCs w:val="20"/>
          <w:color w:val="auto"/>
        </w:rPr>
      </w:pPr>
    </w:p>
    <w:p>
      <w:pPr>
        <w:ind w:left="700" w:right="160" w:hanging="437"/>
        <w:spacing w:after="0" w:line="277" w:lineRule="auto"/>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 stock certificate or certificates shall be registered and issued or other indicia of ownership of shares shall be issued,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or for the benefit of the holder of Restricted Stock Units and delivered to such holder as soon as practicable after such Restricted</w:t>
      </w:r>
    </w:p>
    <w:p>
      <w:pPr>
        <w:sectPr>
          <w:pgSz w:w="11900" w:h="16863" w:orient="portrait"/>
          <w:cols w:equalWidth="0" w:num="1">
            <w:col w:w="11420"/>
          </w:cols>
          <w:pgMar w:left="240" w:top="356" w:right="239" w:bottom="0" w:gutter="0" w:footer="0" w:header="0"/>
        </w:sectPr>
      </w:pPr>
    </w:p>
    <w:bookmarkStart w:id="41" w:name="page42"/>
    <w:bookmarkEnd w:id="41"/>
    <w:p>
      <w:pPr>
        <w:spacing w:after="0" w:line="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Stock Units have become payable or settleable in accordance with the terms of the Plan.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STOCK APPRECIATION RIGHTS (SARs).</w:t>
      </w:r>
    </w:p>
    <w:p>
      <w:pPr>
        <w:spacing w:after="0" w:line="19" w:lineRule="exact"/>
        <w:rPr>
          <w:sz w:val="20"/>
          <w:szCs w:val="20"/>
          <w:color w:val="auto"/>
        </w:rPr>
      </w:pPr>
    </w:p>
    <w:p>
      <w:pPr>
        <w:ind w:left="700" w:right="240" w:hanging="437"/>
        <w:spacing w:after="0" w:line="238"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SARs may be granted to Directors with such terms and conditions as the Administrator shall determine not inconsistent with the provisions of the Plan.</w:t>
      </w:r>
    </w:p>
    <w:p>
      <w:pPr>
        <w:ind w:left="700" w:hanging="437"/>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term of each SAR shall be fixed by the Administrator but shall not exceed 10 years.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DEFERRED COMPENSATION.</w:t>
      </w:r>
    </w:p>
    <w:p>
      <w:pPr>
        <w:spacing w:after="0" w:line="19" w:lineRule="exact"/>
        <w:rPr>
          <w:sz w:val="20"/>
          <w:szCs w:val="20"/>
          <w:color w:val="auto"/>
        </w:rPr>
      </w:pPr>
    </w:p>
    <w:p>
      <w:pPr>
        <w:ind w:left="700" w:right="60" w:hanging="437"/>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Deferral Election. </w:t>
      </w:r>
      <w:r>
        <w:rPr>
          <w:rFonts w:ascii="Arial" w:cs="Arial" w:eastAsia="Arial" w:hAnsi="Arial"/>
          <w:sz w:val="17"/>
          <w:szCs w:val="17"/>
          <w:color w:val="auto"/>
        </w:rPr>
        <w:t>Each Director may elect, with respect to any Year, that all or any percentage of his or her Eligible Compensation be deferred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 terms of this Plan.</w:t>
      </w:r>
    </w:p>
    <w:p>
      <w:pPr>
        <w:ind w:left="700" w:right="80" w:hanging="437"/>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Cash Compensation Investment Alternatives. </w:t>
      </w:r>
      <w:r>
        <w:rPr>
          <w:rFonts w:ascii="Arial" w:cs="Arial" w:eastAsia="Arial" w:hAnsi="Arial"/>
          <w:sz w:val="17"/>
          <w:szCs w:val="17"/>
          <w:color w:val="auto"/>
        </w:rPr>
        <w:t>Each Director may elect that his or her Deferred Cash Compensation for any Year be credited</w:t>
      </w:r>
      <w:r>
        <w:rPr>
          <w:rFonts w:ascii="Arial" w:cs="Arial" w:eastAsia="Arial" w:hAnsi="Arial"/>
          <w:sz w:val="17"/>
          <w:szCs w:val="17"/>
          <w:b w:val="1"/>
          <w:bCs w:val="1"/>
          <w:color w:val="auto"/>
        </w:rPr>
        <w:t xml:space="preserve"> </w:t>
      </w:r>
      <w:r>
        <w:rPr>
          <w:rFonts w:ascii="Arial" w:cs="Arial" w:eastAsia="Arial" w:hAnsi="Arial"/>
          <w:sz w:val="17"/>
          <w:szCs w:val="17"/>
          <w:color w:val="auto"/>
        </w:rPr>
        <w:t>to a Cash Account or a Stock Unit Account or to any combination thereof.</w:t>
      </w:r>
    </w:p>
    <w:p>
      <w:pPr>
        <w:ind w:left="1100" w:hanging="397"/>
        <w:spacing w:after="0" w:line="238" w:lineRule="auto"/>
        <w:tabs>
          <w:tab w:leader="none" w:pos="1100" w:val="left"/>
        </w:tabs>
        <w:numPr>
          <w:ilvl w:val="1"/>
          <w:numId w:val="82"/>
        </w:numPr>
        <w:rPr>
          <w:rFonts w:ascii="Arial" w:cs="Arial" w:eastAsia="Arial" w:hAnsi="Arial"/>
          <w:sz w:val="17"/>
          <w:szCs w:val="17"/>
          <w:color w:val="auto"/>
        </w:rPr>
      </w:pPr>
      <w:r>
        <w:rPr>
          <w:rFonts w:ascii="Arial" w:cs="Arial" w:eastAsia="Arial" w:hAnsi="Arial"/>
          <w:sz w:val="17"/>
          <w:szCs w:val="17"/>
          <w:i w:val="1"/>
          <w:iCs w:val="1"/>
          <w:color w:val="auto"/>
        </w:rPr>
        <w:t>Cash Accounts</w:t>
      </w:r>
      <w:r>
        <w:rPr>
          <w:rFonts w:ascii="Arial" w:cs="Arial" w:eastAsia="Arial" w:hAnsi="Arial"/>
          <w:sz w:val="17"/>
          <w:szCs w:val="17"/>
          <w:color w:val="auto"/>
        </w:rPr>
        <w:t>.</w:t>
      </w:r>
    </w:p>
    <w:p>
      <w:pPr>
        <w:ind w:left="1560" w:right="30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The Company shall establish and maintain, as appropriate, separate unfunded Cash Accounts for each Director who has elected that any portion of his or her Deferred Cash Compensation be credited to a Cash Account.</w:t>
      </w:r>
    </w:p>
    <w:p>
      <w:pPr>
        <w:jc w:val="both"/>
        <w:ind w:left="1560" w:right="18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1" w:lineRule="exact"/>
        <w:rPr>
          <w:rFonts w:ascii="Arial" w:cs="Arial" w:eastAsia="Arial" w:hAnsi="Arial"/>
          <w:sz w:val="17"/>
          <w:szCs w:val="17"/>
          <w:color w:val="auto"/>
        </w:rPr>
      </w:pPr>
    </w:p>
    <w:p>
      <w:pPr>
        <w:ind w:left="1560" w:right="8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G&amp;SR Committee for each Year.</w:t>
      </w:r>
    </w:p>
    <w:p>
      <w:pPr>
        <w:spacing w:after="0" w:line="2" w:lineRule="exact"/>
        <w:rPr>
          <w:rFonts w:ascii="Arial" w:cs="Arial" w:eastAsia="Arial" w:hAnsi="Arial"/>
          <w:sz w:val="17"/>
          <w:szCs w:val="17"/>
          <w:color w:val="auto"/>
        </w:rPr>
      </w:pPr>
    </w:p>
    <w:p>
      <w:pPr>
        <w:ind w:left="1100" w:hanging="397"/>
        <w:spacing w:after="0" w:line="238" w:lineRule="auto"/>
        <w:tabs>
          <w:tab w:leader="none" w:pos="1100" w:val="left"/>
        </w:tabs>
        <w:numPr>
          <w:ilvl w:val="1"/>
          <w:numId w:val="82"/>
        </w:numPr>
        <w:rPr>
          <w:rFonts w:ascii="Arial" w:cs="Arial" w:eastAsia="Arial" w:hAnsi="Arial"/>
          <w:sz w:val="17"/>
          <w:szCs w:val="17"/>
          <w:color w:val="auto"/>
        </w:rPr>
      </w:pPr>
      <w:r>
        <w:rPr>
          <w:rFonts w:ascii="Arial" w:cs="Arial" w:eastAsia="Arial" w:hAnsi="Arial"/>
          <w:sz w:val="17"/>
          <w:szCs w:val="17"/>
          <w:i w:val="1"/>
          <w:iCs w:val="1"/>
          <w:color w:val="auto"/>
        </w:rPr>
        <w:t>Stock Unit Accounts</w:t>
      </w:r>
      <w:r>
        <w:rPr>
          <w:rFonts w:ascii="Arial" w:cs="Arial" w:eastAsia="Arial" w:hAnsi="Arial"/>
          <w:sz w:val="17"/>
          <w:szCs w:val="17"/>
          <w:color w:val="auto"/>
        </w:rPr>
        <w:t>.</w:t>
      </w:r>
    </w:p>
    <w:p>
      <w:pPr>
        <w:ind w:left="1560" w:right="50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The Company shall establish and maintain, as appropriate, separate unfunded Stock Unit Accounts for each Director who has elected that any portion of his or her Deferred Cash Compensation be credited to a Stock Unit Account.</w:t>
      </w:r>
    </w:p>
    <w:p>
      <w:pPr>
        <w:ind w:left="1560" w:right="6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1" w:lineRule="exact"/>
        <w:rPr>
          <w:rFonts w:ascii="Arial" w:cs="Arial" w:eastAsia="Arial" w:hAnsi="Arial"/>
          <w:sz w:val="17"/>
          <w:szCs w:val="17"/>
          <w:color w:val="auto"/>
        </w:rPr>
      </w:pPr>
    </w:p>
    <w:p>
      <w:pPr>
        <w:ind w:left="1560" w:right="10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Restricted Stock Units</w:t>
      </w:r>
      <w:r>
        <w:rPr>
          <w:rFonts w:ascii="Arial" w:cs="Arial" w:eastAsia="Arial" w:hAnsi="Arial"/>
          <w:sz w:val="17"/>
          <w:szCs w:val="17"/>
          <w:color w:val="auto"/>
        </w:rPr>
        <w:t>. Each Director may elect to defer all or a portion of any Restricted Stock Unit Award.</w:t>
      </w:r>
    </w:p>
    <w:p>
      <w:pPr>
        <w:ind w:left="700" w:hanging="437"/>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Dividend Equivalents</w:t>
      </w:r>
      <w:r>
        <w:rPr>
          <w:rFonts w:ascii="Arial" w:cs="Arial" w:eastAsia="Arial" w:hAnsi="Arial"/>
          <w:sz w:val="17"/>
          <w:szCs w:val="17"/>
          <w:color w:val="auto"/>
        </w:rPr>
        <w:t>. Each Director may elect to defer all or a portion of any dividend equivalents paid on Restricted Stock Units.</w:t>
      </w:r>
    </w:p>
    <w:p>
      <w:pPr>
        <w:ind w:left="700" w:right="20" w:hanging="437"/>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Time of Election. </w:t>
      </w:r>
      <w:r>
        <w:rPr>
          <w:rFonts w:ascii="Arial" w:cs="Arial" w:eastAsia="Arial" w:hAnsi="Arial"/>
          <w:sz w:val="17"/>
          <w:szCs w:val="17"/>
          <w:color w:val="auto"/>
        </w:rPr>
        <w:t>An election to defer all or any portion of Eligible Compensation for any Year shall be made in writing in the form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Form”) prescribed by the Secretary. The Election Form shall contain the Participant’s elections as to the time of distribution of any compensation so deferred.</w:t>
      </w:r>
    </w:p>
    <w:p>
      <w:pPr>
        <w:spacing w:after="0" w:line="1" w:lineRule="exact"/>
        <w:rPr>
          <w:rFonts w:ascii="Arial" w:cs="Arial" w:eastAsia="Arial" w:hAnsi="Arial"/>
          <w:sz w:val="17"/>
          <w:szCs w:val="17"/>
          <w:color w:val="auto"/>
        </w:rPr>
      </w:pPr>
    </w:p>
    <w:p>
      <w:pPr>
        <w:ind w:left="1100" w:hanging="397"/>
        <w:spacing w:after="0" w:line="238" w:lineRule="auto"/>
        <w:tabs>
          <w:tab w:leader="none" w:pos="11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 Participant may elect that his or her Deferred Compensation be distributed at the time or times indicated below:</w:t>
      </w:r>
    </w:p>
    <w:p>
      <w:pPr>
        <w:ind w:left="156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Entire balance to be distributed immediately after Separation from Service for any reason other than death;</w:t>
      </w:r>
    </w:p>
    <w:p>
      <w:pPr>
        <w:ind w:left="1560" w:right="400" w:hanging="469"/>
        <w:spacing w:after="0" w:line="238"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Entire balance to be distributed a number of months, as specified by the Participant on the Election Form, after Separation from Service for any reason other than death, but not later than ten years following such Separation from Service;</w:t>
      </w:r>
    </w:p>
    <w:p>
      <w:pPr>
        <w:ind w:left="1560" w:hanging="469"/>
        <w:spacing w:after="0" w:line="242" w:lineRule="auto"/>
        <w:tabs>
          <w:tab w:leader="none" w:pos="156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Approximately equal monthly installments for a number of months, as specified by the Participant on the Election Form, commencing the month after Separation from Service for any reason other than death, provided that distribution shall be completed not later than ten years following such Separation from Service; or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B-5 ]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600" w:right="80" w:hanging="470"/>
        <w:spacing w:after="0" w:line="238" w:lineRule="auto"/>
        <w:tabs>
          <w:tab w:leader="none" w:pos="1600" w:val="left"/>
        </w:tabs>
        <w:numPr>
          <w:ilvl w:val="2"/>
          <w:numId w:val="83"/>
        </w:numPr>
        <w:rPr>
          <w:rFonts w:ascii="Arial" w:cs="Arial" w:eastAsia="Arial" w:hAnsi="Arial"/>
          <w:sz w:val="17"/>
          <w:szCs w:val="17"/>
          <w:color w:val="auto"/>
        </w:rPr>
      </w:pPr>
      <w:r>
        <w:rPr>
          <w:rFonts w:ascii="Arial" w:cs="Arial" w:eastAsia="Arial" w:hAnsi="Arial"/>
          <w:sz w:val="17"/>
          <w:szCs w:val="17"/>
          <w:color w:val="auto"/>
        </w:rPr>
        <w:t>A percentage of the entire balance to be paid on certain dates, with such percentages and dates specified by the Participant on the Election Form, provided that distribution shall commence no earlier than Separation from Service for any reason other than death, and shall be completed not later than ten years following such Separation from Service.</w:t>
      </w:r>
    </w:p>
    <w:p>
      <w:pPr>
        <w:spacing w:after="0" w:line="1" w:lineRule="exact"/>
        <w:rPr>
          <w:rFonts w:ascii="Arial" w:cs="Arial" w:eastAsia="Arial" w:hAnsi="Arial"/>
          <w:sz w:val="17"/>
          <w:szCs w:val="17"/>
          <w:color w:val="auto"/>
        </w:rPr>
      </w:pPr>
    </w:p>
    <w:p>
      <w:pPr>
        <w:ind w:left="1140" w:right="160" w:hanging="437"/>
        <w:spacing w:after="0" w:line="238" w:lineRule="auto"/>
        <w:tabs>
          <w:tab w:leader="none" w:pos="11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 Participant may revoke an election as to the time of distribution and substitute a new election therefore by submitting an Election Form to the Secretary in accordance with the following criteria:</w:t>
      </w:r>
    </w:p>
    <w:p>
      <w:pPr>
        <w:ind w:left="1600" w:right="20" w:hanging="470"/>
        <w:spacing w:after="0" w:line="238" w:lineRule="auto"/>
        <w:tabs>
          <w:tab w:leader="none" w:pos="1600" w:val="left"/>
        </w:tabs>
        <w:numPr>
          <w:ilvl w:val="2"/>
          <w:numId w:val="84"/>
        </w:numPr>
        <w:rPr>
          <w:rFonts w:ascii="Arial" w:cs="Arial" w:eastAsia="Arial" w:hAnsi="Arial"/>
          <w:sz w:val="17"/>
          <w:szCs w:val="17"/>
          <w:color w:val="auto"/>
        </w:rPr>
      </w:pPr>
      <w:r>
        <w:rPr>
          <w:rFonts w:ascii="Arial" w:cs="Arial" w:eastAsia="Arial" w:hAnsi="Arial"/>
          <w:sz w:val="17"/>
          <w:szCs w:val="17"/>
          <w:color w:val="auto"/>
        </w:rPr>
        <w:t>Any new election regarding the time of distribution must result in a minimum of five (5) years’ lapse between the currently applicable distribution date and the new date of distribution (as determined in accordance with the Regulations under Section 409A of the Code); and (B) the election must be made at least twelve (12) months prior to the date of distribution that would otherwise have been applicable.</w:t>
      </w:r>
    </w:p>
    <w:p>
      <w:pPr>
        <w:spacing w:after="0" w:line="1" w:lineRule="exact"/>
        <w:rPr>
          <w:rFonts w:ascii="Arial" w:cs="Arial" w:eastAsia="Arial" w:hAnsi="Arial"/>
          <w:sz w:val="17"/>
          <w:szCs w:val="17"/>
          <w:color w:val="auto"/>
        </w:rPr>
      </w:pPr>
    </w:p>
    <w:p>
      <w:pPr>
        <w:ind w:left="1140" w:right="40" w:hanging="437"/>
        <w:spacing w:after="0" w:line="238" w:lineRule="auto"/>
        <w:tabs>
          <w:tab w:leader="none" w:pos="11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9(f). The time of election and the time of distribution shall comply in all respects with the applicable requirements of Section 409A of the Code.</w:t>
      </w:r>
    </w:p>
    <w:p>
      <w:pPr>
        <w:spacing w:after="0" w:line="2" w:lineRule="exact"/>
        <w:rPr>
          <w:rFonts w:ascii="Arial" w:cs="Arial" w:eastAsia="Arial" w:hAnsi="Arial"/>
          <w:sz w:val="17"/>
          <w:szCs w:val="17"/>
          <w:color w:val="auto"/>
        </w:rPr>
      </w:pPr>
    </w:p>
    <w:p>
      <w:pPr>
        <w:jc w:val="both"/>
        <w:ind w:left="700" w:hanging="437"/>
        <w:spacing w:after="0" w:line="238" w:lineRule="auto"/>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Irrevocability of Election</w:t>
      </w:r>
      <w:r>
        <w:rPr>
          <w:rFonts w:ascii="Arial" w:cs="Arial" w:eastAsia="Arial" w:hAnsi="Arial"/>
          <w:sz w:val="17"/>
          <w:szCs w:val="17"/>
          <w:color w:val="auto"/>
        </w:rPr>
        <w:t>. A Director’s election to defer all or any portion of his or her Eligible Compensation for any Year and a revocation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substitution of an election regarding the time of distribution shall be irrevocable upon receipt by the Secretary of a completed Election Form from the Director.</w:t>
      </w:r>
    </w:p>
    <w:p>
      <w:pPr>
        <w:spacing w:after="0" w:line="1" w:lineRule="exact"/>
        <w:rPr>
          <w:rFonts w:ascii="Arial" w:cs="Arial" w:eastAsia="Arial" w:hAnsi="Arial"/>
          <w:sz w:val="17"/>
          <w:szCs w:val="17"/>
          <w:color w:val="auto"/>
        </w:rPr>
      </w:pPr>
    </w:p>
    <w:p>
      <w:pPr>
        <w:ind w:left="700" w:hanging="437"/>
        <w:spacing w:after="0" w:line="238" w:lineRule="auto"/>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Form of Distributions</w:t>
      </w:r>
      <w:r>
        <w:rPr>
          <w:rFonts w:ascii="Arial" w:cs="Arial" w:eastAsia="Arial" w:hAnsi="Arial"/>
          <w:sz w:val="17"/>
          <w:szCs w:val="17"/>
          <w:color w:val="auto"/>
        </w:rPr>
        <w:t>.</w:t>
      </w:r>
    </w:p>
    <w:p>
      <w:pPr>
        <w:ind w:left="1140" w:hanging="437"/>
        <w:spacing w:after="0" w:line="238" w:lineRule="auto"/>
        <w:tabs>
          <w:tab w:leader="none" w:pos="11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Distributions of amounts credited to each Participant’s Cash Account shall be made in cash.</w:t>
      </w:r>
    </w:p>
    <w:p>
      <w:pPr>
        <w:ind w:left="1140" w:right="120" w:hanging="437"/>
        <w:spacing w:after="0" w:line="238" w:lineRule="auto"/>
        <w:tabs>
          <w:tab w:leader="none" w:pos="11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Distributions of units credited to each Participant’s Stock Unit Account shall be made by issuing to such Participant an equivalent number of Shares.</w:t>
      </w:r>
    </w:p>
    <w:p>
      <w:pPr>
        <w:ind w:left="1140" w:right="520" w:hanging="437"/>
        <w:spacing w:after="0" w:line="238" w:lineRule="auto"/>
        <w:tabs>
          <w:tab w:leader="none" w:pos="11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Distribution of Shares relating to vested Restricted Stock Units the Participant has elected to defer shall be made by issuing to such Participant the whole number of Shares attributable to such vested Restricted Stock Units.</w:t>
      </w:r>
    </w:p>
    <w:p>
      <w:pPr>
        <w:ind w:left="1140" w:right="460"/>
        <w:spacing w:after="0" w:line="238" w:lineRule="auto"/>
        <w:rPr>
          <w:rFonts w:ascii="Arial" w:cs="Arial" w:eastAsia="Arial" w:hAnsi="Arial"/>
          <w:sz w:val="17"/>
          <w:szCs w:val="17"/>
          <w:color w:val="auto"/>
        </w:rPr>
      </w:pPr>
      <w:r>
        <w:rPr>
          <w:rFonts w:ascii="Arial" w:cs="Arial" w:eastAsia="Arial" w:hAnsi="Arial"/>
          <w:sz w:val="17"/>
          <w:szCs w:val="17"/>
          <w:color w:val="auto"/>
        </w:rPr>
        <w:t>Notwithstanding the foregoing, no fractional shares will be issued and any fractional unit will be distributed by payment of cash in the amount represented by such fractional unit based on the Fair Market Value on the date preceding the date of payment.</w:t>
      </w:r>
    </w:p>
    <w:p>
      <w:pPr>
        <w:ind w:left="700" w:hanging="437"/>
        <w:spacing w:after="0" w:line="238" w:lineRule="auto"/>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Time of Distributions</w:t>
      </w:r>
      <w:r>
        <w:rPr>
          <w:rFonts w:ascii="Arial" w:cs="Arial" w:eastAsia="Arial" w:hAnsi="Arial"/>
          <w:sz w:val="17"/>
          <w:szCs w:val="17"/>
          <w:color w:val="auto"/>
        </w:rPr>
        <w:t>.</w:t>
      </w:r>
    </w:p>
    <w:p>
      <w:pPr>
        <w:jc w:val="both"/>
        <w:ind w:left="1140" w:right="40" w:hanging="437"/>
        <w:spacing w:after="0" w:line="238" w:lineRule="auto"/>
        <w:tabs>
          <w:tab w:leader="none" w:pos="1140" w:val="left"/>
        </w:tabs>
        <w:numPr>
          <w:ilvl w:val="1"/>
          <w:numId w:val="85"/>
        </w:numPr>
        <w:rPr>
          <w:rFonts w:ascii="Arial" w:cs="Arial" w:eastAsia="Arial" w:hAnsi="Arial"/>
          <w:sz w:val="17"/>
          <w:szCs w:val="17"/>
          <w:color w:val="auto"/>
        </w:rPr>
      </w:pPr>
      <w:r>
        <w:rPr>
          <w:rFonts w:ascii="Arial" w:cs="Arial" w:eastAsia="Arial" w:hAnsi="Arial"/>
          <w:sz w:val="17"/>
          <w:szCs w:val="17"/>
          <w:i w:val="1"/>
          <w:iCs w:val="1"/>
          <w:color w:val="auto"/>
        </w:rPr>
        <w:t>Normal Distributions</w:t>
      </w:r>
      <w:r>
        <w:rPr>
          <w:rFonts w:ascii="Arial" w:cs="Arial" w:eastAsia="Arial" w:hAnsi="Arial"/>
          <w:sz w:val="17"/>
          <w:szCs w:val="17"/>
          <w:color w:val="auto"/>
        </w:rPr>
        <w:t>. Except as otherwise hereinafter provided, distributions from a Participant’s Deferred Compensation Account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(Y) on the first day of the month following such Participant’s Separation from Service on the Board for any reason other than death, or (Z) at such later time as the Participant has elected on his or her Election Form in accordance with the terms of this Plan.</w:t>
      </w:r>
    </w:p>
    <w:p>
      <w:pPr>
        <w:spacing w:after="0" w:line="1" w:lineRule="exact"/>
        <w:rPr>
          <w:rFonts w:ascii="Arial" w:cs="Arial" w:eastAsia="Arial" w:hAnsi="Arial"/>
          <w:sz w:val="17"/>
          <w:szCs w:val="17"/>
          <w:color w:val="auto"/>
        </w:rPr>
      </w:pPr>
    </w:p>
    <w:p>
      <w:pPr>
        <w:ind w:left="1140" w:firstLine="234"/>
        <w:spacing w:after="0" w:line="238" w:lineRule="auto"/>
        <w:rPr>
          <w:rFonts w:ascii="Arial" w:cs="Arial" w:eastAsia="Arial" w:hAnsi="Arial"/>
          <w:sz w:val="17"/>
          <w:szCs w:val="17"/>
          <w:color w:val="auto"/>
        </w:rPr>
      </w:pPr>
      <w:r>
        <w:rPr>
          <w:rFonts w:ascii="Arial" w:cs="Arial" w:eastAsia="Arial" w:hAnsi="Arial"/>
          <w:sz w:val="17"/>
          <w:szCs w:val="17"/>
          <w:color w:val="auto"/>
        </w:rPr>
        <w:t>Notwithstanding the foregoing, no distribution may be made to a Specified Employee before the date that is six months after the date of Separation from Service or, if earlier, the date of death.</w:t>
      </w:r>
    </w:p>
    <w:p>
      <w:pPr>
        <w:ind w:left="1140" w:hanging="437"/>
        <w:spacing w:after="0"/>
        <w:tabs>
          <w:tab w:leader="none" w:pos="1140"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Early Distributions</w:t>
      </w:r>
      <w:r>
        <w:rPr>
          <w:rFonts w:ascii="Arial" w:cs="Arial" w:eastAsia="Arial" w:hAnsi="Arial"/>
          <w:sz w:val="16"/>
          <w:szCs w:val="16"/>
          <w:color w:val="auto"/>
        </w:rPr>
        <w:t>. An earlier distribution may be made upon a finding that the Participant is suffering from an Unforeseeable Emergency.</w:t>
      </w:r>
    </w:p>
    <w:p>
      <w:pPr>
        <w:sectPr>
          <w:pgSz w:w="11900" w:h="16868" w:orient="portrait"/>
          <w:cols w:equalWidth="0" w:num="1">
            <w:col w:w="11420"/>
          </w:cols>
          <w:pgMar w:left="240" w:top="143" w:right="239" w:bottom="0" w:gutter="0" w:footer="0" w:header="0"/>
        </w:sectPr>
      </w:pPr>
    </w:p>
    <w:bookmarkStart w:id="42" w:name="page43"/>
    <w:bookmarkEnd w:id="42"/>
    <w:p>
      <w:pPr>
        <w:jc w:val="both"/>
        <w:ind w:left="1140" w:right="440"/>
        <w:spacing w:after="0" w:line="238" w:lineRule="auto"/>
        <w:rPr>
          <w:sz w:val="20"/>
          <w:szCs w:val="20"/>
          <w:color w:val="auto"/>
        </w:rPr>
      </w:pPr>
      <w:r>
        <w:rPr>
          <w:rFonts w:ascii="Arial" w:cs="Arial" w:eastAsia="Arial" w:hAnsi="Arial"/>
          <w:sz w:val="17"/>
          <w:szCs w:val="17"/>
          <w:color w:val="auto"/>
        </w:rPr>
        <w:t>A withdrawal on account of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 w:lineRule="exact"/>
        <w:rPr>
          <w:sz w:val="20"/>
          <w:szCs w:val="20"/>
          <w:color w:val="auto"/>
        </w:rPr>
      </w:pPr>
    </w:p>
    <w:p>
      <w:pPr>
        <w:ind w:left="1140" w:right="160" w:firstLine="234"/>
        <w:spacing w:after="0" w:line="238" w:lineRule="auto"/>
        <w:rPr>
          <w:sz w:val="20"/>
          <w:szCs w:val="20"/>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2" w:lineRule="exact"/>
        <w:rPr>
          <w:sz w:val="20"/>
          <w:szCs w:val="20"/>
          <w:color w:val="auto"/>
        </w:rPr>
      </w:pPr>
    </w:p>
    <w:p>
      <w:pPr>
        <w:ind w:left="700" w:right="100" w:hanging="437"/>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Notwithstanding the foregoing, in the event of the death of a Participant prior to receipt by such Participant of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96" w:lineRule="exact"/>
        <w:rPr>
          <w:sz w:val="20"/>
          <w:szCs w:val="20"/>
          <w:color w:val="auto"/>
        </w:rPr>
      </w:pPr>
    </w:p>
    <w:p>
      <w:pPr>
        <w:ind w:left="80" w:hanging="76"/>
        <w:spacing w:after="0"/>
        <w:tabs>
          <w:tab w:leader="none" w:pos="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B-6 ] TEXAS INSTRUMENTS 2009 PROXY STATEMENT</w:t>
      </w:r>
    </w:p>
    <w:p>
      <w:pPr>
        <w:spacing w:after="0" w:line="200" w:lineRule="exact"/>
        <w:rPr>
          <w:rFonts w:ascii="Arial" w:cs="Arial" w:eastAsia="Arial" w:hAnsi="Arial"/>
          <w:sz w:val="13"/>
          <w:szCs w:val="13"/>
          <w:color w:val="auto"/>
        </w:rPr>
      </w:pPr>
    </w:p>
    <w:p>
      <w:pPr>
        <w:spacing w:after="0" w:line="346" w:lineRule="exact"/>
        <w:rPr>
          <w:rFonts w:ascii="Arial" w:cs="Arial" w:eastAsia="Arial" w:hAnsi="Arial"/>
          <w:sz w:val="13"/>
          <w:szCs w:val="13"/>
          <w:color w:val="auto"/>
        </w:rPr>
      </w:pPr>
    </w:p>
    <w:p>
      <w:pPr>
        <w:ind w:left="700" w:right="60" w:hanging="437"/>
        <w:spacing w:after="0" w:line="243" w:lineRule="auto"/>
        <w:tabs>
          <w:tab w:leader="none" w:pos="700" w:val="left"/>
        </w:tabs>
        <w:numPr>
          <w:ilvl w:val="1"/>
          <w:numId w:val="87"/>
        </w:numPr>
        <w:rPr>
          <w:rFonts w:ascii="Arial" w:cs="Arial" w:eastAsia="Arial" w:hAnsi="Arial"/>
          <w:sz w:val="17"/>
          <w:szCs w:val="17"/>
          <w:color w:val="auto"/>
        </w:rPr>
      </w:pPr>
      <w:r>
        <w:rPr>
          <w:rFonts w:ascii="Arial" w:cs="Arial" w:eastAsia="Arial" w:hAnsi="Arial"/>
          <w:sz w:val="17"/>
          <w:szCs w:val="17"/>
          <w:b w:val="1"/>
          <w:bCs w:val="1"/>
          <w:color w:val="auto"/>
        </w:rPr>
        <w:t>Certain Rights Reserved by the Company</w:t>
      </w:r>
      <w:r>
        <w:rPr>
          <w:rFonts w:ascii="Arial" w:cs="Arial" w:eastAsia="Arial" w:hAnsi="Arial"/>
          <w:sz w:val="17"/>
          <w:szCs w:val="17"/>
          <w:color w:val="auto"/>
        </w:rPr>
        <w:t>. In the event that, pursuant to Section 11, the Company suspends, modifies or terminates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the 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1" w:lineRule="exact"/>
        <w:rPr>
          <w:rFonts w:ascii="Arial" w:cs="Arial" w:eastAsia="Arial" w:hAnsi="Arial"/>
          <w:sz w:val="17"/>
          <w:szCs w:val="17"/>
          <w:color w:val="auto"/>
        </w:rPr>
      </w:pPr>
    </w:p>
    <w:p>
      <w:pPr>
        <w:ind w:left="700" w:right="40" w:hanging="437"/>
        <w:spacing w:after="0"/>
        <w:tabs>
          <w:tab w:leader="none" w:pos="700" w:val="left"/>
        </w:tabs>
        <w:numPr>
          <w:ilvl w:val="1"/>
          <w:numId w:val="87"/>
        </w:numPr>
        <w:rPr>
          <w:rFonts w:ascii="Arial" w:cs="Arial" w:eastAsia="Arial" w:hAnsi="Arial"/>
          <w:sz w:val="17"/>
          <w:szCs w:val="17"/>
          <w:color w:val="auto"/>
        </w:rPr>
      </w:pPr>
      <w:r>
        <w:rPr>
          <w:rFonts w:ascii="Arial" w:cs="Arial" w:eastAsia="Arial" w:hAnsi="Arial"/>
          <w:sz w:val="17"/>
          <w:szCs w:val="17"/>
          <w:b w:val="1"/>
          <w:bCs w:val="1"/>
          <w:color w:val="auto"/>
        </w:rPr>
        <w:t>Certain Affiliations</w:t>
      </w:r>
      <w:r>
        <w:rPr>
          <w:rFonts w:ascii="Arial" w:cs="Arial" w:eastAsia="Arial" w:hAnsi="Arial"/>
          <w:sz w:val="17"/>
          <w:szCs w:val="17"/>
          <w:color w:val="auto"/>
        </w:rPr>
        <w:t>. In the event that a Participant terminates his or her membership on the Board and becomes affiliated with a government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-1471295</wp:posOffset>
            </wp:positionV>
            <wp:extent cx="727329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OTHER STOCK-BASED AWARDS.</w:t>
      </w:r>
    </w:p>
    <w:p>
      <w:pPr>
        <w:spacing w:after="0" w:line="1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AMENDMENT AND TERMINATION.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Except to the extent prohibited by or inconsistent with applicable law:</w:t>
      </w:r>
    </w:p>
    <w:p>
      <w:pPr>
        <w:ind w:left="700" w:right="20" w:hanging="437"/>
        <w:spacing w:after="0" w:line="253" w:lineRule="auto"/>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Amendments to the Plan</w:t>
      </w:r>
      <w:r>
        <w:rPr>
          <w:rFonts w:ascii="Arial" w:cs="Arial" w:eastAsia="Arial" w:hAnsi="Arial"/>
          <w:sz w:val="16"/>
          <w:szCs w:val="16"/>
          <w:color w:val="auto"/>
        </w:rPr>
        <w:t>. The Board may amend, alter, suspend, discontinue or terminate the Plan, including, without limitation,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subject to Awards granted pursuant to Sections 6, 7 and 8,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comply with the listing requirements of the New York Stock Exchange or (ii) the consent of the affected Participants, if such action would adversely affect the rights of such Participants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amendment or alteration shall increase the aggregate number of shares that may be issued under the Plan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w:t>
      </w:r>
    </w:p>
    <w:p>
      <w:pPr>
        <w:spacing w:after="0" w:line="4" w:lineRule="exact"/>
        <w:rPr>
          <w:rFonts w:ascii="Arial" w:cs="Arial" w:eastAsia="Arial" w:hAnsi="Arial"/>
          <w:sz w:val="16"/>
          <w:szCs w:val="16"/>
          <w:color w:val="auto"/>
        </w:rPr>
      </w:pPr>
    </w:p>
    <w:p>
      <w:pPr>
        <w:ind w:left="700" w:right="180"/>
        <w:spacing w:after="0" w:line="238" w:lineRule="auto"/>
        <w:rPr>
          <w:rFonts w:ascii="Arial" w:cs="Arial" w:eastAsia="Arial" w:hAnsi="Arial"/>
          <w:sz w:val="16"/>
          <w:szCs w:val="16"/>
          <w:color w:val="auto"/>
        </w:rPr>
      </w:pPr>
      <w:r>
        <w:rPr>
          <w:rFonts w:ascii="Arial" w:cs="Arial" w:eastAsia="Arial" w:hAnsi="Arial"/>
          <w:sz w:val="17"/>
          <w:szCs w:val="17"/>
          <w:color w:val="auto"/>
        </w:rPr>
        <w:t>(y)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1" w:lineRule="exact"/>
        <w:rPr>
          <w:rFonts w:ascii="Arial" w:cs="Arial" w:eastAsia="Arial" w:hAnsi="Arial"/>
          <w:sz w:val="16"/>
          <w:szCs w:val="16"/>
          <w:color w:val="auto"/>
        </w:rPr>
      </w:pPr>
    </w:p>
    <w:p>
      <w:pPr>
        <w:ind w:left="700" w:right="340" w:hanging="437"/>
        <w:spacing w:after="0" w:line="246" w:lineRule="auto"/>
        <w:tabs>
          <w:tab w:leader="none" w:pos="70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Correction of Defects, Omissions and Inconsistencies</w:t>
      </w:r>
      <w:r>
        <w:rPr>
          <w:rFonts w:ascii="Arial" w:cs="Arial" w:eastAsia="Arial" w:hAnsi="Arial"/>
          <w:sz w:val="17"/>
          <w:szCs w:val="17"/>
          <w:color w:val="auto"/>
        </w:rPr>
        <w:t>. The Administrator may correct any defect, supply any omission, or reconcile any</w:t>
      </w:r>
      <w:r>
        <w:rPr>
          <w:rFonts w:ascii="Arial" w:cs="Arial" w:eastAsia="Arial" w:hAnsi="Arial"/>
          <w:sz w:val="17"/>
          <w:szCs w:val="17"/>
          <w:b w:val="1"/>
          <w:bCs w:val="1"/>
          <w:color w:val="auto"/>
        </w:rPr>
        <w:t xml:space="preserve"> </w:t>
      </w:r>
      <w:r>
        <w:rPr>
          <w:rFonts w:ascii="Arial" w:cs="Arial" w:eastAsia="Arial" w:hAnsi="Arial"/>
          <w:sz w:val="17"/>
          <w:szCs w:val="17"/>
          <w:color w:val="auto"/>
        </w:rPr>
        <w:t>inconsistency in the Plan or any Award in the manner and to the extent it shall deem desirable to carry the Plan into effect.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GENERAL PROVISIONS.</w:t>
      </w:r>
    </w:p>
    <w:p>
      <w:pPr>
        <w:spacing w:after="0" w:line="19" w:lineRule="exact"/>
        <w:rPr>
          <w:sz w:val="20"/>
          <w:szCs w:val="20"/>
          <w:color w:val="auto"/>
        </w:rPr>
      </w:pPr>
    </w:p>
    <w:p>
      <w:pPr>
        <w:ind w:left="700" w:right="100" w:hanging="437"/>
        <w:spacing w:after="0" w:line="242" w:lineRule="auto"/>
        <w:tabs>
          <w:tab w:leader="none" w:pos="70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No Rights of Stockholders</w:t>
      </w:r>
      <w:r>
        <w:rPr>
          <w:rFonts w:ascii="Arial" w:cs="Arial" w:eastAsia="Arial" w:hAnsi="Arial"/>
          <w:sz w:val="17"/>
          <w:szCs w:val="17"/>
          <w:color w:val="auto"/>
        </w:rPr>
        <w:t>. Neither a Participant nor a Participant’s legal representative shall be, or have any of the rights and privileges of, a</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of the Company in respect of any Shares issuable under the Plan in connection with any Award or Account, in whole or in part, unless and until certificates or other indicia of ownership of such shares shall have been issued.</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TEXAS INSTRUMENTS 2009 PROXY STATEMENT [ B-7 ]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left="700" w:right="400" w:hanging="437"/>
        <w:spacing w:after="0" w:line="246" w:lineRule="auto"/>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Limits of Transfer of Awards</w:t>
      </w:r>
      <w:r>
        <w:rPr>
          <w:rFonts w:ascii="Arial" w:cs="Arial" w:eastAsia="Arial" w:hAnsi="Arial"/>
          <w:sz w:val="17"/>
          <w:szCs w:val="17"/>
          <w:color w:val="auto"/>
        </w:rPr>
        <w:t>. No Award and no right under any such Award, shall be assignable, alienable, saleable or transferable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1" w:lineRule="exact"/>
        <w:rPr>
          <w:rFonts w:ascii="Arial" w:cs="Arial" w:eastAsia="Arial" w:hAnsi="Arial"/>
          <w:sz w:val="17"/>
          <w:szCs w:val="17"/>
          <w:color w:val="auto"/>
        </w:rPr>
      </w:pPr>
    </w:p>
    <w:p>
      <w:pPr>
        <w:ind w:left="700" w:right="120" w:hanging="437"/>
        <w:spacing w:after="0" w:line="238" w:lineRule="auto"/>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No Limit on Other Compensation Arrangements</w:t>
      </w:r>
      <w:r>
        <w:rPr>
          <w:rFonts w:ascii="Arial" w:cs="Arial" w:eastAsia="Arial" w:hAnsi="Arial"/>
          <w:sz w:val="17"/>
          <w:szCs w:val="17"/>
          <w:color w:val="auto"/>
        </w:rPr>
        <w:t>. Nothing contained in the Plan shall prevent the Company from adopting or continuing in</w:t>
      </w:r>
      <w:r>
        <w:rPr>
          <w:rFonts w:ascii="Arial" w:cs="Arial" w:eastAsia="Arial" w:hAnsi="Arial"/>
          <w:sz w:val="17"/>
          <w:szCs w:val="17"/>
          <w:b w:val="1"/>
          <w:bCs w:val="1"/>
          <w:color w:val="auto"/>
        </w:rPr>
        <w:t xml:space="preserve"> </w:t>
      </w:r>
      <w:r>
        <w:rPr>
          <w:rFonts w:ascii="Arial" w:cs="Arial" w:eastAsia="Arial" w:hAnsi="Arial"/>
          <w:sz w:val="17"/>
          <w:szCs w:val="17"/>
          <w:color w:val="auto"/>
        </w:rPr>
        <w:t>effect other or additional compensation arrangements, and such arrangements may be either generally applicable or applicable only in specific cases.</w:t>
      </w:r>
    </w:p>
    <w:p>
      <w:pPr>
        <w:spacing w:after="0" w:line="1" w:lineRule="exact"/>
        <w:rPr>
          <w:rFonts w:ascii="Arial" w:cs="Arial" w:eastAsia="Arial" w:hAnsi="Arial"/>
          <w:sz w:val="17"/>
          <w:szCs w:val="17"/>
          <w:color w:val="auto"/>
        </w:rPr>
      </w:pPr>
    </w:p>
    <w:p>
      <w:pPr>
        <w:ind w:left="700" w:right="480" w:hanging="437"/>
        <w:spacing w:after="0" w:line="238" w:lineRule="auto"/>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The validity, construction, and effect of the Plan and any rules and regulations relating to the Plan shall be determined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laws of the State of Delaware without giving effect to the principles of conflict of laws thereof.</w:t>
      </w:r>
    </w:p>
    <w:p>
      <w:pPr>
        <w:ind w:left="700" w:right="180" w:hanging="437"/>
        <w:spacing w:after="0" w:line="265" w:lineRule="auto"/>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w:t>
      </w:r>
    </w:p>
    <w:p>
      <w:pPr>
        <w:sectPr>
          <w:pgSz w:w="11900" w:h="16838" w:orient="portrait"/>
          <w:cols w:equalWidth="0" w:num="1">
            <w:col w:w="11420"/>
          </w:cols>
          <w:pgMar w:left="240" w:top="142" w:right="239" w:bottom="0" w:gutter="0" w:footer="0" w:header="0"/>
        </w:sectPr>
      </w:pPr>
    </w:p>
    <w:bookmarkStart w:id="43" w:name="page44"/>
    <w:bookmarkEnd w:id="43"/>
    <w:p>
      <w:pPr>
        <w:ind w:left="700" w:right="660"/>
        <w:spacing w:after="0" w:line="253" w:lineRule="auto"/>
        <w:rPr>
          <w:sz w:val="20"/>
          <w:szCs w:val="20"/>
          <w:color w:val="auto"/>
        </w:rPr>
      </w:pPr>
      <w:r>
        <w:rPr>
          <w:rFonts w:ascii="Arial" w:cs="Arial" w:eastAsia="Arial" w:hAnsi="Arial"/>
          <w:sz w:val="16"/>
          <w:szCs w:val="16"/>
          <w:color w:val="auto"/>
        </w:rPr>
        <w:t>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 w:lineRule="exact"/>
        <w:rPr>
          <w:sz w:val="20"/>
          <w:szCs w:val="20"/>
          <w:color w:val="auto"/>
        </w:rPr>
      </w:pPr>
    </w:p>
    <w:p>
      <w:pPr>
        <w:ind w:left="700" w:right="380" w:hanging="437"/>
        <w:spacing w:after="0" w:line="238"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No Trust or Fund Created</w:t>
      </w:r>
      <w:r>
        <w:rPr>
          <w:rFonts w:ascii="Arial" w:cs="Arial" w:eastAsia="Arial" w:hAnsi="Arial"/>
          <w:sz w:val="17"/>
          <w:szCs w:val="17"/>
          <w:color w:val="auto"/>
        </w:rPr>
        <w:t>. Neither the Plan nor any Award or Account shall create or be construed to create a trust or separate fund of any</w:t>
      </w:r>
      <w:r>
        <w:rPr>
          <w:rFonts w:ascii="Arial" w:cs="Arial" w:eastAsia="Arial" w:hAnsi="Arial"/>
          <w:sz w:val="17"/>
          <w:szCs w:val="17"/>
          <w:b w:val="1"/>
          <w:bCs w:val="1"/>
          <w:color w:val="auto"/>
        </w:rPr>
        <w:t xml:space="preserve"> </w:t>
      </w:r>
      <w:r>
        <w:rPr>
          <w:rFonts w:ascii="Arial" w:cs="Arial" w:eastAsia="Arial" w:hAnsi="Arial"/>
          <w:sz w:val="17"/>
          <w:szCs w:val="17"/>
          <w:color w:val="auto"/>
        </w:rPr>
        <w:t>kind or a 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1" w:lineRule="exact"/>
        <w:rPr>
          <w:rFonts w:ascii="Arial" w:cs="Arial" w:eastAsia="Arial" w:hAnsi="Arial"/>
          <w:sz w:val="17"/>
          <w:szCs w:val="17"/>
          <w:color w:val="auto"/>
        </w:rPr>
      </w:pPr>
    </w:p>
    <w:p>
      <w:pPr>
        <w:ind w:left="700" w:right="180" w:hanging="437"/>
        <w:spacing w:after="0" w:line="238"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Accounts Unsecured</w:t>
      </w:r>
      <w:r>
        <w:rPr>
          <w:rFonts w:ascii="Arial" w:cs="Arial" w:eastAsia="Arial" w:hAnsi="Arial"/>
          <w:sz w:val="17"/>
          <w:szCs w:val="17"/>
          <w:color w:val="auto"/>
        </w:rPr>
        <w:t>. Until distributed, all amounts credited to any Cash Accounts or represented by units credited to any Stock Unit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1" w:lineRule="exact"/>
        <w:rPr>
          <w:rFonts w:ascii="Arial" w:cs="Arial" w:eastAsia="Arial" w:hAnsi="Arial"/>
          <w:sz w:val="17"/>
          <w:szCs w:val="17"/>
          <w:color w:val="auto"/>
        </w:rPr>
      </w:pPr>
    </w:p>
    <w:p>
      <w:pPr>
        <w:ind w:left="700" w:right="200" w:hanging="437"/>
        <w:spacing w:after="0" w:line="238"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Withholding</w:t>
      </w:r>
      <w:r>
        <w:rPr>
          <w:rFonts w:ascii="Arial" w:cs="Arial" w:eastAsia="Arial" w:hAnsi="Arial"/>
          <w:sz w:val="17"/>
          <w:szCs w:val="17"/>
          <w:color w:val="auto"/>
        </w:rPr>
        <w:t>. The Company shall be authorized to withhold from any Awards granted or any transfer made under any Award or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or 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1" w:lineRule="exact"/>
        <w:rPr>
          <w:rFonts w:ascii="Arial" w:cs="Arial" w:eastAsia="Arial" w:hAnsi="Arial"/>
          <w:sz w:val="17"/>
          <w:szCs w:val="17"/>
          <w:color w:val="auto"/>
        </w:rPr>
      </w:pPr>
    </w:p>
    <w:p>
      <w:pPr>
        <w:ind w:left="700" w:right="220" w:hanging="437"/>
        <w:spacing w:after="0" w:line="238"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No Right to Continued Board Membership</w:t>
      </w:r>
      <w:r>
        <w:rPr>
          <w:rFonts w:ascii="Arial" w:cs="Arial" w:eastAsia="Arial" w:hAnsi="Arial"/>
          <w:sz w:val="17"/>
          <w:szCs w:val="17"/>
          <w:color w:val="auto"/>
        </w:rPr>
        <w:t>. The grant of an Award or establishment of an Account shall not be construed as giving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1" w:lineRule="exact"/>
        <w:rPr>
          <w:rFonts w:ascii="Arial" w:cs="Arial" w:eastAsia="Arial" w:hAnsi="Arial"/>
          <w:sz w:val="17"/>
          <w:szCs w:val="17"/>
          <w:color w:val="auto"/>
        </w:rPr>
      </w:pPr>
    </w:p>
    <w:p>
      <w:pPr>
        <w:ind w:left="700" w:right="460" w:hanging="437"/>
        <w:spacing w:after="0" w:line="246"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409A Compliance</w:t>
      </w:r>
      <w:r>
        <w:rPr>
          <w:rFonts w:ascii="Arial" w:cs="Arial" w:eastAsia="Arial" w:hAnsi="Arial"/>
          <w:sz w:val="17"/>
          <w:szCs w:val="17"/>
          <w:color w:val="auto"/>
        </w:rPr>
        <w:t>. The Company makes no representations or covenants that any Award granted or Deferred Compensation arrangement</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under the Plan will comply with Section 409A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EFFECTIVE DATE OF THE PLAN.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Plan shall be effective as of the date of its approval by the stockholders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TERM OF THE PLAN.</w:t>
      </w:r>
    </w:p>
    <w:p>
      <w:pPr>
        <w:spacing w:after="0" w:line="19"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11 to amend, alter, adjust, suspend, discontinue, or terminate any such Award or Account, or to waive any conditions or rights thereunder, shall extend beyond such date.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 B-8 ] TEXAS INSTRUMENTS 2009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7329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357505</wp:posOffset>
            </wp:positionV>
            <wp:extent cx="1200785" cy="4603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785" cy="460375"/>
                    </a:xfrm>
                    <a:prstGeom prst="rect">
                      <a:avLst/>
                    </a:prstGeom>
                    <a:noFill/>
                  </pic:spPr>
                </pic:pic>
              </a:graphicData>
            </a:graphic>
          </wp:anchor>
        </w:drawing>
      </w:r>
    </w:p>
    <w:p>
      <w:pPr>
        <w:sectPr>
          <w:pgSz w:w="11900" w:h="16838" w:orient="portrait"/>
          <w:cols w:equalWidth="0" w:num="1">
            <w:col w:w="11520"/>
          </w:cols>
          <w:pgMar w:left="240" w:top="143"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ATTN: JANE NAHRA</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7839 CHURCHILL WAY</w:t>
      </w:r>
    </w:p>
    <w:p>
      <w:pPr>
        <w:ind w:left="520"/>
        <w:spacing w:after="0"/>
        <w:rPr>
          <w:sz w:val="20"/>
          <w:szCs w:val="20"/>
          <w:color w:val="auto"/>
        </w:rPr>
      </w:pPr>
      <w:r>
        <w:rPr>
          <w:rFonts w:ascii="Arial" w:cs="Arial" w:eastAsia="Arial" w:hAnsi="Arial"/>
          <w:sz w:val="14"/>
          <w:szCs w:val="14"/>
          <w:b w:val="1"/>
          <w:bCs w:val="1"/>
          <w:i w:val="1"/>
          <w:iCs w:val="1"/>
          <w:color w:val="auto"/>
        </w:rPr>
        <w:t>MS 3999</w:t>
      </w:r>
    </w:p>
    <w:p>
      <w:pPr>
        <w:ind w:left="520"/>
        <w:spacing w:after="0"/>
        <w:rPr>
          <w:sz w:val="20"/>
          <w:szCs w:val="20"/>
          <w:color w:val="auto"/>
        </w:rPr>
      </w:pPr>
      <w:r>
        <w:rPr>
          <w:rFonts w:ascii="Arial" w:cs="Arial" w:eastAsia="Arial" w:hAnsi="Arial"/>
          <w:sz w:val="14"/>
          <w:szCs w:val="14"/>
          <w:b w:val="1"/>
          <w:bCs w:val="1"/>
          <w:i w:val="1"/>
          <w:iCs w:val="1"/>
          <w:color w:val="auto"/>
        </w:rPr>
        <w:t>DALLAS, TX 75251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620"/>
        <w:spacing w:after="0" w:line="261" w:lineRule="auto"/>
        <w:rPr>
          <w:sz w:val="20"/>
          <w:szCs w:val="20"/>
          <w:color w:val="auto"/>
        </w:rPr>
      </w:pPr>
      <w:r>
        <w:rPr>
          <w:rFonts w:ascii="Arial" w:cs="Arial" w:eastAsia="Arial" w:hAnsi="Arial"/>
          <w:sz w:val="14"/>
          <w:szCs w:val="14"/>
          <w:b w:val="1"/>
          <w:bCs w:val="1"/>
          <w:color w:val="auto"/>
        </w:rPr>
        <w:t xml:space="preserve">For registered shares, your proxy must be received by 11:59 P.M. (Eastern Daylight Time) on </w:t>
      </w:r>
      <w:r>
        <w:rPr>
          <w:rFonts w:ascii="Arial" w:cs="Arial" w:eastAsia="Arial" w:hAnsi="Arial"/>
          <w:sz w:val="14"/>
          <w:szCs w:val="14"/>
          <w:b w:val="1"/>
          <w:bCs w:val="1"/>
          <w:i w:val="1"/>
          <w:iCs w:val="1"/>
          <w:color w:val="auto"/>
        </w:rPr>
        <w:t>April 15, 2009</w:t>
      </w:r>
      <w:r>
        <w:rPr>
          <w:rFonts w:ascii="Arial" w:cs="Arial" w:eastAsia="Arial" w:hAnsi="Arial"/>
          <w:sz w:val="14"/>
          <w:szCs w:val="14"/>
          <w:b w:val="1"/>
          <w:bCs w:val="1"/>
          <w:color w:val="auto"/>
        </w:rPr>
        <w:t>.</w:t>
      </w:r>
    </w:p>
    <w:p>
      <w:pPr>
        <w:spacing w:after="0" w:line="116" w:lineRule="exact"/>
        <w:rPr>
          <w:sz w:val="20"/>
          <w:szCs w:val="20"/>
          <w:color w:val="auto"/>
        </w:rPr>
      </w:pPr>
    </w:p>
    <w:p>
      <w:pPr>
        <w:jc w:val="both"/>
        <w:ind w:right="620"/>
        <w:spacing w:after="0" w:line="261" w:lineRule="auto"/>
        <w:rPr>
          <w:sz w:val="20"/>
          <w:szCs w:val="20"/>
          <w:color w:val="auto"/>
        </w:rPr>
      </w:pPr>
      <w:r>
        <w:rPr>
          <w:rFonts w:ascii="Arial" w:cs="Arial" w:eastAsia="Arial" w:hAnsi="Arial"/>
          <w:sz w:val="14"/>
          <w:szCs w:val="14"/>
          <w:b w:val="1"/>
          <w:bCs w:val="1"/>
          <w:color w:val="auto"/>
        </w:rPr>
        <w:t xml:space="preserve">For shares allocable to a benefit plan account, your proxy must be received by 11:59 P.M. (Eastern Daylight Time) on </w:t>
      </w:r>
      <w:r>
        <w:rPr>
          <w:rFonts w:ascii="Arial" w:cs="Arial" w:eastAsia="Arial" w:hAnsi="Arial"/>
          <w:sz w:val="14"/>
          <w:szCs w:val="14"/>
          <w:b w:val="1"/>
          <w:bCs w:val="1"/>
          <w:i w:val="1"/>
          <w:iCs w:val="1"/>
          <w:color w:val="auto"/>
        </w:rPr>
        <w:t>April 13, 2009</w:t>
      </w:r>
      <w:r>
        <w:rPr>
          <w:rFonts w:ascii="Arial" w:cs="Arial" w:eastAsia="Arial" w:hAnsi="Arial"/>
          <w:sz w:val="14"/>
          <w:szCs w:val="14"/>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0" w:lineRule="exact"/>
        <w:rPr>
          <w:sz w:val="20"/>
          <w:szCs w:val="20"/>
          <w:color w:val="auto"/>
        </w:rPr>
      </w:pPr>
    </w:p>
    <w:p>
      <w:pPr>
        <w:jc w:val="both"/>
        <w:ind w:right="62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until 11:59 P.M. Eastern Daylight Time on April 13, 2009 (for shares allocable to a benefit plan account) or April 15, 2009 (for registered shares). Have your proxy card in hand when you access the web site and follow the instructions to obtain your records and to create an electronic voting instruction form.</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0" w:lineRule="exact"/>
        <w:rPr>
          <w:sz w:val="20"/>
          <w:szCs w:val="20"/>
          <w:color w:val="auto"/>
        </w:rPr>
      </w:pPr>
    </w:p>
    <w:p>
      <w:pPr>
        <w:jc w:val="both"/>
        <w:ind w:right="620"/>
        <w:spacing w:after="0" w:line="234" w:lineRule="auto"/>
        <w:rPr>
          <w:sz w:val="20"/>
          <w:szCs w:val="20"/>
          <w:color w:val="auto"/>
        </w:rPr>
      </w:pPr>
      <w:r>
        <w:rPr>
          <w:rFonts w:ascii="Arial" w:cs="Arial" w:eastAsia="Arial" w:hAnsi="Arial"/>
          <w:sz w:val="14"/>
          <w:szCs w:val="14"/>
          <w:color w:val="auto"/>
        </w:rPr>
        <w:t>If you would like to reduce the costs incurred by Texas Instruments Incorporated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0" w:lineRule="exact"/>
        <w:rPr>
          <w:sz w:val="20"/>
          <w:szCs w:val="20"/>
          <w:color w:val="auto"/>
        </w:rPr>
      </w:pPr>
    </w:p>
    <w:p>
      <w:pPr>
        <w:jc w:val="both"/>
        <w:ind w:right="620"/>
        <w:spacing w:after="0" w:line="235" w:lineRule="auto"/>
        <w:rPr>
          <w:sz w:val="20"/>
          <w:szCs w:val="20"/>
          <w:color w:val="auto"/>
        </w:rPr>
      </w:pPr>
      <w:r>
        <w:rPr>
          <w:rFonts w:ascii="Arial" w:cs="Arial" w:eastAsia="Arial" w:hAnsi="Arial"/>
          <w:sz w:val="14"/>
          <w:szCs w:val="14"/>
          <w:color w:val="auto"/>
        </w:rPr>
        <w:t>Use any touch-tone telephone to transmit your voting instructions until 11:59 P.M. Eastern Time on April 13, 2009 (for shares allocable to a benefit plan account) or April 15, 2009 (for registered shares). Have your proxy card in hand when you call and then follow the instructions.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0" w:lineRule="exact"/>
        <w:rPr>
          <w:sz w:val="20"/>
          <w:szCs w:val="20"/>
          <w:color w:val="auto"/>
        </w:rPr>
      </w:pPr>
    </w:p>
    <w:p>
      <w:pPr>
        <w:jc w:val="both"/>
        <w:ind w:right="620"/>
        <w:spacing w:after="0" w:line="236"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Texas Instruments Incorporated, c/o Broadridge, 51 Mercedes Way, Edgewood, NY 11717.</w:t>
      </w:r>
    </w:p>
    <w:p>
      <w:pPr>
        <w:spacing w:after="0" w:line="200" w:lineRule="exact"/>
        <w:rPr>
          <w:sz w:val="20"/>
          <w:szCs w:val="20"/>
          <w:color w:val="auto"/>
        </w:rPr>
      </w:pPr>
    </w:p>
    <w:p>
      <w:pPr>
        <w:sectPr>
          <w:pgSz w:w="11900" w:h="16838" w:orient="portrait"/>
          <w:cols w:equalWidth="0" w:num="2">
            <w:col w:w="5040" w:space="720"/>
            <w:col w:w="5760"/>
          </w:cols>
          <w:pgMar w:left="240" w:top="143"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00"/>
        <w:spacing w:after="0" w:line="250" w:lineRule="auto"/>
        <w:rPr>
          <w:sz w:val="20"/>
          <w:szCs w:val="20"/>
          <w:color w:val="auto"/>
        </w:rPr>
      </w:pPr>
      <w:r>
        <w:rPr>
          <w:rFonts w:ascii="Arial" w:cs="Arial" w:eastAsia="Arial" w:hAnsi="Arial"/>
          <w:sz w:val="14"/>
          <w:szCs w:val="14"/>
          <w:color w:val="auto"/>
        </w:rPr>
        <w:t>TO VOTE, MARK BLOCKS BELOW IN BLUE OR BLACK INK AS FOLLOWS:                          TXINS1                   KEEP THIS PORTION FOR YOUR RECORDS DETACH AND RETURN THIS PORTION ONLY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7306945" cy="1193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6945" cy="1193800"/>
                    </a:xfrm>
                    <a:prstGeom prst="rect">
                      <a:avLst/>
                    </a:prstGeom>
                    <a:noFill/>
                  </pic:spPr>
                </pic:pic>
              </a:graphicData>
            </a:graphic>
          </wp:anchor>
        </w:drawing>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TEXAS INSTRUMENTS INCORPORATED</w:t>
      </w:r>
    </w:p>
    <w:p>
      <w:pPr>
        <w:sectPr>
          <w:pgSz w:w="11900" w:h="16838" w:orient="portrait"/>
          <w:cols w:equalWidth="0" w:num="1">
            <w:col w:w="11520"/>
          </w:cols>
          <w:pgMar w:left="240" w:top="143" w:right="139" w:bottom="0" w:gutter="0" w:footer="0" w:header="0"/>
          <w:type w:val="continuous"/>
        </w:sectPr>
      </w:pP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Election of Directors</w:t>
      </w:r>
    </w:p>
    <w:p>
      <w:pPr>
        <w:spacing w:after="0" w:line="10" w:lineRule="exact"/>
        <w:rPr>
          <w:sz w:val="20"/>
          <w:szCs w:val="20"/>
          <w:color w:val="auto"/>
        </w:rPr>
      </w:pPr>
    </w:p>
    <w:p>
      <w:pPr>
        <w:ind w:left="260" w:right="1700"/>
        <w:spacing w:after="0" w:line="274" w:lineRule="auto"/>
        <w:rPr>
          <w:sz w:val="20"/>
          <w:szCs w:val="20"/>
          <w:color w:val="auto"/>
        </w:rPr>
      </w:pPr>
      <w:r>
        <w:rPr>
          <w:rFonts w:ascii="Arial" w:cs="Arial" w:eastAsia="Arial" w:hAnsi="Arial"/>
          <w:sz w:val="13"/>
          <w:szCs w:val="13"/>
          <w:color w:val="auto"/>
        </w:rPr>
        <w:t xml:space="preserve">The board of directors of Texas Instruments Incorporated recommends a vote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w:t>
      </w:r>
      <w:r>
        <w:rPr>
          <w:rFonts w:ascii="Arial" w:cs="Arial" w:eastAsia="Arial" w:hAnsi="Arial"/>
          <w:sz w:val="13"/>
          <w:szCs w:val="13"/>
          <w:color w:val="auto"/>
        </w:rPr>
        <w:t xml:space="preserve"> each of the nominees for director</w:t>
      </w:r>
    </w:p>
    <w:p>
      <w:pPr>
        <w:spacing w:after="0" w:line="70"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1. Election of Directors - </w:t>
            </w:r>
            <w:r>
              <w:rPr>
                <w:rFonts w:ascii="Arial" w:cs="Arial" w:eastAsia="Arial" w:hAnsi="Arial"/>
                <w:sz w:val="14"/>
                <w:szCs w:val="14"/>
                <w:i w:val="1"/>
                <w:iCs w:val="1"/>
                <w:color w:val="auto"/>
              </w:rPr>
              <w:t>Nominees:</w:t>
            </w:r>
          </w:p>
        </w:tc>
        <w:tc>
          <w:tcPr>
            <w:tcW w:w="1140" w:type="dxa"/>
            <w:vAlign w:val="bottom"/>
          </w:tcPr>
          <w:p>
            <w:pPr>
              <w:jc w:val="center"/>
              <w:ind w:left="601"/>
              <w:spacing w:after="0"/>
              <w:rPr>
                <w:sz w:val="20"/>
                <w:szCs w:val="20"/>
                <w:color w:val="auto"/>
              </w:rPr>
            </w:pPr>
            <w:r>
              <w:rPr>
                <w:rFonts w:ascii="Arial" w:cs="Arial" w:eastAsia="Arial" w:hAnsi="Arial"/>
                <w:sz w:val="14"/>
                <w:szCs w:val="14"/>
                <w:b w:val="1"/>
                <w:bCs w:val="1"/>
                <w:color w:val="auto"/>
                <w:w w:val="97"/>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600" w:type="dxa"/>
            <w:vAlign w:val="bottom"/>
          </w:tcPr>
          <w:p>
            <w:pPr>
              <w:jc w:val="center"/>
              <w:ind w:left="21"/>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146"/>
        </w:trPr>
        <w:tc>
          <w:tcPr>
            <w:tcW w:w="3020" w:type="dxa"/>
            <w:vAlign w:val="bottom"/>
            <w:gridSpan w:val="2"/>
            <w:vMerge w:val="continue"/>
          </w:tcPr>
          <w:p>
            <w:pPr>
              <w:spacing w:after="0"/>
              <w:rPr>
                <w:sz w:val="12"/>
                <w:szCs w:val="12"/>
                <w:color w:val="auto"/>
              </w:rPr>
            </w:pPr>
          </w:p>
        </w:tc>
        <w:tc>
          <w:tcPr>
            <w:tcW w:w="1140" w:type="dxa"/>
            <w:vAlign w:val="bottom"/>
            <w:vMerge w:val="restart"/>
          </w:tcPr>
          <w:p>
            <w:pPr>
              <w:jc w:val="center"/>
              <w:ind w:left="601"/>
              <w:spacing w:after="0"/>
              <w:rPr>
                <w:sz w:val="20"/>
                <w:szCs w:val="20"/>
                <w:color w:val="auto"/>
              </w:rPr>
            </w:pPr>
            <w:r>
              <w:rPr>
                <w:rFonts w:ascii="Arial" w:cs="Arial" w:eastAsia="Arial" w:hAnsi="Arial"/>
                <w:sz w:val="17"/>
                <w:szCs w:val="17"/>
                <w:color w:val="auto"/>
              </w:rPr>
              <w:t>o</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600" w:type="dxa"/>
            <w:vAlign w:val="bottom"/>
            <w:vMerge w:val="restart"/>
          </w:tcPr>
          <w:p>
            <w:pPr>
              <w:jc w:val="center"/>
              <w:ind w:left="1"/>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165"/>
        </w:trPr>
        <w:tc>
          <w:tcPr>
            <w:tcW w:w="440" w:type="dxa"/>
            <w:vAlign w:val="bottom"/>
          </w:tcPr>
          <w:p>
            <w:pPr>
              <w:ind w:left="200"/>
              <w:spacing w:after="0"/>
              <w:rPr>
                <w:sz w:val="20"/>
                <w:szCs w:val="20"/>
                <w:color w:val="auto"/>
              </w:rPr>
            </w:pPr>
            <w:r>
              <w:rPr>
                <w:rFonts w:ascii="Arial" w:cs="Arial" w:eastAsia="Arial" w:hAnsi="Arial"/>
                <w:sz w:val="14"/>
                <w:szCs w:val="14"/>
                <w:color w:val="auto"/>
              </w:rPr>
              <w:t>1A)</w:t>
            </w:r>
          </w:p>
        </w:tc>
        <w:tc>
          <w:tcPr>
            <w:tcW w:w="2580" w:type="dxa"/>
            <w:vAlign w:val="bottom"/>
          </w:tcPr>
          <w:p>
            <w:pPr>
              <w:ind w:left="20"/>
              <w:spacing w:after="0"/>
              <w:rPr>
                <w:sz w:val="20"/>
                <w:szCs w:val="20"/>
                <w:color w:val="auto"/>
              </w:rPr>
            </w:pPr>
            <w:r>
              <w:rPr>
                <w:rFonts w:ascii="Arial" w:cs="Arial" w:eastAsia="Arial" w:hAnsi="Arial"/>
                <w:sz w:val="14"/>
                <w:szCs w:val="14"/>
                <w:color w:val="auto"/>
              </w:rPr>
              <w:t>J. R. Adams</w:t>
            </w:r>
          </w:p>
        </w:tc>
        <w:tc>
          <w:tcPr>
            <w:tcW w:w="1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440" w:type="dxa"/>
            <w:vAlign w:val="bottom"/>
          </w:tcPr>
          <w:p>
            <w:pPr>
              <w:ind w:left="200"/>
              <w:spacing w:after="0"/>
              <w:rPr>
                <w:sz w:val="20"/>
                <w:szCs w:val="20"/>
                <w:color w:val="auto"/>
              </w:rPr>
            </w:pPr>
            <w:r>
              <w:rPr>
                <w:rFonts w:ascii="Arial" w:cs="Arial" w:eastAsia="Arial" w:hAnsi="Arial"/>
                <w:sz w:val="14"/>
                <w:szCs w:val="14"/>
                <w:color w:val="auto"/>
              </w:rPr>
              <w:t>1B)</w:t>
            </w:r>
          </w:p>
        </w:tc>
        <w:tc>
          <w:tcPr>
            <w:tcW w:w="2580" w:type="dxa"/>
            <w:vAlign w:val="bottom"/>
          </w:tcPr>
          <w:p>
            <w:pPr>
              <w:ind w:left="20"/>
              <w:spacing w:after="0"/>
              <w:rPr>
                <w:sz w:val="20"/>
                <w:szCs w:val="20"/>
                <w:color w:val="auto"/>
              </w:rPr>
            </w:pPr>
            <w:r>
              <w:rPr>
                <w:rFonts w:ascii="Arial" w:cs="Arial" w:eastAsia="Arial" w:hAnsi="Arial"/>
                <w:sz w:val="14"/>
                <w:szCs w:val="14"/>
                <w:color w:val="auto"/>
              </w:rPr>
              <w:t>D. L. Boren</w:t>
            </w:r>
          </w:p>
        </w:tc>
        <w:tc>
          <w:tcPr>
            <w:tcW w:w="1140" w:type="dxa"/>
            <w:vAlign w:val="bottom"/>
          </w:tcPr>
          <w:p>
            <w:pPr>
              <w:jc w:val="center"/>
              <w:ind w:left="601"/>
              <w:spacing w:after="0"/>
              <w:rPr>
                <w:sz w:val="20"/>
                <w:szCs w:val="20"/>
                <w:color w:val="auto"/>
              </w:rPr>
            </w:pPr>
            <w:r>
              <w:rPr>
                <w:rFonts w:ascii="Arial" w:cs="Arial" w:eastAsia="Arial" w:hAnsi="Arial"/>
                <w:sz w:val="17"/>
                <w:szCs w:val="17"/>
                <w:color w:val="auto"/>
              </w:rPr>
              <w:t>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600" w:type="dxa"/>
            <w:vAlign w:val="bottom"/>
          </w:tcPr>
          <w:p>
            <w:pPr>
              <w:jc w:val="center"/>
              <w:ind w:left="1"/>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Vote on Proposals</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gridSpan w:val="3"/>
          </w:tcPr>
          <w:p>
            <w:pPr>
              <w:spacing w:after="0" w:line="154" w:lineRule="exact"/>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580" w:type="dxa"/>
            <w:vAlign w:val="bottom"/>
            <w:vMerge w:val="restart"/>
          </w:tcPr>
          <w:p>
            <w:pPr>
              <w:jc w:val="center"/>
              <w:ind w:left="3"/>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2, 3 and 4</w:t>
            </w:r>
          </w:p>
        </w:tc>
        <w:tc>
          <w:tcPr>
            <w:tcW w:w="280" w:type="dxa"/>
            <w:vAlign w:val="bottom"/>
            <w:tcBorders>
              <w:top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3860" w:type="dxa"/>
            <w:vAlign w:val="bottom"/>
            <w:gridSpan w:val="3"/>
          </w:tcPr>
          <w:p>
            <w:pPr>
              <w:spacing w:after="0"/>
              <w:rPr>
                <w:sz w:val="20"/>
                <w:szCs w:val="20"/>
                <w:color w:val="auto"/>
              </w:rPr>
            </w:pPr>
            <w:r>
              <w:rPr>
                <w:rFonts w:ascii="Arial" w:cs="Arial" w:eastAsia="Arial" w:hAnsi="Arial"/>
                <w:sz w:val="14"/>
                <w:szCs w:val="14"/>
                <w:color w:val="auto"/>
              </w:rPr>
              <w:t>2. Board proposal to ratify the appointment of Ernst &amp; Young</w:t>
            </w:r>
          </w:p>
        </w:tc>
        <w:tc>
          <w:tcPr>
            <w:tcW w:w="4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80" w:type="dxa"/>
            <w:vAlign w:val="bottom"/>
          </w:tcPr>
          <w:p>
            <w:pPr>
              <w:jc w:val="center"/>
              <w:ind w:left="23"/>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bl>
    <w:p>
      <w:pPr>
        <w:sectPr>
          <w:pgSz w:w="11900" w:h="16838" w:orient="portrait"/>
          <w:cols w:equalWidth="0" w:num="2">
            <w:col w:w="5700" w:space="240"/>
            <w:col w:w="5580"/>
          </w:cols>
          <w:pgMar w:left="240" w:top="143" w:right="139" w:bottom="0" w:gutter="0" w:footer="0" w:header="0"/>
          <w:type w:val="continuous"/>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160655</wp:posOffset>
            </wp:positionH>
            <wp:positionV relativeFrom="page">
              <wp:posOffset>88900</wp:posOffset>
            </wp:positionV>
            <wp:extent cx="7306945" cy="27647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6945" cy="27647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560" w:type="dxa"/>
            <w:vAlign w:val="bottom"/>
            <w:vMerge w:val="restart"/>
          </w:tcPr>
          <w:p>
            <w:pPr>
              <w:ind w:left="122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Arial" w:cs="Arial" w:eastAsia="Arial" w:hAnsi="Arial"/>
                <w:sz w:val="14"/>
                <w:szCs w:val="14"/>
                <w:color w:val="auto"/>
              </w:rPr>
              <w:t>LLP as the Company's  independent  registered  public</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Arial" w:cs="Arial" w:eastAsia="Arial" w:hAnsi="Arial"/>
                <w:sz w:val="14"/>
                <w:szCs w:val="14"/>
                <w:color w:val="auto"/>
              </w:rPr>
              <w:t>1C) D. A. Carp</w:t>
            </w:r>
          </w:p>
        </w:tc>
        <w:tc>
          <w:tcPr>
            <w:tcW w:w="15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740" w:type="dxa"/>
            <w:vAlign w:val="bottom"/>
            <w:gridSpan w:val="3"/>
          </w:tcPr>
          <w:p>
            <w:pPr>
              <w:ind w:left="40"/>
              <w:spacing w:after="0"/>
              <w:rPr>
                <w:sz w:val="20"/>
                <w:szCs w:val="20"/>
                <w:color w:val="auto"/>
              </w:rPr>
            </w:pPr>
            <w:r>
              <w:rPr>
                <w:rFonts w:ascii="Arial" w:cs="Arial" w:eastAsia="Arial" w:hAnsi="Arial"/>
                <w:sz w:val="14"/>
                <w:szCs w:val="14"/>
                <w:color w:val="auto"/>
              </w:rPr>
              <w:t>accounting firm for 2009.</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460" w:type="dxa"/>
            <w:vAlign w:val="bottom"/>
            <w:vMerge w:val="restart"/>
          </w:tcPr>
          <w:p>
            <w:pPr>
              <w:spacing w:after="0"/>
              <w:rPr>
                <w:sz w:val="20"/>
                <w:szCs w:val="20"/>
                <w:color w:val="auto"/>
              </w:rPr>
            </w:pPr>
            <w:r>
              <w:rPr>
                <w:rFonts w:ascii="Arial" w:cs="Arial" w:eastAsia="Arial" w:hAnsi="Arial"/>
                <w:sz w:val="14"/>
                <w:szCs w:val="14"/>
                <w:color w:val="auto"/>
              </w:rPr>
              <w:t>1D) C. S. Cox</w:t>
            </w:r>
          </w:p>
        </w:tc>
        <w:tc>
          <w:tcPr>
            <w:tcW w:w="1560" w:type="dxa"/>
            <w:vAlign w:val="bottom"/>
            <w:vMerge w:val="restart"/>
          </w:tcPr>
          <w:p>
            <w:pPr>
              <w:ind w:left="122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ind w:left="220"/>
              <w:spacing w:after="0"/>
              <w:rPr>
                <w:sz w:val="20"/>
                <w:szCs w:val="20"/>
                <w:color w:val="auto"/>
              </w:rPr>
            </w:pPr>
            <w:r>
              <w:rPr>
                <w:rFonts w:ascii="Arial" w:cs="Arial" w:eastAsia="Arial" w:hAnsi="Arial"/>
                <w:sz w:val="14"/>
                <w:szCs w:val="14"/>
                <w:color w:val="auto"/>
              </w:rPr>
              <w:t>3.</w:t>
            </w:r>
          </w:p>
        </w:tc>
        <w:tc>
          <w:tcPr>
            <w:tcW w:w="3740" w:type="dxa"/>
            <w:vAlign w:val="bottom"/>
            <w:gridSpan w:val="3"/>
          </w:tcPr>
          <w:p>
            <w:pPr>
              <w:ind w:left="40"/>
              <w:spacing w:after="0"/>
              <w:rPr>
                <w:sz w:val="20"/>
                <w:szCs w:val="20"/>
                <w:color w:val="auto"/>
              </w:rPr>
            </w:pPr>
            <w:r>
              <w:rPr>
                <w:rFonts w:ascii="Arial" w:cs="Arial" w:eastAsia="Arial" w:hAnsi="Arial"/>
                <w:sz w:val="14"/>
                <w:szCs w:val="14"/>
                <w:color w:val="auto"/>
              </w:rPr>
              <w:t>Board proposal to approve a Texas Instruments 2009</w:t>
            </w:r>
          </w:p>
        </w:tc>
        <w:tc>
          <w:tcPr>
            <w:tcW w:w="460" w:type="dxa"/>
            <w:vAlign w:val="bottom"/>
            <w:vMerge w:val="restart"/>
          </w:tcPr>
          <w:p>
            <w:pPr>
              <w:ind w:left="140"/>
              <w:spacing w:after="0"/>
              <w:rPr>
                <w:sz w:val="20"/>
                <w:szCs w:val="20"/>
                <w:color w:val="auto"/>
              </w:rPr>
            </w:pPr>
            <w:r>
              <w:rPr>
                <w:rFonts w:ascii="Arial" w:cs="Arial" w:eastAsia="Arial" w:hAnsi="Arial"/>
                <w:sz w:val="17"/>
                <w:szCs w:val="17"/>
                <w:color w:val="auto"/>
              </w:rPr>
              <w:t>o</w:t>
            </w:r>
          </w:p>
        </w:tc>
        <w:tc>
          <w:tcPr>
            <w:tcW w:w="640" w:type="dxa"/>
            <w:vAlign w:val="bottom"/>
            <w:vMerge w:val="restart"/>
          </w:tcPr>
          <w:p>
            <w:pPr>
              <w:ind w:left="260"/>
              <w:spacing w:after="0"/>
              <w:rPr>
                <w:sz w:val="20"/>
                <w:szCs w:val="20"/>
                <w:color w:val="auto"/>
              </w:rPr>
            </w:pPr>
            <w:r>
              <w:rPr>
                <w:rFonts w:ascii="Arial" w:cs="Arial" w:eastAsia="Arial" w:hAnsi="Arial"/>
                <w:sz w:val="17"/>
                <w:szCs w:val="17"/>
                <w:color w:val="auto"/>
              </w:rPr>
              <w:t>o</w:t>
            </w:r>
          </w:p>
        </w:tc>
        <w:tc>
          <w:tcPr>
            <w:tcW w:w="380" w:type="dxa"/>
            <w:vAlign w:val="bottom"/>
            <w:vMerge w:val="restart"/>
          </w:tcPr>
          <w:p>
            <w:pPr>
              <w:ind w:left="3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97"/>
        </w:trPr>
        <w:tc>
          <w:tcPr>
            <w:tcW w:w="24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740" w:type="dxa"/>
            <w:vAlign w:val="bottom"/>
            <w:gridSpan w:val="3"/>
            <w:vMerge w:val="restart"/>
          </w:tcPr>
          <w:p>
            <w:pPr>
              <w:ind w:left="40"/>
              <w:spacing w:after="0"/>
              <w:rPr>
                <w:sz w:val="20"/>
                <w:szCs w:val="20"/>
                <w:color w:val="auto"/>
              </w:rPr>
            </w:pPr>
            <w:r>
              <w:rPr>
                <w:rFonts w:ascii="Arial" w:cs="Arial" w:eastAsia="Arial" w:hAnsi="Arial"/>
                <w:sz w:val="14"/>
                <w:szCs w:val="14"/>
                <w:color w:val="auto"/>
              </w:rPr>
              <w:t>Long-Term Compensation Plan.</w:t>
            </w:r>
          </w:p>
        </w:tc>
        <w:tc>
          <w:tcPr>
            <w:tcW w:w="4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0"/>
                <w:szCs w:val="20"/>
                <w:color w:val="auto"/>
              </w:rPr>
            </w:pPr>
            <w:r>
              <w:rPr>
                <w:rFonts w:ascii="Arial" w:cs="Arial" w:eastAsia="Arial" w:hAnsi="Arial"/>
                <w:sz w:val="14"/>
                <w:szCs w:val="14"/>
                <w:color w:val="auto"/>
              </w:rPr>
              <w:t>1E) D. R. Goode</w:t>
            </w:r>
          </w:p>
        </w:tc>
        <w:tc>
          <w:tcPr>
            <w:tcW w:w="1560" w:type="dxa"/>
            <w:vAlign w:val="bottom"/>
          </w:tcPr>
          <w:p>
            <w:pPr>
              <w:ind w:left="1220"/>
              <w:spacing w:after="0"/>
              <w:rPr>
                <w:sz w:val="20"/>
                <w:szCs w:val="20"/>
                <w:color w:val="auto"/>
              </w:rPr>
            </w:pPr>
            <w:r>
              <w:rPr>
                <w:rFonts w:ascii="Arial" w:cs="Arial" w:eastAsia="Arial" w:hAnsi="Arial"/>
                <w:sz w:val="17"/>
                <w:szCs w:val="17"/>
                <w:color w:val="auto"/>
              </w:rPr>
              <w:t>o</w:t>
            </w:r>
          </w:p>
        </w:tc>
        <w:tc>
          <w:tcPr>
            <w:tcW w:w="620" w:type="dxa"/>
            <w:vAlign w:val="bottom"/>
          </w:tcPr>
          <w:p>
            <w:pPr>
              <w:ind w:left="260"/>
              <w:spacing w:after="0"/>
              <w:rPr>
                <w:sz w:val="20"/>
                <w:szCs w:val="20"/>
                <w:color w:val="auto"/>
              </w:rPr>
            </w:pPr>
            <w:r>
              <w:rPr>
                <w:rFonts w:ascii="Arial" w:cs="Arial" w:eastAsia="Arial" w:hAnsi="Arial"/>
                <w:sz w:val="17"/>
                <w:szCs w:val="17"/>
                <w:color w:val="auto"/>
              </w:rPr>
              <w:t>o</w:t>
            </w:r>
          </w:p>
        </w:tc>
        <w:tc>
          <w:tcPr>
            <w:tcW w:w="620" w:type="dxa"/>
            <w:vAlign w:val="bottom"/>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60" w:type="dxa"/>
            <w:vAlign w:val="bottom"/>
            <w:vMerge w:val="restart"/>
          </w:tcPr>
          <w:p>
            <w:pPr>
              <w:spacing w:after="0"/>
              <w:rPr>
                <w:sz w:val="20"/>
                <w:szCs w:val="20"/>
                <w:color w:val="auto"/>
              </w:rPr>
            </w:pPr>
            <w:r>
              <w:rPr>
                <w:rFonts w:ascii="Arial" w:cs="Arial" w:eastAsia="Arial" w:hAnsi="Arial"/>
                <w:sz w:val="14"/>
                <w:szCs w:val="14"/>
                <w:color w:val="auto"/>
              </w:rPr>
              <w:t>1F) S. P. MacMillan</w:t>
            </w:r>
          </w:p>
        </w:tc>
        <w:tc>
          <w:tcPr>
            <w:tcW w:w="1560" w:type="dxa"/>
            <w:vAlign w:val="bottom"/>
            <w:vMerge w:val="restart"/>
          </w:tcPr>
          <w:p>
            <w:pPr>
              <w:ind w:left="122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ind w:left="220"/>
              <w:spacing w:after="0"/>
              <w:rPr>
                <w:sz w:val="20"/>
                <w:szCs w:val="20"/>
                <w:color w:val="auto"/>
              </w:rPr>
            </w:pPr>
            <w:r>
              <w:rPr>
                <w:rFonts w:ascii="Arial" w:cs="Arial" w:eastAsia="Arial" w:hAnsi="Arial"/>
                <w:sz w:val="14"/>
                <w:szCs w:val="14"/>
                <w:color w:val="auto"/>
              </w:rPr>
              <w:t>4.</w:t>
            </w:r>
          </w:p>
        </w:tc>
        <w:tc>
          <w:tcPr>
            <w:tcW w:w="3740" w:type="dxa"/>
            <w:vAlign w:val="bottom"/>
            <w:gridSpan w:val="3"/>
          </w:tcPr>
          <w:p>
            <w:pPr>
              <w:ind w:left="40"/>
              <w:spacing w:after="0"/>
              <w:rPr>
                <w:sz w:val="20"/>
                <w:szCs w:val="20"/>
                <w:color w:val="auto"/>
              </w:rPr>
            </w:pPr>
            <w:r>
              <w:rPr>
                <w:rFonts w:ascii="Arial" w:cs="Arial" w:eastAsia="Arial" w:hAnsi="Arial"/>
                <w:sz w:val="14"/>
                <w:szCs w:val="14"/>
                <w:color w:val="auto"/>
              </w:rPr>
              <w:t>Board proposal to approve a Texas Instruments 2009</w:t>
            </w:r>
          </w:p>
        </w:tc>
        <w:tc>
          <w:tcPr>
            <w:tcW w:w="460" w:type="dxa"/>
            <w:vAlign w:val="bottom"/>
          </w:tcPr>
          <w:p>
            <w:pPr>
              <w:ind w:left="140"/>
              <w:spacing w:after="0"/>
              <w:rPr>
                <w:sz w:val="20"/>
                <w:szCs w:val="20"/>
                <w:color w:val="auto"/>
              </w:rPr>
            </w:pPr>
            <w:r>
              <w:rPr>
                <w:rFonts w:ascii="Arial" w:cs="Arial" w:eastAsia="Arial" w:hAnsi="Arial"/>
                <w:sz w:val="17"/>
                <w:szCs w:val="17"/>
                <w:color w:val="auto"/>
              </w:rPr>
              <w:t>o</w:t>
            </w:r>
          </w:p>
        </w:tc>
        <w:tc>
          <w:tcPr>
            <w:tcW w:w="640" w:type="dxa"/>
            <w:vAlign w:val="bottom"/>
          </w:tcPr>
          <w:p>
            <w:pPr>
              <w:ind w:left="260"/>
              <w:spacing w:after="0"/>
              <w:rPr>
                <w:sz w:val="20"/>
                <w:szCs w:val="20"/>
                <w:color w:val="auto"/>
              </w:rPr>
            </w:pPr>
            <w:r>
              <w:rPr>
                <w:rFonts w:ascii="Arial" w:cs="Arial" w:eastAsia="Arial" w:hAnsi="Arial"/>
                <w:sz w:val="17"/>
                <w:szCs w:val="17"/>
                <w:color w:val="auto"/>
              </w:rPr>
              <w:t>o</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65"/>
        </w:trPr>
        <w:tc>
          <w:tcPr>
            <w:tcW w:w="24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Arial" w:cs="Arial" w:eastAsia="Arial" w:hAnsi="Arial"/>
                <w:sz w:val="14"/>
                <w:szCs w:val="14"/>
                <w:color w:val="auto"/>
              </w:rPr>
              <w:t>Director Compensation Plan.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2460" w:type="dxa"/>
            <w:vAlign w:val="bottom"/>
          </w:tcPr>
          <w:p>
            <w:pPr>
              <w:spacing w:after="0"/>
              <w:rPr>
                <w:sz w:val="20"/>
                <w:szCs w:val="20"/>
                <w:color w:val="auto"/>
              </w:rPr>
            </w:pPr>
            <w:r>
              <w:rPr>
                <w:rFonts w:ascii="Arial" w:cs="Arial" w:eastAsia="Arial" w:hAnsi="Arial"/>
                <w:sz w:val="14"/>
                <w:szCs w:val="14"/>
                <w:color w:val="auto"/>
              </w:rPr>
              <w:t>1G) P. H. Patsley</w:t>
            </w:r>
          </w:p>
        </w:tc>
        <w:tc>
          <w:tcPr>
            <w:tcW w:w="1560" w:type="dxa"/>
            <w:vAlign w:val="bottom"/>
          </w:tcPr>
          <w:p>
            <w:pPr>
              <w:ind w:left="1220"/>
              <w:spacing w:after="0"/>
              <w:rPr>
                <w:sz w:val="20"/>
                <w:szCs w:val="20"/>
                <w:color w:val="auto"/>
              </w:rPr>
            </w:pPr>
            <w:r>
              <w:rPr>
                <w:rFonts w:ascii="Arial" w:cs="Arial" w:eastAsia="Arial" w:hAnsi="Arial"/>
                <w:sz w:val="17"/>
                <w:szCs w:val="17"/>
                <w:color w:val="auto"/>
              </w:rPr>
              <w:t>o</w:t>
            </w:r>
          </w:p>
        </w:tc>
        <w:tc>
          <w:tcPr>
            <w:tcW w:w="620" w:type="dxa"/>
            <w:vAlign w:val="bottom"/>
          </w:tcPr>
          <w:p>
            <w:pPr>
              <w:ind w:left="260"/>
              <w:spacing w:after="0"/>
              <w:rPr>
                <w:sz w:val="20"/>
                <w:szCs w:val="20"/>
                <w:color w:val="auto"/>
              </w:rPr>
            </w:pPr>
            <w:r>
              <w:rPr>
                <w:rFonts w:ascii="Arial" w:cs="Arial" w:eastAsia="Arial" w:hAnsi="Arial"/>
                <w:sz w:val="17"/>
                <w:szCs w:val="17"/>
                <w:color w:val="auto"/>
              </w:rPr>
              <w:t>o</w:t>
            </w:r>
          </w:p>
        </w:tc>
        <w:tc>
          <w:tcPr>
            <w:tcW w:w="620" w:type="dxa"/>
            <w:vAlign w:val="bottom"/>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460" w:type="dxa"/>
            <w:vAlign w:val="bottom"/>
          </w:tcPr>
          <w:p>
            <w:pPr>
              <w:spacing w:after="0"/>
              <w:rPr>
                <w:sz w:val="20"/>
                <w:szCs w:val="20"/>
                <w:color w:val="auto"/>
              </w:rPr>
            </w:pPr>
            <w:r>
              <w:rPr>
                <w:rFonts w:ascii="Arial" w:cs="Arial" w:eastAsia="Arial" w:hAnsi="Arial"/>
                <w:sz w:val="14"/>
                <w:szCs w:val="14"/>
                <w:color w:val="auto"/>
              </w:rPr>
              <w:t>1H) W. R. Sanders</w:t>
            </w:r>
          </w:p>
        </w:tc>
        <w:tc>
          <w:tcPr>
            <w:tcW w:w="1560" w:type="dxa"/>
            <w:vAlign w:val="bottom"/>
          </w:tcPr>
          <w:p>
            <w:pPr>
              <w:ind w:left="1220"/>
              <w:spacing w:after="0"/>
              <w:rPr>
                <w:sz w:val="20"/>
                <w:szCs w:val="20"/>
                <w:color w:val="auto"/>
              </w:rPr>
            </w:pPr>
            <w:r>
              <w:rPr>
                <w:rFonts w:ascii="Arial" w:cs="Arial" w:eastAsia="Arial" w:hAnsi="Arial"/>
                <w:sz w:val="17"/>
                <w:szCs w:val="17"/>
                <w:color w:val="auto"/>
              </w:rPr>
              <w:t>o</w:t>
            </w:r>
          </w:p>
        </w:tc>
        <w:tc>
          <w:tcPr>
            <w:tcW w:w="620" w:type="dxa"/>
            <w:vAlign w:val="bottom"/>
          </w:tcPr>
          <w:p>
            <w:pPr>
              <w:ind w:left="260"/>
              <w:spacing w:after="0"/>
              <w:rPr>
                <w:sz w:val="20"/>
                <w:szCs w:val="20"/>
                <w:color w:val="auto"/>
              </w:rPr>
            </w:pPr>
            <w:r>
              <w:rPr>
                <w:rFonts w:ascii="Arial" w:cs="Arial" w:eastAsia="Arial" w:hAnsi="Arial"/>
                <w:sz w:val="17"/>
                <w:szCs w:val="17"/>
                <w:color w:val="auto"/>
              </w:rPr>
              <w:t>o</w:t>
            </w:r>
          </w:p>
        </w:tc>
        <w:tc>
          <w:tcPr>
            <w:tcW w:w="620" w:type="dxa"/>
            <w:vAlign w:val="bottom"/>
          </w:tcPr>
          <w:p>
            <w:pPr>
              <w:ind w:left="300"/>
              <w:spacing w:after="0"/>
              <w:rPr>
                <w:sz w:val="20"/>
                <w:szCs w:val="20"/>
                <w:color w:val="auto"/>
              </w:rPr>
            </w:pPr>
            <w:r>
              <w:rPr>
                <w:rFonts w:ascii="Arial" w:cs="Arial" w:eastAsia="Arial" w:hAnsi="Arial"/>
                <w:sz w:val="17"/>
                <w:szCs w:val="17"/>
                <w:color w:val="auto"/>
              </w:rPr>
              <w:t>o</w:t>
            </w: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w w:val="97"/>
              </w:rPr>
              <w:t xml:space="preserve">The Board of Directors recommends a vote </w:t>
            </w:r>
            <w:r>
              <w:rPr>
                <w:rFonts w:ascii="Arial" w:cs="Arial" w:eastAsia="Arial" w:hAnsi="Arial"/>
                <w:sz w:val="14"/>
                <w:szCs w:val="14"/>
                <w:b w:val="1"/>
                <w:bCs w:val="1"/>
                <w:color w:val="auto"/>
                <w:w w:val="97"/>
              </w:rPr>
              <w:t>"</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AGAINST</w:t>
            </w:r>
          </w:p>
        </w:tc>
        <w:tc>
          <w:tcPr>
            <w:tcW w:w="540" w:type="dxa"/>
            <w:vAlign w:val="bottom"/>
          </w:tcPr>
          <w:p>
            <w:pPr>
              <w:jc w:val="right"/>
              <w:ind w:right="428"/>
              <w:spacing w:after="0"/>
              <w:rPr>
                <w:sz w:val="20"/>
                <w:szCs w:val="20"/>
                <w:color w:val="auto"/>
              </w:rPr>
            </w:pPr>
            <w:r>
              <w:rPr>
                <w:rFonts w:ascii="Arial" w:cs="Arial" w:eastAsia="Arial" w:hAnsi="Arial"/>
                <w:sz w:val="10"/>
                <w:szCs w:val="10"/>
                <w:b w:val="1"/>
                <w:bCs w:val="1"/>
                <w:color w:val="auto"/>
                <w:w w:val="83"/>
              </w:rPr>
              <w:t>"</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20" w:type="dxa"/>
            <w:vAlign w:val="bottom"/>
            <w:gridSpan w:val="4"/>
          </w:tcPr>
          <w:p>
            <w:pPr>
              <w:ind w:left="220"/>
              <w:spacing w:after="0"/>
              <w:rPr>
                <w:sz w:val="20"/>
                <w:szCs w:val="20"/>
                <w:color w:val="auto"/>
              </w:rPr>
            </w:pPr>
            <w:r>
              <w:rPr>
                <w:rFonts w:ascii="Arial" w:cs="Arial" w:eastAsia="Arial" w:hAnsi="Arial"/>
                <w:sz w:val="14"/>
                <w:szCs w:val="14"/>
                <w:color w:val="auto"/>
              </w:rPr>
              <w:t>proposal 5</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4"/>
                <w:szCs w:val="14"/>
                <w:color w:val="auto"/>
              </w:rPr>
              <w:t>1I) R. J. Simmons</w:t>
            </w:r>
          </w:p>
        </w:tc>
        <w:tc>
          <w:tcPr>
            <w:tcW w:w="1560" w:type="dxa"/>
            <w:vAlign w:val="bottom"/>
          </w:tcPr>
          <w:p>
            <w:pPr>
              <w:ind w:left="1220"/>
              <w:spacing w:after="0"/>
              <w:rPr>
                <w:sz w:val="20"/>
                <w:szCs w:val="20"/>
                <w:color w:val="auto"/>
              </w:rPr>
            </w:pPr>
            <w:r>
              <w:rPr>
                <w:rFonts w:ascii="Arial" w:cs="Arial" w:eastAsia="Arial" w:hAnsi="Arial"/>
                <w:sz w:val="17"/>
                <w:szCs w:val="17"/>
                <w:color w:val="auto"/>
              </w:rPr>
              <w:t>o</w:t>
            </w:r>
          </w:p>
        </w:tc>
        <w:tc>
          <w:tcPr>
            <w:tcW w:w="620" w:type="dxa"/>
            <w:vAlign w:val="bottom"/>
          </w:tcPr>
          <w:p>
            <w:pPr>
              <w:ind w:left="260"/>
              <w:spacing w:after="0"/>
              <w:rPr>
                <w:sz w:val="20"/>
                <w:szCs w:val="20"/>
                <w:color w:val="auto"/>
              </w:rPr>
            </w:pPr>
            <w:r>
              <w:rPr>
                <w:rFonts w:ascii="Arial" w:cs="Arial" w:eastAsia="Arial" w:hAnsi="Arial"/>
                <w:sz w:val="17"/>
                <w:szCs w:val="17"/>
                <w:color w:val="auto"/>
              </w:rPr>
              <w:t>o</w:t>
            </w:r>
          </w:p>
        </w:tc>
        <w:tc>
          <w:tcPr>
            <w:tcW w:w="620" w:type="dxa"/>
            <w:vAlign w:val="bottom"/>
          </w:tcPr>
          <w:p>
            <w:pPr>
              <w:ind w:left="300"/>
              <w:spacing w:after="0"/>
              <w:rPr>
                <w:sz w:val="20"/>
                <w:szCs w:val="20"/>
                <w:color w:val="auto"/>
              </w:rPr>
            </w:pPr>
            <w:r>
              <w:rPr>
                <w:rFonts w:ascii="Arial" w:cs="Arial" w:eastAsia="Arial" w:hAnsi="Arial"/>
                <w:sz w:val="17"/>
                <w:szCs w:val="17"/>
                <w:color w:val="auto"/>
              </w:rPr>
              <w:t>o</w:t>
            </w:r>
          </w:p>
        </w:tc>
        <w:tc>
          <w:tcPr>
            <w:tcW w:w="380" w:type="dxa"/>
            <w:vAlign w:val="bottom"/>
            <w:vMerge w:val="restart"/>
          </w:tcPr>
          <w:p>
            <w:pPr>
              <w:ind w:left="220"/>
              <w:spacing w:after="0"/>
              <w:rPr>
                <w:sz w:val="20"/>
                <w:szCs w:val="20"/>
                <w:color w:val="auto"/>
              </w:rPr>
            </w:pPr>
            <w:r>
              <w:rPr>
                <w:rFonts w:ascii="Arial" w:cs="Arial" w:eastAsia="Arial" w:hAnsi="Arial"/>
                <w:sz w:val="14"/>
                <w:szCs w:val="14"/>
                <w:color w:val="auto"/>
              </w:rPr>
              <w:t>5.</w:t>
            </w:r>
          </w:p>
        </w:tc>
        <w:tc>
          <w:tcPr>
            <w:tcW w:w="3740" w:type="dxa"/>
            <w:vAlign w:val="bottom"/>
            <w:gridSpan w:val="3"/>
            <w:vMerge w:val="restart"/>
          </w:tcPr>
          <w:p>
            <w:pPr>
              <w:ind w:left="40"/>
              <w:spacing w:after="0"/>
              <w:rPr>
                <w:sz w:val="20"/>
                <w:szCs w:val="20"/>
                <w:color w:val="auto"/>
              </w:rPr>
            </w:pPr>
            <w:r>
              <w:rPr>
                <w:rFonts w:ascii="Arial" w:cs="Arial" w:eastAsia="Arial" w:hAnsi="Arial"/>
                <w:sz w:val="14"/>
                <w:szCs w:val="14"/>
                <w:color w:val="auto"/>
              </w:rPr>
              <w:t>Stockholder proposal regarding separation of roles of</w:t>
            </w:r>
          </w:p>
        </w:tc>
        <w:tc>
          <w:tcPr>
            <w:tcW w:w="460" w:type="dxa"/>
            <w:vAlign w:val="bottom"/>
            <w:vMerge w:val="restart"/>
          </w:tcPr>
          <w:p>
            <w:pPr>
              <w:ind w:left="140"/>
              <w:spacing w:after="0"/>
              <w:rPr>
                <w:sz w:val="20"/>
                <w:szCs w:val="20"/>
                <w:color w:val="auto"/>
              </w:rPr>
            </w:pPr>
            <w:r>
              <w:rPr>
                <w:rFonts w:ascii="Arial" w:cs="Arial" w:eastAsia="Arial" w:hAnsi="Arial"/>
                <w:sz w:val="17"/>
                <w:szCs w:val="17"/>
                <w:color w:val="auto"/>
              </w:rPr>
              <w:t>o</w:t>
            </w:r>
          </w:p>
        </w:tc>
        <w:tc>
          <w:tcPr>
            <w:tcW w:w="640" w:type="dxa"/>
            <w:vAlign w:val="bottom"/>
            <w:vMerge w:val="restart"/>
          </w:tcPr>
          <w:p>
            <w:pPr>
              <w:ind w:left="260"/>
              <w:spacing w:after="0"/>
              <w:rPr>
                <w:sz w:val="20"/>
                <w:szCs w:val="20"/>
                <w:color w:val="auto"/>
              </w:rPr>
            </w:pPr>
            <w:r>
              <w:rPr>
                <w:rFonts w:ascii="Arial" w:cs="Arial" w:eastAsia="Arial" w:hAnsi="Arial"/>
                <w:sz w:val="17"/>
                <w:szCs w:val="17"/>
                <w:color w:val="auto"/>
              </w:rPr>
              <w:t>o</w:t>
            </w:r>
          </w:p>
        </w:tc>
        <w:tc>
          <w:tcPr>
            <w:tcW w:w="380" w:type="dxa"/>
            <w:vAlign w:val="bottom"/>
            <w:vMerge w:val="restart"/>
          </w:tcPr>
          <w:p>
            <w:pPr>
              <w:ind w:left="3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460" w:type="dxa"/>
            <w:vAlign w:val="bottom"/>
            <w:vMerge w:val="restart"/>
          </w:tcPr>
          <w:p>
            <w:pPr>
              <w:spacing w:after="0"/>
              <w:rPr>
                <w:sz w:val="20"/>
                <w:szCs w:val="20"/>
                <w:color w:val="auto"/>
              </w:rPr>
            </w:pPr>
            <w:r>
              <w:rPr>
                <w:rFonts w:ascii="Arial" w:cs="Arial" w:eastAsia="Arial" w:hAnsi="Arial"/>
                <w:sz w:val="14"/>
                <w:szCs w:val="14"/>
                <w:color w:val="auto"/>
              </w:rPr>
              <w:t>1J) R. K. Templeton</w:t>
            </w:r>
          </w:p>
        </w:tc>
        <w:tc>
          <w:tcPr>
            <w:tcW w:w="1560" w:type="dxa"/>
            <w:vAlign w:val="bottom"/>
            <w:vMerge w:val="restart"/>
          </w:tcPr>
          <w:p>
            <w:pPr>
              <w:ind w:left="122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260"/>
              <w:spacing w:after="0"/>
              <w:rPr>
                <w:sz w:val="20"/>
                <w:szCs w:val="20"/>
                <w:color w:val="auto"/>
              </w:rPr>
            </w:pPr>
            <w:r>
              <w:rPr>
                <w:rFonts w:ascii="Arial" w:cs="Arial" w:eastAsia="Arial" w:hAnsi="Arial"/>
                <w:sz w:val="17"/>
                <w:szCs w:val="17"/>
                <w:color w:val="auto"/>
              </w:rPr>
              <w:t>o</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Arial" w:cs="Arial" w:eastAsia="Arial" w:hAnsi="Arial"/>
                <w:sz w:val="14"/>
                <w:szCs w:val="14"/>
                <w:color w:val="auto"/>
              </w:rPr>
              <w:t>chairman and CEO.</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460" w:type="dxa"/>
            <w:vAlign w:val="bottom"/>
          </w:tcPr>
          <w:p>
            <w:pPr>
              <w:spacing w:after="0"/>
              <w:rPr>
                <w:sz w:val="20"/>
                <w:szCs w:val="20"/>
                <w:color w:val="auto"/>
              </w:rPr>
            </w:pPr>
            <w:r>
              <w:rPr>
                <w:rFonts w:ascii="Arial" w:cs="Arial" w:eastAsia="Arial" w:hAnsi="Arial"/>
                <w:sz w:val="14"/>
                <w:szCs w:val="14"/>
                <w:color w:val="auto"/>
              </w:rPr>
              <w:t>1K) C. T. Whitman</w:t>
            </w:r>
          </w:p>
        </w:tc>
        <w:tc>
          <w:tcPr>
            <w:tcW w:w="1560" w:type="dxa"/>
            <w:vAlign w:val="bottom"/>
          </w:tcPr>
          <w:p>
            <w:pPr>
              <w:ind w:left="1220"/>
              <w:spacing w:after="0"/>
              <w:rPr>
                <w:sz w:val="20"/>
                <w:szCs w:val="20"/>
                <w:color w:val="auto"/>
              </w:rPr>
            </w:pPr>
            <w:r>
              <w:rPr>
                <w:rFonts w:ascii="Arial" w:cs="Arial" w:eastAsia="Arial" w:hAnsi="Arial"/>
                <w:sz w:val="17"/>
                <w:szCs w:val="17"/>
                <w:color w:val="auto"/>
              </w:rPr>
              <w:t>o</w:t>
            </w:r>
          </w:p>
        </w:tc>
        <w:tc>
          <w:tcPr>
            <w:tcW w:w="620" w:type="dxa"/>
            <w:vAlign w:val="bottom"/>
          </w:tcPr>
          <w:p>
            <w:pPr>
              <w:ind w:left="260"/>
              <w:spacing w:after="0"/>
              <w:rPr>
                <w:sz w:val="20"/>
                <w:szCs w:val="20"/>
                <w:color w:val="auto"/>
              </w:rPr>
            </w:pPr>
            <w:r>
              <w:rPr>
                <w:rFonts w:ascii="Arial" w:cs="Arial" w:eastAsia="Arial" w:hAnsi="Arial"/>
                <w:sz w:val="17"/>
                <w:szCs w:val="17"/>
                <w:color w:val="auto"/>
              </w:rPr>
              <w:t>o</w:t>
            </w:r>
          </w:p>
        </w:tc>
        <w:tc>
          <w:tcPr>
            <w:tcW w:w="620" w:type="dxa"/>
            <w:vAlign w:val="bottom"/>
          </w:tcPr>
          <w:p>
            <w:pPr>
              <w:ind w:left="300"/>
              <w:spacing w:after="0"/>
              <w:rPr>
                <w:sz w:val="20"/>
                <w:szCs w:val="20"/>
                <w:color w:val="auto"/>
              </w:rPr>
            </w:pPr>
            <w:r>
              <w:rPr>
                <w:rFonts w:ascii="Arial" w:cs="Arial" w:eastAsia="Arial" w:hAnsi="Arial"/>
                <w:sz w:val="17"/>
                <w:szCs w:val="17"/>
                <w:color w:val="auto"/>
              </w:rPr>
              <w:t>o</w:t>
            </w: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100" w:val="left"/>
          <w:tab w:leader="none" w:pos="5600" w:val="left"/>
          <w:tab w:leader="none" w:pos="87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279400</wp:posOffset>
            </wp:positionV>
            <wp:extent cx="727329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643255</wp:posOffset>
            </wp:positionV>
            <wp:extent cx="1907540" cy="6991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07540" cy="69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06"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APRIL 16, 2009</w:t>
      </w:r>
    </w:p>
    <w:p>
      <w:pPr>
        <w:spacing w:after="0" w:line="226" w:lineRule="exact"/>
        <w:rPr>
          <w:sz w:val="20"/>
          <w:szCs w:val="20"/>
          <w:color w:val="auto"/>
        </w:rPr>
      </w:pPr>
    </w:p>
    <w:p>
      <w:pPr>
        <w:jc w:val="both"/>
        <w:ind w:left="520" w:right="880"/>
        <w:spacing w:after="0"/>
        <w:rPr>
          <w:sz w:val="20"/>
          <w:szCs w:val="20"/>
          <w:color w:val="auto"/>
        </w:rPr>
      </w:pPr>
      <w:r>
        <w:rPr>
          <w:rFonts w:ascii="Arial" w:cs="Arial" w:eastAsia="Arial" w:hAnsi="Arial"/>
          <w:sz w:val="17"/>
          <w:szCs w:val="17"/>
          <w:color w:val="auto"/>
        </w:rPr>
        <w:t>You are invited to attend the 2009 annual meeting of stockholders on Thursday, April 16, 2009, at the cafeteria on our property at 12500 TI Boulevard, Dallas, Texas, at 10:00 a.m. (Dallas time). At the meeting, we will consider the election of directors, the ratification of the appointment of Ernst &amp; Young LLP as the Company’s independent registered public accounting firm for 2009, a board proposal to approve a Texas Instruments 2009 Long-Term Incentive Plan, a board proposal to approve a Texas Instruments 2009 Director Compensation Plan, a stockholder proposal, and such other matters as may properly come before the meeting.</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u w:val="single" w:color="auto"/>
          <w:color w:val="auto"/>
        </w:rPr>
        <w:t>Electronic Delivery of Proxy Materials</w:t>
      </w:r>
    </w:p>
    <w:p>
      <w:pPr>
        <w:spacing w:after="0" w:line="226" w:lineRule="exact"/>
        <w:rPr>
          <w:sz w:val="20"/>
          <w:szCs w:val="20"/>
          <w:color w:val="auto"/>
        </w:rPr>
      </w:pPr>
    </w:p>
    <w:p>
      <w:pPr>
        <w:jc w:val="both"/>
        <w:ind w:left="520" w:right="880"/>
        <w:spacing w:after="0" w:line="277" w:lineRule="auto"/>
        <w:rPr>
          <w:sz w:val="20"/>
          <w:szCs w:val="20"/>
          <w:color w:val="auto"/>
        </w:rPr>
      </w:pPr>
      <w:r>
        <w:rPr>
          <w:rFonts w:ascii="Arial" w:cs="Arial" w:eastAsia="Arial" w:hAnsi="Arial"/>
          <w:sz w:val="16"/>
          <w:szCs w:val="16"/>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151" w:lineRule="exact"/>
        <w:rPr>
          <w:sz w:val="20"/>
          <w:szCs w:val="20"/>
          <w:color w:val="auto"/>
        </w:rPr>
      </w:pPr>
    </w:p>
    <w:p>
      <w:pPr>
        <w:jc w:val="both"/>
        <w:ind w:left="520" w:right="880"/>
        <w:spacing w:after="0" w:line="271" w:lineRule="auto"/>
        <w:rPr>
          <w:sz w:val="20"/>
          <w:szCs w:val="20"/>
          <w:color w:val="auto"/>
        </w:rPr>
      </w:pPr>
      <w:r>
        <w:rPr>
          <w:rFonts w:ascii="Arial" w:cs="Arial" w:eastAsia="Arial" w:hAnsi="Arial"/>
          <w:sz w:val="17"/>
          <w:szCs w:val="17"/>
          <w:b w:val="1"/>
          <w:bCs w:val="1"/>
          <w:color w:val="auto"/>
        </w:rPr>
        <w:t xml:space="preserve">Important Notice Regarding Internet Availability of Proxy Materials for the Annual Meeting: </w:t>
      </w:r>
      <w:r>
        <w:rPr>
          <w:rFonts w:ascii="Arial" w:cs="Arial" w:eastAsia="Arial" w:hAnsi="Arial"/>
          <w:sz w:val="17"/>
          <w:szCs w:val="17"/>
          <w:color w:val="auto"/>
        </w:rPr>
        <w:t>The 2009 Notice and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and 2008 Annual Report are also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460"/>
        <w:spacing w:after="0"/>
        <w:rPr>
          <w:sz w:val="20"/>
          <w:szCs w:val="20"/>
          <w:color w:val="auto"/>
        </w:rPr>
      </w:pPr>
      <w:r>
        <w:rPr>
          <w:rFonts w:ascii="Arial" w:cs="Arial" w:eastAsia="Arial" w:hAnsi="Arial"/>
          <w:sz w:val="13"/>
          <w:szCs w:val="13"/>
          <w:color w:val="auto"/>
        </w:rPr>
        <w:t>TXINS2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34925</wp:posOffset>
            </wp:positionV>
            <wp:extent cx="7306945" cy="3618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694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auto"/>
        </w:rPr>
        <w:t>PROXY FOR ANNUAL MEETING TO BE HELD APRIL 16, 2009</w:t>
      </w:r>
    </w:p>
    <w:p>
      <w:pPr>
        <w:spacing w:after="0" w:line="214"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26" w:lineRule="exact"/>
        <w:rPr>
          <w:sz w:val="20"/>
          <w:szCs w:val="20"/>
          <w:color w:val="auto"/>
        </w:rPr>
      </w:pPr>
    </w:p>
    <w:p>
      <w:pPr>
        <w:jc w:val="both"/>
        <w:ind w:left="40"/>
        <w:spacing w:after="0" w:line="239" w:lineRule="auto"/>
        <w:rPr>
          <w:sz w:val="20"/>
          <w:szCs w:val="20"/>
          <w:color w:val="auto"/>
        </w:rPr>
      </w:pPr>
      <w:r>
        <w:rPr>
          <w:rFonts w:ascii="Arial" w:cs="Arial" w:eastAsia="Arial" w:hAnsi="Arial"/>
          <w:sz w:val="17"/>
          <w:szCs w:val="17"/>
          <w:color w:val="auto"/>
        </w:rPr>
        <w:t xml:space="preserve">The undersigned hereby appoints DANIEL A. CARP, PAMELA H. PATSLEY, RUTH J. SIMMONS, RICHARD K. TEMPLETON, or any one or more them, the true and lawful attorneys of the undersigned with power of substitution, to vote as proxies for the undersigned at the annual meeting stockholders of Texas Instruments Incorporated to be held in Dallas, Texas, on April 16, 2009, at 10:00 a.m. (Dallas time) and at any or all adjournme thereof, according to the number of shares of common stock that the undersigned would be entitled to vote if then personally present, in the election directors, upon the board proposals, upon the stockholder proposal, and upon other matters properly coming before the meeting. </w:t>
      </w:r>
      <w:r>
        <w:rPr>
          <w:rFonts w:ascii="Arial" w:cs="Arial" w:eastAsia="Arial" w:hAnsi="Arial"/>
          <w:sz w:val="17"/>
          <w:szCs w:val="17"/>
          <w:b w:val="1"/>
          <w:bCs w:val="1"/>
          <w:color w:val="auto"/>
        </w:rPr>
        <w:t>If no contra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indication is made, this proxy will be voted FOR the election of each director nominee and the board proposals and AGAINST the stockhold proposal. </w:t>
      </w:r>
      <w:r>
        <w:rPr>
          <w:rFonts w:ascii="Arial" w:cs="Arial" w:eastAsia="Arial" w:hAnsi="Arial"/>
          <w:sz w:val="17"/>
          <w:szCs w:val="17"/>
          <w:color w:val="auto"/>
        </w:rPr>
        <w:t>If other matters come before the meeting, this proxy will be voted in the discretion of the named proxies.</w:t>
      </w:r>
    </w:p>
    <w:p>
      <w:pPr>
        <w:spacing w:after="0" w:line="204" w:lineRule="exact"/>
        <w:rPr>
          <w:sz w:val="20"/>
          <w:szCs w:val="20"/>
          <w:color w:val="auto"/>
        </w:rPr>
      </w:pPr>
    </w:p>
    <w:p>
      <w:pPr>
        <w:jc w:val="both"/>
        <w:ind w:left="40"/>
        <w:spacing w:after="0" w:line="239"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 allocable to that plan account as well as other shares registered in your name. As a "named fiduciary" under the plans for TI shares allocable to that pl account and for shares for which no voting instructions are received, this proxy will serve as voting instructions for The Northern Trust Company, trust for the plans, or its designee. The plans provide that the trustee will vote each participant’s shares in accordance with the participant’s instructions. If t trustee does not receive voting instructions for TI shares under the plans by April 13, 2009, those shares will be voted, in accordance with the terms plans, in the same proportion as the shares for which voting instructions have been received. If other matters come before the meeting, the nam proxies will vote plan shares on those matters in their discretion.</w:t>
      </w:r>
    </w:p>
    <w:p>
      <w:pPr>
        <w:spacing w:after="0" w:line="184"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06"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Please consider voting by Internet or telephone.</w:t>
      </w:r>
    </w:p>
    <w:p>
      <w:pPr>
        <w:sectPr>
          <w:pgSz w:w="11900" w:h="16838" w:orient="portrait"/>
          <w:cols w:equalWidth="0" w:num="1">
            <w:col w:w="11260"/>
          </w:cols>
          <w:pgMar w:left="500" w:top="138" w:right="139" w:bottom="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160655</wp:posOffset>
            </wp:positionH>
            <wp:positionV relativeFrom="page">
              <wp:posOffset>88900</wp:posOffset>
            </wp:positionV>
            <wp:extent cx="7306945" cy="182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6945" cy="182880"/>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489585</wp:posOffset>
            </wp:positionV>
            <wp:extent cx="727329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3290" cy="20955"/>
                    </a:xfrm>
                    <a:prstGeom prst="rect">
                      <a:avLst/>
                    </a:prstGeom>
                    <a:noFill/>
                  </pic:spPr>
                </pic:pic>
              </a:graphicData>
            </a:graphic>
          </wp:anchor>
        </w:drawing>
        <w:t>TEXAS INSTRUMENTS INCORPORATED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NOTICE OF ANNUAL MEETING OF STOCKHOLDERS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RECORD DATE: February 17, 2009</w:t>
      </w:r>
    </w:p>
    <w:p>
      <w:pPr>
        <w:spacing w:after="0" w:line="238" w:lineRule="auto"/>
        <w:rPr>
          <w:sz w:val="20"/>
          <w:szCs w:val="20"/>
          <w:color w:val="auto"/>
        </w:rPr>
      </w:pPr>
      <w:r>
        <w:rPr>
          <w:rFonts w:ascii="Arial" w:cs="Arial" w:eastAsia="Arial" w:hAnsi="Arial"/>
          <w:sz w:val="17"/>
          <w:szCs w:val="17"/>
          <w:color w:val="auto"/>
        </w:rPr>
        <w:t>MEETING DATE: April 16, 2009</w:t>
      </w:r>
    </w:p>
    <w:p>
      <w:pPr>
        <w:spacing w:after="0"/>
        <w:rPr>
          <w:sz w:val="20"/>
          <w:szCs w:val="20"/>
          <w:color w:val="auto"/>
        </w:rPr>
      </w:pPr>
      <w:r>
        <w:rPr>
          <w:rFonts w:ascii="Arial" w:cs="Arial" w:eastAsia="Arial" w:hAnsi="Arial"/>
          <w:sz w:val="17"/>
          <w:szCs w:val="17"/>
          <w:color w:val="auto"/>
        </w:rPr>
        <w:t>CUSIP NUMBER: 882508104</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7"/>
          <w:szCs w:val="17"/>
          <w:color w:val="auto"/>
        </w:rPr>
        <w:t>You are cordially invited to attend the 2009 annual meeting of Stockholders on Thursday, April 16, 2009, at the cafeteria on our property at 12500 TI Boulevard, Dallas, Texas, at 10:00 a.m. (Dallas time). At the meeting, we will consider the election of directors, a board proposal to ratify the appointment of Ernst &amp; Young LLP as the Company's independent registered public accounting firm for 2009, a board proposal to approve a Texas Instruments 2009 Long-Term Incentive Plan, a board proposal to approve a Texas Instruments 2009 Director Compensation Plan, a stockholder proposal, and such other matters as may properly come before the meeting.</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You are enrolled to receive stockholder communications via the Internet. This e-mail contains instructions for accessing the Texas Instruments 2009 Proxy Statement and Annual Report for 2008 and for voting your shares.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Please read the instructions carefully before proceeding.</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VOTING YOUR SHARES AND VIEWING THE PROXY MATERIALS- Please review the Proxy Statement and Annual Report before voting. The Proxy Statement discusses the proposals to be voted 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You can enter your voting instructions and view the shareholder material at the following Internet site. If your browser supports secure transactions you will be automatically directed to a secure site.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http://www.proxyvote.com/0012345678901</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Registered shares must be voted by 11:59 p.m. (Eastern Daylight Time) on April 15, 2009. Shares allocable to a Texas Instruments (TI) benefit plan must be voted by 11:59 p.m. (Eastern Daylight Time) on April 13, 2009.</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To enter your vote you will need the following: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CONTROL NUMBER: 012345678901</w:t>
      </w:r>
    </w:p>
    <w:p>
      <w:pPr>
        <w:spacing w:after="0"/>
        <w:rPr>
          <w:sz w:val="20"/>
          <w:szCs w:val="20"/>
          <w:color w:val="auto"/>
        </w:rPr>
      </w:pPr>
      <w:r>
        <w:rPr>
          <w:rFonts w:ascii="Arial" w:cs="Arial" w:eastAsia="Arial" w:hAnsi="Arial"/>
          <w:sz w:val="17"/>
          <w:szCs w:val="17"/>
          <w:color w:val="auto"/>
        </w:rPr>
        <w:t>YOUR 4-DIGIT PIN NUMBER</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If you would like to cancel your enrollment, or change your e-mail address or PIN, please go to </w:t>
      </w:r>
      <w:r>
        <w:rPr>
          <w:rFonts w:ascii="Arial" w:cs="Arial" w:eastAsia="Arial" w:hAnsi="Arial"/>
          <w:sz w:val="17"/>
          <w:szCs w:val="17"/>
          <w:u w:val="single" w:color="auto"/>
          <w:color w:val="auto"/>
        </w:rPr>
        <w:t>http://www.InvestorDelivery.com</w:t>
      </w:r>
      <w:r>
        <w:rPr>
          <w:rFonts w:ascii="Arial" w:cs="Arial" w:eastAsia="Arial" w:hAnsi="Arial"/>
          <w:sz w:val="17"/>
          <w:szCs w:val="17"/>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7"/>
          <w:szCs w:val="17"/>
          <w:u w:val="single" w:color="auto"/>
          <w:color w:val="auto"/>
        </w:rPr>
        <w:t>http://www.InvestorDelivery.com</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Your InvestorDelivery Enrollment Number is:</w:t>
      </w:r>
    </w:p>
    <w:p>
      <w:pPr>
        <w:spacing w:after="0"/>
        <w:rPr>
          <w:sz w:val="20"/>
          <w:szCs w:val="20"/>
          <w:color w:val="auto"/>
        </w:rPr>
      </w:pPr>
      <w:r>
        <w:rPr>
          <w:rFonts w:ascii="Arial" w:cs="Arial" w:eastAsia="Arial" w:hAnsi="Arial"/>
          <w:sz w:val="17"/>
          <w:szCs w:val="17"/>
          <w:color w:val="auto"/>
        </w:rPr>
        <w:t>M012345678901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27329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This e-mail covers TI shares registered directly in your name and TI shares allocable to employee benefit plan(s). Should you have an account in the TI Contribution and 401(k) Savings Plan or the TI 401(k) Savings Plan, this proxy represents the number of TI shares allocable to the plan account as well as other shares registered in your name. As a "named fiduciary" under the plans for TI shares allocable to the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13, 2009,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you receive more than one e-mail or a proxy card in addition to this e-mail, it generally means that your holdings are listed under other names or different spellings of your name, and you must vote under all e-mails and any proxy cards to vote all shares.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You may also view the proxy materials at: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Annual Report (PDF)</w:t>
      </w:r>
    </w:p>
    <w:p>
      <w:pPr>
        <w:spacing w:after="0"/>
        <w:rPr>
          <w:sz w:val="20"/>
          <w:szCs w:val="20"/>
          <w:color w:val="auto"/>
        </w:rPr>
      </w:pPr>
      <w:r>
        <w:rPr>
          <w:rFonts w:ascii="Arial" w:cs="Arial" w:eastAsia="Arial" w:hAnsi="Arial"/>
          <w:sz w:val="17"/>
          <w:szCs w:val="17"/>
          <w:u w:val="single" w:color="auto"/>
          <w:color w:val="auto"/>
        </w:rPr>
        <w:t>http://materials.proxyvote.com/882508</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Annual Report (HTML)</w:t>
      </w:r>
    </w:p>
    <w:p>
      <w:pPr>
        <w:spacing w:after="0"/>
        <w:rPr>
          <w:sz w:val="20"/>
          <w:szCs w:val="20"/>
          <w:color w:val="auto"/>
        </w:rPr>
      </w:pPr>
      <w:r>
        <w:rPr>
          <w:rFonts w:ascii="Arial" w:cs="Arial" w:eastAsia="Arial" w:hAnsi="Arial"/>
          <w:sz w:val="17"/>
          <w:szCs w:val="17"/>
          <w:u w:val="single" w:color="auto"/>
          <w:color w:val="auto"/>
        </w:rPr>
        <w:t>http://investor.ti.com/2008annualreport/index.html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(PDF)</w:t>
      </w:r>
    </w:p>
    <w:p>
      <w:pPr>
        <w:spacing w:after="0"/>
        <w:rPr>
          <w:sz w:val="20"/>
          <w:szCs w:val="20"/>
          <w:color w:val="auto"/>
        </w:rPr>
      </w:pPr>
      <w:r>
        <w:rPr>
          <w:rFonts w:ascii="Arial" w:cs="Arial" w:eastAsia="Arial" w:hAnsi="Arial"/>
          <w:sz w:val="17"/>
          <w:szCs w:val="17"/>
          <w:u w:val="single" w:color="auto"/>
          <w:color w:val="auto"/>
        </w:rPr>
        <w:t>http://materials.proxyvote.com/882508</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(HTML)</w:t>
      </w:r>
    </w:p>
    <w:p>
      <w:pPr>
        <w:spacing w:after="0"/>
        <w:rPr>
          <w:sz w:val="20"/>
          <w:szCs w:val="20"/>
          <w:color w:val="auto"/>
        </w:rPr>
      </w:pPr>
      <w:r>
        <w:rPr>
          <w:rFonts w:ascii="Arial" w:cs="Arial" w:eastAsia="Arial" w:hAnsi="Arial"/>
          <w:sz w:val="17"/>
          <w:szCs w:val="17"/>
          <w:u w:val="single" w:color="auto"/>
          <w:color w:val="auto"/>
        </w:rPr>
        <w:t>http://investor.ti.com/2009proxy/index.html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To view the proxy materials, you may need Adobe Acrobat Reader, which is available at the following Internet site:</w:t>
      </w:r>
    </w:p>
    <w:p>
      <w:pPr>
        <w:spacing w:after="0"/>
        <w:rPr>
          <w:sz w:val="20"/>
          <w:szCs w:val="20"/>
          <w:color w:val="auto"/>
        </w:rPr>
      </w:pPr>
      <w:r>
        <w:rPr>
          <w:rFonts w:ascii="Arial" w:cs="Arial" w:eastAsia="Arial" w:hAnsi="Arial"/>
          <w:sz w:val="17"/>
          <w:szCs w:val="17"/>
          <w:u w:val="single" w:color="auto"/>
          <w:color w:val="auto"/>
        </w:rPr>
        <w:t>http://www.adobe.com/products/acrobat/readstep2.html</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There are no charges for any of the services referenced herein. There may be costs associated with electronic access, such as usage charges from Internet access providers and telephone companies, that must be borne by the stockholder.</w:t>
      </w:r>
    </w:p>
    <w:p>
      <w:pPr>
        <w:sectPr>
          <w:pgSz w:w="11900" w:h="16838" w:orient="portrait"/>
          <w:cols w:equalWidth="0" w:num="1">
            <w:col w:w="11420"/>
          </w:cols>
          <w:pgMar w:left="240" w:top="1010" w:right="239" w:bottom="0" w:gutter="0" w:footer="0" w:header="0"/>
        </w:sectPr>
      </w:pPr>
    </w:p>
    <w:bookmarkStart w:id="46" w:name="page47"/>
    <w:bookmarkEnd w:id="46"/>
    <w:p>
      <w:pPr>
        <w:ind w:right="100"/>
        <w:spacing w:after="0" w:line="246" w:lineRule="auto"/>
        <w:rPr>
          <w:sz w:val="20"/>
          <w:szCs w:val="20"/>
          <w:color w:val="auto"/>
        </w:rPr>
      </w:pPr>
      <w:r>
        <w:rPr>
          <w:rFonts w:ascii="Arial" w:cs="Arial" w:eastAsia="Arial" w:hAnsi="Arial"/>
          <w:sz w:val="17"/>
          <w:szCs w:val="17"/>
          <w:color w:val="auto"/>
        </w:rPr>
        <w:t>PAPER COPIES - You may receive paper copies of the Proxy Statement and Annual Report free of charge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7329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351790</wp:posOffset>
            </wp:positionV>
            <wp:extent cx="77279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2795" cy="2057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368300</wp:posOffset>
            </wp:positionV>
            <wp:extent cx="1644650" cy="6165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44650"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280"/>
        <w:spacing w:after="0"/>
        <w:rPr>
          <w:sz w:val="20"/>
          <w:szCs w:val="20"/>
          <w:color w:val="auto"/>
        </w:rPr>
      </w:pPr>
      <w:r>
        <w:rPr>
          <w:rFonts w:ascii="Arial" w:cs="Arial" w:eastAsia="Arial" w:hAnsi="Arial"/>
          <w:sz w:val="17"/>
          <w:szCs w:val="17"/>
          <w:color w:val="FFFFFF"/>
        </w:rPr>
        <w:t>March 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656565"/>
        </w:rPr>
        <w:t>TEXAS INSTRUMENTS INCORPORATED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4480" w:type="dxa"/>
            <w:vAlign w:val="bottom"/>
          </w:tcPr>
          <w:p>
            <w:pPr>
              <w:ind w:left="2500"/>
              <w:spacing w:after="0"/>
              <w:rPr>
                <w:sz w:val="20"/>
                <w:szCs w:val="20"/>
                <w:color w:val="auto"/>
              </w:rPr>
            </w:pPr>
            <w:r>
              <w:rPr>
                <w:rFonts w:ascii="Arial" w:cs="Arial" w:eastAsia="Arial" w:hAnsi="Arial"/>
                <w:sz w:val="17"/>
                <w:szCs w:val="17"/>
                <w:b w:val="1"/>
                <w:bCs w:val="1"/>
                <w:color w:val="auto"/>
              </w:rPr>
              <w:t>Meeting Material(s)</w:t>
            </w:r>
          </w:p>
        </w:tc>
      </w:tr>
      <w:tr>
        <w:trPr>
          <w:trHeight w:val="427"/>
        </w:trPr>
        <w:tc>
          <w:tcPr>
            <w:tcW w:w="5500" w:type="dxa"/>
            <w:vAlign w:val="bottom"/>
          </w:tcPr>
          <w:p>
            <w:pPr>
              <w:spacing w:after="0"/>
              <w:rPr>
                <w:sz w:val="20"/>
                <w:szCs w:val="20"/>
                <w:color w:val="auto"/>
              </w:rPr>
            </w:pPr>
            <w:r>
              <w:rPr>
                <w:rFonts w:ascii="Arial" w:cs="Arial" w:eastAsia="Arial" w:hAnsi="Arial"/>
                <w:sz w:val="17"/>
                <w:szCs w:val="17"/>
                <w:b w:val="1"/>
                <w:bCs w:val="1"/>
                <w:color w:val="auto"/>
              </w:rPr>
              <w:t>2009 Annual Meeting of Shareholders</w:t>
            </w:r>
          </w:p>
        </w:tc>
        <w:tc>
          <w:tcPr>
            <w:tcW w:w="4480" w:type="dxa"/>
            <w:vAlign w:val="bottom"/>
          </w:tcPr>
          <w:p>
            <w:pPr>
              <w:ind w:left="3240"/>
              <w:spacing w:after="0"/>
              <w:rPr>
                <w:sz w:val="20"/>
                <w:szCs w:val="20"/>
                <w:color w:val="auto"/>
              </w:rPr>
            </w:pPr>
            <w:r>
              <w:rPr>
                <w:rFonts w:ascii="Arial" w:cs="Arial" w:eastAsia="Arial" w:hAnsi="Arial"/>
                <w:sz w:val="17"/>
                <w:szCs w:val="17"/>
                <w:color w:val="auto"/>
              </w:rPr>
              <w:t>Annual Report</w:t>
            </w:r>
          </w:p>
        </w:tc>
      </w:tr>
      <w:tr>
        <w:trPr>
          <w:trHeight w:val="414"/>
        </w:trPr>
        <w:tc>
          <w:tcPr>
            <w:tcW w:w="5500" w:type="dxa"/>
            <w:vAlign w:val="bottom"/>
          </w:tcPr>
          <w:p>
            <w:pPr>
              <w:spacing w:after="0"/>
              <w:rPr>
                <w:sz w:val="20"/>
                <w:szCs w:val="20"/>
                <w:color w:val="auto"/>
              </w:rPr>
            </w:pPr>
            <w:r>
              <w:rPr>
                <w:rFonts w:ascii="Arial" w:cs="Arial" w:eastAsia="Arial" w:hAnsi="Arial"/>
                <w:sz w:val="17"/>
                <w:szCs w:val="17"/>
                <w:b w:val="1"/>
                <w:bCs w:val="1"/>
                <w:color w:val="auto"/>
              </w:rPr>
              <w:t>Thursday, April 16, 2009</w:t>
            </w:r>
          </w:p>
        </w:tc>
        <w:tc>
          <w:tcPr>
            <w:tcW w:w="4480" w:type="dxa"/>
            <w:vAlign w:val="bottom"/>
          </w:tcPr>
          <w:p>
            <w:pPr>
              <w:ind w:left="3240"/>
              <w:spacing w:after="0"/>
              <w:rPr>
                <w:sz w:val="20"/>
                <w:szCs w:val="20"/>
                <w:color w:val="auto"/>
              </w:rPr>
            </w:pPr>
            <w:r>
              <w:rPr>
                <w:rFonts w:ascii="Arial" w:cs="Arial" w:eastAsia="Arial" w:hAnsi="Arial"/>
                <w:sz w:val="17"/>
                <w:szCs w:val="17"/>
                <w:color w:val="auto"/>
                <w:w w:val="97"/>
              </w:rPr>
              <w:t>Proxy Statement</w:t>
            </w:r>
          </w:p>
        </w:tc>
      </w:tr>
      <w:tr>
        <w:trPr>
          <w:trHeight w:val="414"/>
        </w:trPr>
        <w:tc>
          <w:tcPr>
            <w:tcW w:w="5500" w:type="dxa"/>
            <w:vAlign w:val="bottom"/>
          </w:tcPr>
          <w:p>
            <w:pPr>
              <w:spacing w:after="0"/>
              <w:rPr>
                <w:sz w:val="20"/>
                <w:szCs w:val="20"/>
                <w:color w:val="auto"/>
              </w:rPr>
            </w:pPr>
            <w:r>
              <w:rPr>
                <w:rFonts w:ascii="Arial" w:cs="Arial" w:eastAsia="Arial" w:hAnsi="Arial"/>
                <w:sz w:val="17"/>
                <w:szCs w:val="17"/>
                <w:b w:val="1"/>
                <w:bCs w:val="1"/>
                <w:color w:val="auto"/>
              </w:rPr>
              <w:t>For holders as of: 02/17/2009</w:t>
            </w:r>
          </w:p>
        </w:tc>
        <w:tc>
          <w:tcPr>
            <w:tcW w:w="4480" w:type="dxa"/>
            <w:vAlign w:val="bottom"/>
          </w:tcPr>
          <w:p>
            <w:pPr>
              <w:ind w:left="3240"/>
              <w:spacing w:after="0"/>
              <w:rPr>
                <w:sz w:val="20"/>
                <w:szCs w:val="20"/>
                <w:color w:val="auto"/>
              </w:rPr>
            </w:pPr>
            <w:r>
              <w:rPr>
                <w:rFonts w:ascii="Arial" w:cs="Arial" w:eastAsia="Arial" w:hAnsi="Arial"/>
                <w:sz w:val="17"/>
                <w:szCs w:val="17"/>
                <w:color w:val="auto"/>
                <w:w w:val="97"/>
              </w:rPr>
              <w:t>Proxy Statement</w:t>
            </w:r>
          </w:p>
        </w:tc>
      </w:tr>
      <w:tr>
        <w:trPr>
          <w:trHeight w:val="414"/>
        </w:trPr>
        <w:tc>
          <w:tcPr>
            <w:tcW w:w="5500" w:type="dxa"/>
            <w:vAlign w:val="bottom"/>
          </w:tcPr>
          <w:p>
            <w:pPr>
              <w:spacing w:after="0"/>
              <w:rPr>
                <w:sz w:val="20"/>
                <w:szCs w:val="20"/>
                <w:color w:val="auto"/>
              </w:rPr>
            </w:pPr>
            <w:r>
              <w:rPr>
                <w:rFonts w:ascii="Arial" w:cs="Arial" w:eastAsia="Arial" w:hAnsi="Arial"/>
                <w:sz w:val="17"/>
                <w:szCs w:val="17"/>
                <w:b w:val="1"/>
                <w:bCs w:val="1"/>
                <w:color w:val="auto"/>
              </w:rPr>
              <w:t>Cusip: 882508-104</w:t>
            </w:r>
          </w:p>
        </w:tc>
        <w:tc>
          <w:tcPr>
            <w:tcW w:w="4480" w:type="dxa"/>
            <w:vAlign w:val="bottom"/>
          </w:tcPr>
          <w:p>
            <w:pPr>
              <w:ind w:left="3240"/>
              <w:spacing w:after="0"/>
              <w:rPr>
                <w:sz w:val="20"/>
                <w:szCs w:val="20"/>
                <w:color w:val="auto"/>
              </w:rPr>
            </w:pPr>
            <w:r>
              <w:rPr>
                <w:rFonts w:ascii="Arial" w:cs="Arial" w:eastAsia="Arial" w:hAnsi="Arial"/>
                <w:sz w:val="17"/>
                <w:szCs w:val="17"/>
                <w:color w:val="auto"/>
              </w:rPr>
              <w:t>Annual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-882650</wp:posOffset>
            </wp:positionV>
            <wp:extent cx="58420" cy="584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-619125</wp:posOffset>
            </wp:positionV>
            <wp:extent cx="58420" cy="584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-356235</wp:posOffset>
            </wp:positionV>
            <wp:extent cx="58420" cy="584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-93345</wp:posOffset>
            </wp:positionV>
            <wp:extent cx="58420" cy="584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As your vote is very important, we recommend that all voting instructions be received at least one business day prior to the voting cut-off time stated in the proxy materials. Scroll down for proxy instructions and voting.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vote via telephone, call </w:t>
      </w:r>
      <w:r>
        <w:rPr>
          <w:rFonts w:ascii="Arial" w:cs="Arial" w:eastAsia="Arial" w:hAnsi="Arial"/>
          <w:sz w:val="17"/>
          <w:szCs w:val="17"/>
          <w:b w:val="1"/>
          <w:bCs w:val="1"/>
          <w:color w:val="auto"/>
        </w:rPr>
        <w:t>1-800-690-6903.</w:t>
      </w:r>
    </w:p>
    <w:p>
      <w:pPr>
        <w:spacing w:after="0" w:line="7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FFFFFF"/>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-113030</wp:posOffset>
            </wp:positionV>
            <wp:extent cx="7169785" cy="1231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785" cy="1231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TEXAS INSTRUMENTS INCORPORATED</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2009 Annual Meeting of Shareholders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To be held on 04/16/2009 for holders of record as of 02/17/2009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315200" cy="36385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5200" cy="363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PROXY FOR ANNUAL MEETING TO BE HELD APRIL 16, 2009</w:t>
      </w: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26" w:lineRule="exact"/>
        <w:rPr>
          <w:sz w:val="20"/>
          <w:szCs w:val="20"/>
          <w:color w:val="auto"/>
        </w:rPr>
      </w:pPr>
    </w:p>
    <w:p>
      <w:pPr>
        <w:jc w:val="both"/>
        <w:ind w:left="160"/>
        <w:spacing w:after="0"/>
        <w:rPr>
          <w:sz w:val="20"/>
          <w:szCs w:val="20"/>
          <w:color w:val="auto"/>
        </w:rPr>
      </w:pPr>
      <w:r>
        <w:rPr>
          <w:rFonts w:ascii="Arial" w:cs="Arial" w:eastAsia="Arial" w:hAnsi="Arial"/>
          <w:sz w:val="17"/>
          <w:szCs w:val="17"/>
          <w:color w:val="auto"/>
        </w:rPr>
        <w:t>The undersigned hereby appoints DANIEL A. CARP, PAMELA H. PATSLEY, RUTH J. SIMMONS, RICHARD K. TEMPLETON, or any one or more o them, the true and lawful attorneys of the undersigned with power of substitution, to vote as proxies for the undersigned at the annual meeting o stockholders of Texas Instruments Incorporated to be held in Dallas, Texas, on April 16, 2009, at 10:00 a.m. (Dallas time) and at any or all adjournment thereof, according to the number of shares of common stock that the undersigned would be entitled to vote if then personally present, in the election o</w:t>
      </w:r>
    </w:p>
    <w:p>
      <w:pPr>
        <w:spacing w:after="0" w:line="3" w:lineRule="exact"/>
        <w:rPr>
          <w:sz w:val="20"/>
          <w:szCs w:val="20"/>
          <w:color w:val="auto"/>
        </w:rPr>
      </w:pPr>
    </w:p>
    <w:p>
      <w:pPr>
        <w:jc w:val="both"/>
        <w:ind w:left="160" w:right="20"/>
        <w:spacing w:after="0" w:line="277" w:lineRule="auto"/>
        <w:rPr>
          <w:sz w:val="20"/>
          <w:szCs w:val="20"/>
          <w:color w:val="auto"/>
        </w:rPr>
      </w:pPr>
      <w:r>
        <w:rPr>
          <w:rFonts w:ascii="Arial" w:cs="Arial" w:eastAsia="Arial" w:hAnsi="Arial"/>
          <w:sz w:val="17"/>
          <w:szCs w:val="17"/>
          <w:color w:val="auto"/>
        </w:rPr>
        <w:t xml:space="preserve">directors, upon the board proposals, upon the stockholder proposal, and upon other matters properly coming before the meeting. </w:t>
      </w:r>
      <w:r>
        <w:rPr>
          <w:rFonts w:ascii="Arial" w:cs="Arial" w:eastAsia="Arial" w:hAnsi="Arial"/>
          <w:sz w:val="17"/>
          <w:szCs w:val="17"/>
          <w:b w:val="1"/>
          <w:bCs w:val="1"/>
          <w:color w:val="auto"/>
        </w:rPr>
        <w:t>If no contrar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indication is made, this proxy will be voted FOR the election of each director nominee and the board proposals and AGAINST the stockholde proposal. </w:t>
      </w:r>
      <w:r>
        <w:rPr>
          <w:rFonts w:ascii="Arial" w:cs="Arial" w:eastAsia="Arial" w:hAnsi="Arial"/>
          <w:sz w:val="17"/>
          <w:szCs w:val="17"/>
          <w:color w:val="auto"/>
        </w:rPr>
        <w:t>If other matters come before the meeting, this proxy will be voted in the discretion of the named proxies.</w:t>
      </w:r>
    </w:p>
    <w:p>
      <w:pPr>
        <w:spacing w:after="0" w:line="183" w:lineRule="exact"/>
        <w:rPr>
          <w:sz w:val="20"/>
          <w:szCs w:val="20"/>
          <w:color w:val="auto"/>
        </w:rPr>
      </w:pPr>
    </w:p>
    <w:p>
      <w:pPr>
        <w:jc w:val="both"/>
        <w:ind w:left="160"/>
        <w:spacing w:after="0" w:line="239"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 allocable to that plan account as well as other shares registered in your name. As a "named fiduciary" under the plans for TI shares allocable to that pla account and for shares for which no voting instructions are received, this proxy will serve as voting instructions for The Northern Trust Company, truste for the plans, or its designee. The plans provide that the trustee will vote each participant’s shares in accordance with the participant’s instructions. If th trustee does not receive voting instructions for TI shares under the plans by April 13, 2009, those shares will be voted, in accordance with the terms o plans, in the same proportion as the shares for which voting instructions have been received. If other matters come before the meeting, the name proxies will vote plan shares on those matters in their discretion.</w:t>
      </w:r>
    </w:p>
    <w:p>
      <w:pPr>
        <w:spacing w:after="0" w:line="184"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575310</wp:posOffset>
            </wp:positionV>
            <wp:extent cx="727329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329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805180</wp:posOffset>
            </wp:positionV>
            <wp:extent cx="7315200" cy="1155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5200" cy="115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Recommendations of the Board of Directors:</w:t>
      </w:r>
    </w:p>
    <w:p>
      <w:pPr>
        <w:spacing w:after="0" w:line="226" w:lineRule="exact"/>
        <w:rPr>
          <w:sz w:val="20"/>
          <w:szCs w:val="20"/>
          <w:color w:val="auto"/>
        </w:rPr>
      </w:pPr>
    </w:p>
    <w:p>
      <w:pPr>
        <w:jc w:val="center"/>
        <w:ind w:left="400"/>
        <w:spacing w:after="0" w:line="246" w:lineRule="auto"/>
        <w:rPr>
          <w:sz w:val="20"/>
          <w:szCs w:val="20"/>
          <w:color w:val="auto"/>
        </w:rPr>
      </w:pPr>
      <w:r>
        <w:rPr>
          <w:rFonts w:ascii="Arial" w:cs="Arial" w:eastAsia="Arial" w:hAnsi="Arial"/>
          <w:sz w:val="17"/>
          <w:szCs w:val="17"/>
          <w:color w:val="auto"/>
        </w:rPr>
        <w:t>Choose this option if you would like to vote your shares with the recommendations of the Board of Directors. See below or refer to the proxy statement fo details on the recommendations.</w:t>
      </w:r>
    </w:p>
    <w:p>
      <w:pPr>
        <w:spacing w:after="0" w:line="247"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FFFFFF"/>
        </w:rPr>
        <w:t>Vote with the Board's Recommendations</w:t>
      </w:r>
    </w:p>
    <w:p>
      <w:pPr>
        <w:sectPr>
          <w:pgSz w:w="11900" w:h="16838" w:orient="portrait"/>
          <w:cols w:equalWidth="0" w:num="1">
            <w:col w:w="11520"/>
          </w:cols>
          <w:pgMar w:left="240" w:top="143" w:right="139" w:bottom="73"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4"/>
        </w:trPr>
        <w:tc>
          <w:tcPr>
            <w:tcW w:w="120" w:type="dxa"/>
            <w:vAlign w:val="bottom"/>
            <w:tcBorders>
              <w:right w:val="single" w:sz="8" w:color="auto"/>
            </w:tcBorders>
          </w:tcPr>
          <w:p>
            <w:pPr>
              <w:spacing w:after="0"/>
              <w:rPr>
                <w:sz w:val="16"/>
                <w:szCs w:val="16"/>
                <w:color w:val="auto"/>
              </w:rPr>
            </w:pPr>
          </w:p>
        </w:tc>
        <w:tc>
          <w:tcPr>
            <w:tcW w:w="500" w:type="dxa"/>
            <w:vAlign w:val="bottom"/>
            <w:tcBorders>
              <w:top w:val="single" w:sz="8" w:color="auto"/>
              <w:right w:val="single" w:sz="8" w:color="auto"/>
            </w:tcBorders>
            <w:shd w:val="clear" w:color="auto" w:fill="C0C0C0"/>
          </w:tcPr>
          <w:p>
            <w:pPr>
              <w:spacing w:after="0"/>
              <w:rPr>
                <w:sz w:val="16"/>
                <w:szCs w:val="16"/>
                <w:color w:val="auto"/>
              </w:rPr>
            </w:pPr>
          </w:p>
        </w:tc>
        <w:tc>
          <w:tcPr>
            <w:tcW w:w="5020" w:type="dxa"/>
            <w:vAlign w:val="bottom"/>
            <w:tcBorders>
              <w:top w:val="single" w:sz="8" w:color="auto"/>
              <w:right w:val="single" w:sz="8" w:color="auto"/>
            </w:tcBorders>
            <w:vMerge w:val="restart"/>
            <w:shd w:val="clear" w:color="auto" w:fill="C0C0C0"/>
          </w:tcPr>
          <w:p>
            <w:pPr>
              <w:ind w:left="2040"/>
              <w:spacing w:after="0"/>
              <w:rPr>
                <w:sz w:val="20"/>
                <w:szCs w:val="20"/>
                <w:color w:val="auto"/>
              </w:rPr>
            </w:pPr>
            <w:r>
              <w:rPr>
                <w:rFonts w:ascii="Arial" w:cs="Arial" w:eastAsia="Arial" w:hAnsi="Arial"/>
                <w:sz w:val="17"/>
                <w:szCs w:val="17"/>
                <w:b w:val="1"/>
                <w:bCs w:val="1"/>
                <w:color w:val="auto"/>
              </w:rPr>
              <w:t>Proposal(s)</w:t>
            </w:r>
          </w:p>
        </w:tc>
        <w:tc>
          <w:tcPr>
            <w:tcW w:w="3340" w:type="dxa"/>
            <w:vAlign w:val="bottom"/>
            <w:tcBorders>
              <w:top w:val="single" w:sz="8" w:color="auto"/>
              <w:right w:val="single" w:sz="8" w:color="auto"/>
            </w:tcBorders>
            <w:shd w:val="clear" w:color="auto" w:fill="C0C0C0"/>
          </w:tcPr>
          <w:p>
            <w:pPr>
              <w:jc w:val="center"/>
              <w:spacing w:after="0" w:line="194" w:lineRule="exact"/>
              <w:rPr>
                <w:sz w:val="20"/>
                <w:szCs w:val="20"/>
                <w:color w:val="auto"/>
              </w:rPr>
            </w:pPr>
            <w:r>
              <w:rPr>
                <w:rFonts w:ascii="Arial" w:cs="Arial" w:eastAsia="Arial" w:hAnsi="Arial"/>
                <w:sz w:val="17"/>
                <w:szCs w:val="17"/>
                <w:b w:val="1"/>
                <w:bCs w:val="1"/>
                <w:color w:val="auto"/>
                <w:w w:val="99"/>
              </w:rPr>
              <w:t>Recommendations of the</w:t>
            </w:r>
          </w:p>
        </w:tc>
        <w:tc>
          <w:tcPr>
            <w:tcW w:w="100" w:type="dxa"/>
            <w:vAlign w:val="bottom"/>
            <w:tcBorders>
              <w:top w:val="single" w:sz="8" w:color="auto"/>
            </w:tcBorders>
            <w:shd w:val="clear" w:color="auto" w:fill="C0C0C0"/>
          </w:tcPr>
          <w:p>
            <w:pPr>
              <w:spacing w:after="0"/>
              <w:rPr>
                <w:sz w:val="16"/>
                <w:szCs w:val="16"/>
                <w:color w:val="auto"/>
              </w:rPr>
            </w:pPr>
          </w:p>
        </w:tc>
        <w:tc>
          <w:tcPr>
            <w:tcW w:w="400" w:type="dxa"/>
            <w:vAlign w:val="bottom"/>
            <w:tcBorders>
              <w:top w:val="single" w:sz="8" w:color="auto"/>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1740" w:type="dxa"/>
            <w:vAlign w:val="bottom"/>
            <w:tcBorders>
              <w:top w:val="single" w:sz="8" w:color="auto"/>
              <w:right w:val="single" w:sz="8" w:color="auto"/>
            </w:tcBorders>
            <w:gridSpan w:val="3"/>
            <w:vMerge w:val="restart"/>
            <w:shd w:val="clear" w:color="auto" w:fill="C0C0C0"/>
          </w:tcPr>
          <w:p>
            <w:pPr>
              <w:ind w:left="20"/>
              <w:spacing w:after="0"/>
              <w:rPr>
                <w:sz w:val="20"/>
                <w:szCs w:val="20"/>
                <w:color w:val="auto"/>
              </w:rPr>
            </w:pPr>
            <w:r>
              <w:rPr>
                <w:rFonts w:ascii="Arial" w:cs="Arial" w:eastAsia="Arial" w:hAnsi="Arial"/>
                <w:sz w:val="17"/>
                <w:szCs w:val="17"/>
                <w:b w:val="1"/>
                <w:bCs w:val="1"/>
                <w:color w:val="auto"/>
              </w:rPr>
              <w:t>Vote Options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shd w:val="clear" w:color="auto" w:fill="C0C0C0"/>
          </w:tcPr>
          <w:p>
            <w:pPr>
              <w:spacing w:after="0"/>
              <w:rPr>
                <w:sz w:val="10"/>
                <w:szCs w:val="10"/>
                <w:color w:val="auto"/>
              </w:rPr>
            </w:pPr>
          </w:p>
        </w:tc>
        <w:tc>
          <w:tcPr>
            <w:tcW w:w="5020" w:type="dxa"/>
            <w:vAlign w:val="bottom"/>
            <w:tcBorders>
              <w:right w:val="single" w:sz="8" w:color="auto"/>
            </w:tcBorders>
            <w:vMerge w:val="continue"/>
            <w:shd w:val="clear" w:color="auto" w:fill="C0C0C0"/>
          </w:tcPr>
          <w:p>
            <w:pPr>
              <w:spacing w:after="0"/>
              <w:rPr>
                <w:sz w:val="10"/>
                <w:szCs w:val="10"/>
                <w:color w:val="auto"/>
              </w:rPr>
            </w:pPr>
          </w:p>
        </w:tc>
        <w:tc>
          <w:tcPr>
            <w:tcW w:w="33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7"/>
                <w:szCs w:val="17"/>
                <w:b w:val="1"/>
                <w:bCs w:val="1"/>
                <w:color w:val="auto"/>
                <w:w w:val="97"/>
              </w:rPr>
              <w:t>Board of Directors</w:t>
            </w:r>
          </w:p>
        </w:tc>
        <w:tc>
          <w:tcPr>
            <w:tcW w:w="100" w:type="dxa"/>
            <w:vAlign w:val="bottom"/>
            <w:shd w:val="clear" w:color="auto" w:fill="C0C0C0"/>
          </w:tcPr>
          <w:p>
            <w:pPr>
              <w:spacing w:after="0"/>
              <w:rPr>
                <w:sz w:val="10"/>
                <w:szCs w:val="10"/>
                <w:color w:val="auto"/>
              </w:rPr>
            </w:pPr>
          </w:p>
        </w:tc>
        <w:tc>
          <w:tcPr>
            <w:tcW w:w="40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1740" w:type="dxa"/>
            <w:vAlign w:val="bottom"/>
            <w:tcBorders>
              <w:right w:val="single" w:sz="8" w:color="auto"/>
            </w:tcBorders>
            <w:gridSpan w:val="3"/>
            <w:vMerge w:val="continue"/>
            <w:shd w:val="clear" w:color="auto" w:fill="C0C0C0"/>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shd w:val="clear" w:color="auto" w:fill="C0C0C0"/>
          </w:tcPr>
          <w:p>
            <w:pPr>
              <w:spacing w:after="0"/>
              <w:rPr>
                <w:sz w:val="10"/>
                <w:szCs w:val="10"/>
                <w:color w:val="auto"/>
              </w:rPr>
            </w:pPr>
          </w:p>
        </w:tc>
        <w:tc>
          <w:tcPr>
            <w:tcW w:w="5020" w:type="dxa"/>
            <w:vAlign w:val="bottom"/>
            <w:tcBorders>
              <w:bottom w:val="single" w:sz="8" w:color="auto"/>
              <w:right w:val="single" w:sz="8" w:color="auto"/>
            </w:tcBorders>
            <w:shd w:val="clear" w:color="auto" w:fill="C0C0C0"/>
          </w:tcPr>
          <w:p>
            <w:pPr>
              <w:spacing w:after="0"/>
              <w:rPr>
                <w:sz w:val="10"/>
                <w:szCs w:val="10"/>
                <w:color w:val="auto"/>
              </w:rPr>
            </w:pPr>
          </w:p>
        </w:tc>
        <w:tc>
          <w:tcPr>
            <w:tcW w:w="3340" w:type="dxa"/>
            <w:vAlign w:val="bottom"/>
            <w:tcBorders>
              <w:bottom w:val="single" w:sz="8" w:color="auto"/>
              <w:right w:val="single" w:sz="8" w:color="auto"/>
            </w:tcBorders>
            <w:vMerge w:val="continue"/>
            <w:shd w:val="clear" w:color="auto" w:fill="C0C0C0"/>
          </w:tcPr>
          <w:p>
            <w:pPr>
              <w:spacing w:after="0"/>
              <w:rPr>
                <w:sz w:val="10"/>
                <w:szCs w:val="10"/>
                <w:color w:val="auto"/>
              </w:rPr>
            </w:pPr>
          </w:p>
        </w:tc>
        <w:tc>
          <w:tcPr>
            <w:tcW w:w="100" w:type="dxa"/>
            <w:vAlign w:val="bottom"/>
            <w:tcBorders>
              <w:bottom w:val="single" w:sz="8" w:color="auto"/>
            </w:tcBorders>
            <w:shd w:val="clear" w:color="auto" w:fill="C0C0C0"/>
          </w:tcPr>
          <w:p>
            <w:pPr>
              <w:spacing w:after="0"/>
              <w:rPr>
                <w:sz w:val="10"/>
                <w:szCs w:val="10"/>
                <w:color w:val="auto"/>
              </w:rPr>
            </w:pPr>
          </w:p>
        </w:tc>
        <w:tc>
          <w:tcPr>
            <w:tcW w:w="400" w:type="dxa"/>
            <w:vAlign w:val="bottom"/>
            <w:tcBorders>
              <w:bottom w:val="single" w:sz="8" w:color="auto"/>
            </w:tcBorders>
            <w:shd w:val="clear" w:color="auto" w:fill="C0C0C0"/>
          </w:tcPr>
          <w:p>
            <w:pPr>
              <w:spacing w:after="0"/>
              <w:rPr>
                <w:sz w:val="10"/>
                <w:szCs w:val="10"/>
                <w:color w:val="auto"/>
              </w:rPr>
            </w:pPr>
          </w:p>
        </w:tc>
        <w:tc>
          <w:tcPr>
            <w:tcW w:w="120" w:type="dxa"/>
            <w:vAlign w:val="bottom"/>
            <w:tcBorders>
              <w:bottom w:val="single" w:sz="8" w:color="auto"/>
            </w:tcBorders>
            <w:shd w:val="clear" w:color="auto" w:fill="C0C0C0"/>
          </w:tcPr>
          <w:p>
            <w:pPr>
              <w:spacing w:after="0"/>
              <w:rPr>
                <w:sz w:val="10"/>
                <w:szCs w:val="10"/>
                <w:color w:val="auto"/>
              </w:rPr>
            </w:pPr>
          </w:p>
        </w:tc>
        <w:tc>
          <w:tcPr>
            <w:tcW w:w="780" w:type="dxa"/>
            <w:vAlign w:val="bottom"/>
            <w:tcBorders>
              <w:bottom w:val="single" w:sz="8" w:color="auto"/>
            </w:tcBorders>
            <w:shd w:val="clear" w:color="auto" w:fill="C0C0C0"/>
          </w:tcPr>
          <w:p>
            <w:pPr>
              <w:spacing w:after="0"/>
              <w:rPr>
                <w:sz w:val="10"/>
                <w:szCs w:val="10"/>
                <w:color w:val="auto"/>
              </w:rPr>
            </w:pPr>
          </w:p>
        </w:tc>
        <w:tc>
          <w:tcPr>
            <w:tcW w:w="180" w:type="dxa"/>
            <w:vAlign w:val="bottom"/>
            <w:tcBorders>
              <w:bottom w:val="single" w:sz="8" w:color="auto"/>
            </w:tcBorders>
            <w:shd w:val="clear" w:color="auto" w:fill="C0C0C0"/>
          </w:tcPr>
          <w:p>
            <w:pPr>
              <w:spacing w:after="0"/>
              <w:rPr>
                <w:sz w:val="10"/>
                <w:szCs w:val="10"/>
                <w:color w:val="auto"/>
              </w:rPr>
            </w:pPr>
          </w:p>
        </w:tc>
        <w:tc>
          <w:tcPr>
            <w:tcW w:w="780" w:type="dxa"/>
            <w:vAlign w:val="bottom"/>
            <w:tcBorders>
              <w:bottom w:val="single" w:sz="8" w:color="auto"/>
              <w:right w:val="single" w:sz="8" w:color="auto"/>
            </w:tcBorders>
            <w:shd w:val="clear" w:color="auto" w:fill="C0C0C0"/>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20" w:type="dxa"/>
            <w:vAlign w:val="bottom"/>
            <w:tcBorders>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7"/>
                <w:szCs w:val="17"/>
                <w:color w:val="auto"/>
              </w:rPr>
              <w:t>1A</w:t>
            </w:r>
          </w:p>
        </w:tc>
        <w:tc>
          <w:tcPr>
            <w:tcW w:w="5020" w:type="dxa"/>
            <w:vAlign w:val="bottom"/>
            <w:tcBorders>
              <w:bottom w:val="single" w:sz="8" w:color="auto"/>
              <w:right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ELECTION OF DIRECTOR: J.R. ADAMS</w:t>
            </w:r>
          </w:p>
        </w:tc>
        <w:tc>
          <w:tcPr>
            <w:tcW w:w="334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line="184" w:lineRule="exact"/>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line="184" w:lineRule="exact"/>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1B</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D.L. BOREN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1C</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D.A. CARP</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1D</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C.S. COX</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1E</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D.R. GOODE</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1F</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S.P. MACMILLAN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1G</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P.H. PATSLEY</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1H</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W.R. SANDERS</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1I</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R.J. SIMMONS</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1J</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R.K. TEMPLETON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1K</w:t>
            </w: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C.T. WHITMAN</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02</w:t>
            </w:r>
          </w:p>
        </w:tc>
        <w:tc>
          <w:tcPr>
            <w:tcW w:w="50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b w:val="1"/>
                <w:bCs w:val="1"/>
                <w:color w:val="auto"/>
              </w:rPr>
              <w:t>BOARD PROPOSAL TO RATIFY THE APPOINTMENT OF</w:t>
            </w:r>
          </w:p>
        </w:tc>
        <w:tc>
          <w:tcPr>
            <w:tcW w:w="3340" w:type="dxa"/>
            <w:vAlign w:val="bottom"/>
            <w:tcBorders>
              <w:right w:val="single" w:sz="8" w:color="auto"/>
            </w:tcBorders>
          </w:tcPr>
          <w:p>
            <w:pPr>
              <w:spacing w:after="0"/>
              <w:rPr>
                <w:sz w:val="14"/>
                <w:szCs w:val="14"/>
                <w:color w:val="auto"/>
              </w:rPr>
            </w:pPr>
          </w:p>
        </w:tc>
        <w:tc>
          <w:tcPr>
            <w:tcW w:w="100" w:type="dxa"/>
            <w:vAlign w:val="bottom"/>
            <w:vMerge w:val="restart"/>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020" w:type="dxa"/>
            <w:vAlign w:val="bottom"/>
            <w:tcBorders>
              <w:right w:val="single" w:sz="8" w:color="auto"/>
            </w:tcBorders>
          </w:tcPr>
          <w:p>
            <w:pPr>
              <w:spacing w:after="0" w:line="194" w:lineRule="exact"/>
              <w:rPr>
                <w:sz w:val="20"/>
                <w:szCs w:val="20"/>
                <w:color w:val="auto"/>
              </w:rPr>
            </w:pPr>
            <w:r>
              <w:rPr>
                <w:rFonts w:ascii="Arial" w:cs="Arial" w:eastAsia="Arial" w:hAnsi="Arial"/>
                <w:sz w:val="17"/>
                <w:szCs w:val="17"/>
                <w:b w:val="1"/>
                <w:bCs w:val="1"/>
                <w:color w:val="auto"/>
              </w:rPr>
              <w:t>ERNST &amp; YOUNG LLP AS THE COMPANY'S INDEPENDENT</w:t>
            </w:r>
          </w:p>
        </w:tc>
        <w:tc>
          <w:tcPr>
            <w:tcW w:w="33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4"/>
              </w:rPr>
              <w:t>For</w:t>
            </w:r>
          </w:p>
        </w:tc>
        <w:tc>
          <w:tcPr>
            <w:tcW w:w="100" w:type="dxa"/>
            <w:vAlign w:val="bottom"/>
            <w:vMerge w:val="continue"/>
          </w:tcPr>
          <w:p>
            <w:pPr>
              <w:spacing w:after="0"/>
              <w:rPr>
                <w:sz w:val="16"/>
                <w:szCs w:val="16"/>
                <w:color w:val="auto"/>
              </w:rPr>
            </w:pPr>
          </w:p>
        </w:tc>
        <w:tc>
          <w:tcPr>
            <w:tcW w:w="400" w:type="dxa"/>
            <w:vAlign w:val="bottom"/>
          </w:tcPr>
          <w:p>
            <w:pPr>
              <w:ind w:left="80"/>
              <w:spacing w:after="0" w:line="194" w:lineRule="exact"/>
              <w:rPr>
                <w:sz w:val="20"/>
                <w:szCs w:val="20"/>
                <w:color w:val="auto"/>
              </w:rPr>
            </w:pPr>
            <w:r>
              <w:rPr>
                <w:rFonts w:ascii="Arial" w:cs="Arial" w:eastAsia="Arial" w:hAnsi="Arial"/>
                <w:sz w:val="17"/>
                <w:szCs w:val="17"/>
                <w:color w:val="auto"/>
              </w:rPr>
              <w:t>For</w:t>
            </w:r>
          </w:p>
        </w:tc>
        <w:tc>
          <w:tcPr>
            <w:tcW w:w="120" w:type="dxa"/>
            <w:vAlign w:val="bottom"/>
            <w:vMerge w:val="continue"/>
          </w:tcPr>
          <w:p>
            <w:pPr>
              <w:spacing w:after="0"/>
              <w:rPr>
                <w:sz w:val="16"/>
                <w:szCs w:val="16"/>
                <w:color w:val="auto"/>
              </w:rPr>
            </w:pPr>
          </w:p>
        </w:tc>
        <w:tc>
          <w:tcPr>
            <w:tcW w:w="780" w:type="dxa"/>
            <w:vAlign w:val="bottom"/>
          </w:tcPr>
          <w:p>
            <w:pPr>
              <w:ind w:left="140"/>
              <w:spacing w:after="0" w:line="194" w:lineRule="exact"/>
              <w:rPr>
                <w:sz w:val="20"/>
                <w:szCs w:val="20"/>
                <w:color w:val="auto"/>
              </w:rPr>
            </w:pPr>
            <w:r>
              <w:rPr>
                <w:rFonts w:ascii="Arial" w:cs="Arial" w:eastAsia="Arial" w:hAnsi="Arial"/>
                <w:sz w:val="17"/>
                <w:szCs w:val="17"/>
                <w:color w:val="auto"/>
              </w:rPr>
              <w:t>Against</w:t>
            </w:r>
          </w:p>
        </w:tc>
        <w:tc>
          <w:tcPr>
            <w:tcW w:w="180" w:type="dxa"/>
            <w:vAlign w:val="bottom"/>
            <w:vMerge w:val="continue"/>
          </w:tcPr>
          <w:p>
            <w:pPr>
              <w:spacing w:after="0"/>
              <w:rPr>
                <w:sz w:val="16"/>
                <w:szCs w:val="16"/>
                <w:color w:val="auto"/>
              </w:rPr>
            </w:pPr>
          </w:p>
        </w:tc>
        <w:tc>
          <w:tcPr>
            <w:tcW w:w="780" w:type="dxa"/>
            <w:vAlign w:val="bottom"/>
            <w:tcBorders>
              <w:right w:val="single" w:sz="8" w:color="auto"/>
            </w:tcBorders>
          </w:tcPr>
          <w:p>
            <w:pPr>
              <w:ind w:left="80"/>
              <w:spacing w:after="0" w:line="194" w:lineRule="exact"/>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REGISTERED PUBLIC ACCOUNTING FIRM FOR 2009.</w:t>
            </w:r>
          </w:p>
        </w:tc>
        <w:tc>
          <w:tcPr>
            <w:tcW w:w="33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03</w:t>
            </w:r>
          </w:p>
        </w:tc>
        <w:tc>
          <w:tcPr>
            <w:tcW w:w="50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b w:val="1"/>
                <w:bCs w:val="1"/>
                <w:color w:val="auto"/>
              </w:rPr>
              <w:t>BOARD PROPOSAL TO APPROVE A TEXAS INSTRUMENTS</w:t>
            </w:r>
          </w:p>
        </w:tc>
        <w:tc>
          <w:tcPr>
            <w:tcW w:w="3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vMerge w:val="restart"/>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vMerge w:val="restart"/>
          </w:tcPr>
          <w:p>
            <w:pPr>
              <w:ind w:left="80"/>
              <w:spacing w:after="0"/>
              <w:rPr>
                <w:sz w:val="20"/>
                <w:szCs w:val="20"/>
                <w:color w:val="auto"/>
              </w:rPr>
            </w:pPr>
            <w:r>
              <w:rPr>
                <w:rFonts w:ascii="Arial" w:cs="Arial" w:eastAsia="Arial" w:hAnsi="Arial"/>
                <w:sz w:val="17"/>
                <w:szCs w:val="17"/>
                <w:color w:val="auto"/>
              </w:rPr>
              <w:t>For</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0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2009 LONG-TERM COMPENSATION PLAN.</w:t>
            </w:r>
          </w:p>
        </w:tc>
        <w:tc>
          <w:tcPr>
            <w:tcW w:w="3340" w:type="dxa"/>
            <w:vAlign w:val="bottom"/>
            <w:tcBorders>
              <w:right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Borders>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020" w:type="dxa"/>
            <w:vAlign w:val="bottom"/>
            <w:tcBorders>
              <w:bottom w:val="single" w:sz="8" w:color="auto"/>
              <w:right w:val="single" w:sz="8" w:color="auto"/>
            </w:tcBorders>
            <w:vMerge w:val="continue"/>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04</w:t>
            </w:r>
          </w:p>
        </w:tc>
        <w:tc>
          <w:tcPr>
            <w:tcW w:w="50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b w:val="1"/>
                <w:bCs w:val="1"/>
                <w:color w:val="auto"/>
              </w:rPr>
              <w:t>BOARD PROPOSAL TO APPROVE A TEXAS INSTRUMENTS</w:t>
            </w:r>
          </w:p>
        </w:tc>
        <w:tc>
          <w:tcPr>
            <w:tcW w:w="3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vMerge w:val="restart"/>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vMerge w:val="restart"/>
          </w:tcPr>
          <w:p>
            <w:pPr>
              <w:ind w:left="80"/>
              <w:spacing w:after="0"/>
              <w:rPr>
                <w:sz w:val="20"/>
                <w:szCs w:val="20"/>
                <w:color w:val="auto"/>
              </w:rPr>
            </w:pPr>
            <w:r>
              <w:rPr>
                <w:rFonts w:ascii="Arial" w:cs="Arial" w:eastAsia="Arial" w:hAnsi="Arial"/>
                <w:sz w:val="17"/>
                <w:szCs w:val="17"/>
                <w:color w:val="auto"/>
              </w:rPr>
              <w:t>For</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0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2009 DIRECTOR COMPENSATION PLAN.</w:t>
            </w:r>
          </w:p>
        </w:tc>
        <w:tc>
          <w:tcPr>
            <w:tcW w:w="3340" w:type="dxa"/>
            <w:vAlign w:val="bottom"/>
            <w:tcBorders>
              <w:right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Borders>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020" w:type="dxa"/>
            <w:vAlign w:val="bottom"/>
            <w:tcBorders>
              <w:bottom w:val="single" w:sz="8" w:color="auto"/>
              <w:right w:val="single" w:sz="8" w:color="auto"/>
            </w:tcBorders>
            <w:vMerge w:val="continue"/>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color w:val="auto"/>
              </w:rPr>
              <w:t>05</w:t>
            </w:r>
          </w:p>
        </w:tc>
        <w:tc>
          <w:tcPr>
            <w:tcW w:w="5020" w:type="dxa"/>
            <w:vAlign w:val="bottom"/>
            <w:tcBorders>
              <w:right w:val="single" w:sz="8" w:color="auto"/>
            </w:tcBorders>
          </w:tcPr>
          <w:p>
            <w:pPr>
              <w:spacing w:after="0" w:line="170" w:lineRule="exact"/>
              <w:rPr>
                <w:sz w:val="20"/>
                <w:szCs w:val="20"/>
                <w:color w:val="auto"/>
              </w:rPr>
            </w:pPr>
            <w:r>
              <w:rPr>
                <w:rFonts w:ascii="Arial" w:cs="Arial" w:eastAsia="Arial" w:hAnsi="Arial"/>
                <w:sz w:val="17"/>
                <w:szCs w:val="17"/>
                <w:b w:val="1"/>
                <w:bCs w:val="1"/>
                <w:color w:val="auto"/>
              </w:rPr>
              <w:t>STOCKHOLDER PROPOSAL REGARDING SEPARATION OF</w:t>
            </w:r>
          </w:p>
        </w:tc>
        <w:tc>
          <w:tcPr>
            <w:tcW w:w="3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Against</w:t>
            </w:r>
          </w:p>
        </w:tc>
        <w:tc>
          <w:tcPr>
            <w:tcW w:w="100" w:type="dxa"/>
            <w:vAlign w:val="bottom"/>
            <w:vMerge w:val="restart"/>
          </w:tcPr>
          <w:p>
            <w:pPr>
              <w:jc w:val="right"/>
              <w:ind w:right="18"/>
              <w:spacing w:after="0"/>
              <w:rPr>
                <w:sz w:val="20"/>
                <w:szCs w:val="20"/>
                <w:color w:val="auto"/>
              </w:rPr>
            </w:pPr>
            <w:r>
              <w:rPr>
                <w:rFonts w:ascii="Arial" w:cs="Arial" w:eastAsia="Arial" w:hAnsi="Arial"/>
                <w:sz w:val="8"/>
                <w:szCs w:val="8"/>
                <w:color w:val="auto"/>
                <w:w w:val="73"/>
              </w:rPr>
              <w:t>¡</w:t>
            </w:r>
          </w:p>
        </w:tc>
        <w:tc>
          <w:tcPr>
            <w:tcW w:w="400" w:type="dxa"/>
            <w:vAlign w:val="bottom"/>
            <w:vMerge w:val="restart"/>
          </w:tcPr>
          <w:p>
            <w:pPr>
              <w:ind w:left="80"/>
              <w:spacing w:after="0"/>
              <w:rPr>
                <w:sz w:val="20"/>
                <w:szCs w:val="20"/>
                <w:color w:val="auto"/>
              </w:rPr>
            </w:pPr>
            <w:r>
              <w:rPr>
                <w:rFonts w:ascii="Arial" w:cs="Arial" w:eastAsia="Arial" w:hAnsi="Arial"/>
                <w:sz w:val="17"/>
                <w:szCs w:val="17"/>
                <w:color w:val="auto"/>
              </w:rPr>
              <w:t>For</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ind w:left="140"/>
              <w:spacing w:after="0"/>
              <w:rPr>
                <w:sz w:val="20"/>
                <w:szCs w:val="20"/>
                <w:color w:val="auto"/>
              </w:rPr>
            </w:pPr>
            <w:r>
              <w:rPr>
                <w:rFonts w:ascii="Arial" w:cs="Arial" w:eastAsia="Arial" w:hAnsi="Arial"/>
                <w:sz w:val="17"/>
                <w:szCs w:val="17"/>
                <w:color w:val="auto"/>
              </w:rPr>
              <w:t>Against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Abstain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50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ROLES OF CHAIRMAN AND CEO.</w:t>
            </w:r>
          </w:p>
        </w:tc>
        <w:tc>
          <w:tcPr>
            <w:tcW w:w="3340" w:type="dxa"/>
            <w:vAlign w:val="bottom"/>
            <w:tcBorders>
              <w:right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Borders>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020" w:type="dxa"/>
            <w:vAlign w:val="bottom"/>
            <w:tcBorders>
              <w:bottom w:val="single" w:sz="8" w:color="auto"/>
              <w:right w:val="single" w:sz="8" w:color="auto"/>
            </w:tcBorders>
            <w:vMerge w:val="continue"/>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3"/>
        </w:trPr>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14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2"/>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1"/>
      <w:numFmt w:val="upperLetter"/>
      <w:start w:val="1"/>
    </w:lvl>
    <w:lvl w:ilvl="1">
      <w:lvlJc w:val="left"/>
      <w:lvlText w:val="%2."/>
      <w:numFmt w:val="decimal"/>
      <w:start w:val="1"/>
    </w:lvl>
  </w:abstractNum>
  <w:abstractNum w:abstractNumId="3">
    <w:nsid w:val="38437FDB"/>
    <w:multiLevelType w:val="hybridMultilevel"/>
    <w:lvl w:ilvl="0">
      <w:lvlJc w:val="left"/>
      <w:lvlText w:val="%1."/>
      <w:numFmt w:val="upperLetter"/>
      <w:start w:val="3"/>
    </w:lvl>
    <w:lvl w:ilvl="1">
      <w:lvlJc w:val="left"/>
      <w:lvlText w:val="%2"/>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4"/>
    </w:lvl>
  </w:abstractNum>
  <w:abstractNum w:abstractNumId="8">
    <w:nsid w:val="749ABB43"/>
    <w:multiLevelType w:val="hybridMultilevel"/>
    <w:lvl w:ilvl="0">
      <w:lvlJc w:val="left"/>
      <w:lvlText w:val="(%1)"/>
      <w:numFmt w:val="decimal"/>
      <w:start w:val="5"/>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1"/>
      <w:numFmt w:val="bullet"/>
      <w:start w:val="1"/>
    </w:lvl>
  </w:abstractNum>
  <w:abstractNum w:abstractNumId="11">
    <w:nsid w:val="79A1DEAA"/>
    <w:multiLevelType w:val="hybridMultilevel"/>
    <w:lvl w:ilvl="0">
      <w:lvlJc w:val="left"/>
      <w:lvlText w:val="(%1)"/>
      <w:numFmt w:val="decimal"/>
      <w:start w:val="2"/>
    </w:lvl>
  </w:abstractNum>
  <w:abstractNum w:abstractNumId="12">
    <w:nsid w:val="75C6C33A"/>
    <w:multiLevelType w:val="hybridMultilevel"/>
    <w:lvl w:ilvl="0">
      <w:lvlJc w:val="left"/>
      <w:lvlText w:val="2"/>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3"/>
      <w:numFmt w:val="bullet"/>
      <w:start w:val="1"/>
    </w:lvl>
  </w:abstractNum>
  <w:abstractNum w:abstractNumId="16">
    <w:nsid w:val="374A3FE6"/>
    <w:multiLevelType w:val="hybridMultilevel"/>
    <w:lvl w:ilvl="0">
      <w:lvlJc w:val="left"/>
      <w:lvlText w:val="4"/>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7"/>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6"/>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lowerRoman"/>
      <w:start w:val="3"/>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2"/>
    </w:lvl>
  </w:abstractNum>
  <w:abstractNum w:abstractNumId="31">
    <w:nsid w:val="3F6AB60F"/>
    <w:multiLevelType w:val="hybridMultilevel"/>
    <w:lvl w:ilvl="0">
      <w:lvlJc w:val="left"/>
      <w:lvlText w:val="5"/>
      <w:numFmt w:val="bullet"/>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4"/>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3"/>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6"/>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5"/>
    </w:lvl>
  </w:abstractNum>
  <w:abstractNum w:abstractNumId="41">
    <w:nsid w:val="4AD084E9"/>
    <w:multiLevelType w:val="hybridMultilevel"/>
    <w:lvl w:ilvl="0">
      <w:lvlJc w:val="left"/>
      <w:lvlText w:val="(%1)"/>
      <w:numFmt w:val="decimal"/>
      <w:start w:val="3"/>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2"/>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5"/>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2"/>
    </w:lvl>
    <w:lvl w:ilvl="1">
      <w:lvlJc w:val="left"/>
      <w:lvlText w:val="(%2)"/>
      <w:numFmt w:val="lowerLetter"/>
      <w:start w:val="1"/>
    </w:lvl>
  </w:abstractNum>
  <w:abstractNum w:abstractNumId="50">
    <w:nsid w:val="799D0247"/>
    <w:multiLevelType w:val="hybridMultilevel"/>
    <w:lvl w:ilvl="0">
      <w:lvlJc w:val="left"/>
      <w:lvlText w:val="%1."/>
      <w:numFmt w:val="decimal"/>
      <w:start w:val="1"/>
    </w:lvl>
    <w:lvl w:ilvl="1">
      <w:lvlJc w:val="left"/>
      <w:lvlText w:val="(%2)"/>
      <w:numFmt w:val="lowerLetter"/>
      <w:start w:val="1"/>
    </w:lvl>
  </w:abstractNum>
  <w:abstractNum w:abstractNumId="51">
    <w:nsid w:val="6B94764"/>
    <w:multiLevelType w:val="hybridMultilevel"/>
    <w:lvl w:ilvl="0">
      <w:lvlJc w:val="left"/>
      <w:lvlText w:val="(%1)"/>
      <w:numFmt w:val="lowerLetter"/>
      <w:start w:val="1"/>
    </w:lvl>
  </w:abstractNum>
  <w:abstractNum w:abstractNumId="52">
    <w:nsid w:val="42C296BD"/>
    <w:multiLevelType w:val="hybridMultilevel"/>
    <w:lvl w:ilvl="0">
      <w:lvlJc w:val="left"/>
      <w:lvlText w:val="(%1)"/>
      <w:numFmt w:val="lowerLetter"/>
      <w:start w:val="26"/>
    </w:lvl>
  </w:abstractNum>
  <w:abstractNum w:abstractNumId="53">
    <w:nsid w:val="168E121F"/>
    <w:multiLevelType w:val="hybridMultilevel"/>
    <w:lvl w:ilvl="0">
      <w:lvlJc w:val="left"/>
      <w:lvlText w:val="(%1)"/>
      <w:numFmt w:val="lowerLetter"/>
      <w:start w:val="27"/>
    </w:lvl>
  </w:abstractNum>
  <w:abstractNum w:abstractNumId="54">
    <w:nsid w:val="1EBA5D23"/>
    <w:multiLevelType w:val="hybridMultilevel"/>
    <w:lvl w:ilvl="0">
      <w:lvlJc w:val="left"/>
      <w:lvlText w:val="(%1)"/>
      <w:numFmt w:val="lowerLetter"/>
      <w:start w:val="39"/>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3"/>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3"/>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lowerLetter"/>
      <w:start w:val="5"/>
    </w:lvl>
  </w:abstractNum>
  <w:abstractNum w:abstractNumId="66">
    <w:nsid w:val="1A32234B"/>
    <w:multiLevelType w:val="hybridMultilevel"/>
    <w:lvl w:ilvl="0">
      <w:lvlJc w:val="left"/>
      <w:lvlText w:val="(%1)"/>
      <w:numFmt w:val="lowerLetter"/>
      <w:start w:val="6"/>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3"/>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7"/>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lowerLetter"/>
      <w:start w:val="19"/>
    </w:lvl>
  </w:abstractNum>
  <w:abstractNum w:abstractNumId="73">
    <w:nsid w:val="7FFFCA11"/>
    <w:multiLevelType w:val="hybridMultilevel"/>
    <w:lvl w:ilvl="0">
      <w:lvlJc w:val="left"/>
      <w:lvlText w:val="(%1)"/>
      <w:numFmt w:val="lowerLetter"/>
      <w:start w:val="20"/>
    </w:lvl>
    <w:lvl w:ilvl="1">
      <w:lvlJc w:val="left"/>
      <w:lvlText w:val="(%2)"/>
      <w:numFmt w:val="lowerRoman"/>
      <w:start w:val="1"/>
    </w:lvl>
  </w:abstractNum>
  <w:abstractNum w:abstractNumId="74">
    <w:nsid w:val="1A27709E"/>
    <w:multiLevelType w:val="hybridMultilevel"/>
    <w:lvl w:ilvl="0">
      <w:lvlJc w:val="left"/>
      <w:lvlText w:val="(%1)"/>
      <w:numFmt w:val="lowerLetter"/>
      <w:start w:val="27"/>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8">
    <w:nsid w:val="6EB5BD4"/>
    <w:multiLevelType w:val="hybridMultilevel"/>
    <w:lvl w:ilvl="0">
      <w:lvlJc w:val="left"/>
      <w:lvlText w:val="(%1)"/>
      <w:numFmt w:val="lowerLetter"/>
      <w:start w:val="1"/>
    </w:lvl>
    <w:lvl w:ilvl="1">
      <w:lvlJc w:val="left"/>
      <w:lvlText w:val="(%2)"/>
      <w:numFmt w:val="lowerRoman"/>
      <w:start w:val="1"/>
    </w:lvl>
  </w:abstractNum>
  <w:abstractNum w:abstractNumId="79">
    <w:nsid w:val="6F6DD9AC"/>
    <w:multiLevelType w:val="hybridMultilevel"/>
    <w:lvl w:ilvl="0">
      <w:lvlJc w:val="left"/>
      <w:lvlText w:val="(%1)"/>
      <w:numFmt w:val="lowerLetter"/>
      <w:start w:val="7"/>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76272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83">
    <w:nsid w:val="4C04A8A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4">
    <w:nsid w:val="1716703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85">
    <w:nsid w:val="14E17E33"/>
    <w:multiLevelType w:val="hybridMultilevel"/>
    <w:lvl w:ilvl="0">
      <w:lvlJc w:val="left"/>
      <w:lvlText w:val="(%1)"/>
      <w:numFmt w:val="lowerRoman"/>
      <w:start w:val="1"/>
    </w:lvl>
  </w:abstractNum>
  <w:abstractNum w:abstractNumId="86">
    <w:nsid w:val="3222E7CD"/>
    <w:multiLevelType w:val="hybridMultilevel"/>
    <w:lvl w:ilvl="0">
      <w:lvlJc w:val="left"/>
      <w:lvlText w:val="["/>
      <w:numFmt w:val="bullet"/>
      <w:start w:val="1"/>
    </w:lvl>
    <w:lvl w:ilvl="1">
      <w:lvlJc w:val="left"/>
      <w:lvlText w:val="(%2)"/>
      <w:numFmt w:val="lowerLetter"/>
      <w:start w:val="10"/>
    </w:lvl>
  </w:abstractNum>
  <w:abstractNum w:abstractNumId="87">
    <w:nsid w:val="74DE0EE3"/>
    <w:multiLevelType w:val="hybridMultilevel"/>
    <w:lvl w:ilvl="0">
      <w:lvlJc w:val="left"/>
      <w:lvlText w:val="(%1)"/>
      <w:numFmt w:val="lowerLetter"/>
      <w:start w:val="1"/>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lowerLetter"/>
      <w:start w:val="2"/>
    </w:lvl>
  </w:abstractNum>
  <w:abstractNum w:abstractNumId="90">
    <w:nsid w:val="46B7D44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2019-12-10T02:18:05Z</dcterms:created>
  <dcterms:modified xsi:type="dcterms:W3CDTF">2019-12-10T02:18:05Z</dcterms:modified>
</cp:coreProperties>
</file>