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10" w:lineRule="exact"/>
        <w:rPr>
          <w:sz w:val="24"/>
          <w:szCs w:val="24"/>
          <w:color w:val="auto"/>
        </w:rPr>
      </w:pPr>
    </w:p>
    <w:p>
      <w:pPr>
        <w:ind w:left="2840"/>
        <w:spacing w:after="0"/>
        <w:tabs>
          <w:tab w:leader="none" w:pos="4800" w:val="left"/>
        </w:tabs>
        <w:rPr>
          <w:sz w:val="20"/>
          <w:szCs w:val="20"/>
          <w:color w:val="auto"/>
        </w:rPr>
      </w:pPr>
      <w:r>
        <w:rPr>
          <w:rFonts w:ascii="Courier New" w:cs="Courier New" w:eastAsia="Courier New" w:hAnsi="Courier New"/>
          <w:sz w:val="17"/>
          <w:szCs w:val="17"/>
          <w:color w:val="auto"/>
        </w:rPr>
        <w:t>Washington, D. C.</w:t>
        <w:tab/>
        <w:t>20549</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10-K</w:t>
      </w:r>
    </w:p>
    <w:p>
      <w:pPr>
        <w:spacing w:after="0" w:line="210" w:lineRule="exact"/>
        <w:rPr>
          <w:sz w:val="24"/>
          <w:szCs w:val="24"/>
          <w:color w:val="auto"/>
        </w:rPr>
      </w:pPr>
    </w:p>
    <w:p>
      <w:pPr>
        <w:ind w:left="1780"/>
        <w:spacing w:after="0"/>
        <w:rPr>
          <w:sz w:val="20"/>
          <w:szCs w:val="20"/>
          <w:color w:val="auto"/>
        </w:rPr>
      </w:pPr>
      <w:r>
        <w:rPr>
          <w:rFonts w:ascii="Courier New" w:cs="Courier New" w:eastAsia="Courier New" w:hAnsi="Courier New"/>
          <w:sz w:val="17"/>
          <w:szCs w:val="17"/>
          <w:color w:val="auto"/>
        </w:rPr>
        <w:t>ANNUAL REPORT PURSUANT TO SECTION 13 OR 15(d)</w:t>
      </w:r>
    </w:p>
    <w:p>
      <w:pPr>
        <w:spacing w:after="0" w:line="9"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1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For the Fiscal Year Ended December 31, 1995</w:t>
      </w:r>
    </w:p>
    <w:p>
      <w:pPr>
        <w:spacing w:after="0" w:line="9"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Commission File Number 1-3761</w:t>
      </w:r>
    </w:p>
    <w:p>
      <w:pPr>
        <w:spacing w:after="0" w:line="210"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TEXAS INSTRUMENTS INCORPORATED</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9" w:right="1440" w:bottom="0" w:gutter="0" w:footer="0" w:header="0"/>
        </w:sectPr>
      </w:pPr>
    </w:p>
    <w:p>
      <w:pPr>
        <w:spacing w:after="0" w:line="210"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75-0289970</w:t>
      </w:r>
    </w:p>
    <w:p>
      <w:pPr>
        <w:spacing w:after="0" w:line="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3160" w:space="720"/>
            <w:col w:w="6339"/>
          </w:cols>
          <w:pgMar w:left="240" w:top="249" w:right="1440" w:bottom="0" w:gutter="0" w:footer="0" w:header="0"/>
          <w:type w:val="continuous"/>
        </w:sectPr>
      </w:pPr>
    </w:p>
    <w:p>
      <w:pPr>
        <w:spacing w:after="0" w:line="10"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13500 North Central Expressway, P.O. Box 655474, Dallas, Texas, 75265-5474</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320"/>
        <w:spacing w:after="0"/>
        <w:tabs>
          <w:tab w:leader="none" w:pos="70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7"/>
          <w:szCs w:val="17"/>
          <w:color w:val="auto"/>
        </w:rPr>
        <w:t>(Zip Code)</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Registrant's telephone number, including area code 214-995-3773</w:t>
      </w:r>
    </w:p>
    <w:p>
      <w:pPr>
        <w:spacing w:after="0" w:line="210"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249" w:right="1440" w:bottom="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Title of each class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 par value $1.00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Preferred Stock Purchase Rights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each exchange on</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which registered</w:t>
      </w:r>
    </w:p>
    <w:p>
      <w:pPr>
        <w:spacing w:after="0" w:line="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London Stock Exchange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Tokyo Stock Exchange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Stock Exchanges of</w:t>
      </w:r>
    </w:p>
    <w:p>
      <w:pPr>
        <w:spacing w:after="0" w:line="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Zurich, Basle and</w:t>
      </w:r>
    </w:p>
    <w:p>
      <w:pPr>
        <w:spacing w:after="0" w:line="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Geneva</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200" w:lineRule="exact"/>
        <w:rPr>
          <w:sz w:val="24"/>
          <w:szCs w:val="24"/>
          <w:color w:val="auto"/>
        </w:rPr>
      </w:pPr>
    </w:p>
    <w:p>
      <w:pPr>
        <w:sectPr>
          <w:pgSz w:w="11900" w:h="16838" w:orient="portrait"/>
          <w:cols w:equalWidth="0" w:num="2">
            <w:col w:w="4840" w:space="720"/>
            <w:col w:w="4659"/>
          </w:cols>
          <w:pgMar w:left="240" w:top="249" w:right="1440" w:bottom="0" w:gutter="0" w:footer="0" w:header="0"/>
          <w:type w:val="continuous"/>
        </w:sectPr>
      </w:pPr>
    </w:p>
    <w:p>
      <w:pPr>
        <w:spacing w:after="0" w:line="10" w:lineRule="exact"/>
        <w:rPr>
          <w:sz w:val="24"/>
          <w:szCs w:val="24"/>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97" w:lineRule="exact"/>
        <w:rPr>
          <w:sz w:val="24"/>
          <w:szCs w:val="24"/>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p>
    <w:p>
      <w:pPr>
        <w:spacing w:after="0" w:line="197" w:lineRule="exact"/>
        <w:rPr>
          <w:sz w:val="24"/>
          <w:szCs w:val="24"/>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The aggregate market value of voting stock held by non-affiliates of the Registrant was approximately $8,662,000,000 as of January 31, 1996.</w:t>
      </w:r>
    </w:p>
    <w:p>
      <w:pPr>
        <w:spacing w:after="0" w:line="19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7"/>
          <w:szCs w:val="17"/>
          <w:color w:val="auto"/>
        </w:rPr>
        <w:t>189,423,197</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(Number of shares of common stock outstanding as of January 31, 1996)</w:t>
      </w:r>
    </w:p>
    <w:p>
      <w:pPr>
        <w:spacing w:after="0" w:line="210" w:lineRule="exact"/>
        <w:rPr>
          <w:sz w:val="24"/>
          <w:szCs w:val="24"/>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Parts I, II and IV hereof incorporate information by reference to the Registrant's 1995 annual report to stockholders. Part III hereof incorporates information by reference to the Registrant's proxy statement for the 1996 annual meeting of stockholders.</w:t>
      </w:r>
    </w:p>
    <w:p>
      <w:pPr>
        <w:spacing w:after="0" w:line="200" w:lineRule="exact"/>
        <w:rPr>
          <w:sz w:val="24"/>
          <w:szCs w:val="24"/>
          <w:color w:val="auto"/>
        </w:rPr>
      </w:pPr>
    </w:p>
    <w:p>
      <w:pPr>
        <w:spacing w:after="0" w:line="398"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Business.</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Texas Instruments Incorporated (hereinafter the "Registrant," including subsidiaries except where the context indicates otherwise) is engaged in the development, manufacture, and sale of a variety of products in the electrical and electronics industry for industrial, government, and consumer markets. These products consist of components, defense systems and electronics, and digital products. The Registrant also produces metallurgical materials. In addition, the Registrant's patent portfolio has been established as an ongoing contributor to the Registrant's revenues. The Registrant's business is based principally on its broad semiconductor technology and application of this technology to selected electronic end-</w:t>
      </w:r>
    </w:p>
    <w:p>
      <w:pPr>
        <w:sectPr>
          <w:pgSz w:w="11900" w:h="16838" w:orient="portrait"/>
          <w:cols w:equalWidth="0" w:num="1">
            <w:col w:w="10219"/>
          </w:cols>
          <w:pgMar w:left="240" w:top="249" w:right="1440" w:bottom="0" w:gutter="0" w:footer="0" w:header="0"/>
          <w:type w:val="continuous"/>
        </w:sectPr>
      </w:pPr>
    </w:p>
    <w:bookmarkStart w:id="1" w:name="page2"/>
    <w:bookmarkEnd w:id="1"/>
    <w:p>
      <w:pPr>
        <w:spacing w:after="0" w:line="11"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equipment markets. The Registrant from time to time considers acquisitions and divestitures which may alter its business mix. The Registrant may effect one or more such transactions at such time or times as the Registrant determines to be appropriate.</w:t>
      </w:r>
    </w:p>
    <w:p>
      <w:pPr>
        <w:spacing w:after="0" w:line="195" w:lineRule="exact"/>
        <w:rPr>
          <w:sz w:val="20"/>
          <w:szCs w:val="20"/>
          <w:color w:val="auto"/>
        </w:rPr>
      </w:pPr>
    </w:p>
    <w:p>
      <w:pPr>
        <w:ind w:right="2459" w:firstLine="1047"/>
        <w:spacing w:after="0" w:line="252" w:lineRule="auto"/>
        <w:rPr>
          <w:sz w:val="20"/>
          <w:szCs w:val="20"/>
          <w:color w:val="auto"/>
        </w:rPr>
      </w:pPr>
      <w:r>
        <w:rPr>
          <w:rFonts w:ascii="Courier New" w:cs="Courier New" w:eastAsia="Courier New" w:hAnsi="Courier New"/>
          <w:sz w:val="17"/>
          <w:szCs w:val="17"/>
          <w:color w:val="auto"/>
        </w:rPr>
        <w:t>The information with respect to net revenues, profit and identifiable assets of the Registrant's industry segments and operations outside the United States, which is contained in the note to the financial statements captioned "Industry Segment and Geographic Area Operations" on pages 35-37 of the Registrant's 1995 annual report to stockholders, is incorporated herein by reference to such annual report.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Components consist of semiconductor integrated circuits (such as digital signal processors, mixed signal and analog circuits, microprocessors/ microcontrollers, applications processors, memories, and digital circuits), semiconductor discrete devices, semiconductor subassemblies (such as custom modules for specific applications), and electrical and electronic control devices (such as motor protectors, starting relays, circuit breakers, thermostats, sensors, and radio-frequency identification systems).</w:t>
      </w:r>
    </w:p>
    <w:p>
      <w:pPr>
        <w:spacing w:after="0" w:line="196"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These components are used in a broad range of products for industrial end-use (such as computers and peripheral equipment, telecommunications, instrumentation, and industrial motor controls and automation equipment), consumer end-use (such as televisions, cameras, automobiles, home appliances, and residential air conditioning and heating systems), and government end-use (such as defense and space equipment). The Registrant sells these components primarily to original equipment manufacturers principally through its own marketing organizations and to a lesser extent through distributors.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Systems and Electronics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Defense systems and electronics consist of radar systems, navigation systems, infrared surveillance and fire control systems, defense suppression missiles, other weapon systems (including antitank and interdiction weapons), missile guidance and control systems, electronic warfare systems, and other defense electronic equipment. Sales are made to the U.S. government (either directly or through prime contractors) and to international customers approved by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Digital Products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3" w:lineRule="auto"/>
        <w:rPr>
          <w:sz w:val="20"/>
          <w:szCs w:val="20"/>
          <w:color w:val="auto"/>
        </w:rPr>
      </w:pPr>
      <w:r>
        <w:rPr>
          <w:rFonts w:ascii="Courier New" w:cs="Courier New" w:eastAsia="Courier New" w:hAnsi="Courier New"/>
          <w:sz w:val="17"/>
          <w:szCs w:val="17"/>
          <w:color w:val="auto"/>
        </w:rPr>
        <w:t>Digital products include software productivity tools, mobile computing products, printers, and electronic calculators. Subsequent to year-end 1995, the Registrant reached an agreement to sell substantially all of the Registrant's custom manufacturing services business.</w:t>
      </w:r>
    </w:p>
    <w:p>
      <w:pPr>
        <w:spacing w:after="0" w:line="195"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Digital products are used in a broad range of enterprise-wide, work group and personal information-based applications. The Registrant markets these products through various channels, including system suppliers, business equipment dealers, distributors, retailers, and direct sales to end-users and original equipment manufacturers.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Metallurgical Materials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Metallurgical materials include clad metals, precision-engineered parts and electronic connectors for use in a variety of applications such as appliances, automobiles, electronic components, and industrial and telecommunications equipment. These metallurgical materials are primarily sold directly to original equipment manufacturers.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both"/>
        <w:ind w:right="2459" w:firstLine="1047"/>
        <w:spacing w:after="0" w:line="251" w:lineRule="auto"/>
        <w:rPr>
          <w:sz w:val="20"/>
          <w:szCs w:val="20"/>
          <w:color w:val="auto"/>
        </w:rPr>
      </w:pPr>
      <w:r>
        <w:rPr>
          <w:rFonts w:ascii="Courier New" w:cs="Courier New" w:eastAsia="Courier New" w:hAnsi="Courier New"/>
          <w:sz w:val="17"/>
          <w:szCs w:val="17"/>
          <w:color w:val="auto"/>
        </w:rPr>
        <w:t>The Registrant is engaged in highly competitive businesses. Its competitors include several of the largest companies in the United States, Asia, and elsewhere abroad as well as many small, specialized companies.</w:t>
      </w:r>
    </w:p>
    <w:p>
      <w:pPr>
        <w:ind w:right="2359"/>
        <w:spacing w:after="0" w:line="253" w:lineRule="auto"/>
        <w:rPr>
          <w:sz w:val="20"/>
          <w:szCs w:val="20"/>
          <w:color w:val="auto"/>
        </w:rPr>
      </w:pPr>
      <w:r>
        <w:rPr>
          <w:rFonts w:ascii="Courier New" w:cs="Courier New" w:eastAsia="Courier New" w:hAnsi="Courier New"/>
          <w:sz w:val="17"/>
          <w:szCs w:val="17"/>
          <w:color w:val="auto"/>
        </w:rPr>
        <w:t>The Registrant is a significant competitor in each of its principal businesses. Generally, the Registrant's businesses are characterized by rapidly changing technology which has, throughout the Registrant's history, intensified the competitive factors, primarily performance and price.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Sales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49" w:orient="portrait"/>
          <w:cols w:equalWidth="0" w:num="1">
            <w:col w:w="10219"/>
          </w:cols>
          <w:pgMar w:left="240" w:top="142" w:right="1440" w:bottom="0" w:gutter="0" w:footer="0" w:header="0"/>
        </w:sectPr>
      </w:pPr>
    </w:p>
    <w:bookmarkStart w:id="2" w:name="page3"/>
    <w:bookmarkEnd w:id="2"/>
    <w:p>
      <w:pPr>
        <w:ind w:right="2039" w:firstLine="1047"/>
        <w:spacing w:after="0" w:line="254" w:lineRule="auto"/>
        <w:rPr>
          <w:sz w:val="20"/>
          <w:szCs w:val="20"/>
          <w:color w:val="auto"/>
        </w:rPr>
      </w:pPr>
      <w:r>
        <w:rPr>
          <w:rFonts w:ascii="Courier New" w:cs="Courier New" w:eastAsia="Courier New" w:hAnsi="Courier New"/>
          <w:sz w:val="17"/>
          <w:szCs w:val="17"/>
          <w:color w:val="auto"/>
        </w:rPr>
        <w:t>Net revenues directly from federal government agencies in the United States, principally related to the defense systems and electronics segment, accounted for approximately 8% of the Registrant's net revenues in 1995.</w:t>
      </w:r>
    </w:p>
    <w:p>
      <w:pPr>
        <w:spacing w:after="0" w:line="194"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Contracts for government sales generally contain provisions for cancellation at the convenience of the government. In addition, companies engaged in supplying military equipment to the government are dependent on congressional appropriations and administrative allotment of funds, and may be affected by changes in government policies resulting from various military and political developments. See "ITEM 3. Legal Proceedings."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dollar amount of backlog of orders believed by the Registrant to be firm was $4528 million as of December 31, 1995 and $3913 million as of December 31, 1994. Approximately 18% of the 1995 backlog (involving defense systems and electronics) is not expected to be filled within the current year. The backlog is significant in the business of the Registrant only as an indication of future revenues which may be entered on the books of account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Raw Materials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Registrant purchases materials, parts and supplies from a number of suppliers. The Registrant's silicon materials operation became part of a joint venture with MEMC Electronic Materials, Inc., in May 1995. The Registrant retains a minority ownership interest in the joint venture. The materials, parts and supplies essential to the Registrant's business are generally available at present and the Registrant believes at this time that such materials, parts and supplies will be available in the foreseeable future, although the Registrant has experienced some extended lead times on certain raw materials, particularly for silicon wafers, because of the rapid industry growth over the past three years.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Trademarks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139" w:firstLine="1047"/>
        <w:spacing w:after="0" w:line="251" w:lineRule="auto"/>
        <w:rPr>
          <w:sz w:val="20"/>
          <w:szCs w:val="20"/>
          <w:color w:val="auto"/>
        </w:rPr>
      </w:pPr>
      <w:r>
        <w:rPr>
          <w:rFonts w:ascii="Courier New" w:cs="Courier New" w:eastAsia="Courier New" w:hAnsi="Courier New"/>
          <w:sz w:val="17"/>
          <w:szCs w:val="17"/>
          <w:color w:val="auto"/>
        </w:rPr>
        <w:t>The Registrant owns many patents in the United States and other countries in fields relating to its business. The Registrant has developed a strong, broad-based patent portfolio. The Registrant also has several agreements with other companies involving license rights and anticipates that other licenses may be negotiated in the future. The Registrant does not consider its business materially dependent upon any one patent or patent license, although taken as a whole, the rights of the Registrant and the products made and sold under patents and patent licenses are important to the Registrant's business. As noted above, the Registrant's patent portfolio has been established as an ongoing contributor to the revenues of the Registrant. See "ITEM 7. Management's Discussion and Analysis of Financial Condition and Results of Operations" and "ITEM 3. Legal Proceedings."</w:t>
      </w:r>
    </w:p>
    <w:p>
      <w:pPr>
        <w:spacing w:after="0" w:line="201" w:lineRule="exact"/>
        <w:rPr>
          <w:sz w:val="20"/>
          <w:szCs w:val="20"/>
          <w:color w:val="auto"/>
        </w:rPr>
      </w:pPr>
    </w:p>
    <w:p>
      <w:pPr>
        <w:jc w:val="both"/>
        <w:ind w:right="2259" w:firstLine="1047"/>
        <w:spacing w:after="0" w:line="254" w:lineRule="auto"/>
        <w:rPr>
          <w:sz w:val="20"/>
          <w:szCs w:val="20"/>
          <w:color w:val="auto"/>
        </w:rPr>
      </w:pPr>
      <w:r>
        <w:rPr>
          <w:rFonts w:ascii="Courier New" w:cs="Courier New" w:eastAsia="Courier New" w:hAnsi="Courier New"/>
          <w:sz w:val="17"/>
          <w:szCs w:val="17"/>
          <w:color w:val="auto"/>
        </w:rPr>
        <w:t>The Registrant owns trademarks that are used in the conduct of its business. These trademarks are valuable assets, the most important of which are "Texas Instruments" and the Registrant's corporate monogram.</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both"/>
        <w:ind w:right="2259" w:firstLine="1047"/>
        <w:spacing w:after="0" w:line="257" w:lineRule="auto"/>
        <w:rPr>
          <w:sz w:val="20"/>
          <w:szCs w:val="20"/>
          <w:color w:val="auto"/>
        </w:rPr>
      </w:pPr>
      <w:r>
        <w:rPr>
          <w:rFonts w:ascii="Courier New" w:cs="Courier New" w:eastAsia="Courier New" w:hAnsi="Courier New"/>
          <w:sz w:val="17"/>
          <w:szCs w:val="17"/>
          <w:color w:val="auto"/>
        </w:rPr>
        <w:t>The Registrant's research and development expense was $927 million in 1995 compared with $689 million in 1994 and $590 million in 1993.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The Registrant's revenues are subject to some seasonal variation.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459" w:firstLine="1047"/>
        <w:spacing w:after="0" w:line="253" w:lineRule="auto"/>
        <w:rPr>
          <w:sz w:val="20"/>
          <w:szCs w:val="20"/>
          <w:color w:val="auto"/>
        </w:rPr>
      </w:pPr>
      <w:r>
        <w:rPr>
          <w:rFonts w:ascii="Courier New" w:cs="Courier New" w:eastAsia="Courier New" w:hAnsi="Courier New"/>
          <w:sz w:val="17"/>
          <w:szCs w:val="17"/>
          <w:color w:val="auto"/>
        </w:rPr>
        <w:t>The information concerning the number of persons employed by the Registrant at December 31, 1995 on page 21 of the Registrant's 1995 annual report to stockholders is incorporated herein by reference to such annual report.</w:t>
      </w:r>
    </w:p>
    <w:p>
      <w:pPr>
        <w:sectPr>
          <w:pgSz w:w="11900" w:h="16838" w:orient="portrait"/>
          <w:cols w:equalWidth="0" w:num="1">
            <w:col w:w="10219"/>
          </w:cols>
          <w:pgMar w:left="240" w:top="142" w:right="1440" w:bottom="214"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Properties.</w:t>
      </w:r>
    </w:p>
    <w:p>
      <w:pPr>
        <w:spacing w:after="0" w:line="210"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Registrant's principal offices are located at 13500 North Central Expressway, Dallas, Texas. The Registrant owns and leases plants in the United States and 16 other countries for manufacturing and related purposes. The following table indicates the general location of the principal plants of the Registrant and the industry segments which make major use of them. Except as otherwise indicated, the principal plants are owned by the Registrant.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Defense</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Systems and</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Digital</w:t>
            </w:r>
          </w:p>
        </w:tc>
        <w:tc>
          <w:tcPr>
            <w:tcW w:w="158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Metallurgical</w:t>
            </w:r>
          </w:p>
        </w:tc>
      </w:tr>
      <w:tr>
        <w:trPr>
          <w:trHeight w:val="201"/>
        </w:trPr>
        <w:tc>
          <w:tcPr>
            <w:tcW w:w="210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Electronics</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Products</w:t>
            </w:r>
          </w:p>
        </w:tc>
        <w:tc>
          <w:tcPr>
            <w:tcW w:w="15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Materials</w:t>
            </w:r>
          </w:p>
        </w:tc>
      </w:tr>
      <w:tr>
        <w:trPr>
          <w:trHeight w:val="201"/>
        </w:trPr>
        <w:tc>
          <w:tcPr>
            <w:tcW w:w="210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2100" w:type="dxa"/>
            <w:vAlign w:val="bottom"/>
          </w:tcPr>
          <w:p>
            <w:pPr>
              <w:spacing w:after="0"/>
              <w:rPr>
                <w:sz w:val="20"/>
                <w:szCs w:val="20"/>
                <w:color w:val="auto"/>
              </w:rPr>
            </w:pPr>
            <w:r>
              <w:rPr>
                <w:rFonts w:ascii="Courier New" w:cs="Courier New" w:eastAsia="Courier New" w:hAnsi="Courier New"/>
                <w:sz w:val="17"/>
                <w:szCs w:val="17"/>
                <w:color w:val="auto"/>
              </w:rPr>
              <w:t>Dallas, Texas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ind w:left="74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24"/>
                <w:szCs w:val="24"/>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Austin, Texas</w:t>
            </w: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ind w:left="74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Houston, Texas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Lewisville, Texas</w:t>
            </w: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Lubbock, Texas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McKinney, Texas</w:t>
            </w: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Plano, Texas(1)</w:t>
            </w:r>
          </w:p>
        </w:tc>
        <w:tc>
          <w:tcPr>
            <w:tcW w:w="1360" w:type="dxa"/>
            <w:vAlign w:val="bottom"/>
          </w:tcPr>
          <w:p>
            <w:pPr>
              <w:spacing w:after="0"/>
              <w:rPr>
                <w:sz w:val="17"/>
                <w:szCs w:val="17"/>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Sherman, Texas(1)</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Temple, Texas</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ind w:left="74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Attleboro,</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jc w:val="center"/>
              <w:ind w:left="113"/>
              <w:spacing w:after="0"/>
              <w:rPr>
                <w:sz w:val="20"/>
                <w:szCs w:val="20"/>
                <w:color w:val="auto"/>
              </w:rPr>
            </w:pPr>
            <w:r>
              <w:rPr>
                <w:rFonts w:ascii="Courier New" w:cs="Courier New" w:eastAsia="Courier New" w:hAnsi="Courier New"/>
                <w:sz w:val="17"/>
                <w:szCs w:val="17"/>
                <w:color w:val="auto"/>
                <w:w w:val="97"/>
              </w:rPr>
              <w:t>X</w:t>
            </w:r>
          </w:p>
        </w:tc>
      </w:tr>
      <w:tr>
        <w:trPr>
          <w:trHeight w:val="201"/>
        </w:trPr>
        <w:tc>
          <w:tcPr>
            <w:tcW w:w="2100" w:type="dxa"/>
            <w:vAlign w:val="bottom"/>
          </w:tcPr>
          <w:p>
            <w:pPr>
              <w:ind w:left="220"/>
              <w:spacing w:after="0"/>
              <w:rPr>
                <w:sz w:val="20"/>
                <w:szCs w:val="20"/>
                <w:color w:val="auto"/>
              </w:rPr>
            </w:pPr>
            <w:r>
              <w:rPr>
                <w:rFonts w:ascii="Courier New" w:cs="Courier New" w:eastAsia="Courier New" w:hAnsi="Courier New"/>
                <w:sz w:val="17"/>
                <w:szCs w:val="17"/>
                <w:color w:val="auto"/>
              </w:rPr>
              <w:t>Massachusetts</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Almelo, Netherlands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Freising, Germany</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Avezzano, Italy(2)</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Baguio,</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ind w:left="220"/>
              <w:spacing w:after="0"/>
              <w:rPr>
                <w:sz w:val="20"/>
                <w:szCs w:val="20"/>
                <w:color w:val="auto"/>
              </w:rPr>
            </w:pPr>
            <w:r>
              <w:rPr>
                <w:rFonts w:ascii="Courier New" w:cs="Courier New" w:eastAsia="Courier New" w:hAnsi="Courier New"/>
                <w:sz w:val="17"/>
                <w:szCs w:val="17"/>
                <w:color w:val="auto"/>
              </w:rPr>
              <w:t>Philippines(3)</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Hiji, Japan</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Kuala Lumpur,</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ind w:left="220"/>
              <w:spacing w:after="0"/>
              <w:rPr>
                <w:sz w:val="20"/>
                <w:szCs w:val="20"/>
                <w:color w:val="auto"/>
              </w:rPr>
            </w:pPr>
            <w:r>
              <w:rPr>
                <w:rFonts w:ascii="Courier New" w:cs="Courier New" w:eastAsia="Courier New" w:hAnsi="Courier New"/>
                <w:sz w:val="17"/>
                <w:szCs w:val="17"/>
                <w:color w:val="auto"/>
              </w:rPr>
              <w:t>Malaysia(1)</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Miho, Japan</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Singapore(3)</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Taipei, Taiwan</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____________________</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(1)Leased or primarily leased.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(2)Owned, subject to mortgage.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(3)Owned on leased land.</w:t>
      </w:r>
    </w:p>
    <w:p>
      <w:pPr>
        <w:spacing w:after="0" w:line="200" w:lineRule="exact"/>
        <w:rPr>
          <w:sz w:val="20"/>
          <w:szCs w:val="20"/>
          <w:color w:val="auto"/>
        </w:rPr>
      </w:pPr>
    </w:p>
    <w:p>
      <w:pPr>
        <w:spacing w:after="0" w:line="212"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The Registrant's facilities in the United States contained approximately 18,300,000 square feet as of December 31, 1995, of which approximately 4,300,000 square feet were leased. The Registrant's facilities outside the United States contained approximately 7,000,000 square feet as of December 31, 1995, of which approximately 1,800,000 square feet were leased.</w:t>
      </w:r>
    </w:p>
    <w:p>
      <w:pPr>
        <w:spacing w:after="0" w:line="197" w:lineRule="exact"/>
        <w:rPr>
          <w:sz w:val="20"/>
          <w:szCs w:val="20"/>
          <w:color w:val="auto"/>
        </w:rPr>
      </w:pPr>
    </w:p>
    <w:p>
      <w:pPr>
        <w:ind w:right="2459" w:firstLine="1047"/>
        <w:spacing w:after="0" w:line="253" w:lineRule="auto"/>
        <w:rPr>
          <w:sz w:val="20"/>
          <w:szCs w:val="20"/>
          <w:color w:val="auto"/>
        </w:rPr>
      </w:pPr>
      <w:r>
        <w:rPr>
          <w:rFonts w:ascii="Courier New" w:cs="Courier New" w:eastAsia="Courier New" w:hAnsi="Courier New"/>
          <w:sz w:val="17"/>
          <w:szCs w:val="17"/>
          <w:color w:val="auto"/>
        </w:rPr>
        <w:t>The Registrant believes that its existing properties are in good condition and suitable for the manufacture of its products. At the end of 1995, the Registrant utilized substantially all of the space in its facilities.</w:t>
      </w:r>
    </w:p>
    <w:p>
      <w:pPr>
        <w:spacing w:after="0" w:line="195"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Leases covering the Registrant's leased facilities expire at varying dates generally within the next 10 years. The Registrant anticipates no difficulty in either retaining occupancy through lease renewals, month-to-month occupancy or purchases of leased facilities, or replacing the leased facilities with equivalent facilities.</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Legal Proceedings.</w:t>
      </w:r>
    </w:p>
    <w:p>
      <w:pPr>
        <w:sectPr>
          <w:pgSz w:w="11900" w:h="16838" w:orient="portrait"/>
          <w:cols w:equalWidth="0" w:num="1">
            <w:col w:w="10219"/>
          </w:cols>
          <w:pgMar w:left="240" w:top="1440" w:right="1440" w:bottom="0" w:gutter="0" w:footer="0" w:header="0"/>
        </w:sectPr>
      </w:pPr>
    </w:p>
    <w:bookmarkStart w:id="4" w:name="page5"/>
    <w:bookmarkEnd w:id="4"/>
    <w:p>
      <w:pPr>
        <w:ind w:right="2139" w:firstLine="1047"/>
        <w:spacing w:after="0" w:line="251" w:lineRule="auto"/>
        <w:rPr>
          <w:sz w:val="20"/>
          <w:szCs w:val="20"/>
          <w:color w:val="auto"/>
        </w:rPr>
      </w:pPr>
      <w:r>
        <w:rPr>
          <w:rFonts w:ascii="Courier New" w:cs="Courier New" w:eastAsia="Courier New" w:hAnsi="Courier New"/>
          <w:sz w:val="17"/>
          <w:szCs w:val="17"/>
          <w:color w:val="auto"/>
        </w:rPr>
        <w:t>On January 1, 1996, the Registrant filed a lawsuit in Federal District Court for the Eastern District of Texas against Samsung Electronics Co., Ltd. of Korea, and its two U.S. subsidiaries ("Samsung"), seeking injunctive relief, alleging that Samsung is in violation of several of the Registrant's patents relating to the manufacture of semiconductor devices, including DRAMs. Also on that date, Samsung brought a lawsuit in Federal District Court for the Northern District of Texas seeking injunctive relief against the Registrant, alleging that the Registrant is infringing several of Samsung's patents, and seeking a declaratory judgment that certain of the Registrant's patents are either invalid, not infringed or unenforceable against Samsung and that certain of the Registrant's intellectual property licensing practices are unfair.</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Separately, on January 16, 1996, the Registrant filed a complaint with the International Trade Commission (the "ITC") under Section 337 of the Tariff Act of 1930, as amended (the "Tariff Act"), charging that Samsung's importation and sale in the U.S. of electronic products that are produced using processes covered by the Registrant's patents is an unfair act. The complaint seeks a permanent exclusion order preventing Samsung from importing and selling products that infringe the Registrant's patents in the U.S. On February 12, 1996, Samsung filed a complaint with the ITC under Section 337 of the Tariff Act charging that the Registrant's importation and sale in the U.S. of certain semiconductor products, including DRAMs that include structures covered by Samsung's patents and that are produced using processes covered by Samsung's patents, is an unfair act. Samsung's complaint seeks a permanent exclusion order preventing the Registrant from importing and selling semiconductor products in the U.S. See "ITEM 7. Management's Discussion and Analysis of Financial Condition and Results of Operations."</w:t>
      </w:r>
    </w:p>
    <w:p>
      <w:pPr>
        <w:spacing w:after="0" w:line="202"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On July 19, 1991, the Registrant filed a lawsuit in Tokyo District Court against Fujitsu Limited ("Fujitsu") seeking injunctive relief, alleging that Fujitsu's manufacture and sale of certain DRAMs infringe the Registrant's Japanese patent on the invention of the integrated circuit (the "Kilby" patent). Concurrently, Fujitsu brought a lawsuit in the same court against the Registrant, seeking a declaration that Fujitsu is not infringing the Kilby patent. On August 31, 1994, the district court ruled that Fujitsu's production of 1-megabit and 4-megabit DRAMs and 32K EPROMs does not infringe the Kilby patent. The Registrant has appealed the court's decision to the Tokyo High Court.</w:t>
      </w:r>
    </w:p>
    <w:p>
      <w:pPr>
        <w:spacing w:after="0" w:line="201"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Registrant is included among a number of U.S. defense contractors which are currently the subject of U.S. government investigations regarding alleged procurement irregularities. The Registrant is unable to predict the outcome of the investigations at this time or to estimate the kinds or amounts of claims or other actions that could be instituted against the Registrant. Under present government procurement regulations, such investigations could lead to a government contractor's being suspended or debarred from eligibility for awards of new government contracts for an initial period of up to three years. In the current environment, even matters that seem limited to disputes about contract interpretation can result in criminal prosecution. While criminal charges against contractors have resulted from such investigations, the Registrant does not believe such charges would be appropriate in its case and has not, at any time, lost its eligibility to enter into government contracts or subcontracts under these regulations.</w:t>
      </w:r>
    </w:p>
    <w:p>
      <w:pPr>
        <w:spacing w:after="0" w:line="200" w:lineRule="exact"/>
        <w:rPr>
          <w:sz w:val="20"/>
          <w:szCs w:val="20"/>
          <w:color w:val="auto"/>
        </w:rPr>
      </w:pPr>
    </w:p>
    <w:p>
      <w:pPr>
        <w:spacing w:after="0" w:line="203" w:lineRule="exact"/>
        <w:rPr>
          <w:sz w:val="20"/>
          <w:szCs w:val="20"/>
          <w:color w:val="auto"/>
        </w:rPr>
      </w:pPr>
    </w:p>
    <w:p>
      <w:pPr>
        <w:ind w:right="2039" w:firstLine="1047"/>
        <w:spacing w:after="0" w:line="257" w:lineRule="auto"/>
        <w:rPr>
          <w:sz w:val="20"/>
          <w:szCs w:val="20"/>
          <w:color w:val="auto"/>
        </w:rPr>
      </w:pPr>
      <w:r>
        <w:rPr>
          <w:rFonts w:ascii="Courier New" w:cs="Courier New" w:eastAsia="Courier New" w:hAnsi="Courier New"/>
          <w:sz w:val="17"/>
          <w:szCs w:val="17"/>
          <w:color w:val="auto"/>
        </w:rPr>
        <w:t>The Registrant is involved in various investigations and proceedings conducted by the federal Environmental Protection Agency and certain state</w:t>
      </w:r>
    </w:p>
    <w:p>
      <w:pPr>
        <w:spacing w:after="0" w:line="200" w:lineRule="exact"/>
        <w:rPr>
          <w:sz w:val="20"/>
          <w:szCs w:val="20"/>
          <w:color w:val="auto"/>
        </w:rPr>
      </w:pPr>
    </w:p>
    <w:p>
      <w:pPr>
        <w:spacing w:after="0" w:line="3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pacing w:after="0" w:line="210"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environmental agencies regarding disposal of waste materials. Although the factual situations and the progress of each of these matters differ, the Registrant believes that the amount of its liability will not have a material adverse effect upon its financial position or results of operations and, in most cases, the Registrant's liability will be limited to sharing clean-up or other remedial costs with other potentially responsible parties.</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210" w:lineRule="exact"/>
        <w:rPr>
          <w:sz w:val="20"/>
          <w:szCs w:val="20"/>
          <w:color w:val="auto"/>
        </w:rPr>
      </w:pPr>
    </w:p>
    <w:p>
      <w:pPr>
        <w:ind w:right="2259" w:firstLine="1047"/>
        <w:spacing w:after="0" w:line="254" w:lineRule="auto"/>
        <w:rPr>
          <w:sz w:val="20"/>
          <w:szCs w:val="20"/>
          <w:color w:val="auto"/>
        </w:rPr>
      </w:pPr>
      <w:r>
        <w:rPr>
          <w:rFonts w:ascii="Courier New" w:cs="Courier New" w:eastAsia="Courier New" w:hAnsi="Courier New"/>
          <w:sz w:val="17"/>
          <w:szCs w:val="17"/>
          <w:color w:val="auto"/>
        </w:rPr>
        <w:t>The following is an alphabetical list of the names and ages of the executive officers of the Registrant and the positions or offices with the Registrant presently held by each person named:</w:t>
      </w:r>
    </w:p>
    <w:p>
      <w:pPr>
        <w:spacing w:after="0" w:line="194" w:lineRule="exact"/>
        <w:rPr>
          <w:sz w:val="20"/>
          <w:szCs w:val="20"/>
          <w:color w:val="auto"/>
        </w:rPr>
      </w:pPr>
    </w:p>
    <w:p>
      <w:pPr>
        <w:ind w:left="740"/>
        <w:spacing w:after="0"/>
        <w:tabs>
          <w:tab w:leader="none" w:pos="3120" w:val="left"/>
          <w:tab w:leader="none" w:pos="56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Position</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20"/>
                <w:szCs w:val="20"/>
                <w:color w:val="auto"/>
              </w:rPr>
            </w:pPr>
            <w:r>
              <w:rPr>
                <w:rFonts w:ascii="Courier New" w:cs="Courier New" w:eastAsia="Courier New" w:hAnsi="Courier New"/>
                <w:sz w:val="17"/>
                <w:szCs w:val="17"/>
                <w:color w:val="auto"/>
              </w:rPr>
              <w:t>Richard J. Agnich</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52</w:t>
            </w:r>
          </w:p>
        </w:tc>
        <w:tc>
          <w:tcPr>
            <w:tcW w:w="430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Senior Vice President, Secretary</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30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and General Counsel</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A. Aylesworth</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53</w:t>
            </w:r>
          </w:p>
        </w:tc>
        <w:tc>
          <w:tcPr>
            <w:tcW w:w="430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Senior Vice President, Treasurer</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and Chief</w:t>
            </w:r>
          </w:p>
        </w:tc>
        <w:tc>
          <w:tcPr>
            <w:tcW w:w="2720" w:type="dxa"/>
            <w:vAlign w:val="bottom"/>
            <w:gridSpan w:val="2"/>
          </w:tcPr>
          <w:p>
            <w:pPr>
              <w:spacing w:after="0"/>
              <w:rPr>
                <w:sz w:val="20"/>
                <w:szCs w:val="20"/>
                <w:color w:val="auto"/>
              </w:rPr>
            </w:pPr>
            <w:r>
              <w:rPr>
                <w:rFonts w:ascii="Courier New" w:cs="Courier New" w:eastAsia="Courier New" w:hAnsi="Courier New"/>
                <w:sz w:val="17"/>
                <w:szCs w:val="17"/>
                <w:color w:val="auto"/>
              </w:rPr>
              <w:t>Financial Officer</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Gary D. Clubb</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49</w:t>
            </w: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 (President,</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30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Defense Systems &amp; Electronics</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Group)</w:t>
            </w:r>
          </w:p>
        </w:tc>
        <w:tc>
          <w:tcPr>
            <w:tcW w:w="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43</w:t>
            </w: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 (President,</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30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Semiconductor Group)</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F. Hayes</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52</w:t>
            </w: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58</w:t>
            </w: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Director;</w:t>
            </w:r>
          </w:p>
        </w:tc>
        <w:tc>
          <w:tcPr>
            <w:tcW w:w="2720" w:type="dxa"/>
            <w:vAlign w:val="bottom"/>
            <w:gridSpan w:val="2"/>
          </w:tcPr>
          <w:p>
            <w:pPr>
              <w:spacing w:after="0"/>
              <w:rPr>
                <w:sz w:val="20"/>
                <w:szCs w:val="20"/>
                <w:color w:val="auto"/>
              </w:rPr>
            </w:pPr>
            <w:r>
              <w:rPr>
                <w:rFonts w:ascii="Courier New" w:cs="Courier New" w:eastAsia="Courier New" w:hAnsi="Courier New"/>
                <w:sz w:val="17"/>
                <w:szCs w:val="17"/>
                <w:color w:val="auto"/>
              </w:rPr>
              <w:t>Chairman of the Board,</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President</w:t>
            </w:r>
          </w:p>
        </w:tc>
        <w:tc>
          <w:tcPr>
            <w:tcW w:w="2720" w:type="dxa"/>
            <w:vAlign w:val="bottom"/>
            <w:gridSpan w:val="2"/>
          </w:tcPr>
          <w:p>
            <w:pPr>
              <w:spacing w:after="0"/>
              <w:rPr>
                <w:sz w:val="20"/>
                <w:szCs w:val="20"/>
                <w:color w:val="auto"/>
              </w:rPr>
            </w:pPr>
            <w:r>
              <w:rPr>
                <w:rFonts w:ascii="Courier New" w:cs="Courier New" w:eastAsia="Courier New" w:hAnsi="Courier New"/>
                <w:sz w:val="17"/>
                <w:szCs w:val="17"/>
                <w:color w:val="auto"/>
              </w:rPr>
              <w:t>and Chief Executive</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Officer</w:t>
            </w:r>
          </w:p>
        </w:tc>
        <w:tc>
          <w:tcPr>
            <w:tcW w:w="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Marvin M. Lane, Jr.</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61</w:t>
            </w:r>
          </w:p>
        </w:tc>
        <w:tc>
          <w:tcPr>
            <w:tcW w:w="20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Vice President</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and Corporate</w:t>
            </w:r>
          </w:p>
        </w:tc>
      </w:tr>
      <w:tr>
        <w:trPr>
          <w:trHeight w:val="201"/>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Controller</w:t>
            </w:r>
          </w:p>
        </w:tc>
        <w:tc>
          <w:tcPr>
            <w:tcW w:w="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David D. Martin</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56</w:t>
            </w: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60</w:t>
            </w: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Director;</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Chairman</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Charles F. Nielson</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58</w:t>
            </w:r>
          </w:p>
        </w:tc>
        <w:tc>
          <w:tcPr>
            <w:tcW w:w="20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Vice President</w:t>
            </w:r>
          </w:p>
        </w:tc>
        <w:tc>
          <w:tcPr>
            <w:tcW w:w="2260" w:type="dxa"/>
            <w:vAlign w:val="bottom"/>
          </w:tcPr>
          <w:p>
            <w:pPr>
              <w:spacing w:after="0"/>
              <w:rPr>
                <w:sz w:val="24"/>
                <w:szCs w:val="24"/>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Elwin L. Skiles, Jr.</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54</w:t>
            </w:r>
          </w:p>
        </w:tc>
        <w:tc>
          <w:tcPr>
            <w:tcW w:w="20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Vice President</w:t>
            </w:r>
          </w:p>
        </w:tc>
        <w:tc>
          <w:tcPr>
            <w:tcW w:w="2260" w:type="dxa"/>
            <w:vAlign w:val="bottom"/>
          </w:tcPr>
          <w:p>
            <w:pPr>
              <w:spacing w:after="0"/>
              <w:rPr>
                <w:sz w:val="24"/>
                <w:szCs w:val="24"/>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1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55</w:t>
            </w:r>
          </w:p>
        </w:tc>
        <w:tc>
          <w:tcPr>
            <w:tcW w:w="1580" w:type="dxa"/>
            <w:vAlign w:val="bottom"/>
          </w:tcPr>
          <w:p>
            <w:pPr>
              <w:ind w:left="520"/>
              <w:spacing w:after="0"/>
              <w:rPr>
                <w:sz w:val="20"/>
                <w:szCs w:val="20"/>
                <w:color w:val="auto"/>
              </w:rPr>
            </w:pPr>
            <w:r>
              <w:rPr>
                <w:rFonts w:ascii="Courier New" w:cs="Courier New" w:eastAsia="Courier New" w:hAnsi="Courier New"/>
                <w:sz w:val="17"/>
                <w:szCs w:val="17"/>
                <w:color w:val="auto"/>
              </w:rPr>
              <w:t>Director;</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Chairman</w:t>
            </w:r>
          </w:p>
        </w:tc>
      </w:tr>
    </w:tbl>
    <w:p>
      <w:pPr>
        <w:spacing w:after="0" w:line="200" w:lineRule="exact"/>
        <w:rPr>
          <w:sz w:val="20"/>
          <w:szCs w:val="20"/>
          <w:color w:val="auto"/>
        </w:rPr>
      </w:pPr>
    </w:p>
    <w:p>
      <w:pPr>
        <w:spacing w:after="0" w:line="207"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term of office of each of the above listed officers is from the date of his election until his successor shall have been elected and qualified and the most recent date of election of each of them was April 201, 19954. Messrs. Agnich, Aylesworth, Junkins, Lane, Martin, Mitchell, Nielson, and Weber have served as officers of the Registrant for more than five years. Messrs. Clubb, Engibous, Hayes, Nielson and Skiles have served as officers of the Registrant since 1993, 1993, 1991, 1990 and 1992, respectively; and they and Messrs. Brookes, Clubb and Engibous have been employees of the Registrant for more than five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7</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left="1060" w:right="2779" w:hanging="1046"/>
        <w:spacing w:after="0" w:line="257" w:lineRule="auto"/>
        <w:tabs>
          <w:tab w:leader="none" w:pos="104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Market for Registrant's Common Equity and Related Stockholder Matters.</w:t>
      </w:r>
    </w:p>
    <w:p>
      <w:pPr>
        <w:spacing w:after="0" w:line="192" w:lineRule="exact"/>
        <w:rPr>
          <w:sz w:val="20"/>
          <w:szCs w:val="20"/>
          <w:color w:val="auto"/>
        </w:rPr>
      </w:pPr>
    </w:p>
    <w:p>
      <w:pPr>
        <w:ind w:right="2359" w:firstLine="1047"/>
        <w:spacing w:after="0" w:line="252" w:lineRule="auto"/>
        <w:rPr>
          <w:sz w:val="20"/>
          <w:szCs w:val="20"/>
          <w:color w:val="auto"/>
        </w:rPr>
      </w:pPr>
      <w:r>
        <w:rPr>
          <w:rFonts w:ascii="Courier New" w:cs="Courier New" w:eastAsia="Courier New" w:hAnsi="Courier New"/>
          <w:sz w:val="17"/>
          <w:szCs w:val="17"/>
          <w:color w:val="auto"/>
        </w:rPr>
        <w:t>The information which is contained in the note to the financial statements captioned "Common Stock Prices and Dividends" on page 38 of the Registrant's 1995 annual report to stockholders, and the information concerning the number of stockholders of record at December 31, 1995 on page 21 of such annual report, are incorporated herein by reference to such annual report.</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Selected Financial Data.</w:t>
      </w:r>
    </w:p>
    <w:p>
      <w:pPr>
        <w:spacing w:after="0" w:line="210" w:lineRule="exact"/>
        <w:rPr>
          <w:sz w:val="20"/>
          <w:szCs w:val="20"/>
          <w:color w:val="auto"/>
        </w:rPr>
      </w:pPr>
    </w:p>
    <w:p>
      <w:pPr>
        <w:ind w:right="2139" w:firstLine="1047"/>
        <w:spacing w:after="0" w:line="254" w:lineRule="auto"/>
        <w:rPr>
          <w:sz w:val="20"/>
          <w:szCs w:val="20"/>
          <w:color w:val="auto"/>
        </w:rPr>
      </w:pPr>
      <w:r>
        <w:rPr>
          <w:rFonts w:ascii="Courier New" w:cs="Courier New" w:eastAsia="Courier New" w:hAnsi="Courier New"/>
          <w:sz w:val="17"/>
          <w:szCs w:val="17"/>
          <w:color w:val="auto"/>
        </w:rPr>
        <w:t>The "Summary of Selected Financial Data" for the years 1991 through 1995 which appears on page 21 of the Registrant's 1995 annual report to stockholders is incorporated herein by reference to such annual report.</w:t>
      </w:r>
    </w:p>
    <w:p>
      <w:pPr>
        <w:spacing w:after="0" w:line="194" w:lineRule="exact"/>
        <w:rPr>
          <w:sz w:val="20"/>
          <w:szCs w:val="20"/>
          <w:color w:val="auto"/>
        </w:rPr>
      </w:pPr>
    </w:p>
    <w:p>
      <w:pPr>
        <w:ind w:left="1060" w:right="2559" w:hanging="1046"/>
        <w:spacing w:after="0" w:line="257" w:lineRule="auto"/>
        <w:tabs>
          <w:tab w:leader="none" w:pos="104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Management's Discussion and Analysis of Financial Condition and Results of Operations.</w:t>
      </w:r>
    </w:p>
    <w:p>
      <w:pPr>
        <w:spacing w:after="0" w:line="192"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Letter to the Stockholders on pages 3-7 of the Registrant's 1995 annual report to stockholders and the information contained under the caption "Management Discussion and Analysis of Financial Condition and Results of Operations" on pages 22-25 of such annual report are incorporated herein by reference to such annual report.</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7"/>
          <w:szCs w:val="17"/>
          <w:color w:val="auto"/>
        </w:rPr>
        <w:t>Financial Statements and Supplementary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consolidated</w:t>
            </w:r>
          </w:p>
        </w:tc>
        <w:tc>
          <w:tcPr>
            <w:tcW w:w="2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financial statements</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of the Registrant</w:t>
            </w:r>
          </w:p>
        </w:tc>
        <w:tc>
          <w:tcPr>
            <w:tcW w:w="132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at</w:t>
            </w:r>
          </w:p>
        </w:tc>
      </w:tr>
      <w:tr>
        <w:trPr>
          <w:trHeight w:val="201"/>
        </w:trPr>
        <w:tc>
          <w:tcPr>
            <w:tcW w:w="1840" w:type="dxa"/>
            <w:vAlign w:val="bottom"/>
            <w:gridSpan w:val="3"/>
          </w:tcPr>
          <w:p>
            <w:pPr>
              <w:spacing w:after="0"/>
              <w:rPr>
                <w:sz w:val="20"/>
                <w:szCs w:val="20"/>
                <w:color w:val="auto"/>
              </w:rPr>
            </w:pPr>
            <w:r>
              <w:rPr>
                <w:rFonts w:ascii="Courier New" w:cs="Courier New" w:eastAsia="Courier New" w:hAnsi="Courier New"/>
                <w:sz w:val="17"/>
                <w:szCs w:val="17"/>
                <w:color w:val="auto"/>
              </w:rPr>
              <w:t>December 31, 1995</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and</w:t>
            </w: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for each of the three years in the</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period ended</w:t>
            </w:r>
          </w:p>
        </w:tc>
      </w:tr>
      <w:tr>
        <w:trPr>
          <w:trHeight w:val="201"/>
        </w:trPr>
        <w:tc>
          <w:tcPr>
            <w:tcW w:w="900" w:type="dxa"/>
            <w:vAlign w:val="bottom"/>
          </w:tcPr>
          <w:p>
            <w:pPr>
              <w:spacing w:after="0"/>
              <w:rPr>
                <w:sz w:val="20"/>
                <w:szCs w:val="20"/>
                <w:color w:val="auto"/>
              </w:rPr>
            </w:pPr>
            <w:r>
              <w:rPr>
                <w:rFonts w:ascii="Courier New" w:cs="Courier New" w:eastAsia="Courier New" w:hAnsi="Courier New"/>
                <w:sz w:val="17"/>
                <w:szCs w:val="17"/>
                <w:color w:val="auto"/>
              </w:rPr>
              <w:t>December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the</w:t>
            </w:r>
          </w:p>
        </w:tc>
        <w:tc>
          <w:tcPr>
            <w:tcW w:w="2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thereon of the</w:t>
            </w:r>
          </w:p>
        </w:tc>
        <w:tc>
          <w:tcPr>
            <w:tcW w:w="3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independent auditors, on pages</w:t>
            </w:r>
          </w:p>
        </w:tc>
      </w:tr>
      <w:tr>
        <w:trPr>
          <w:trHeight w:val="201"/>
        </w:trPr>
        <w:tc>
          <w:tcPr>
            <w:tcW w:w="900" w:type="dxa"/>
            <w:vAlign w:val="bottom"/>
          </w:tcPr>
          <w:p>
            <w:pPr>
              <w:spacing w:after="0"/>
              <w:rPr>
                <w:sz w:val="20"/>
                <w:szCs w:val="20"/>
                <w:color w:val="auto"/>
              </w:rPr>
            </w:pPr>
            <w:r>
              <w:rPr>
                <w:rFonts w:ascii="Courier New" w:cs="Courier New" w:eastAsia="Courier New" w:hAnsi="Courier New"/>
                <w:sz w:val="17"/>
                <w:szCs w:val="17"/>
                <w:color w:val="auto"/>
              </w:rPr>
              <w:t>26-39 of</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142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Registrant's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1995</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annual report to</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stockholders, are</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incorporated</w:t>
            </w:r>
          </w:p>
        </w:tc>
      </w:tr>
      <w:tr>
        <w:trPr>
          <w:trHeight w:val="201"/>
        </w:trPr>
        <w:tc>
          <w:tcPr>
            <w:tcW w:w="4980" w:type="dxa"/>
            <w:vAlign w:val="bottom"/>
            <w:gridSpan w:val="7"/>
          </w:tcPr>
          <w:p>
            <w:pPr>
              <w:spacing w:after="0"/>
              <w:rPr>
                <w:sz w:val="20"/>
                <w:szCs w:val="20"/>
                <w:color w:val="auto"/>
              </w:rPr>
            </w:pPr>
            <w:r>
              <w:rPr>
                <w:rFonts w:ascii="Courier New" w:cs="Courier New" w:eastAsia="Courier New" w:hAnsi="Courier New"/>
                <w:sz w:val="17"/>
                <w:szCs w:val="17"/>
                <w:color w:val="auto"/>
              </w:rPr>
              <w:t>herein by reference to such annual report.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6" w:name="page7"/>
    <w:bookmarkEnd w:id="6"/>
    <w:p>
      <w:pPr>
        <w:ind w:right="2039" w:firstLine="1047"/>
        <w:spacing w:after="0" w:line="254" w:lineRule="auto"/>
        <w:rPr>
          <w:sz w:val="20"/>
          <w:szCs w:val="20"/>
          <w:color w:val="auto"/>
        </w:rPr>
      </w:pPr>
      <w:r>
        <w:rPr>
          <w:rFonts w:ascii="Courier New" w:cs="Courier New" w:eastAsia="Courier New" w:hAnsi="Courier New"/>
          <w:sz w:val="17"/>
          <w:szCs w:val="17"/>
          <w:color w:val="auto"/>
        </w:rPr>
        <w:t>The "Quarterly Financial Data" on page 39 of the Registrant's 1995 annual report to stockholders is also incorporated herein by reference to such annual report.</w:t>
      </w:r>
    </w:p>
    <w:p>
      <w:pPr>
        <w:spacing w:after="0" w:line="194" w:lineRule="exact"/>
        <w:rPr>
          <w:sz w:val="20"/>
          <w:szCs w:val="20"/>
          <w:color w:val="auto"/>
        </w:rPr>
      </w:pPr>
    </w:p>
    <w:p>
      <w:pPr>
        <w:ind w:left="1060" w:right="2559" w:hanging="1046"/>
        <w:spacing w:after="0" w:line="257" w:lineRule="auto"/>
        <w:tabs>
          <w:tab w:leader="none" w:pos="104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Changes in and Disagreements with Accountants on Accounting and Financial Disclosure.</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PART III</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10.</w:t>
        <w:tab/>
        <w:t>Directors and Executive Officers of the Registrant.</w:t>
      </w:r>
    </w:p>
    <w:p>
      <w:pPr>
        <w:spacing w:after="0" w:line="210"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information with respect to directors' names, ages, positions, term of office and periods of service, which is contained under the caption "Nominees for Directorship" in the Registrant's proxy statement for the 1996 annual meeting of stockholders, and the information contained in the first two second paragraphs under the caption "Other Matters" in such proxy statement, are incorporated herein by reference to such proxy statement.</w:t>
      </w:r>
    </w:p>
    <w:p>
      <w:pPr>
        <w:spacing w:after="0" w:line="197" w:lineRule="exact"/>
        <w:rPr>
          <w:sz w:val="20"/>
          <w:szCs w:val="20"/>
          <w:color w:val="auto"/>
        </w:rPr>
      </w:pPr>
    </w:p>
    <w:p>
      <w:pPr>
        <w:ind w:right="2459" w:firstLine="1047"/>
        <w:spacing w:after="0" w:line="257" w:lineRule="auto"/>
        <w:rPr>
          <w:sz w:val="20"/>
          <w:szCs w:val="20"/>
          <w:color w:val="auto"/>
        </w:rPr>
      </w:pPr>
      <w:r>
        <w:rPr>
          <w:rFonts w:ascii="Courier New" w:cs="Courier New" w:eastAsia="Courier New" w:hAnsi="Courier New"/>
          <w:sz w:val="17"/>
          <w:szCs w:val="17"/>
          <w:color w:val="auto"/>
        </w:rPr>
        <w:t>Information concerning executive officers is set forth in Part I hereof under the caption "Executive Officers of the Registrant."</w:t>
      </w:r>
    </w:p>
    <w:p>
      <w:pPr>
        <w:spacing w:after="0" w:line="19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11.</w:t>
        <w:tab/>
        <w:t>Executive Compensation.</w:t>
      </w:r>
    </w:p>
    <w:p>
      <w:pPr>
        <w:spacing w:after="0" w:line="210" w:lineRule="exact"/>
        <w:rPr>
          <w:sz w:val="20"/>
          <w:szCs w:val="20"/>
          <w:color w:val="auto"/>
        </w:rPr>
      </w:pPr>
    </w:p>
    <w:p>
      <w:pPr>
        <w:ind w:right="2039" w:firstLine="1047"/>
        <w:spacing w:after="0" w:line="253" w:lineRule="auto"/>
        <w:rPr>
          <w:sz w:val="20"/>
          <w:szCs w:val="20"/>
          <w:color w:val="auto"/>
        </w:rPr>
      </w:pPr>
      <w:r>
        <w:rPr>
          <w:rFonts w:ascii="Courier New" w:cs="Courier New" w:eastAsia="Courier New" w:hAnsi="Courier New"/>
          <w:sz w:val="17"/>
          <w:szCs w:val="17"/>
          <w:color w:val="auto"/>
        </w:rPr>
        <w:t>The information which is contained under the captions "Directors Compensation" and "Executive Compensation" in the Registrant's proxy statement for the 1996 annual meeting of stockholders is incorporated herein by reference to such proxy statement.</w:t>
      </w:r>
    </w:p>
    <w:p>
      <w:pPr>
        <w:spacing w:after="0" w:line="19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12.</w:t>
        <w:tab/>
        <w:t>Security Ownership of Certain Beneficial Owners and Management.</w:t>
      </w:r>
    </w:p>
    <w:p>
      <w:pPr>
        <w:spacing w:after="0" w:line="210"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information concerning (a) the only persons that have reported beneficial ownership of more than 5% of the common stock of the Registrant, and (b) the ownership of the Registrant's common stock by the Chief Executive Officer and the four other most highly compensated executive officers, and all executive officers and directors as a group, which is contained under the caption "Voting Securities" in the Registrant's proxy statement for the 1996 annual meeting of stockholders, is incorporated herein by reference to such proxy statement. The information concerning ownership of the Registrant's common stock by each of the directors, which is contained under the caption "Nominees for Directorship" in such proxy statement, is also incorporated herein by reference to such proxy statement.</w:t>
      </w:r>
    </w:p>
    <w:p>
      <w:pPr>
        <w:spacing w:after="0" w:line="201"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aggregate market value of voting stock held by non-affiliates of the Registrant shown on the cover page hereof excludes the shares held by the Registrant's directors, some of whom disclaim affiliate status, executive vice presidents and senior vice presidents. These holdings were considered to include shares credited to certain individuals' profit sharing accounts.</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13.</w:t>
        <w:tab/>
        <w:t>Certain Relationships and Related Transactions.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142"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9</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PART IV</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14.</w:t>
        <w:tab/>
        <w:t>Exhibits, Financial Statement Schedules, and Reports on Form 8-K.</w:t>
      </w:r>
    </w:p>
    <w:p>
      <w:pPr>
        <w:spacing w:after="0" w:line="210" w:lineRule="exact"/>
        <w:rPr>
          <w:sz w:val="20"/>
          <w:szCs w:val="20"/>
          <w:color w:val="auto"/>
        </w:rPr>
      </w:pPr>
    </w:p>
    <w:p>
      <w:pPr>
        <w:ind w:left="2620" w:right="2979" w:hanging="1565"/>
        <w:spacing w:after="0" w:line="257" w:lineRule="auto"/>
        <w:tabs>
          <w:tab w:leader="none" w:pos="1573"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and 2. Financial Statements and Financial Statement Schedules:</w:t>
      </w:r>
    </w:p>
    <w:p>
      <w:pPr>
        <w:spacing w:after="0" w:line="192" w:lineRule="exact"/>
        <w:rPr>
          <w:sz w:val="20"/>
          <w:szCs w:val="20"/>
          <w:color w:val="auto"/>
        </w:rPr>
      </w:pPr>
    </w:p>
    <w:p>
      <w:pPr>
        <w:ind w:right="2679" w:firstLine="1047"/>
        <w:spacing w:after="0" w:line="257" w:lineRule="auto"/>
        <w:rPr>
          <w:sz w:val="20"/>
          <w:szCs w:val="20"/>
          <w:color w:val="auto"/>
        </w:rPr>
      </w:pPr>
      <w:r>
        <w:rPr>
          <w:rFonts w:ascii="Courier New" w:cs="Courier New" w:eastAsia="Courier New" w:hAnsi="Courier New"/>
          <w:sz w:val="17"/>
          <w:szCs w:val="17"/>
          <w:color w:val="auto"/>
        </w:rPr>
        <w:t>The financial statements and financial statement schedules are listed in the index on page 15 hereof.</w:t>
      </w:r>
    </w:p>
    <w:p>
      <w:pPr>
        <w:spacing w:after="0" w:line="192" w:lineRule="exact"/>
        <w:rPr>
          <w:sz w:val="20"/>
          <w:szCs w:val="20"/>
          <w:color w:val="auto"/>
        </w:rPr>
      </w:pPr>
    </w:p>
    <w:p>
      <w:pPr>
        <w:ind w:left="2620" w:hanging="413"/>
        <w:spacing w:after="0"/>
        <w:tabs>
          <w:tab w:leader="none" w:pos="2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16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Designation of</w:t>
            </w:r>
          </w:p>
        </w:tc>
        <w:tc>
          <w:tcPr>
            <w:tcW w:w="5300" w:type="dxa"/>
            <w:vAlign w:val="bottom"/>
          </w:tcPr>
          <w:p>
            <w:pPr>
              <w:spacing w:after="0"/>
              <w:rPr>
                <w:sz w:val="17"/>
                <w:szCs w:val="17"/>
                <w:color w:val="auto"/>
              </w:rPr>
            </w:pPr>
          </w:p>
        </w:tc>
      </w:tr>
      <w:tr>
        <w:trPr>
          <w:trHeight w:val="201"/>
        </w:trPr>
        <w:tc>
          <w:tcPr>
            <w:tcW w:w="16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Exhibit in</w:t>
            </w:r>
          </w:p>
        </w:tc>
        <w:tc>
          <w:tcPr>
            <w:tcW w:w="5300" w:type="dxa"/>
            <w:vAlign w:val="bottom"/>
          </w:tcPr>
          <w:p>
            <w:pPr>
              <w:spacing w:after="0"/>
              <w:rPr>
                <w:sz w:val="17"/>
                <w:szCs w:val="17"/>
                <w:color w:val="auto"/>
              </w:rPr>
            </w:pPr>
          </w:p>
        </w:tc>
      </w:tr>
      <w:tr>
        <w:trPr>
          <w:trHeight w:val="201"/>
        </w:trPr>
        <w:tc>
          <w:tcPr>
            <w:tcW w:w="1620" w:type="dxa"/>
            <w:vAlign w:val="bottom"/>
          </w:tcPr>
          <w:p>
            <w:pPr>
              <w:ind w:left="220"/>
              <w:spacing w:after="0"/>
              <w:rPr>
                <w:sz w:val="20"/>
                <w:szCs w:val="20"/>
                <w:color w:val="auto"/>
              </w:rPr>
            </w:pPr>
            <w:r>
              <w:rPr>
                <w:rFonts w:ascii="Courier New" w:cs="Courier New" w:eastAsia="Courier New" w:hAnsi="Courier New"/>
                <w:sz w:val="17"/>
                <w:szCs w:val="17"/>
                <w:color w:val="auto"/>
              </w:rPr>
              <w:t>this Report</w:t>
            </w:r>
          </w:p>
        </w:tc>
        <w:tc>
          <w:tcPr>
            <w:tcW w:w="5300" w:type="dxa"/>
            <w:vAlign w:val="bottom"/>
          </w:tcPr>
          <w:p>
            <w:pPr>
              <w:ind w:left="1220"/>
              <w:spacing w:after="0"/>
              <w:rPr>
                <w:sz w:val="20"/>
                <w:szCs w:val="20"/>
                <w:color w:val="auto"/>
              </w:rPr>
            </w:pPr>
            <w:r>
              <w:rPr>
                <w:rFonts w:ascii="Courier New" w:cs="Courier New" w:eastAsia="Courier New" w:hAnsi="Courier New"/>
                <w:sz w:val="17"/>
                <w:szCs w:val="17"/>
                <w:color w:val="auto"/>
              </w:rPr>
              <w:t>Description of Exhibit</w:t>
            </w:r>
          </w:p>
        </w:tc>
      </w:tr>
      <w:tr>
        <w:trPr>
          <w:trHeight w:val="201"/>
        </w:trPr>
        <w:tc>
          <w:tcPr>
            <w:tcW w:w="16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3(a)</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Restated Certificate of Incorporation of the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Registrant (incorporated by reference to Exhibit</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3(a) to the Registrant's Annual Report on Form</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3(b)</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Amendment to Restated Certificate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of Incorporation of the Registrant (incorporated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 reference to Exhibit 3(b)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Annual Report on Form 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3(c)</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Amendment to Restated Certificate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of Incorporation of the Registrant (incorporated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 reference to Exhibit 3(c)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Annual Report on Form 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3(d)</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Designations relating to the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Registrant's Participating Cumulative Preferred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Stock (incorporated by reference to Exhibit 3(d)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to the Registrant's Annual Report on Form 10-K</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3(e)</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Ownership Merging Texas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Instruments Automation Controls, Inc. into the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Registrant (incorporated by reference to Exhibit</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3(e) to the Registrant's Annual Report on Form</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3(f)</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Elimination of Designations of</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Preferred Stock of the Registrant (incorporated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 reference to Exhibit 3(f)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Annual Report on Form 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3(g)</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By-Laws of the Registrant (incorporated by</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reference to Exhibit 3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Quarterly Report on Form 10-Q for the quarter</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ended June 30, 1993).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pacing w:after="0" w:line="210" w:lineRule="exact"/>
        <w:rPr>
          <w:sz w:val="20"/>
          <w:szCs w:val="20"/>
          <w:color w:val="auto"/>
        </w:rPr>
      </w:pPr>
    </w:p>
    <w:p>
      <w:pPr>
        <w:ind w:left="3040" w:right="2139" w:hanging="1360"/>
        <w:spacing w:after="0" w:line="253" w:lineRule="auto"/>
        <w:tabs>
          <w:tab w:leader="none" w:pos="3020" w:val="left"/>
        </w:tabs>
        <w:rPr>
          <w:sz w:val="20"/>
          <w:szCs w:val="20"/>
          <w:color w:val="auto"/>
        </w:rPr>
      </w:pPr>
      <w:r>
        <w:rPr>
          <w:rFonts w:ascii="Courier New" w:cs="Courier New" w:eastAsia="Courier New" w:hAnsi="Courier New"/>
          <w:sz w:val="17"/>
          <w:szCs w:val="17"/>
          <w:color w:val="auto"/>
        </w:rPr>
        <w:t>4(a)(i)</w:t>
      </w:r>
      <w:r>
        <w:rPr>
          <w:sz w:val="20"/>
          <w:szCs w:val="20"/>
          <w:color w:val="auto"/>
        </w:rPr>
        <w:tab/>
      </w:r>
      <w:r>
        <w:rPr>
          <w:rFonts w:ascii="Courier New" w:cs="Courier New" w:eastAsia="Courier New" w:hAnsi="Courier New"/>
          <w:sz w:val="17"/>
          <w:szCs w:val="17"/>
          <w:color w:val="auto"/>
        </w:rPr>
        <w:t>Rights Agreement dated as of June 17, 1988 between the Registrant and First Chicago Trust Company of New York, formerly Morgan Shareholder Services Trust Company, as Rights Agent, which</w:t>
      </w:r>
    </w:p>
    <w:p>
      <w:pPr>
        <w:sectPr>
          <w:pgSz w:w="11900" w:h="16864" w:orient="portrait"/>
          <w:cols w:equalWidth="0" w:num="1">
            <w:col w:w="10219"/>
          </w:cols>
          <w:pgMar w:left="240" w:top="1440" w:right="1440" w:bottom="0" w:gutter="0" w:footer="0" w:header="0"/>
        </w:sectPr>
      </w:pPr>
    </w:p>
    <w:bookmarkStart w:id="8" w:name="page9"/>
    <w:bookmarkEnd w:id="8"/>
    <w:p>
      <w:pPr>
        <w:spacing w:after="0" w:line="11" w:lineRule="exact"/>
        <w:rPr>
          <w:sz w:val="20"/>
          <w:szCs w:val="20"/>
          <w:color w:val="auto"/>
        </w:rPr>
      </w:pPr>
    </w:p>
    <w:tbl>
      <w:tblPr>
        <w:tblLayout w:type="fixed"/>
        <w:tblInd w:w="168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includes as Exhibit B the form of Rights</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Certificate (incorporated by reference to Exhibit</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4(a)(i) to the Registrant's Annual Report on Form</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10-K for the year 1993).</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4(a)(ii)</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Assignment and Assumption Agreement dated as of</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September 24, 1992 among the Registrant, First</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Chicago Trust Company of New York, formerly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Morgan Shareholder Services Trust Company, and</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Harris Trust and Savings Bank (incorporated by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reference to Exhibit 4(a)(i) to the Registrant's</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Quarterly Report on Form 10-Q for the quarter</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ended September 30, 1992).</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4(b)</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The Registrant agrees to provide the Commission,</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upon request, copies of instruments defining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rights of holders of long-term debt of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Registrant and its subsidiaries.</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10(a)</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Texas Instruments Annual Incentive Plan as</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amended November 30, 1995.*</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10(b)(i)</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TI Deferred Compensation Plan (incorporated by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reference to Exhibit 10(a)(ii) to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Registrant's Annual Report on Form 10-K for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year 1994).*</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10(b)(ii)</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Amendment No. 1 to TI Deferred Compensation Plan</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10(a)(iii)</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to the Registrant's Annual Report on Form 10-K</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for the year 1994).*</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10(c)</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Texas Instruments Long-Term Incentive Plan</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10(a)(ii)</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to the Registrant's Annual Report on Form 10-K</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for the year 1993).*</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10(d)</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Texas Instruments Restricted Stock Unit Plan for</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Directors (incorporated by reference to</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Exhibit 10(c) to the Registrant's Quarterly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Report on Form 10-Q for the quarter ended</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June 30, 1996).</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10(e)</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Statement of Policy of Registrant's Board of</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Directors on Top Officer and Board Member</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Retirement Practices (incorporated by reference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to Exhibit 10(b)(vi) to the Registrant's Annual</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Report on Form 10-K for the year 1993).*</w:t>
            </w:r>
          </w:p>
        </w:tc>
      </w:tr>
    </w:tbl>
    <w:p>
      <w:pPr>
        <w:spacing w:after="0" w:line="205" w:lineRule="exact"/>
        <w:rPr>
          <w:sz w:val="20"/>
          <w:szCs w:val="20"/>
          <w:color w:val="auto"/>
        </w:rPr>
      </w:pPr>
    </w:p>
    <w:p>
      <w:pPr>
        <w:ind w:left="3040" w:right="2459" w:hanging="1357"/>
        <w:spacing w:after="0" w:line="257" w:lineRule="auto"/>
        <w:tabs>
          <w:tab w:leader="none" w:pos="3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earnings per common and common equivalent share.</w:t>
      </w:r>
    </w:p>
    <w:p>
      <w:pPr>
        <w:spacing w:after="0" w:line="191" w:lineRule="exact"/>
        <w:rPr>
          <w:rFonts w:ascii="Courier New" w:cs="Courier New" w:eastAsia="Courier New" w:hAnsi="Courier New"/>
          <w:sz w:val="17"/>
          <w:szCs w:val="17"/>
          <w:color w:val="auto"/>
        </w:rPr>
      </w:pPr>
    </w:p>
    <w:p>
      <w:pPr>
        <w:ind w:left="3040" w:right="2039" w:hanging="1357"/>
        <w:spacing w:after="0" w:line="254" w:lineRule="auto"/>
        <w:tabs>
          <w:tab w:leader="none" w:pos="3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pacing w:after="0" w:line="210" w:lineRule="exact"/>
        <w:rPr>
          <w:sz w:val="20"/>
          <w:szCs w:val="20"/>
          <w:color w:val="auto"/>
        </w:rPr>
      </w:pPr>
    </w:p>
    <w:p>
      <w:pPr>
        <w:ind w:left="3040" w:right="2039" w:hanging="1357"/>
        <w:spacing w:after="0" w:line="252" w:lineRule="auto"/>
        <w:tabs>
          <w:tab w:leader="none" w:pos="3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1995 Annual Report to Stockholders. (With the exception of the items listed in the index to financial statements and financial statement schedules herein, and the items referred to in ITEMS 1, 5, 6, 7 and 8 hereof, the 1995 Annual Report to Stockholders is not to be deemed filed as part of this report.)</w:t>
      </w:r>
    </w:p>
    <w:p>
      <w:pPr>
        <w:spacing w:after="0" w:line="196" w:lineRule="exact"/>
        <w:rPr>
          <w:sz w:val="20"/>
          <w:szCs w:val="20"/>
          <w:color w:val="auto"/>
        </w:rPr>
      </w:pPr>
    </w:p>
    <w:p>
      <w:pPr>
        <w:ind w:left="3040" w:hanging="1357"/>
        <w:spacing w:after="0"/>
        <w:tabs>
          <w:tab w:leader="none" w:pos="30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of subsidiaries of the Registrant.</w:t>
      </w:r>
    </w:p>
    <w:p>
      <w:pPr>
        <w:spacing w:after="0" w:line="210" w:lineRule="exact"/>
        <w:rPr>
          <w:rFonts w:ascii="Courier New" w:cs="Courier New" w:eastAsia="Courier New" w:hAnsi="Courier New"/>
          <w:sz w:val="17"/>
          <w:szCs w:val="17"/>
          <w:color w:val="auto"/>
        </w:rPr>
      </w:pPr>
    </w:p>
    <w:p>
      <w:pPr>
        <w:ind w:left="3040" w:hanging="1357"/>
        <w:spacing w:after="0"/>
        <w:tabs>
          <w:tab w:leader="none" w:pos="30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Ernst &amp; Young LLP.</w:t>
      </w:r>
    </w:p>
    <w:p>
      <w:pPr>
        <w:spacing w:after="0" w:line="210" w:lineRule="exact"/>
        <w:rPr>
          <w:rFonts w:ascii="Courier New" w:cs="Courier New" w:eastAsia="Courier New" w:hAnsi="Courier New"/>
          <w:sz w:val="17"/>
          <w:szCs w:val="17"/>
          <w:color w:val="auto"/>
        </w:rPr>
      </w:pPr>
    </w:p>
    <w:p>
      <w:pPr>
        <w:ind w:left="3040" w:hanging="1357"/>
        <w:spacing w:after="0"/>
        <w:tabs>
          <w:tab w:leader="none" w:pos="30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w:t>
      </w:r>
    </w:p>
    <w:p>
      <w:pPr>
        <w:spacing w:after="0" w:line="210" w:lineRule="exact"/>
        <w:rPr>
          <w:sz w:val="20"/>
          <w:szCs w:val="20"/>
          <w:color w:val="auto"/>
        </w:rPr>
      </w:pPr>
    </w:p>
    <w:p>
      <w:pPr>
        <w:ind w:left="1680"/>
        <w:spacing w:after="0"/>
        <w:tabs>
          <w:tab w:leader="none" w:pos="302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*Executive Compensation Plans and Arrangements: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Texas Instruments Annual Incentive Plan as amended November 30,</w:t>
      </w:r>
    </w:p>
    <w:p>
      <w:pPr>
        <w:sectPr>
          <w:pgSz w:w="11900" w:h="16849" w:orient="portrait"/>
          <w:cols w:equalWidth="0" w:num="1">
            <w:col w:w="10219"/>
          </w:cols>
          <w:pgMar w:left="240" w:top="142" w:right="1440" w:bottom="0" w:gutter="0" w:footer="0" w:header="0"/>
        </w:sectPr>
      </w:pPr>
    </w:p>
    <w:bookmarkStart w:id="9" w:name="page10"/>
    <w:bookmarkEnd w:id="9"/>
    <w:p>
      <w:pPr>
        <w:ind w:left="1060"/>
        <w:spacing w:after="0"/>
        <w:rPr>
          <w:sz w:val="20"/>
          <w:szCs w:val="20"/>
          <w:color w:val="auto"/>
        </w:rPr>
      </w:pPr>
      <w:r>
        <w:rPr>
          <w:rFonts w:ascii="Courier New" w:cs="Courier New" w:eastAsia="Courier New" w:hAnsi="Courier New"/>
          <w:sz w:val="17"/>
          <w:szCs w:val="17"/>
          <w:color w:val="auto"/>
        </w:rPr>
        <w:t>1995.</w:t>
      </w:r>
    </w:p>
    <w:p>
      <w:pPr>
        <w:spacing w:after="0" w:line="210" w:lineRule="exact"/>
        <w:rPr>
          <w:sz w:val="20"/>
          <w:szCs w:val="20"/>
          <w:color w:val="auto"/>
        </w:rPr>
      </w:pPr>
    </w:p>
    <w:p>
      <w:pPr>
        <w:ind w:left="1060" w:right="2139"/>
        <w:spacing w:after="0" w:line="254" w:lineRule="auto"/>
        <w:rPr>
          <w:sz w:val="20"/>
          <w:szCs w:val="20"/>
          <w:color w:val="auto"/>
        </w:rPr>
      </w:pPr>
      <w:r>
        <w:rPr>
          <w:rFonts w:ascii="Courier New" w:cs="Courier New" w:eastAsia="Courier New" w:hAnsi="Courier New"/>
          <w:sz w:val="17"/>
          <w:szCs w:val="17"/>
          <w:color w:val="auto"/>
        </w:rPr>
        <w:t>TI Deferred Compensation Plan (incorporated by reference to Exhibit 10(a)(ii) to the Registrant's Annual Report on Form 10-K for the year 1994).</w:t>
      </w:r>
    </w:p>
    <w:p>
      <w:pPr>
        <w:spacing w:after="0" w:line="194" w:lineRule="exact"/>
        <w:rPr>
          <w:sz w:val="20"/>
          <w:szCs w:val="20"/>
          <w:color w:val="auto"/>
        </w:rPr>
      </w:pPr>
    </w:p>
    <w:p>
      <w:pPr>
        <w:ind w:left="1060" w:right="2359"/>
        <w:spacing w:after="0" w:line="254" w:lineRule="auto"/>
        <w:rPr>
          <w:sz w:val="20"/>
          <w:szCs w:val="20"/>
          <w:color w:val="auto"/>
        </w:rPr>
      </w:pPr>
      <w:r>
        <w:rPr>
          <w:rFonts w:ascii="Courier New" w:cs="Courier New" w:eastAsia="Courier New" w:hAnsi="Courier New"/>
          <w:sz w:val="17"/>
          <w:szCs w:val="17"/>
          <w:color w:val="auto"/>
        </w:rPr>
        <w:t>Amendment No. 1 to TI Deferred Compensation Plan (incorporated by reference to Exhibit 10(a)(iii) to Registrant's Annual Report on Form 10-K for the year 1994).</w:t>
      </w:r>
    </w:p>
    <w:p>
      <w:pPr>
        <w:spacing w:after="0" w:line="194" w:lineRule="exact"/>
        <w:rPr>
          <w:sz w:val="20"/>
          <w:szCs w:val="20"/>
          <w:color w:val="auto"/>
        </w:rPr>
      </w:pPr>
    </w:p>
    <w:p>
      <w:pPr>
        <w:ind w:left="1060" w:right="2139"/>
        <w:spacing w:after="0" w:line="254"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 to the Registrant's Annual Report on Form 10-K for the year 1993).</w:t>
      </w:r>
    </w:p>
    <w:p>
      <w:pPr>
        <w:spacing w:after="0" w:line="194" w:lineRule="exact"/>
        <w:rPr>
          <w:sz w:val="20"/>
          <w:szCs w:val="20"/>
          <w:color w:val="auto"/>
        </w:rPr>
      </w:pPr>
    </w:p>
    <w:p>
      <w:pPr>
        <w:ind w:left="1060" w:right="2139"/>
        <w:spacing w:after="0" w:line="253" w:lineRule="auto"/>
        <w:rPr>
          <w:sz w:val="20"/>
          <w:szCs w:val="20"/>
          <w:color w:val="auto"/>
        </w:rPr>
      </w:pPr>
      <w:r>
        <w:rPr>
          <w:rFonts w:ascii="Courier New" w:cs="Courier New" w:eastAsia="Courier New" w:hAnsi="Courier New"/>
          <w:sz w:val="17"/>
          <w:szCs w:val="17"/>
          <w:color w:val="auto"/>
        </w:rPr>
        <w:t>Statement of Policy of Registrant's Board of Directors on Top Officer and Board Member Retirement Practices (incorporated by reference to Exhibit 10(b)(vi) to the Registrant's Annual Report on Form 10-K for the year 1993).</w:t>
      </w:r>
    </w:p>
    <w:p>
      <w:pPr>
        <w:spacing w:after="0" w:line="396" w:lineRule="exact"/>
        <w:rPr>
          <w:sz w:val="20"/>
          <w:szCs w:val="20"/>
          <w:color w:val="auto"/>
        </w:rPr>
      </w:pPr>
    </w:p>
    <w:p>
      <w:pPr>
        <w:ind w:left="1060" w:right="7079" w:hanging="529"/>
        <w:spacing w:after="0" w:line="502" w:lineRule="auto"/>
        <w:tabs>
          <w:tab w:leader="none" w:pos="10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ind w:right="2139"/>
        <w:spacing w:after="0" w:line="257"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92"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With the exception of historical information, the matters discussed or incorporated by reference in this Report on Form 10-K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 other risks indicated in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By:___________________________</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Jerry R. Junkins</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Chairman of the Board,</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President and</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Chief Executive Officer</w:t>
      </w: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February __, 1996</w:t>
      </w:r>
    </w:p>
    <w:p>
      <w:pPr>
        <w:sectPr>
          <w:pgSz w:w="11900" w:h="16838" w:orient="portrait"/>
          <w:cols w:equalWidth="0" w:num="1">
            <w:col w:w="10219"/>
          </w:cols>
          <w:pgMar w:left="240" w:top="142"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pacing w:after="0" w:line="210"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indicated on the ______ day of February, 1996.</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jc w:val="center"/>
              <w:ind w:right="153"/>
              <w:spacing w:after="0"/>
              <w:rPr>
                <w:sz w:val="20"/>
                <w:szCs w:val="20"/>
                <w:color w:val="auto"/>
              </w:rPr>
            </w:pPr>
            <w:r>
              <w:rPr>
                <w:rFonts w:ascii="Courier New" w:cs="Courier New" w:eastAsia="Courier New" w:hAnsi="Courier New"/>
                <w:sz w:val="17"/>
                <w:szCs w:val="17"/>
                <w:color w:val="auto"/>
              </w:rPr>
              <w:t>Signature</w:t>
            </w:r>
          </w:p>
        </w:tc>
        <w:tc>
          <w:tcPr>
            <w:tcW w:w="3940" w:type="dxa"/>
            <w:vAlign w:val="bottom"/>
          </w:tcPr>
          <w:p>
            <w:pPr>
              <w:ind w:left="1620"/>
              <w:spacing w:after="0"/>
              <w:rPr>
                <w:sz w:val="20"/>
                <w:szCs w:val="20"/>
                <w:color w:val="auto"/>
              </w:rPr>
            </w:pPr>
            <w:r>
              <w:rPr>
                <w:rFonts w:ascii="Courier New" w:cs="Courier New" w:eastAsia="Courier New" w:hAnsi="Courier New"/>
                <w:sz w:val="17"/>
                <w:szCs w:val="17"/>
                <w:color w:val="auto"/>
              </w:rPr>
              <w:t>Title</w:t>
            </w: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3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James R. Adams</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3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David L. Boren</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153"/>
              <w:spacing w:after="0"/>
              <w:rPr>
                <w:sz w:val="20"/>
                <w:szCs w:val="20"/>
                <w:color w:val="auto"/>
              </w:rPr>
            </w:pPr>
            <w:r>
              <w:rPr>
                <w:rFonts w:ascii="Courier New" w:cs="Courier New" w:eastAsia="Courier New" w:hAnsi="Courier New"/>
                <w:sz w:val="17"/>
                <w:szCs w:val="17"/>
                <w:color w:val="auto"/>
              </w:rPr>
              <w:t>James B. Busey IV</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Gerald W. Fronterhouse</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David R. Goode</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Chairman of the Board; President;</w:t>
            </w:r>
          </w:p>
        </w:tc>
      </w:tr>
      <w:tr>
        <w:trPr>
          <w:trHeight w:val="201"/>
        </w:trPr>
        <w:tc>
          <w:tcPr>
            <w:tcW w:w="4140" w:type="dxa"/>
            <w:vAlign w:val="bottom"/>
          </w:tcPr>
          <w:p>
            <w:pPr>
              <w:jc w:val="center"/>
              <w:ind w:right="253"/>
              <w:spacing w:after="0"/>
              <w:rPr>
                <w:sz w:val="20"/>
                <w:szCs w:val="20"/>
                <w:color w:val="auto"/>
              </w:rPr>
            </w:pPr>
            <w:r>
              <w:rPr>
                <w:rFonts w:ascii="Courier New" w:cs="Courier New" w:eastAsia="Courier New" w:hAnsi="Courier New"/>
                <w:sz w:val="17"/>
                <w:szCs w:val="17"/>
                <w:color w:val="auto"/>
              </w:rPr>
              <w:t>Jerry R. Junkins</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Chief Executive Officer; Director</w:t>
            </w: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William S. Lee</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Vice Chairman; Director</w:t>
            </w:r>
          </w:p>
        </w:tc>
      </w:tr>
      <w:tr>
        <w:trPr>
          <w:trHeight w:val="201"/>
        </w:trPr>
        <w:tc>
          <w:tcPr>
            <w:tcW w:w="4140" w:type="dxa"/>
            <w:vAlign w:val="bottom"/>
          </w:tcPr>
          <w:p>
            <w:pPr>
              <w:jc w:val="center"/>
              <w:ind w:right="153"/>
              <w:spacing w:after="0"/>
              <w:rPr>
                <w:sz w:val="20"/>
                <w:szCs w:val="20"/>
                <w:color w:val="auto"/>
              </w:rPr>
            </w:pPr>
            <w:r>
              <w:rPr>
                <w:rFonts w:ascii="Courier New" w:cs="Courier New" w:eastAsia="Courier New" w:hAnsi="Courier New"/>
                <w:sz w:val="17"/>
                <w:szCs w:val="17"/>
                <w:color w:val="auto"/>
              </w:rPr>
              <w:t>William B. Mitchell</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253"/>
              <w:spacing w:after="0"/>
              <w:rPr>
                <w:sz w:val="20"/>
                <w:szCs w:val="20"/>
                <w:color w:val="auto"/>
              </w:rPr>
            </w:pPr>
            <w:r>
              <w:rPr>
                <w:rFonts w:ascii="Courier New" w:cs="Courier New" w:eastAsia="Courier New" w:hAnsi="Courier New"/>
                <w:sz w:val="17"/>
                <w:szCs w:val="17"/>
                <w:color w:val="auto"/>
              </w:rPr>
              <w:t>Gloria M. Shatto</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Vice Chairman; Director</w:t>
            </w:r>
          </w:p>
        </w:tc>
      </w:tr>
      <w:tr>
        <w:trPr>
          <w:trHeight w:val="201"/>
        </w:trPr>
        <w:tc>
          <w:tcPr>
            <w:tcW w:w="4140" w:type="dxa"/>
            <w:vAlign w:val="bottom"/>
          </w:tcPr>
          <w:p>
            <w:pPr>
              <w:jc w:val="center"/>
              <w:ind w:right="253"/>
              <w:spacing w:after="0"/>
              <w:rPr>
                <w:sz w:val="20"/>
                <w:szCs w:val="20"/>
                <w:color w:val="auto"/>
              </w:rPr>
            </w:pPr>
            <w:r>
              <w:rPr>
                <w:rFonts w:ascii="Courier New" w:cs="Courier New" w:eastAsia="Courier New" w:hAnsi="Courier New"/>
                <w:sz w:val="17"/>
                <w:szCs w:val="17"/>
                <w:color w:val="auto"/>
              </w:rPr>
              <w:t>William P. Weber</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4140" w:type="dxa"/>
            <w:vAlign w:val="bottom"/>
          </w:tcPr>
          <w:p>
            <w:pPr>
              <w:jc w:val="center"/>
              <w:ind w:right="253"/>
              <w:spacing w:after="0"/>
              <w:rPr>
                <w:sz w:val="20"/>
                <w:szCs w:val="20"/>
                <w:color w:val="auto"/>
              </w:rPr>
            </w:pPr>
            <w:r>
              <w:rPr>
                <w:rFonts w:ascii="Courier New" w:cs="Courier New" w:eastAsia="Courier New" w:hAnsi="Courier New"/>
                <w:sz w:val="17"/>
                <w:szCs w:val="17"/>
                <w:color w:val="auto"/>
              </w:rPr>
              <w:t>Clayton K. Yeutter</w:t>
            </w:r>
          </w:p>
        </w:tc>
        <w:tc>
          <w:tcPr>
            <w:tcW w:w="3940" w:type="dxa"/>
            <w:vAlign w:val="bottom"/>
          </w:tcPr>
          <w:p>
            <w:pPr>
              <w:spacing w:after="0"/>
              <w:rPr>
                <w:sz w:val="17"/>
                <w:szCs w:val="17"/>
                <w:color w:val="auto"/>
              </w:rPr>
            </w:pP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Senior Vice President; Treasurer;</w:t>
            </w:r>
          </w:p>
        </w:tc>
      </w:tr>
      <w:tr>
        <w:trPr>
          <w:trHeight w:val="201"/>
        </w:trPr>
        <w:tc>
          <w:tcPr>
            <w:tcW w:w="414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William A. Aylesworth</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Chief Financial Officer</w:t>
            </w: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____________________________________</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Vice President; Corporate</w:t>
            </w:r>
          </w:p>
        </w:tc>
      </w:tr>
      <w:tr>
        <w:trPr>
          <w:trHeight w:val="201"/>
        </w:trPr>
        <w:tc>
          <w:tcPr>
            <w:tcW w:w="4140" w:type="dxa"/>
            <w:vAlign w:val="bottom"/>
          </w:tcPr>
          <w:p>
            <w:pPr>
              <w:jc w:val="center"/>
              <w:ind w:right="153"/>
              <w:spacing w:after="0"/>
              <w:rPr>
                <w:sz w:val="20"/>
                <w:szCs w:val="20"/>
                <w:color w:val="auto"/>
              </w:rPr>
            </w:pPr>
            <w:r>
              <w:rPr>
                <w:rFonts w:ascii="Courier New" w:cs="Courier New" w:eastAsia="Courier New" w:hAnsi="Courier New"/>
                <w:sz w:val="17"/>
                <w:szCs w:val="17"/>
                <w:color w:val="auto"/>
              </w:rPr>
              <w:t>Marvin M. Lane, Jr.</w:t>
            </w:r>
          </w:p>
        </w:tc>
        <w:tc>
          <w:tcPr>
            <w:tcW w:w="3940" w:type="dxa"/>
            <w:vAlign w:val="bottom"/>
          </w:tcPr>
          <w:p>
            <w:pPr>
              <w:ind w:left="480"/>
              <w:spacing w:after="0"/>
              <w:rPr>
                <w:sz w:val="20"/>
                <w:szCs w:val="20"/>
                <w:color w:val="auto"/>
              </w:rPr>
            </w:pPr>
            <w:r>
              <w:rPr>
                <w:rFonts w:ascii="Courier New" w:cs="Courier New" w:eastAsia="Courier New" w:hAnsi="Courier New"/>
                <w:sz w:val="17"/>
                <w:szCs w:val="17"/>
                <w:color w:val="auto"/>
              </w:rPr>
              <w:t>Controller</w:t>
            </w:r>
          </w:p>
        </w:tc>
      </w:tr>
      <w:tr>
        <w:trPr>
          <w:trHeight w:val="403"/>
        </w:trPr>
        <w:tc>
          <w:tcPr>
            <w:tcW w:w="41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*By:________________________________</w:t>
            </w:r>
          </w:p>
        </w:tc>
        <w:tc>
          <w:tcPr>
            <w:tcW w:w="3940" w:type="dxa"/>
            <w:vAlign w:val="bottom"/>
          </w:tcPr>
          <w:p>
            <w:pPr>
              <w:spacing w:after="0"/>
              <w:rPr>
                <w:sz w:val="24"/>
                <w:szCs w:val="24"/>
                <w:color w:val="auto"/>
              </w:rPr>
            </w:pPr>
          </w:p>
        </w:tc>
      </w:tr>
      <w:tr>
        <w:trPr>
          <w:trHeight w:val="201"/>
        </w:trPr>
        <w:tc>
          <w:tcPr>
            <w:tcW w:w="4140" w:type="dxa"/>
            <w:vAlign w:val="bottom"/>
          </w:tcPr>
          <w:p>
            <w:pPr>
              <w:ind w:left="1060"/>
              <w:spacing w:after="0"/>
              <w:rPr>
                <w:sz w:val="20"/>
                <w:szCs w:val="20"/>
                <w:color w:val="auto"/>
              </w:rPr>
            </w:pPr>
            <w:r>
              <w:rPr>
                <w:rFonts w:ascii="Courier New" w:cs="Courier New" w:eastAsia="Courier New" w:hAnsi="Courier New"/>
                <w:sz w:val="17"/>
                <w:szCs w:val="17"/>
                <w:color w:val="auto"/>
              </w:rPr>
              <w:t>William A. Aylesworth</w:t>
            </w:r>
          </w:p>
        </w:tc>
        <w:tc>
          <w:tcPr>
            <w:tcW w:w="3940" w:type="dxa"/>
            <w:vAlign w:val="bottom"/>
          </w:tcPr>
          <w:p>
            <w:pPr>
              <w:spacing w:after="0"/>
              <w:rPr>
                <w:sz w:val="17"/>
                <w:szCs w:val="17"/>
                <w:color w:val="auto"/>
              </w:rPr>
            </w:pPr>
          </w:p>
        </w:tc>
      </w:tr>
      <w:tr>
        <w:trPr>
          <w:trHeight w:val="201"/>
        </w:trPr>
        <w:tc>
          <w:tcPr>
            <w:tcW w:w="4140" w:type="dxa"/>
            <w:vAlign w:val="bottom"/>
          </w:tcPr>
          <w:p>
            <w:pPr>
              <w:ind w:left="1260"/>
              <w:spacing w:after="0"/>
              <w:rPr>
                <w:sz w:val="20"/>
                <w:szCs w:val="20"/>
                <w:color w:val="auto"/>
              </w:rPr>
            </w:pPr>
            <w:r>
              <w:rPr>
                <w:rFonts w:ascii="Courier New" w:cs="Courier New" w:eastAsia="Courier New" w:hAnsi="Courier New"/>
                <w:sz w:val="17"/>
                <w:szCs w:val="17"/>
                <w:color w:val="auto"/>
              </w:rPr>
              <w:t>Attorney-in-fact</w:t>
            </w:r>
          </w:p>
        </w:tc>
        <w:tc>
          <w:tcPr>
            <w:tcW w:w="3940" w:type="dxa"/>
            <w:vAlign w:val="bottom"/>
          </w:tcPr>
          <w:p>
            <w:pPr>
              <w:spacing w:after="0"/>
              <w:rPr>
                <w:sz w:val="17"/>
                <w:szCs w:val="17"/>
                <w:color w:val="auto"/>
              </w:rPr>
            </w:pPr>
          </w:p>
        </w:tc>
      </w:tr>
    </w:tbl>
    <w:p>
      <w:pPr>
        <w:sectPr>
          <w:pgSz w:w="11900" w:h="16838" w:orient="portrait"/>
          <w:cols w:equalWidth="0" w:num="1">
            <w:col w:w="10219"/>
          </w:cols>
          <w:pgMar w:left="240" w:top="1440" w:right="1440" w:bottom="426" w:gutter="0" w:footer="0" w:header="0"/>
        </w:sectPr>
      </w:pPr>
    </w:p>
    <w:bookmarkStart w:id="11" w:name="page12"/>
    <w:bookmarkEnd w:id="11"/>
    <w:p>
      <w:pPr>
        <w:spacing w:after="0" w:line="31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1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210"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INDEX TO FINANCIAL STATEMENTS</w:t>
      </w:r>
    </w:p>
    <w:p>
      <w:pPr>
        <w:spacing w:after="0" w:line="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AND FINANCIAL STATEMENT SCHEDULES</w:t>
      </w:r>
    </w:p>
    <w:p>
      <w:pPr>
        <w:spacing w:after="0" w:line="9"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(Item 14(a))</w:t>
      </w:r>
    </w:p>
    <w:p>
      <w:pPr>
        <w:spacing w:after="0" w:line="200" w:lineRule="exact"/>
        <w:rPr>
          <w:sz w:val="20"/>
          <w:szCs w:val="20"/>
          <w:color w:val="auto"/>
        </w:rPr>
      </w:pPr>
    </w:p>
    <w:p>
      <w:pPr>
        <w:spacing w:after="0" w:line="212"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Page Reference</w:t>
      </w:r>
    </w:p>
    <w:p>
      <w:pPr>
        <w:spacing w:after="0" w:line="9"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7240"/>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Report to</w:t>
      </w:r>
    </w:p>
    <w:p>
      <w:pPr>
        <w:spacing w:after="0" w:line="9" w:lineRule="exact"/>
        <w:rPr>
          <w:sz w:val="20"/>
          <w:szCs w:val="20"/>
          <w:color w:val="auto"/>
        </w:rPr>
      </w:pPr>
    </w:p>
    <w:p>
      <w:pPr>
        <w:ind w:left="5460"/>
        <w:spacing w:after="0"/>
        <w:tabs>
          <w:tab w:leader="none" w:pos="6900" w:val="left"/>
        </w:tabs>
        <w:rPr>
          <w:sz w:val="20"/>
          <w:szCs w:val="20"/>
          <w:color w:val="auto"/>
        </w:rPr>
      </w:pPr>
      <w:r>
        <w:rPr>
          <w:rFonts w:ascii="Courier New" w:cs="Courier New" w:eastAsia="Courier New" w:hAnsi="Courier New"/>
          <w:sz w:val="17"/>
          <w:szCs w:val="17"/>
          <w:color w:val="auto"/>
        </w:rPr>
        <w:t>Form 10-K</w:t>
      </w:r>
      <w:r>
        <w:rPr>
          <w:sz w:val="20"/>
          <w:szCs w:val="20"/>
          <w:color w:val="auto"/>
        </w:rPr>
        <w:tab/>
      </w:r>
      <w:r>
        <w:rPr>
          <w:rFonts w:ascii="Courier New" w:cs="Courier New" w:eastAsia="Courier New" w:hAnsi="Courier New"/>
          <w:sz w:val="17"/>
          <w:szCs w:val="17"/>
          <w:color w:val="auto"/>
        </w:rPr>
        <w:t>Stockholders</w:t>
      </w:r>
    </w:p>
    <w:p>
      <w:pPr>
        <w:spacing w:after="0" w:line="9" w:lineRule="exact"/>
        <w:rPr>
          <w:sz w:val="20"/>
          <w:szCs w:val="20"/>
          <w:color w:val="auto"/>
        </w:rPr>
      </w:pPr>
    </w:p>
    <w:p>
      <w:pPr>
        <w:ind w:left="5460"/>
        <w:spacing w:after="0"/>
        <w:tabs>
          <w:tab w:leader="none" w:pos="69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incorporated by reference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Registrant's 1995 Annual Report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Stockholders:</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Consolidated Financial Statements:</w:t>
      </w:r>
    </w:p>
    <w:p>
      <w:pPr>
        <w:sectPr>
          <w:pgSz w:w="11900" w:h="16838" w:orient="portrait"/>
          <w:cols w:equalWidth="0" w:num="1">
            <w:col w:w="10219"/>
          </w:cols>
          <w:pgMar w:left="240" w:top="1440" w:right="1440" w:bottom="28" w:gutter="0" w:footer="0" w:header="0"/>
        </w:sectPr>
      </w:pPr>
    </w:p>
    <w:p>
      <w:pPr>
        <w:spacing w:after="0" w:line="2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Income for each of the three</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years in the period ended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December 31, 1995</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w:t>
      </w:r>
    </w:p>
    <w:p>
      <w:pPr>
        <w:spacing w:after="0" w:line="602" w:lineRule="exact"/>
        <w:rPr>
          <w:sz w:val="20"/>
          <w:szCs w:val="20"/>
          <w:color w:val="auto"/>
        </w:rPr>
      </w:pPr>
    </w:p>
    <w:p>
      <w:pPr>
        <w:sectPr>
          <w:pgSz w:w="11900" w:h="16838" w:orient="portrait"/>
          <w:cols w:equalWidth="0" w:num="2">
            <w:col w:w="6720" w:space="720"/>
            <w:col w:w="2779"/>
          </w:cols>
          <w:pgMar w:left="240" w:top="1440" w:right="1440" w:bottom="28"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Balance sheet at December 31,</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1995 and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27</w:t>
      </w:r>
    </w:p>
    <w:p>
      <w:pPr>
        <w:spacing w:after="0" w:line="401" w:lineRule="exact"/>
        <w:rPr>
          <w:sz w:val="20"/>
          <w:szCs w:val="20"/>
          <w:color w:val="auto"/>
        </w:rPr>
      </w:pPr>
    </w:p>
    <w:p>
      <w:pPr>
        <w:sectPr>
          <w:pgSz w:w="11900" w:h="16838" w:orient="portrait"/>
          <w:cols w:equalWidth="0" w:num="2">
            <w:col w:w="6720" w:space="720"/>
            <w:col w:w="2779"/>
          </w:cols>
          <w:pgMar w:left="240" w:top="1440" w:right="1440" w:bottom="28"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Cash flows for each of the</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three years in the period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ended December 31,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28</w:t>
      </w:r>
    </w:p>
    <w:p>
      <w:pPr>
        <w:spacing w:after="0" w:line="602" w:lineRule="exact"/>
        <w:rPr>
          <w:sz w:val="20"/>
          <w:szCs w:val="20"/>
          <w:color w:val="auto"/>
        </w:rPr>
      </w:pPr>
    </w:p>
    <w:p>
      <w:pPr>
        <w:sectPr>
          <w:pgSz w:w="11900" w:h="16838" w:orient="portrait"/>
          <w:cols w:equalWidth="0" w:num="2">
            <w:col w:w="6720" w:space="720"/>
            <w:col w:w="2779"/>
          </w:cols>
          <w:pgMar w:left="240" w:top="1440" w:right="1440" w:bottom="28"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Stockholders' equity for each of</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the three years in the period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ended December 31, 1995</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Courier New" w:cs="Courier New" w:eastAsia="Courier New" w:hAnsi="Courier New"/>
          <w:sz w:val="17"/>
          <w:szCs w:val="17"/>
          <w:color w:val="auto"/>
        </w:rPr>
        <w:t>29</w:t>
      </w:r>
    </w:p>
    <w:p>
      <w:pPr>
        <w:spacing w:after="0" w:line="602" w:lineRule="exact"/>
        <w:rPr>
          <w:sz w:val="20"/>
          <w:szCs w:val="20"/>
          <w:color w:val="auto"/>
        </w:rPr>
      </w:pPr>
    </w:p>
    <w:p>
      <w:pPr>
        <w:sectPr>
          <w:pgSz w:w="11900" w:h="16838" w:orient="portrait"/>
          <w:cols w:equalWidth="0" w:num="2">
            <w:col w:w="6720" w:space="720"/>
            <w:col w:w="2779"/>
          </w:cols>
          <w:pgMar w:left="240" w:top="1440" w:right="1440" w:bottom="28"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Notes to financial statements</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Courier New" w:cs="Courier New" w:eastAsia="Courier New" w:hAnsi="Courier New"/>
          <w:sz w:val="17"/>
          <w:szCs w:val="17"/>
          <w:color w:val="auto"/>
        </w:rPr>
        <w:t>30-39</w:t>
      </w:r>
    </w:p>
    <w:p>
      <w:pPr>
        <w:spacing w:after="0" w:line="200" w:lineRule="exact"/>
        <w:rPr>
          <w:sz w:val="20"/>
          <w:szCs w:val="20"/>
          <w:color w:val="auto"/>
        </w:rPr>
      </w:pPr>
    </w:p>
    <w:p>
      <w:pPr>
        <w:sectPr>
          <w:pgSz w:w="11900" w:h="16838" w:orient="portrait"/>
          <w:cols w:equalWidth="0" w:num="2">
            <w:col w:w="6400" w:space="720"/>
            <w:col w:w="3099"/>
          </w:cols>
          <w:pgMar w:left="240" w:top="1440" w:right="1440" w:bottom="28"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39</w:t>
      </w:r>
    </w:p>
    <w:p>
      <w:pPr>
        <w:spacing w:after="0" w:line="200" w:lineRule="exact"/>
        <w:rPr>
          <w:sz w:val="20"/>
          <w:szCs w:val="20"/>
          <w:color w:val="auto"/>
        </w:rPr>
      </w:pPr>
    </w:p>
    <w:p>
      <w:pPr>
        <w:sectPr>
          <w:pgSz w:w="11900" w:h="16838" w:orient="portrait"/>
          <w:cols w:equalWidth="0" w:num="2">
            <w:col w:w="6720" w:space="720"/>
            <w:col w:w="2779"/>
          </w:cols>
          <w:pgMar w:left="240" w:top="1440" w:right="1440" w:bottom="28"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Schedule for each of the three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in the period ended December 31, 1995:</w:t>
      </w:r>
    </w:p>
    <w:p>
      <w:pPr>
        <w:sectPr>
          <w:pgSz w:w="11900" w:h="16838" w:orient="portrait"/>
          <w:cols w:equalWidth="0" w:num="1">
            <w:col w:w="10219"/>
          </w:cols>
          <w:pgMar w:left="240" w:top="1440" w:right="1440" w:bottom="28" w:gutter="0" w:footer="0" w:header="0"/>
          <w:type w:val="continuous"/>
        </w:sectPr>
      </w:pPr>
    </w:p>
    <w:p>
      <w:pPr>
        <w:spacing w:after="0" w:line="210" w:lineRule="exact"/>
        <w:rPr>
          <w:sz w:val="20"/>
          <w:szCs w:val="20"/>
          <w:color w:val="auto"/>
        </w:rPr>
      </w:pPr>
    </w:p>
    <w:p>
      <w:pPr>
        <w:ind w:left="1260"/>
        <w:spacing w:after="0"/>
        <w:tabs>
          <w:tab w:leader="none" w:pos="1880" w:val="left"/>
        </w:tabs>
        <w:rPr>
          <w:sz w:val="20"/>
          <w:szCs w:val="20"/>
          <w:color w:val="auto"/>
        </w:rPr>
      </w:pPr>
      <w:r>
        <w:rPr>
          <w:rFonts w:ascii="Courier New" w:cs="Courier New" w:eastAsia="Courier New" w:hAnsi="Courier New"/>
          <w:sz w:val="17"/>
          <w:szCs w:val="17"/>
          <w:color w:val="auto"/>
        </w:rPr>
        <w:t>II.</w:t>
      </w:r>
      <w:r>
        <w:rPr>
          <w:sz w:val="20"/>
          <w:szCs w:val="20"/>
          <w:color w:val="auto"/>
        </w:rPr>
        <w:tab/>
      </w:r>
      <w:r>
        <w:rPr>
          <w:rFonts w:ascii="Courier New" w:cs="Courier New" w:eastAsia="Courier New" w:hAnsi="Courier New"/>
          <w:sz w:val="17"/>
          <w:szCs w:val="17"/>
          <w:color w:val="auto"/>
        </w:rPr>
        <w:t>Allowance for losses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w:t>
      </w:r>
    </w:p>
    <w:p>
      <w:pPr>
        <w:spacing w:after="0" w:line="211" w:lineRule="exact"/>
        <w:rPr>
          <w:sz w:val="20"/>
          <w:szCs w:val="20"/>
          <w:color w:val="auto"/>
        </w:rPr>
      </w:pPr>
    </w:p>
    <w:p>
      <w:pPr>
        <w:sectPr>
          <w:pgSz w:w="11900" w:h="16838" w:orient="portrait"/>
          <w:cols w:equalWidth="0" w:num="2">
            <w:col w:w="5160" w:space="720"/>
            <w:col w:w="4339"/>
          </w:cols>
          <w:pgMar w:left="240" w:top="1440" w:right="1440" w:bottom="28" w:gutter="0" w:footer="0" w:header="0"/>
          <w:type w:val="continuous"/>
        </w:sectPr>
      </w:pPr>
    </w:p>
    <w:p>
      <w:pPr>
        <w:spacing w:after="0" w:line="21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pacing w:after="0" w:line="210"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Schedule II</w:t>
      </w:r>
    </w:p>
    <w:p>
      <w:pPr>
        <w:spacing w:after="0" w:line="9"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ALLOWANCE FOR LOSSES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(In Millions of Dollars)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Years Ended December 31, 1995, 1994, and 1993</w:t>
      </w:r>
    </w:p>
    <w:p>
      <w:pPr>
        <w:sectPr>
          <w:pgSz w:w="11900" w:h="16838" w:orient="portrait"/>
          <w:cols w:equalWidth="0" w:num="1">
            <w:col w:w="10219"/>
          </w:cols>
          <w:pgMar w:left="240" w:top="1440" w:right="1440" w:bottom="28" w:gutter="0" w:footer="0" w:header="0"/>
          <w:type w:val="continuous"/>
        </w:sectPr>
      </w:pPr>
    </w:p>
    <w:bookmarkStart w:id="12" w:name="page13"/>
    <w:bookmarkEnd w:id="12"/>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Additions</w:t>
            </w: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1000" w:type="dxa"/>
            <w:vAlign w:val="bottom"/>
          </w:tcPr>
          <w:p>
            <w:pPr>
              <w:spacing w:after="0"/>
              <w:rPr>
                <w:sz w:val="17"/>
                <w:szCs w:val="17"/>
                <w:color w:val="auto"/>
              </w:rPr>
            </w:pP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Balance at</w:t>
            </w: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Charged to</w:t>
            </w:r>
          </w:p>
        </w:tc>
        <w:tc>
          <w:tcPr>
            <w:tcW w:w="174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Balance</w:t>
            </w:r>
          </w:p>
        </w:tc>
      </w:tr>
      <w:tr>
        <w:trPr>
          <w:trHeight w:val="201"/>
        </w:trPr>
        <w:tc>
          <w:tcPr>
            <w:tcW w:w="1000" w:type="dxa"/>
            <w:vAlign w:val="bottom"/>
          </w:tcPr>
          <w:p>
            <w:pPr>
              <w:spacing w:after="0"/>
              <w:rPr>
                <w:sz w:val="17"/>
                <w:szCs w:val="17"/>
                <w:color w:val="auto"/>
              </w:rPr>
            </w:pPr>
          </w:p>
        </w:tc>
        <w:tc>
          <w:tcPr>
            <w:tcW w:w="1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Beginning</w:t>
            </w: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Costs and</w:t>
            </w:r>
          </w:p>
        </w:tc>
        <w:tc>
          <w:tcPr>
            <w:tcW w:w="174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at End</w:t>
            </w:r>
          </w:p>
        </w:tc>
      </w:tr>
      <w:tr>
        <w:trPr>
          <w:trHeight w:val="201"/>
        </w:trPr>
        <w:tc>
          <w:tcPr>
            <w:tcW w:w="1000" w:type="dxa"/>
            <w:vAlign w:val="bottom"/>
          </w:tcPr>
          <w:p>
            <w:pPr>
              <w:spacing w:after="0"/>
              <w:rPr>
                <w:sz w:val="17"/>
                <w:szCs w:val="17"/>
                <w:color w:val="auto"/>
              </w:rPr>
            </w:pP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of Year</w:t>
            </w: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Expenses</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Deductions</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of Year</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6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$37</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$113</w:t>
            </w:r>
          </w:p>
        </w:tc>
        <w:tc>
          <w:tcPr>
            <w:tcW w:w="17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$105</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6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$42</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$80</w:t>
            </w:r>
          </w:p>
        </w:tc>
        <w:tc>
          <w:tcPr>
            <w:tcW w:w="17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$85</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6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$34</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$87</w:t>
            </w:r>
          </w:p>
        </w:tc>
        <w:tc>
          <w:tcPr>
            <w:tcW w:w="17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$79</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Allowances for losses from uncollectible accounts, returns, etc., are deducted from accounts receivable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212" w:lineRule="exact"/>
        <w:rPr>
          <w:sz w:val="20"/>
          <w:szCs w:val="20"/>
          <w:color w:val="auto"/>
        </w:rPr>
      </w:pPr>
    </w:p>
    <w:p>
      <w:pPr>
        <w:ind w:left="6600"/>
        <w:spacing w:after="0"/>
        <w:rPr>
          <w:sz w:val="20"/>
          <w:szCs w:val="20"/>
          <w:color w:val="auto"/>
        </w:rPr>
      </w:pPr>
      <w:r>
        <w:rPr>
          <w:rFonts w:ascii="Courier New" w:cs="Courier New" w:eastAsia="Courier New" w:hAnsi="Courier New"/>
          <w:sz w:val="17"/>
          <w:szCs w:val="17"/>
          <w:color w:val="auto"/>
        </w:rPr>
        <w:t>Exhibit 10(a)</w:t>
      </w:r>
    </w:p>
    <w:p>
      <w:pPr>
        <w:spacing w:after="0" w:line="9" w:lineRule="exact"/>
        <w:rPr>
          <w:sz w:val="20"/>
          <w:szCs w:val="20"/>
          <w:color w:val="auto"/>
        </w:rPr>
      </w:pPr>
    </w:p>
    <w:p>
      <w:pPr>
        <w:ind w:left="66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TEXAS INSTRUMENTS ANNUAL INCENTIVE PLAN</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As Amended November 30, 1995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The Texas Instruments Annual Incentive Plan is designed to provide an additional incentive for those employees who are key to the Company's success in the highly technological and competitive industries in which it operates. The Plan provides for rewarding certain employees by awards for outstanding ability and exceptional service based upon the individual's contribution to the Company.</w:t>
      </w:r>
    </w:p>
    <w:p>
      <w:pPr>
        <w:spacing w:after="0" w:line="399"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w:t>
      </w:r>
    </w:p>
    <w:p>
      <w:pPr>
        <w:spacing w:after="0" w:line="210"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The employees of the Company eligible to receive awards under the Plan shall consist of the group of employees (including officers and directors) in management or other key positions specified for each year by the Committee described below and such other employees as said Committee may designate for such year. If an employee takes an approved leave of absence or dies prior to a determination of awards to be made under the Plan for a year in which the</w:t>
      </w:r>
    </w:p>
    <w:p>
      <w:pPr>
        <w:sectPr>
          <w:pgSz w:w="11900" w:h="16863" w:orient="portrait"/>
          <w:cols w:equalWidth="0" w:num="1">
            <w:col w:w="10219"/>
          </w:cols>
          <w:pgMar w:left="240" w:top="343" w:right="1440" w:bottom="0" w:gutter="0" w:footer="0" w:header="0"/>
        </w:sectPr>
      </w:pPr>
    </w:p>
    <w:bookmarkStart w:id="13" w:name="page14"/>
    <w:bookmarkEnd w:id="13"/>
    <w:p>
      <w:pPr>
        <w:spacing w:after="0" w:line="23"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employee was eligible to receive awards under the Plan, such employee on leave or the estate of such deceased employee shall be eligible to receive awards under the Plan for such year. Directors who are not full-time or part-time officers or employees are not eligible to participate in the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 of Plan</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Plan shall be administered by a Committee of the Board of Directors which shall be known as the Compensation Committee (the Committee) which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No member or alternate member of the Committee shall be eligible, while a member or alternate member, for participation in the Plan.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202"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The Committee shall have the full and exclusive right to make awards under the Plan except as otherwise expressly provided in this Plan. In determining the selection of recipients and the amount or form of any award, the Committee shall take into consideration the contribution of the recipients during the fiscal year to the Company's success and such other factors as the Committee shall determine. The Committee shall have the authority to consult with and</w:t>
      </w:r>
    </w:p>
    <w:p>
      <w:pPr>
        <w:spacing w:after="0" w:line="398"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17</w:t>
      </w:r>
    </w:p>
    <w:p>
      <w:pPr>
        <w:spacing w:after="0" w:line="210"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receive recommendations from officers or other executives of the Company with regard to these matters.</w:t>
      </w:r>
    </w:p>
    <w:p>
      <w:pPr>
        <w:spacing w:after="0" w:line="19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Committee may delegate such power, authority and rights with respect to the administration of the Plan as it deems appropriate to one or more members of the management of the Company (including, without limitation, a committee of one or more members of management appointed by the Committee); provided, however, that the Committee shall have the exclusive right to make awards to employees who are directors or officers of the Company, and that any delegation to management shall conform with the requirements of the General Corporation Law of Delaware, as in effect from time to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of Administration</w:t>
      </w:r>
    </w:p>
    <w:p>
      <w:pPr>
        <w:spacing w:after="0" w:line="210"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The expenses of the administration of this Plan, including the dividend equivalents and interest provided in the Plan, shall be borne by the Company and none of them shall be charged against the Incentive Reserve described below.</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Board of Directors of the Company may, at any time and from time to time, alter, amend, suspend or terminate the Plan or any part thereof as it may deem proper and in the best interests of the Company, provided, however, that no such action shall affect or impair the rights under any award theretofore granted under the Plan, except that in the case of an employee employed outside the United States (or his beneficiary) the Board may vary the provisions of the Plan as it may deem appropriate to conform with local laws, practices and procedures. Further, unless the stockholders of the Company shall have first approved thereof, no amendment shall be made which shall increase the maximum amount which may be credited to the Incentive Reserve described below in any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Awards</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Awards may be made from time to time during each year under the Plan by the Committee or its delegate(s) in amounts which do not exceed the amount then available in the Incentive Reserve described below. Such awards may be denominated in cash, in shares of the Company's common stock, or both, and may be payable in cash or shares, or both, as the Committee may determine.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Scope of the Plan</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The Committee shall have the power, in its sole discretion, to determine what payments to eligible employees shall be deemed to be incentive compensation for the purposes of this Plan. Awards under the Company's Patent Incentive Award program shall be deemed not to have been made under this Plan and payments under the Patent Incentive Award program shall not be charged to the Incentive</w:t>
      </w:r>
    </w:p>
    <w:p>
      <w:pPr>
        <w:sectPr>
          <w:pgSz w:w="11900" w:h="16862" w:orient="portrait"/>
          <w:cols w:equalWidth="0" w:num="1">
            <w:col w:w="10219"/>
          </w:cols>
          <w:pgMar w:left="240" w:top="142" w:right="1440" w:bottom="0" w:gutter="0" w:footer="0" w:header="0"/>
        </w:sectPr>
      </w:pPr>
    </w:p>
    <w:bookmarkStart w:id="14" w:name="page15"/>
    <w:bookmarkEnd w:id="14"/>
    <w:p>
      <w:pPr>
        <w:spacing w:after="0" w:line="24"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Reserve described below. Payments under any incentive plans which operational organizations of the Company may have from time to time to any employees who are then eligible to receive awards under this Plan shall be charged to the Incentive Reserve described below. Special payments to employees involved in unusual transactions (including, without limitation, a sale of a portion of the business of the Company) shall not be charged to the Incentive Reserve described below unless otherwise determined by the Committee. Nothing in this Plan shall be construed as preventing the Company from having from time to time incentive or other variable compensation plans applicable to employees who are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18</w:t>
      </w:r>
    </w:p>
    <w:p>
      <w:pPr>
        <w:spacing w:after="0" w:line="210" w:lineRule="exact"/>
        <w:rPr>
          <w:sz w:val="20"/>
          <w:szCs w:val="20"/>
          <w:color w:val="auto"/>
        </w:rPr>
      </w:pPr>
    </w:p>
    <w:p>
      <w:pPr>
        <w:jc w:val="both"/>
        <w:ind w:right="2359"/>
        <w:spacing w:after="0" w:line="254" w:lineRule="auto"/>
        <w:rPr>
          <w:sz w:val="20"/>
          <w:szCs w:val="20"/>
          <w:color w:val="auto"/>
        </w:rPr>
      </w:pPr>
      <w:r>
        <w:rPr>
          <w:rFonts w:ascii="Courier New" w:cs="Courier New" w:eastAsia="Courier New" w:hAnsi="Courier New"/>
          <w:sz w:val="17"/>
          <w:szCs w:val="17"/>
          <w:color w:val="auto"/>
        </w:rPr>
        <w:t>not then eligible to participate in this Plan, and payments of incentive or other variable compensation under such plans to such employees shall not be charged to the Incentive Reserve described below.</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Incentive Reserve</w:t>
      </w:r>
    </w:p>
    <w:p>
      <w:pPr>
        <w:spacing w:after="0" w:line="210"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For the calendar year 1965 and each of the calendar years thereafter, the Board of Directors shall cause to be credited to an Incentive Reserve (hereinafter called the Reserve) an amount determined as follows:</w:t>
      </w:r>
    </w:p>
    <w:p>
      <w:pPr>
        <w:spacing w:after="0" w:line="194" w:lineRule="exact"/>
        <w:rPr>
          <w:sz w:val="20"/>
          <w:szCs w:val="20"/>
          <w:color w:val="auto"/>
        </w:rPr>
      </w:pPr>
    </w:p>
    <w:p>
      <w:pPr>
        <w:ind w:left="540" w:right="1939"/>
        <w:spacing w:after="0" w:line="253" w:lineRule="auto"/>
        <w:rPr>
          <w:sz w:val="20"/>
          <w:szCs w:val="20"/>
          <w:color w:val="auto"/>
        </w:rPr>
      </w:pPr>
      <w:r>
        <w:rPr>
          <w:rFonts w:ascii="Courier New" w:cs="Courier New" w:eastAsia="Courier New" w:hAnsi="Courier New"/>
          <w:sz w:val="17"/>
          <w:szCs w:val="17"/>
          <w:color w:val="auto"/>
        </w:rPr>
        <w:t>10% of the amount by which the Company's net income for such year exceeds 6% of net capital but not in excess of the amount paid out as dividends on the common stock of the Company during such year, except that the Board may in its discretion direct that a lesser amount be credited.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used in this Plan</w:t>
      </w:r>
    </w:p>
    <w:p>
      <w:pPr>
        <w:spacing w:after="0" w:line="210" w:lineRule="exact"/>
        <w:rPr>
          <w:sz w:val="20"/>
          <w:szCs w:val="20"/>
          <w:color w:val="auto"/>
        </w:rPr>
      </w:pPr>
    </w:p>
    <w:p>
      <w:pPr>
        <w:ind w:left="960" w:right="2039" w:hanging="429"/>
        <w:spacing w:after="0" w:line="253" w:lineRule="auto"/>
        <w:tabs>
          <w:tab w:leader="none" w:pos="9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shall mean the amount reported as net income in the annual statement of income for the year as shown by the annual report to stockholders plus interest on long-term debt and amounts credited to the Reserve for such year.</w:t>
      </w:r>
    </w:p>
    <w:p>
      <w:pPr>
        <w:spacing w:after="0" w:line="195" w:lineRule="exact"/>
        <w:rPr>
          <w:rFonts w:ascii="Courier New" w:cs="Courier New" w:eastAsia="Courier New" w:hAnsi="Courier New"/>
          <w:sz w:val="17"/>
          <w:szCs w:val="17"/>
          <w:color w:val="auto"/>
        </w:rPr>
      </w:pPr>
    </w:p>
    <w:p>
      <w:pPr>
        <w:ind w:left="960" w:right="1939" w:hanging="429"/>
        <w:spacing w:after="0" w:line="253" w:lineRule="auto"/>
        <w:tabs>
          <w:tab w:leader="none" w:pos="9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capital" shall mean the total of stockholders' equity plus long-term debt (less current portion) as shown on the balance sheet as of the end of the year preceding the year for which net income, as above, is determined plus treasury stock held for the purposes of this Plan.</w:t>
      </w:r>
    </w:p>
    <w:p>
      <w:pPr>
        <w:spacing w:after="0" w:line="195"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As soon as practicable after the end of each year, the Company's independent auditors shall determine and report to the Board of Directors the maximum amount creditable to the Reserve for that year under the provisions of this Plan. The Board shall determine the amount to be credited to the Reserve for such year. Prior to receipt of such report of the auditors, the Board may make such determination based on an estimate made by the Company's Chief Financial Officer of the maximum amount creditable, provided that such a determination shall be effective only upon receipt of the auditors' report by the Secretary of the Board of Directors and only to the extent of the maximum amount creditable to the Reserve, as reported by the auditors. The amount determined by the Board shall be credited to the Reserve as of the close of the year. The Committee shall promptly be advised of the amount so credited to the Reserve and of the total amount available in the Reserve (after deducting any unpaid installments of incentive awards previously granted).</w:t>
      </w:r>
    </w:p>
    <w:p>
      <w:pPr>
        <w:spacing w:after="0" w:line="20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Committee shall make a determination of awards to be made under the Plan for each year at such time or times as the Committee shall deem appropriate. The aggregate of such awards may be less than, but shall not exceed, the total amount available in the Reserve, except that, after the end of a year and prior to the Board's determination of an amount to be credited to the Reserve for that year, the Committee may make awards in excess of the amount available in the Reserve if such awards are made payable only if an amount adequate to cover such awards is first credited to the Reserve for such year.</w:t>
      </w:r>
    </w:p>
    <w:p>
      <w:pPr>
        <w:spacing w:after="0" w:line="201"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If the aggregate of the awards determined by the Committee to be made under the Plan for a given year shall at any time be less than the total amount available in the Reserve, the Committee may at any time or times determine that additional awards be made under the Plan for such year, provided that the aggregate of all awards for such year shall not exceed the total amount available in the Reserve, and that all awards for such year shall be determined on or before December 31 of the following year.</w:t>
      </w:r>
    </w:p>
    <w:p>
      <w:pPr>
        <w:spacing w:after="0" w:line="39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19</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If (i) the amount determined and reported by the Company's independent auditors as the maximum amount creditable to the Reserve for any year shall for any reason later prove to have been overstated and (ii) the amount credited to the Reserve at the close of such year was in excess of the revised maximum amount creditable to the Reserve for that year, then the amount available at that time or subsequently in the Reserve shall be reduced by the amount of such excess.</w:t>
      </w:r>
    </w:p>
    <w:p>
      <w:pPr>
        <w:sectPr>
          <w:pgSz w:w="11900" w:h="16863" w:orient="portrait"/>
          <w:cols w:equalWidth="0" w:num="1">
            <w:col w:w="10219"/>
          </w:cols>
          <w:pgMar w:left="240" w:top="142" w:right="1440" w:bottom="0" w:gutter="0" w:footer="0" w:header="0"/>
        </w:sectPr>
      </w:pPr>
    </w:p>
    <w:bookmarkStart w:id="15" w:name="page16"/>
    <w:bookmarkEnd w:id="15"/>
    <w:p>
      <w:pPr>
        <w:spacing w:after="0" w:line="19"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Thus excess credits to the Reserve resulting from such overstatement shall be corrected exclusively by adjustment of the Reserve then or subsequently available and not by recourse to any person.</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Any balance remaining in the Reserve after making awards for any year shall continue in the Reserve and be available for awards for future years except to the extent otherwise directed by the Committee. Any payments that are made by the Company, and any incentive awards that are granted by, or become obligations of, the Company, through the assumption by the Company of, or in substitution for, outstanding awards previously granted by an acquired company shall not, except in the case of payments made to or incentive awards granted to employees who are officers or directors of the Company for purposes of Section 16 of the Securities Exchange Act of 1934, as amended, be charged to the Reserve.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 of Awards</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Incentive awards may be made in cash or in Texas Instruments common stock, or partly in cash and partly in stock as the Committee in its discretion may determine. Incentive awards made wholly or partly in stock, or any installments thereof, may be paid wholly or partly in cash as the Committee in its discretion may determine.</w:t>
      </w:r>
    </w:p>
    <w:p>
      <w:pPr>
        <w:spacing w:after="0" w:line="197"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7"/>
          <w:szCs w:val="17"/>
          <w:color w:val="auto"/>
        </w:rPr>
        <w:t>The Company shall make available as and when required a sufficient number of shares of its common stock for the purpose of this Plan. Such common stock shall be either authorized and unissued shares or treasury stock.</w:t>
      </w:r>
    </w:p>
    <w:p>
      <w:pPr>
        <w:spacing w:after="0" w:line="194"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Authorized and unissued shares and treasury stock shall be valued for the purpose of awards and charged to the Reserve at the simple average of the high and the low prices of Texas Instruments common stock on the Composite Tape on the date the awards are made by the Committee (or if there shall be no trading on that date, then on the first previous date on which there is such trading). Authorized and unissued shares and treasury stock shall be valued for the purpose of payments in cash of awards made in stock, at the simple average of the high and the low prices of Texas Instruments common stock on the Composite Tape on the payment date (or if there shall be no trading on that date, then on the first previous date on which there is such trading).</w:t>
      </w:r>
    </w:p>
    <w:p>
      <w:pPr>
        <w:spacing w:after="0" w:line="201"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Committee may direct the awards to the participants or any of them for any year to be paid in a single amount or in installments of equal or varying amounts and may prescribe such terms and conditions concerning payment of such installments as it deems appropriate, including completion of specific periods of employment with the Company or achievement of specific goals established by the Committee, as it deems appropriate, provided that such terms and conditions are not more favorable to a participant than those expressly set forth in this Plan. The Committee may determine that dividend equivalents or interest, as applicable, will be payable with respect to any installments of any award. The Committee may at any time after an incentive award is made amend any such direction and may amend or delete any such terms and conditions concerning payment of installments, if the Committee deems it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20</w:t>
      </w:r>
    </w:p>
    <w:p>
      <w:pPr>
        <w:spacing w:after="0" w:line="210"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When the obligation to pay an installment or installments of an award has terminated for any reason, the amounts relating to such installment or installments shall be added back to the Reserve and shall be available for use under this Plan.</w:t>
      </w:r>
    </w:p>
    <w:p>
      <w:pPr>
        <w:spacing w:after="0" w:line="195"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Appropriate adjustments in incentive awards payable in Texas Instruments common stock shall be made to give effect to any mergers, consolidations, acquisitions, stock splits, or other relevant changes in capitalization occurring after the effective date of this Plan; however, no fractional shares shall be distributed.</w:t>
      </w:r>
    </w:p>
    <w:p>
      <w:pPr>
        <w:spacing w:after="0" w:line="396"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Payments of awards to employees of subsidiaries of the Company shall be paid directly by such subsidiaries.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Withholding</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Whenever a participant is obligated to pay to the Company an amount required to be withheld under applicable income tax laws in connection with the payment of stock pursuant to an award under this Plan, such payment may be made (a) in cash, or (b) to the extent from time to time approved by the Committee, (i) in Texas Instruments common stock or (ii) partly in cash and partly in Texas Instruments common stock. For purposes of any payment in Texas Instruments common stock, such stock shall be valued at the simple average of the high and low prices of Texas Instruments common stock on the Composite Tape on the date that the payment in stock becomes taxable (or if there is no trading on that date, then on the first previous date on which there is such trading).</w:t>
      </w:r>
    </w:p>
    <w:p>
      <w:pPr>
        <w:sectPr>
          <w:pgSz w:w="11900" w:h="16858" w:orient="portrait"/>
          <w:cols w:equalWidth="0" w:num="1">
            <w:col w:w="10219"/>
          </w:cols>
          <w:pgMar w:left="240" w:top="142" w:right="1440" w:bottom="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60"/>
        <w:spacing w:after="0"/>
        <w:rPr>
          <w:sz w:val="20"/>
          <w:szCs w:val="20"/>
          <w:color w:val="auto"/>
        </w:rPr>
      </w:pPr>
      <w:r>
        <w:rPr>
          <w:rFonts w:ascii="Courier New" w:cs="Courier New" w:eastAsia="Courier New" w:hAnsi="Courier New"/>
          <w:sz w:val="17"/>
          <w:szCs w:val="17"/>
          <w:color w:val="auto"/>
        </w:rPr>
        <w:t>EXHIBIT 11</w:t>
      </w:r>
    </w:p>
    <w:p>
      <w:pPr>
        <w:spacing w:after="0" w:line="9" w:lineRule="exact"/>
        <w:rPr>
          <w:sz w:val="20"/>
          <w:szCs w:val="20"/>
          <w:color w:val="auto"/>
        </w:rPr>
      </w:pPr>
    </w:p>
    <w:p>
      <w:pPr>
        <w:ind w:left="98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9"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gridSpan w:val="2"/>
          </w:tcPr>
          <w:p>
            <w:pPr>
              <w:jc w:val="right"/>
              <w:ind w:right="753"/>
              <w:spacing w:after="0"/>
              <w:rPr>
                <w:sz w:val="20"/>
                <w:szCs w:val="20"/>
                <w:color w:val="auto"/>
              </w:rPr>
            </w:pPr>
            <w:r>
              <w:rPr>
                <w:rFonts w:ascii="Courier New" w:cs="Courier New" w:eastAsia="Courier New" w:hAnsi="Courier New"/>
                <w:sz w:val="17"/>
                <w:szCs w:val="17"/>
                <w:color w:val="auto"/>
              </w:rPr>
              <w:t>(In thousands, except per-share amounts)</w:t>
            </w: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6560" w:type="dxa"/>
            <w:vAlign w:val="bottom"/>
          </w:tcPr>
          <w:p>
            <w:pPr>
              <w:spacing w:after="0"/>
              <w:rPr>
                <w:sz w:val="20"/>
                <w:szCs w:val="20"/>
                <w:color w:val="auto"/>
              </w:rPr>
            </w:pPr>
            <w:r>
              <w:rPr>
                <w:rFonts w:ascii="Courier New" w:cs="Courier New" w:eastAsia="Courier New" w:hAnsi="Courier New"/>
                <w:sz w:val="17"/>
                <w:szCs w:val="17"/>
                <w:color w:val="auto"/>
              </w:rPr>
              <w:t>Years ended December 31</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6560" w:type="dxa"/>
            <w:vAlign w:val="bottom"/>
          </w:tcPr>
          <w:p>
            <w:pPr>
              <w:spacing w:after="0"/>
              <w:rPr>
                <w:sz w:val="17"/>
                <w:szCs w:val="17"/>
                <w:color w:val="auto"/>
              </w:rPr>
            </w:pPr>
          </w:p>
        </w:tc>
        <w:tc>
          <w:tcPr>
            <w:tcW w:w="466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spacing w:after="0"/>
              <w:rPr>
                <w:sz w:val="17"/>
                <w:szCs w:val="17"/>
                <w:color w:val="auto"/>
              </w:rPr>
            </w:pPr>
          </w:p>
        </w:tc>
        <w:tc>
          <w:tcPr>
            <w:tcW w:w="15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1995</w:t>
            </w:r>
          </w:p>
        </w:tc>
        <w:tc>
          <w:tcPr>
            <w:tcW w:w="520" w:type="dxa"/>
            <w:vAlign w:val="bottom"/>
          </w:tcPr>
          <w:p>
            <w:pPr>
              <w:spacing w:after="0"/>
              <w:rPr>
                <w:sz w:val="17"/>
                <w:szCs w:val="17"/>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5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65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$1,088,101</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690,902</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476,226</w:t>
            </w:r>
          </w:p>
        </w:tc>
      </w:tr>
      <w:tr>
        <w:trPr>
          <w:trHeight w:val="201"/>
        </w:trPr>
        <w:tc>
          <w:tcPr>
            <w:tcW w:w="6560" w:type="dxa"/>
            <w:vAlign w:val="bottom"/>
          </w:tcPr>
          <w:p>
            <w:pPr>
              <w:ind w:left="220"/>
              <w:spacing w:after="0"/>
              <w:rPr>
                <w:sz w:val="20"/>
                <w:szCs w:val="20"/>
                <w:color w:val="auto"/>
              </w:rPr>
            </w:pPr>
            <w:r>
              <w:rPr>
                <w:rFonts w:ascii="Courier New" w:cs="Courier New" w:eastAsia="Courier New" w:hAnsi="Courier New"/>
                <w:sz w:val="17"/>
                <w:szCs w:val="17"/>
                <w:color w:val="auto"/>
              </w:rPr>
              <w:t>Less preferred dividends accrued:</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Market auction preferred.................................</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(2,043)</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Money market preferred...................................</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(2,028)</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Series A conversion preferred............................</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(16,097)</w:t>
            </w:r>
          </w:p>
        </w:tc>
      </w:tr>
      <w:tr>
        <w:trPr>
          <w:trHeight w:val="201"/>
        </w:trPr>
        <w:tc>
          <w:tcPr>
            <w:tcW w:w="6560" w:type="dxa"/>
            <w:vAlign w:val="bottom"/>
          </w:tcPr>
          <w:p>
            <w:pPr>
              <w:ind w:left="220"/>
              <w:spacing w:after="0"/>
              <w:rPr>
                <w:sz w:val="20"/>
                <w:szCs w:val="20"/>
                <w:color w:val="auto"/>
              </w:rPr>
            </w:pPr>
            <w:r>
              <w:rPr>
                <w:rFonts w:ascii="Courier New" w:cs="Courier New" w:eastAsia="Courier New" w:hAnsi="Courier New"/>
                <w:sz w:val="17"/>
                <w:szCs w:val="17"/>
                <w:color w:val="auto"/>
              </w:rPr>
              <w:t>Add:</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ind w:left="420"/>
              <w:spacing w:after="0"/>
              <w:rPr>
                <w:sz w:val="20"/>
                <w:szCs w:val="20"/>
                <w:color w:val="auto"/>
              </w:rPr>
            </w:pPr>
            <w:r>
              <w:rPr>
                <w:rFonts w:ascii="Courier New" w:cs="Courier New" w:eastAsia="Courier New" w:hAnsi="Courier New"/>
                <w:sz w:val="17"/>
                <w:szCs w:val="17"/>
                <w:color w:val="auto"/>
              </w:rPr>
              <w:t>Dividends on Series A conversion preferred</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 assumed converted...............................</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16,097</w:t>
            </w:r>
          </w:p>
        </w:tc>
      </w:tr>
      <w:tr>
        <w:trPr>
          <w:trHeight w:val="201"/>
        </w:trPr>
        <w:tc>
          <w:tcPr>
            <w:tcW w:w="6560" w:type="dxa"/>
            <w:vAlign w:val="bottom"/>
          </w:tcPr>
          <w:p>
            <w:pPr>
              <w:ind w:left="420"/>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convertible debentures assumed converted...............</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1,582</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2,413</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2,681</w:t>
            </w:r>
          </w:p>
        </w:tc>
      </w:tr>
      <w:tr>
        <w:trPr>
          <w:trHeight w:val="201"/>
        </w:trPr>
        <w:tc>
          <w:tcPr>
            <w:tcW w:w="65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spacing w:after="0"/>
              <w:rPr>
                <w:sz w:val="20"/>
                <w:szCs w:val="20"/>
                <w:color w:val="auto"/>
              </w:rPr>
            </w:pPr>
            <w:r>
              <w:rPr>
                <w:rFonts w:ascii="Courier New" w:cs="Courier New" w:eastAsia="Courier New" w:hAnsi="Courier New"/>
                <w:sz w:val="17"/>
                <w:szCs w:val="17"/>
                <w:color w:val="auto"/>
              </w:rPr>
              <w:t>Adjusted income before cumulative effect</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of accounting changes......................................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1,089,683</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693,315</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474,836</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Cumulative effect of accounting changes......................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(4,173)</w:t>
            </w:r>
          </w:p>
        </w:tc>
      </w:tr>
      <w:tr>
        <w:trPr>
          <w:trHeight w:val="201"/>
        </w:trPr>
        <w:tc>
          <w:tcPr>
            <w:tcW w:w="65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Adjusted net income..........................................</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$1,089,683</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693,315</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470,663</w:t>
            </w:r>
          </w:p>
        </w:tc>
      </w:tr>
      <w:tr>
        <w:trPr>
          <w:trHeight w:val="201"/>
        </w:trPr>
        <w:tc>
          <w:tcPr>
            <w:tcW w:w="65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604"/>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6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187,644</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184,124</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171,901</w:t>
            </w:r>
          </w:p>
        </w:tc>
      </w:tr>
      <w:tr>
        <w:trPr>
          <w:trHeight w:val="201"/>
        </w:trPr>
        <w:tc>
          <w:tcPr>
            <w:tcW w:w="656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Stock option and compensation plans......................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3,127</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2,379</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2,643</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Convertible debentures...................................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2,860</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4,352</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4,827</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Series A conversion preferred............................</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7,840</w:t>
            </w:r>
          </w:p>
        </w:tc>
      </w:tr>
      <w:tr>
        <w:trPr>
          <w:trHeight w:val="201"/>
        </w:trPr>
        <w:tc>
          <w:tcPr>
            <w:tcW w:w="65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193,631</w:t>
            </w:r>
          </w:p>
        </w:tc>
        <w:tc>
          <w:tcPr>
            <w:tcW w:w="52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190,855</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187,211</w:t>
            </w:r>
          </w:p>
        </w:tc>
      </w:tr>
      <w:tr>
        <w:trPr>
          <w:trHeight w:val="201"/>
        </w:trPr>
        <w:tc>
          <w:tcPr>
            <w:tcW w:w="6560" w:type="dxa"/>
            <w:vAlign w:val="bottom"/>
          </w:tcPr>
          <w:p>
            <w:pPr>
              <w:spacing w:after="0"/>
              <w:rPr>
                <w:sz w:val="17"/>
                <w:szCs w:val="17"/>
                <w:color w:val="auto"/>
              </w:rPr>
            </w:pP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220"/>
          </w:cols>
          <w:pgMar w:left="240" w:top="1440" w:right="439" w:bottom="0" w:gutter="0" w:footer="0" w:header="0"/>
        </w:sectPr>
      </w:pPr>
    </w:p>
    <w:bookmarkStart w:id="17" w:name="page18"/>
    <w:bookmarkEnd w:id="17"/>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7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7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5.63</w:t>
            </w:r>
          </w:p>
        </w:tc>
        <w:tc>
          <w:tcPr>
            <w:tcW w:w="360" w:type="dxa"/>
            <w:vAlign w:val="bottom"/>
          </w:tcPr>
          <w:p>
            <w:pPr>
              <w:spacing w:after="0"/>
              <w:rPr>
                <w:sz w:val="17"/>
                <w:szCs w:val="17"/>
                <w:color w:val="auto"/>
              </w:rPr>
            </w:pPr>
          </w:p>
        </w:tc>
        <w:tc>
          <w:tcPr>
            <w:tcW w:w="5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3.63</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2.54</w:t>
            </w:r>
          </w:p>
        </w:tc>
      </w:tr>
      <w:tr>
        <w:trPr>
          <w:trHeight w:val="201"/>
        </w:trPr>
        <w:tc>
          <w:tcPr>
            <w:tcW w:w="576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91"/>
              </w:rPr>
              <w:t>Cumulative effect of accounting changes....................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77"/>
              </w:rPr>
              <w: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(.03)</w:t>
            </w: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90"/>
              </w:rPr>
              <w:t>----------</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91"/>
              </w:rPr>
              <w:t>Net Income.................................................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5.63</w:t>
            </w:r>
          </w:p>
        </w:tc>
        <w:tc>
          <w:tcPr>
            <w:tcW w:w="360" w:type="dxa"/>
            <w:vAlign w:val="bottom"/>
          </w:tcPr>
          <w:p>
            <w:pPr>
              <w:spacing w:after="0"/>
              <w:rPr>
                <w:sz w:val="17"/>
                <w:szCs w:val="17"/>
                <w:color w:val="auto"/>
              </w:rPr>
            </w:pPr>
          </w:p>
        </w:tc>
        <w:tc>
          <w:tcPr>
            <w:tcW w:w="5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3.63</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2.51</w:t>
            </w: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604"/>
        </w:trPr>
        <w:tc>
          <w:tcPr>
            <w:tcW w:w="54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760" w:type="dxa"/>
            <w:vAlign w:val="bottom"/>
            <w:gridSpan w:val="2"/>
          </w:tcPr>
          <w:p>
            <w:pPr>
              <w:spacing w:after="0"/>
              <w:rPr>
                <w:sz w:val="20"/>
                <w:szCs w:val="20"/>
                <w:color w:val="auto"/>
              </w:rPr>
            </w:pPr>
            <w:r>
              <w:rPr>
                <w:rFonts w:ascii="Courier New" w:cs="Courier New" w:eastAsia="Courier New" w:hAnsi="Courier New"/>
                <w:sz w:val="17"/>
                <w:szCs w:val="17"/>
                <w:color w:val="auto"/>
                <w:w w:val="92"/>
              </w:rPr>
              <w:t>Weighted average common shares outstanding...................</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187,644</w:t>
            </w: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184,124</w:t>
            </w:r>
          </w:p>
        </w:tc>
        <w:tc>
          <w:tcPr>
            <w:tcW w:w="9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171,901</w:t>
            </w:r>
          </w:p>
        </w:tc>
      </w:tr>
      <w:tr>
        <w:trPr>
          <w:trHeight w:val="201"/>
        </w:trPr>
        <w:tc>
          <w:tcPr>
            <w:tcW w:w="546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76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91"/>
              </w:rPr>
              <w:t>Stock option and compensation plans......................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3,215</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2,399</w:t>
            </w:r>
          </w:p>
        </w:tc>
        <w:tc>
          <w:tcPr>
            <w:tcW w:w="9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2,786</w:t>
            </w:r>
          </w:p>
        </w:tc>
      </w:tr>
      <w:tr>
        <w:trPr>
          <w:trHeight w:val="201"/>
        </w:trPr>
        <w:tc>
          <w:tcPr>
            <w:tcW w:w="576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91"/>
              </w:rPr>
              <w:t>Convertible debentures...................................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2,860</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4,352</w:t>
            </w:r>
          </w:p>
        </w:tc>
        <w:tc>
          <w:tcPr>
            <w:tcW w:w="9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4,827</w:t>
            </w:r>
          </w:p>
        </w:tc>
      </w:tr>
      <w:tr>
        <w:trPr>
          <w:trHeight w:val="201"/>
        </w:trPr>
        <w:tc>
          <w:tcPr>
            <w:tcW w:w="5760" w:type="dxa"/>
            <w:vAlign w:val="bottom"/>
            <w:gridSpan w:val="2"/>
          </w:tcPr>
          <w:p>
            <w:pPr>
              <w:ind w:left="420"/>
              <w:spacing w:after="0"/>
              <w:rPr>
                <w:sz w:val="20"/>
                <w:szCs w:val="20"/>
                <w:color w:val="auto"/>
              </w:rPr>
            </w:pPr>
            <w:r>
              <w:rPr>
                <w:rFonts w:ascii="Courier New" w:cs="Courier New" w:eastAsia="Courier New" w:hAnsi="Courier New"/>
                <w:sz w:val="17"/>
                <w:szCs w:val="17"/>
                <w:color w:val="auto"/>
                <w:w w:val="91"/>
              </w:rPr>
              <w:t>Series A conversion preferred............................</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77"/>
              </w:rPr>
              <w: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7,840</w:t>
            </w: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90"/>
              </w:rPr>
              <w:t>----------</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840" w:type="dxa"/>
            <w:vAlign w:val="bottom"/>
            <w:gridSpan w:val="2"/>
          </w:tcPr>
          <w:p>
            <w:pPr>
              <w:spacing w:after="0"/>
              <w:rPr>
                <w:sz w:val="20"/>
                <w:szCs w:val="20"/>
                <w:color w:val="auto"/>
              </w:rPr>
            </w:pPr>
            <w:r>
              <w:rPr>
                <w:rFonts w:ascii="Courier New" w:cs="Courier New" w:eastAsia="Courier New" w:hAnsi="Courier New"/>
                <w:sz w:val="17"/>
                <w:szCs w:val="17"/>
                <w:color w:val="auto"/>
                <w:w w:val="89"/>
              </w:rPr>
              <w:t>.........</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193,719</w:t>
            </w: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190,875</w:t>
            </w:r>
          </w:p>
        </w:tc>
        <w:tc>
          <w:tcPr>
            <w:tcW w:w="9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187,354</w:t>
            </w: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57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7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5.63</w:t>
            </w:r>
          </w:p>
        </w:tc>
        <w:tc>
          <w:tcPr>
            <w:tcW w:w="360" w:type="dxa"/>
            <w:vAlign w:val="bottom"/>
          </w:tcPr>
          <w:p>
            <w:pPr>
              <w:spacing w:after="0"/>
              <w:rPr>
                <w:sz w:val="17"/>
                <w:szCs w:val="17"/>
                <w:color w:val="auto"/>
              </w:rPr>
            </w:pPr>
          </w:p>
        </w:tc>
        <w:tc>
          <w:tcPr>
            <w:tcW w:w="5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3.63</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2.54</w:t>
            </w:r>
          </w:p>
        </w:tc>
      </w:tr>
      <w:tr>
        <w:trPr>
          <w:trHeight w:val="201"/>
        </w:trPr>
        <w:tc>
          <w:tcPr>
            <w:tcW w:w="576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91"/>
              </w:rPr>
              <w:t>Cumulative effect of accounting changes....................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77"/>
              </w:rPr>
              <w: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(.03)</w:t>
            </w: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90"/>
              </w:rPr>
              <w:t>----------</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91"/>
              </w:rPr>
              <w:t>Net income.................................................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5.63</w:t>
            </w:r>
          </w:p>
        </w:tc>
        <w:tc>
          <w:tcPr>
            <w:tcW w:w="360" w:type="dxa"/>
            <w:vAlign w:val="bottom"/>
          </w:tcPr>
          <w:p>
            <w:pPr>
              <w:spacing w:after="0"/>
              <w:rPr>
                <w:sz w:val="17"/>
                <w:szCs w:val="17"/>
                <w:color w:val="auto"/>
              </w:rPr>
            </w:pPr>
          </w:p>
        </w:tc>
        <w:tc>
          <w:tcPr>
            <w:tcW w:w="5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3.63</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2.51</w:t>
            </w: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3"/>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806"/>
        </w:trPr>
        <w:tc>
          <w:tcPr>
            <w:tcW w:w="5460" w:type="dxa"/>
            <w:vAlign w:val="bottom"/>
          </w:tcPr>
          <w:p>
            <w:pPr>
              <w:ind w:left="4300"/>
              <w:spacing w:after="0"/>
              <w:rPr>
                <w:sz w:val="20"/>
                <w:szCs w:val="20"/>
                <w:color w:val="auto"/>
              </w:rPr>
            </w:pPr>
            <w:r>
              <w:rPr>
                <w:rFonts w:ascii="Courier New" w:cs="Courier New" w:eastAsia="Courier New" w:hAnsi="Courier New"/>
                <w:sz w:val="17"/>
                <w:szCs w:val="17"/>
                <w:color w:val="auto"/>
              </w:rPr>
              <w:t>22</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06"/>
        </w:trPr>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EXHIBIT 12</w:t>
            </w:r>
          </w:p>
        </w:tc>
        <w:tc>
          <w:tcPr>
            <w:tcW w:w="840" w:type="dxa"/>
            <w:vAlign w:val="bottom"/>
          </w:tcPr>
          <w:p>
            <w:pPr>
              <w:spacing w:after="0"/>
              <w:rPr>
                <w:sz w:val="24"/>
                <w:szCs w:val="24"/>
                <w:color w:val="auto"/>
              </w:rPr>
            </w:pP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604"/>
        </w:trPr>
        <w:tc>
          <w:tcPr>
            <w:tcW w:w="7660" w:type="dxa"/>
            <w:vAlign w:val="bottom"/>
            <w:gridSpan w:val="6"/>
          </w:tcPr>
          <w:p>
            <w:pPr>
              <w:ind w:left="2740"/>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838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COMPUTATION OF RATIO OF EARNINGS TO FIXED CHARGES AND RATIO OF</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8900" w:type="dxa"/>
            <w:vAlign w:val="bottom"/>
            <w:gridSpan w:val="9"/>
          </w:tcPr>
          <w:p>
            <w:pPr>
              <w:ind w:left="1780"/>
              <w:spacing w:after="0"/>
              <w:rPr>
                <w:sz w:val="20"/>
                <w:szCs w:val="20"/>
                <w:color w:val="auto"/>
              </w:rPr>
            </w:pPr>
            <w:r>
              <w:rPr>
                <w:rFonts w:ascii="Courier New" w:cs="Courier New" w:eastAsia="Courier New" w:hAnsi="Courier New"/>
                <w:sz w:val="17"/>
                <w:szCs w:val="17"/>
                <w:color w:val="auto"/>
              </w:rPr>
              <w:t>EARNINGS TO COMBINED FIXED CHARGES AND PREFERRED STOCK DIVIDENDS</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6300" w:type="dxa"/>
            <w:vAlign w:val="bottom"/>
            <w:gridSpan w:val="3"/>
          </w:tcPr>
          <w:p>
            <w:pPr>
              <w:ind w:left="4100"/>
              <w:spacing w:after="0"/>
              <w:rPr>
                <w:sz w:val="20"/>
                <w:szCs w:val="20"/>
                <w:color w:val="auto"/>
              </w:rPr>
            </w:pPr>
            <w:r>
              <w:rPr>
                <w:rFonts w:ascii="Courier New" w:cs="Courier New" w:eastAsia="Courier New" w:hAnsi="Courier New"/>
                <w:sz w:val="17"/>
                <w:szCs w:val="17"/>
                <w:color w:val="auto"/>
              </w:rPr>
              <w:t>(Dollars in millions)</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3"/>
        </w:trPr>
        <w:tc>
          <w:tcPr>
            <w:tcW w:w="546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1991</w:t>
            </w:r>
          </w:p>
        </w:tc>
        <w:tc>
          <w:tcPr>
            <w:tcW w:w="200" w:type="dxa"/>
            <w:vAlign w:val="bottom"/>
          </w:tcPr>
          <w:p>
            <w:pPr>
              <w:spacing w:after="0"/>
              <w:rPr>
                <w:sz w:val="24"/>
                <w:szCs w:val="24"/>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1992</w:t>
            </w:r>
          </w:p>
        </w:tc>
        <w:tc>
          <w:tcPr>
            <w:tcW w:w="10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1993</w:t>
            </w:r>
          </w:p>
        </w:tc>
        <w:tc>
          <w:tcPr>
            <w:tcW w:w="360" w:type="dxa"/>
            <w:vAlign w:val="bottom"/>
          </w:tcPr>
          <w:p>
            <w:pPr>
              <w:spacing w:after="0"/>
              <w:rPr>
                <w:sz w:val="24"/>
                <w:szCs w:val="24"/>
                <w:color w:val="auto"/>
              </w:rPr>
            </w:pP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1994</w:t>
            </w:r>
          </w:p>
        </w:tc>
        <w:tc>
          <w:tcPr>
            <w:tcW w:w="148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1995</w:t>
            </w:r>
          </w:p>
        </w:tc>
        <w:tc>
          <w:tcPr>
            <w:tcW w:w="840" w:type="dxa"/>
            <w:vAlign w:val="bottom"/>
          </w:tcPr>
          <w:p>
            <w:pPr>
              <w:spacing w:after="0"/>
              <w:rPr>
                <w:sz w:val="24"/>
                <w:szCs w:val="24"/>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546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420"/>
              <w:spacing w:after="0"/>
              <w:rPr>
                <w:sz w:val="20"/>
                <w:szCs w:val="20"/>
                <w:color w:val="auto"/>
              </w:rPr>
            </w:pPr>
            <w:r>
              <w:rPr>
                <w:rFonts w:ascii="Courier New" w:cs="Courier New" w:eastAsia="Courier New" w:hAnsi="Courier New"/>
                <w:sz w:val="17"/>
                <w:szCs w:val="17"/>
                <w:color w:val="auto"/>
              </w:rPr>
              <w:t>Income (loss) before cumulative</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effect of accounting changes,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interest expense on loans,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capitalized interest amortized,</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and provision for income taxes..........</w:t>
            </w:r>
          </w:p>
        </w:tc>
        <w:tc>
          <w:tcPr>
            <w:tcW w:w="8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w w:val="97"/>
              </w:rPr>
              <w:t>$ (250)</w:t>
            </w:r>
          </w:p>
        </w:tc>
        <w:tc>
          <w:tcPr>
            <w:tcW w:w="20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433</w:t>
            </w:r>
          </w:p>
        </w:tc>
        <w:tc>
          <w:tcPr>
            <w:tcW w:w="6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755</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$1,098</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$1,679</w:t>
            </w:r>
          </w:p>
        </w:tc>
        <w:tc>
          <w:tcPr>
            <w:tcW w:w="840" w:type="dxa"/>
            <w:vAlign w:val="bottom"/>
          </w:tcPr>
          <w:p>
            <w:pPr>
              <w:spacing w:after="0"/>
              <w:rPr>
                <w:sz w:val="17"/>
                <w:szCs w:val="17"/>
                <w:color w:val="auto"/>
              </w:rPr>
            </w:pPr>
          </w:p>
        </w:tc>
      </w:tr>
      <w:tr>
        <w:trPr>
          <w:trHeight w:val="201"/>
        </w:trPr>
        <w:tc>
          <w:tcPr>
            <w:tcW w:w="546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rental and lease expense................</w:t>
            </w:r>
          </w:p>
        </w:tc>
        <w:tc>
          <w:tcPr>
            <w:tcW w:w="300" w:type="dxa"/>
            <w:vAlign w:val="bottom"/>
          </w:tcPr>
          <w:p>
            <w:pPr>
              <w:spacing w:after="0"/>
              <w:rPr>
                <w:sz w:val="17"/>
                <w:szCs w:val="17"/>
                <w:color w:val="auto"/>
              </w:rPr>
            </w:pPr>
          </w:p>
        </w:tc>
        <w:tc>
          <w:tcPr>
            <w:tcW w:w="5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c>
          <w:tcPr>
            <w:tcW w:w="6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580" w:type="dxa"/>
            <w:vAlign w:val="bottom"/>
          </w:tcPr>
          <w:p>
            <w:pPr>
              <w:spacing w:after="0"/>
              <w:rPr>
                <w:sz w:val="17"/>
                <w:szCs w:val="17"/>
                <w:color w:val="auto"/>
              </w:rPr>
            </w:pP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41</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w w:val="97"/>
              </w:rPr>
              <w:t>$ (207)</w:t>
            </w:r>
          </w:p>
        </w:tc>
        <w:tc>
          <w:tcPr>
            <w:tcW w:w="20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475</w:t>
            </w:r>
          </w:p>
        </w:tc>
        <w:tc>
          <w:tcPr>
            <w:tcW w:w="6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793</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$1,138</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$1,720</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546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420"/>
              <w:spacing w:after="0"/>
              <w:rPr>
                <w:sz w:val="20"/>
                <w:szCs w:val="20"/>
                <w:color w:val="auto"/>
              </w:rPr>
            </w:pPr>
            <w:r>
              <w:rPr>
                <w:rFonts w:ascii="Courier New" w:cs="Courier New" w:eastAsia="Courier New" w:hAnsi="Courier New"/>
                <w:sz w:val="17"/>
                <w:szCs w:val="17"/>
                <w:color w:val="auto"/>
              </w:rPr>
              <w:t>and capitalized)..........................</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59</w:t>
            </w:r>
          </w:p>
        </w:tc>
        <w:tc>
          <w:tcPr>
            <w:tcW w:w="20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c>
          <w:tcPr>
            <w:tcW w:w="6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69</w:t>
            </w:r>
          </w:p>
        </w:tc>
        <w:tc>
          <w:tcPr>
            <w:tcW w:w="840" w:type="dxa"/>
            <w:vAlign w:val="bottom"/>
          </w:tcPr>
          <w:p>
            <w:pPr>
              <w:spacing w:after="0"/>
              <w:rPr>
                <w:sz w:val="17"/>
                <w:szCs w:val="17"/>
                <w:color w:val="auto"/>
              </w:rPr>
            </w:pPr>
          </w:p>
        </w:tc>
      </w:tr>
      <w:tr>
        <w:trPr>
          <w:trHeight w:val="201"/>
        </w:trPr>
        <w:tc>
          <w:tcPr>
            <w:tcW w:w="546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420"/>
              <w:spacing w:after="0"/>
              <w:rPr>
                <w:sz w:val="20"/>
                <w:szCs w:val="20"/>
                <w:color w:val="auto"/>
              </w:rPr>
            </w:pPr>
            <w:r>
              <w:rPr>
                <w:rFonts w:ascii="Courier New" w:cs="Courier New" w:eastAsia="Courier New" w:hAnsi="Courier New"/>
                <w:sz w:val="17"/>
                <w:szCs w:val="17"/>
                <w:color w:val="auto"/>
              </w:rPr>
              <w:t>and lease expense.........................</w:t>
            </w:r>
          </w:p>
        </w:tc>
        <w:tc>
          <w:tcPr>
            <w:tcW w:w="300" w:type="dxa"/>
            <w:vAlign w:val="bottom"/>
          </w:tcPr>
          <w:p>
            <w:pPr>
              <w:spacing w:after="0"/>
              <w:rPr>
                <w:sz w:val="17"/>
                <w:szCs w:val="17"/>
                <w:color w:val="auto"/>
              </w:rPr>
            </w:pPr>
          </w:p>
        </w:tc>
        <w:tc>
          <w:tcPr>
            <w:tcW w:w="5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c>
          <w:tcPr>
            <w:tcW w:w="6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580" w:type="dxa"/>
            <w:vAlign w:val="bottom"/>
          </w:tcPr>
          <w:p>
            <w:pPr>
              <w:spacing w:after="0"/>
              <w:rPr>
                <w:sz w:val="17"/>
                <w:szCs w:val="17"/>
                <w:color w:val="auto"/>
              </w:rPr>
            </w:pP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41</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102</w:t>
            </w:r>
          </w:p>
        </w:tc>
        <w:tc>
          <w:tcPr>
            <w:tcW w:w="20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c>
          <w:tcPr>
            <w:tcW w:w="6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110</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546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102</w:t>
            </w:r>
          </w:p>
        </w:tc>
        <w:tc>
          <w:tcPr>
            <w:tcW w:w="20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c>
          <w:tcPr>
            <w:tcW w:w="6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110</w:t>
            </w:r>
          </w:p>
        </w:tc>
        <w:tc>
          <w:tcPr>
            <w:tcW w:w="840" w:type="dxa"/>
            <w:vAlign w:val="bottom"/>
          </w:tcPr>
          <w:p>
            <w:pPr>
              <w:spacing w:after="0"/>
              <w:rPr>
                <w:sz w:val="17"/>
                <w:szCs w:val="17"/>
                <w:color w:val="auto"/>
              </w:rPr>
            </w:pPr>
          </w:p>
        </w:tc>
      </w:tr>
      <w:tr>
        <w:trPr>
          <w:trHeight w:val="201"/>
        </w:trPr>
        <w:tc>
          <w:tcPr>
            <w:tcW w:w="546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540"/>
              <w:spacing w:after="0"/>
              <w:rPr>
                <w:sz w:val="20"/>
                <w:szCs w:val="20"/>
                <w:color w:val="auto"/>
              </w:rPr>
            </w:pPr>
            <w:r>
              <w:rPr>
                <w:rFonts w:ascii="Courier New" w:cs="Courier New" w:eastAsia="Courier New" w:hAnsi="Courier New"/>
                <w:sz w:val="17"/>
                <w:szCs w:val="17"/>
                <w:color w:val="auto"/>
              </w:rPr>
              <w:t>(adjusted as appropriate to a</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pretax equivalent basis)................</w:t>
            </w:r>
          </w:p>
        </w:tc>
        <w:tc>
          <w:tcPr>
            <w:tcW w:w="300" w:type="dxa"/>
            <w:vAlign w:val="bottom"/>
          </w:tcPr>
          <w:p>
            <w:pPr>
              <w:spacing w:after="0"/>
              <w:rPr>
                <w:sz w:val="17"/>
                <w:szCs w:val="17"/>
                <w:color w:val="auto"/>
              </w:rPr>
            </w:pPr>
          </w:p>
        </w:tc>
        <w:tc>
          <w:tcPr>
            <w:tcW w:w="5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6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c>
          <w:tcPr>
            <w:tcW w:w="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201"/>
        </w:trPr>
        <w:tc>
          <w:tcPr>
            <w:tcW w:w="5460" w:type="dxa"/>
            <w:vAlign w:val="bottom"/>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preferred stock dividends...............</w:t>
            </w:r>
          </w:p>
        </w:tc>
        <w:tc>
          <w:tcPr>
            <w:tcW w:w="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136</w:t>
            </w:r>
          </w:p>
        </w:tc>
        <w:tc>
          <w:tcPr>
            <w:tcW w:w="200" w:type="dxa"/>
            <w:vAlign w:val="bottom"/>
          </w:tcPr>
          <w:p>
            <w:pPr>
              <w:jc w:val="center"/>
              <w:ind w:left="13"/>
              <w:spacing w:after="0"/>
              <w:rPr>
                <w:sz w:val="20"/>
                <w:szCs w:val="20"/>
                <w:color w:val="auto"/>
              </w:rPr>
            </w:pPr>
            <w:r>
              <w:rPr>
                <w:rFonts w:ascii="Courier New" w:cs="Courier New" w:eastAsia="Courier New" w:hAnsi="Courier New"/>
                <w:sz w:val="17"/>
                <w:szCs w:val="17"/>
                <w:color w:val="auto"/>
                <w:w w:val="97"/>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154</w:t>
            </w:r>
          </w:p>
        </w:tc>
        <w:tc>
          <w:tcPr>
            <w:tcW w:w="6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122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110</w:t>
            </w:r>
          </w:p>
        </w:tc>
        <w:tc>
          <w:tcPr>
            <w:tcW w:w="840" w:type="dxa"/>
            <w:vAlign w:val="bottom"/>
          </w:tcPr>
          <w:p>
            <w:pPr>
              <w:spacing w:after="0"/>
              <w:rPr>
                <w:sz w:val="17"/>
                <w:szCs w:val="17"/>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24"/>
                <w:szCs w:val="24"/>
                <w:color w:val="auto"/>
              </w:rPr>
            </w:pPr>
          </w:p>
        </w:tc>
        <w:tc>
          <w:tcPr>
            <w:tcW w:w="720" w:type="dxa"/>
            <w:vAlign w:val="bottom"/>
            <w:gridSpan w:val="2"/>
          </w:tcPr>
          <w:p>
            <w:pPr>
              <w:jc w:val="center"/>
              <w:ind w:right="333"/>
              <w:spacing w:after="0"/>
              <w:rPr>
                <w:sz w:val="20"/>
                <w:szCs w:val="20"/>
                <w:color w:val="auto"/>
              </w:rPr>
            </w:pPr>
            <w:r>
              <w:rPr>
                <w:rFonts w:ascii="Courier New" w:cs="Courier New" w:eastAsia="Courier New" w:hAnsi="Courier New"/>
                <w:sz w:val="17"/>
                <w:szCs w:val="17"/>
                <w:color w:val="auto"/>
                <w:w w:val="97"/>
              </w:rPr>
              <w:t>4.8</w:t>
            </w:r>
          </w:p>
        </w:tc>
        <w:tc>
          <w:tcPr>
            <w:tcW w:w="640" w:type="dxa"/>
            <w:vAlign w:val="bottom"/>
          </w:tcPr>
          <w:p>
            <w:pPr>
              <w:ind w:left="220"/>
              <w:spacing w:after="0"/>
              <w:rPr>
                <w:sz w:val="20"/>
                <w:szCs w:val="20"/>
                <w:color w:val="auto"/>
              </w:rPr>
            </w:pPr>
            <w:r>
              <w:rPr>
                <w:rFonts w:ascii="Courier New" w:cs="Courier New" w:eastAsia="Courier New" w:hAnsi="Courier New"/>
                <w:sz w:val="17"/>
                <w:szCs w:val="17"/>
                <w:color w:val="auto"/>
              </w:rPr>
              <w:t>8.5</w:t>
            </w:r>
          </w:p>
        </w:tc>
        <w:tc>
          <w:tcPr>
            <w:tcW w:w="360" w:type="dxa"/>
            <w:vAlign w:val="bottom"/>
          </w:tcPr>
          <w:p>
            <w:pPr>
              <w:spacing w:after="0"/>
              <w:rPr>
                <w:sz w:val="24"/>
                <w:szCs w:val="24"/>
                <w:color w:val="auto"/>
              </w:rPr>
            </w:pPr>
          </w:p>
        </w:tc>
        <w:tc>
          <w:tcPr>
            <w:tcW w:w="88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11.6</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5460" w:type="dxa"/>
            <w:vAlign w:val="bottom"/>
          </w:tcPr>
          <w:p>
            <w:pPr>
              <w:spacing w:after="0"/>
              <w:rPr>
                <w:sz w:val="17"/>
                <w:szCs w:val="17"/>
                <w:color w:val="auto"/>
              </w:rPr>
            </w:pPr>
          </w:p>
        </w:tc>
        <w:tc>
          <w:tcPr>
            <w:tcW w:w="8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r>
    </w:tbl>
    <w:p>
      <w:pPr>
        <w:spacing w:after="0" w:line="205" w:lineRule="exact"/>
        <w:rPr>
          <w:sz w:val="20"/>
          <w:szCs w:val="20"/>
          <w:color w:val="auto"/>
        </w:rPr>
      </w:pPr>
    </w:p>
    <w:p>
      <w:pPr>
        <w:jc w:val="right"/>
        <w:ind w:right="8180"/>
        <w:spacing w:after="0"/>
        <w:rPr>
          <w:sz w:val="20"/>
          <w:szCs w:val="20"/>
          <w:color w:val="auto"/>
        </w:rPr>
      </w:pPr>
      <w:r>
        <w:rPr>
          <w:rFonts w:ascii="Courier New" w:cs="Courier New" w:eastAsia="Courier New" w:hAnsi="Courier New"/>
          <w:sz w:val="17"/>
          <w:szCs w:val="17"/>
          <w:color w:val="auto"/>
        </w:rPr>
        <w:t>Ratio of earnings to combined</w:t>
      </w:r>
    </w:p>
    <w:p>
      <w:pPr>
        <w:spacing w:after="0" w:line="9" w:lineRule="exact"/>
        <w:rPr>
          <w:sz w:val="20"/>
          <w:szCs w:val="20"/>
          <w:color w:val="auto"/>
        </w:rPr>
      </w:pPr>
    </w:p>
    <w:p>
      <w:pPr>
        <w:jc w:val="right"/>
        <w:ind w:right="8180"/>
        <w:spacing w:after="0"/>
        <w:rPr>
          <w:sz w:val="20"/>
          <w:szCs w:val="20"/>
          <w:color w:val="auto"/>
        </w:rPr>
      </w:pPr>
      <w:r>
        <w:rPr>
          <w:rFonts w:ascii="Courier New" w:cs="Courier New" w:eastAsia="Courier New" w:hAnsi="Courier New"/>
          <w:sz w:val="17"/>
          <w:szCs w:val="17"/>
          <w:color w:val="auto"/>
        </w:rPr>
        <w:t>fixed charges and preferred</w:t>
      </w:r>
    </w:p>
    <w:p>
      <w:pPr>
        <w:sectPr>
          <w:pgSz w:w="11900" w:h="16849" w:orient="portrait"/>
          <w:cols w:equalWidth="0" w:num="1">
            <w:col w:w="11220"/>
          </w:cols>
          <w:pgMar w:left="240" w:top="142" w:right="439" w:bottom="0" w:gutter="0" w:footer="0" w:header="0"/>
        </w:sectPr>
      </w:pPr>
    </w:p>
    <w:bookmarkStart w:id="18" w:name="page19"/>
    <w:bookmarkEnd w:id="18"/>
    <w:p>
      <w:pPr>
        <w:ind w:left="220"/>
        <w:spacing w:after="0"/>
        <w:rPr>
          <w:sz w:val="20"/>
          <w:szCs w:val="20"/>
          <w:color w:val="auto"/>
        </w:rPr>
      </w:pPr>
      <w:r>
        <w:rPr>
          <w:rFonts w:ascii="Courier New" w:cs="Courier New" w:eastAsia="Courier New" w:hAnsi="Courier New"/>
          <w:sz w:val="17"/>
          <w:szCs w:val="17"/>
          <w:color w:val="auto"/>
        </w:rPr>
        <w:t>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3.1</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6.5</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11.6</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15.6</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6">
            <w:col w:w="4820" w:space="640"/>
            <w:col w:w="620" w:space="220"/>
            <w:col w:w="720" w:space="220"/>
            <w:col w:w="720" w:space="120"/>
            <w:col w:w="820" w:space="120"/>
            <w:col w:w="1199"/>
          </w:cols>
          <w:pgMar w:left="240" w:top="142" w:right="1440" w:bottom="14" w:gutter="0" w:footer="0" w:header="0"/>
        </w:sectPr>
      </w:pPr>
    </w:p>
    <w:p>
      <w:pPr>
        <w:spacing w:after="0" w:line="10" w:lineRule="exact"/>
        <w:rPr>
          <w:sz w:val="20"/>
          <w:szCs w:val="20"/>
          <w:color w:val="auto"/>
        </w:rPr>
      </w:pPr>
    </w:p>
    <w:p>
      <w:pPr>
        <w:jc w:val="both"/>
        <w:ind w:right="2979" w:firstLine="112"/>
        <w:spacing w:after="0" w:line="508" w:lineRule="auto"/>
        <w:tabs>
          <w:tab w:leader="none" w:pos="3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$309 million in 1991. ** Not meaningful. The coverage deficiency was $343 million in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INSERT ANNUAL REPORT</w:t>
      </w:r>
    </w:p>
    <w:p>
      <w:pPr>
        <w:spacing w:after="0" w:line="210"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Exhibit 21</w:t>
      </w:r>
    </w:p>
    <w:p>
      <w:pPr>
        <w:spacing w:after="0" w:line="9" w:lineRule="exact"/>
        <w:rPr>
          <w:sz w:val="20"/>
          <w:szCs w:val="20"/>
          <w:color w:val="auto"/>
        </w:rPr>
      </w:pPr>
    </w:p>
    <w:p>
      <w:pPr>
        <w:ind w:left="7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LIST OF SUBSIDIARIES OF THE REGISTRANT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are current subsidiaries of the Registrant.</w:t>
      </w:r>
    </w:p>
    <w:p>
      <w:pPr>
        <w:sectPr>
          <w:pgSz w:w="11900" w:h="16838" w:orient="portrait"/>
          <w:cols w:equalWidth="0" w:num="1">
            <w:col w:w="10219"/>
          </w:cols>
          <w:pgMar w:left="240" w:top="142" w:right="1440" w:bottom="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7" w:lineRule="auto"/>
        <w:rPr>
          <w:sz w:val="20"/>
          <w:szCs w:val="20"/>
          <w:color w:val="auto"/>
        </w:rPr>
      </w:pPr>
      <w:r>
        <w:rPr>
          <w:rFonts w:ascii="Courier New" w:cs="Courier New" w:eastAsia="Courier New" w:hAnsi="Courier New"/>
          <w:sz w:val="17"/>
          <w:szCs w:val="17"/>
          <w:color w:val="auto"/>
        </w:rPr>
        <w:t>Subsidiary and Name Under Which Business is Done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 Organized</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38" w:orient="portrait"/>
          <w:cols w:equalWidth="0" w:num="2">
            <w:col w:w="5240" w:space="220"/>
            <w:col w:w="4759"/>
          </w:cols>
          <w:pgMar w:left="240" w:top="142" w:right="1440" w:bottom="14"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Texas Instruments Deutschland G.m.b.H.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France S.A.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Holland B.V.</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Hong Kong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Italia S.p.A.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Japan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Malaysia Sdn. Bhd.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(Philippines) Incorporated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Singapore (Pte)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Taiwan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 Information Engineering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Germany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Netherlands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Hong Kong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Italy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Japan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Kingdom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Malaysia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Singapore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Taiwan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Kingdom</w:t>
      </w:r>
    </w:p>
    <w:p>
      <w:pPr>
        <w:spacing w:after="0" w:line="200" w:lineRule="exact"/>
        <w:rPr>
          <w:sz w:val="20"/>
          <w:szCs w:val="20"/>
          <w:color w:val="auto"/>
        </w:rPr>
      </w:pPr>
    </w:p>
    <w:p>
      <w:pPr>
        <w:sectPr>
          <w:pgSz w:w="11900" w:h="16838" w:orient="portrait"/>
          <w:cols w:equalWidth="0" w:num="2">
            <w:col w:w="4740" w:space="720"/>
            <w:col w:w="4759"/>
          </w:cols>
          <w:pgMar w:left="240" w:top="142" w:right="1440" w:bottom="1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7"/>
          <w:szCs w:val="17"/>
          <w:color w:val="auto"/>
        </w:rPr>
        <w:t>Note: The names of other subsidiaries of the Registrant are not listed herein since the additional subsidiaries considered in the aggregate as a single subsidiary do not constitute a significant subsidiary as defined by Rule 1.02(v) of Regulation S-X.</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EXHIBIT 23</w:t>
      </w:r>
    </w:p>
    <w:p>
      <w:pPr>
        <w:spacing w:after="0" w:line="9" w:lineRule="exact"/>
        <w:rPr>
          <w:sz w:val="20"/>
          <w:szCs w:val="20"/>
          <w:color w:val="auto"/>
        </w:rPr>
      </w:pPr>
    </w:p>
    <w:p>
      <w:pPr>
        <w:ind w:left="7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CONSENT OF INDEPENDENT AUDITORS</w:t>
      </w:r>
    </w:p>
    <w:p>
      <w:pPr>
        <w:spacing w:after="0" w:line="210"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We consent to the incorporation by reference in this Annual Report on Form 10-K of Texas Instruments Incorporated and subsidiaries of our report dated January 22, 1996, included in the 1995 Annual Report to Stockholders of Texas Instruments Incorporated.</w:t>
      </w:r>
    </w:p>
    <w:p>
      <w:pPr>
        <w:spacing w:after="0" w:line="195"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ectPr>
          <w:pgSz w:w="11900" w:h="16838" w:orient="portrait"/>
          <w:cols w:equalWidth="0" w:num="1">
            <w:col w:w="10219"/>
          </w:cols>
          <w:pgMar w:left="240" w:top="142" w:right="1440" w:bottom="14" w:gutter="0" w:footer="0" w:header="0"/>
          <w:type w:val="continuous"/>
        </w:sectPr>
      </w:pPr>
    </w:p>
    <w:bookmarkStart w:id="19" w:name="page20"/>
    <w:bookmarkEnd w:id="19"/>
    <w:p>
      <w:pPr>
        <w:ind w:right="1939"/>
        <w:spacing w:after="0" w:line="251" w:lineRule="auto"/>
        <w:rPr>
          <w:sz w:val="20"/>
          <w:szCs w:val="20"/>
          <w:color w:val="auto"/>
        </w:rPr>
      </w:pPr>
      <w:r>
        <w:rPr>
          <w:rFonts w:ascii="Courier New" w:cs="Courier New" w:eastAsia="Courier New" w:hAnsi="Courier New"/>
          <w:sz w:val="17"/>
          <w:szCs w:val="17"/>
          <w:color w:val="auto"/>
        </w:rPr>
        <w:t>We also consent to the incorporation by reference in the following registration statements, and in the related prospectuses thereto, of our report dated January 22, 1996 with respect to the consolidated financial statements and consolidated schedule of Texas Instruments Incorporated, included in or incorporated by reference in this Annual Report on Form 10-K for the year ended December 31, 1995: Registration Statement No. 33-61154 on Form S-8, Registration Statement No. 33-21407 on Form S-8, Registration Statement</w:t>
      </w:r>
    </w:p>
    <w:p>
      <w:pPr>
        <w:ind w:right="2039"/>
        <w:spacing w:after="0" w:line="257" w:lineRule="auto"/>
        <w:rPr>
          <w:sz w:val="20"/>
          <w:szCs w:val="20"/>
          <w:color w:val="auto"/>
        </w:rPr>
      </w:pPr>
      <w:r>
        <w:rPr>
          <w:rFonts w:ascii="Courier New" w:cs="Courier New" w:eastAsia="Courier New" w:hAnsi="Courier New"/>
          <w:sz w:val="17"/>
          <w:szCs w:val="17"/>
          <w:color w:val="auto"/>
        </w:rPr>
        <w:t>No. 33-42172 on Form S-8, Registration Statement No. 33-54615 on Form S-8, and Registration Statement No. 33-18509 on 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ERNST &amp; YOUNG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__, 1996</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JAMES R. ADAMS</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James R. Adams</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DAVID L. BOREN</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David L. Boren</w:t>
      </w:r>
    </w:p>
    <w:p>
      <w:pPr>
        <w:sectPr>
          <w:pgSz w:w="11900" w:h="16838" w:orient="portrait"/>
          <w:cols w:equalWidth="0" w:num="1">
            <w:col w:w="10219"/>
          </w:cols>
          <w:pgMar w:left="240" w:top="142" w:right="1440" w:bottom="0" w:gutter="0" w:footer="0" w:header="0"/>
        </w:sectPr>
      </w:pPr>
    </w:p>
    <w:bookmarkStart w:id="20" w:name="page21"/>
    <w:bookmarkEnd w:id="20"/>
    <w:p>
      <w:pPr>
        <w:spacing w:after="0" w:line="1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JAMES B. BUSEY IV</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James B. Busey IV</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DAVID R. GOODE</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David R. Goode</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WILLIAM A. AYLESWORTH and RICHARD J. AGNICH, and each of them, with full power to act without the other,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w:t>
      </w:r>
    </w:p>
    <w:p>
      <w:pPr>
        <w:sectPr>
          <w:pgSz w:w="11900" w:h="16858" w:orient="portrait"/>
          <w:cols w:equalWidth="0" w:num="1">
            <w:col w:w="10219"/>
          </w:cols>
          <w:pgMar w:left="240" w:top="343" w:right="1440" w:bottom="0" w:gutter="0" w:footer="0" w:header="0"/>
        </w:sectPr>
      </w:pPr>
    </w:p>
    <w:bookmarkStart w:id="21" w:name="page22"/>
    <w:bookmarkEnd w:id="21"/>
    <w:p>
      <w:pPr>
        <w:spacing w:after="0" w:line="29"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them, or their or his substitute or substitutes, may lawfully do or cause to be done by virtue hereof.</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JERRY R. JUNKINS</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Jerry R. Junkins</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WILLIAM S. LEE</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William S. Lee</w:t>
      </w:r>
    </w:p>
    <w:p>
      <w:pPr>
        <w:spacing w:after="0" w:line="200" w:lineRule="exact"/>
        <w:rPr>
          <w:sz w:val="20"/>
          <w:szCs w:val="20"/>
          <w:color w:val="auto"/>
        </w:rPr>
      </w:pPr>
    </w:p>
    <w:p>
      <w:pPr>
        <w:spacing w:after="0" w:line="212"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WILLIAM B. MITCHELL</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William B. Mitchell</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w:t>
      </w:r>
    </w:p>
    <w:p>
      <w:pPr>
        <w:sectPr>
          <w:pgSz w:w="11900" w:h="16867" w:orient="portrait"/>
          <w:cols w:equalWidth="0" w:num="1">
            <w:col w:w="10219"/>
          </w:cols>
          <w:pgMar w:left="240" w:top="142" w:right="1440" w:bottom="0" w:gutter="0" w:footer="0" w:header="0"/>
        </w:sectPr>
      </w:pPr>
    </w:p>
    <w:bookmarkStart w:id="22" w:name="page23"/>
    <w:bookmarkEnd w:id="22"/>
    <w:p>
      <w:pPr>
        <w:spacing w:after="0" w:line="11"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and each of them, with full power to act without the others, her true and lawful attorneys-in-fact and agents, with full and several power of substitution, for her and in her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she might or could do in person, hereby ratifying and confirming all that said attorneys-in-fact and agents or any of them, or their or his substitute or substitutes, may lawfully do or cause to be done by virtue hereof.</w:t>
      </w:r>
    </w:p>
    <w:p>
      <w:pPr>
        <w:spacing w:after="0" w:line="201"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GLORIA M. SHATTO</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Gloria M. Shatto</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WILLIAM P. WEBER</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William P. Weber</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ectPr>
          <w:pgSz w:w="11900" w:h="16849"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CLAYTON K. YEUTTER</w:t>
      </w:r>
    </w:p>
    <w:p>
      <w:pPr>
        <w:sectPr>
          <w:pgSz w:w="11900" w:h="16849" w:orient="portrait"/>
          <w:cols w:equalWidth="0" w:num="1">
            <w:col w:w="10219"/>
          </w:cols>
          <w:pgMar w:left="240" w:top="142" w:right="1440" w:bottom="0" w:gutter="0" w:footer="0" w:header="0"/>
          <w:type w:val="continuous"/>
        </w:sectPr>
      </w:pPr>
    </w:p>
    <w:bookmarkStart w:id="23" w:name="page24"/>
    <w:bookmarkEnd w:id="23"/>
    <w:p>
      <w:pPr>
        <w:spacing w:after="0" w:line="1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Clayton K. Yeutter</w:t>
      </w: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200"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420"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_________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MARVIN M. LANE, JR.</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Marvin M. Lane,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320"/>
        <w:spacing w:after="0"/>
        <w:rPr>
          <w:sz w:val="20"/>
          <w:szCs w:val="20"/>
          <w:color w:val="auto"/>
        </w:rPr>
      </w:pPr>
      <w:r>
        <w:rPr>
          <w:rFonts w:ascii="Courier New" w:cs="Courier New" w:eastAsia="Courier New" w:hAnsi="Courier New"/>
          <w:sz w:val="17"/>
          <w:szCs w:val="17"/>
          <w:color w:val="auto"/>
        </w:rPr>
        <w:t>EXHIBIT 27</w:t>
      </w:r>
    </w:p>
    <w:p>
      <w:pPr>
        <w:spacing w:after="0" w:line="9" w:lineRule="exact"/>
        <w:rPr>
          <w:sz w:val="20"/>
          <w:szCs w:val="20"/>
          <w:color w:val="auto"/>
        </w:rPr>
      </w:pPr>
    </w:p>
    <w:p>
      <w:pPr>
        <w:ind w:left="91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9"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7"/>
          <w:szCs w:val="17"/>
          <w:color w:val="auto"/>
        </w:rPr>
        <w:t>FINANCIAL DATA SCHEDULE</w:t>
      </w:r>
    </w:p>
    <w:p>
      <w:pPr>
        <w:spacing w:after="0" w:line="9"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54"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DECEMBER 31, 1995, AND FOR THE YEAR THEN ENDED, AND IS QUALIFIED IN ITS ENTIRETY BY REFERENCE TO SUCH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Pr>
          <w:p>
            <w:pPr>
              <w:spacing w:after="0"/>
              <w:rPr>
                <w:sz w:val="20"/>
                <w:szCs w:val="20"/>
                <w:color w:val="auto"/>
              </w:rPr>
            </w:pPr>
            <w:r>
              <w:rPr>
                <w:rFonts w:ascii="Courier New" w:cs="Courier New" w:eastAsia="Courier New" w:hAnsi="Courier New"/>
                <w:sz w:val="17"/>
                <w:szCs w:val="17"/>
                <w:color w:val="auto"/>
              </w:rPr>
              <w:t>Item Number</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Item Description</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Amount</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12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5-02(1)</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Cash and cash items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$ 1,364</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5-02(2)</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Marketable securities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189</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5-02(3)(a)(1)</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Notes and accounts receivable--trade</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2,320</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5-02(4)</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Allowances for doubtful accounts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5-02(6)</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Inventory</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1,135</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5-02(9)</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Total current assets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5,518</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5-02(13)</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Property, plant and equipment</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5,631</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5-02(14)</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Accumulated depreciation</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2,444</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5-02(18)</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Total assets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9,215</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5-02(21)</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3,188</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5-02(22)</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Bonds, mortgages and similar debt</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804</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5-02(28)</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stock--mandatory redemption</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5-02(29)</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stock--no mandatory redemption</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5-02(30)</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Common stock</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190</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5-02(31)</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Other stockholders' equity</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3,905</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5-02(32)</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9,215</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5-03(b)1(a)</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Net sales of tangible products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13,128</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5-03(b)1</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Total revenues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13,128</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5-03(b)2(a)</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Cost of tangible goods sold</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9,318</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5-03(b)2</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Total costs and expenses applicable to sales and</w:t>
            </w:r>
          </w:p>
        </w:tc>
        <w:tc>
          <w:tcPr>
            <w:tcW w:w="1200" w:type="dxa"/>
            <w:vAlign w:val="bottom"/>
          </w:tcPr>
          <w:p>
            <w:pPr>
              <w:spacing w:after="0"/>
              <w:rPr>
                <w:sz w:val="17"/>
                <w:szCs w:val="17"/>
                <w:color w:val="auto"/>
              </w:rPr>
            </w:pPr>
          </w:p>
        </w:tc>
      </w:tr>
      <w:tr>
        <w:trPr>
          <w:trHeight w:val="201"/>
        </w:trPr>
        <w:tc>
          <w:tcPr>
            <w:tcW w:w="2000" w:type="dxa"/>
            <w:vAlign w:val="bottom"/>
          </w:tcPr>
          <w:p>
            <w:pPr>
              <w:spacing w:after="0"/>
              <w:rPr>
                <w:sz w:val="17"/>
                <w:szCs w:val="17"/>
                <w:color w:val="auto"/>
              </w:rPr>
            </w:pPr>
          </w:p>
        </w:tc>
        <w:tc>
          <w:tcPr>
            <w:tcW w:w="6120" w:type="dxa"/>
            <w:vAlign w:val="bottom"/>
          </w:tcPr>
          <w:p>
            <w:pPr>
              <w:ind w:left="420"/>
              <w:spacing w:after="0"/>
              <w:rPr>
                <w:sz w:val="20"/>
                <w:szCs w:val="20"/>
                <w:color w:val="auto"/>
              </w:rPr>
            </w:pPr>
            <w:r>
              <w:rPr>
                <w:rFonts w:ascii="Courier New" w:cs="Courier New" w:eastAsia="Courier New" w:hAnsi="Courier New"/>
                <w:sz w:val="17"/>
                <w:szCs w:val="17"/>
                <w:color w:val="auto"/>
              </w:rPr>
              <w:t>revenues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9,318</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5-03(b)3</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Other costs and expenses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509</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5-03(b)5</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Provision for doubtful accounts and notes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5-03(b)(8)</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Interest and amortization of debt discount</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48</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5-03(b)(10)</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Income before taxes and other items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1,619</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5-03(b)(11)</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Income tax expense</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531</w:t>
            </w:r>
          </w:p>
        </w:tc>
      </w:tr>
      <w:tr>
        <w:trPr>
          <w:trHeight w:val="201"/>
        </w:trPr>
        <w:tc>
          <w:tcPr>
            <w:tcW w:w="2000" w:type="dxa"/>
            <w:vAlign w:val="bottom"/>
          </w:tcPr>
          <w:p>
            <w:pPr>
              <w:spacing w:after="0"/>
              <w:rPr>
                <w:sz w:val="20"/>
                <w:szCs w:val="20"/>
                <w:color w:val="auto"/>
              </w:rPr>
            </w:pPr>
            <w:r>
              <w:rPr>
                <w:rFonts w:ascii="Courier New" w:cs="Courier New" w:eastAsia="Courier New" w:hAnsi="Courier New"/>
                <w:sz w:val="17"/>
                <w:szCs w:val="17"/>
                <w:color w:val="auto"/>
              </w:rPr>
              <w:t>5-03(b)(14)</w:t>
            </w:r>
          </w:p>
        </w:tc>
        <w:tc>
          <w:tcPr>
            <w:tcW w:w="6120" w:type="dxa"/>
            <w:vAlign w:val="bottom"/>
          </w:tcPr>
          <w:p>
            <w:pPr>
              <w:ind w:left="320"/>
              <w:spacing w:after="0"/>
              <w:rPr>
                <w:sz w:val="20"/>
                <w:szCs w:val="20"/>
                <w:color w:val="auto"/>
              </w:rPr>
            </w:pPr>
            <w:r>
              <w:rPr>
                <w:rFonts w:ascii="Courier New" w:cs="Courier New" w:eastAsia="Courier New" w:hAnsi="Courier New"/>
                <w:sz w:val="17"/>
                <w:szCs w:val="17"/>
                <w:color w:val="auto"/>
              </w:rPr>
              <w:t>Income/loss continuing operations</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1,088</w:t>
            </w:r>
          </w:p>
        </w:tc>
      </w:tr>
    </w:tbl>
    <w:p>
      <w:pPr>
        <w:sectPr>
          <w:pgSz w:w="11900" w:h="16854" w:orient="portrait"/>
          <w:cols w:equalWidth="0" w:num="1">
            <w:col w:w="10380"/>
          </w:cols>
          <w:pgMar w:left="240" w:top="142" w:right="127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40" w:type="dxa"/>
            <w:vAlign w:val="bottom"/>
          </w:tcPr>
          <w:p>
            <w:pPr>
              <w:spacing w:after="0"/>
              <w:rPr>
                <w:sz w:val="20"/>
                <w:szCs w:val="20"/>
                <w:color w:val="auto"/>
              </w:rPr>
            </w:pPr>
            <w:r>
              <w:rPr>
                <w:rFonts w:ascii="Courier New" w:cs="Courier New" w:eastAsia="Courier New" w:hAnsi="Courier New"/>
                <w:sz w:val="17"/>
                <w:szCs w:val="17"/>
                <w:color w:val="auto"/>
              </w:rPr>
              <w:t>5-03(b)(15)</w:t>
            </w:r>
          </w:p>
        </w:tc>
        <w:tc>
          <w:tcPr>
            <w:tcW w:w="6380" w:type="dxa"/>
            <w:vAlign w:val="bottom"/>
          </w:tcPr>
          <w:p>
            <w:pPr>
              <w:ind w:left="580"/>
              <w:spacing w:after="0"/>
              <w:rPr>
                <w:sz w:val="20"/>
                <w:szCs w:val="20"/>
                <w:color w:val="auto"/>
              </w:rPr>
            </w:pPr>
            <w:r>
              <w:rPr>
                <w:rFonts w:ascii="Courier New" w:cs="Courier New" w:eastAsia="Courier New" w:hAnsi="Courier New"/>
                <w:sz w:val="17"/>
                <w:szCs w:val="17"/>
                <w:color w:val="auto"/>
              </w:rPr>
              <w:t>Discontinued operations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5-03(b)(17)</w:t>
            </w:r>
          </w:p>
        </w:tc>
        <w:tc>
          <w:tcPr>
            <w:tcW w:w="6380" w:type="dxa"/>
            <w:vAlign w:val="bottom"/>
          </w:tcPr>
          <w:p>
            <w:pPr>
              <w:ind w:left="580"/>
              <w:spacing w:after="0"/>
              <w:rPr>
                <w:sz w:val="20"/>
                <w:szCs w:val="20"/>
                <w:color w:val="auto"/>
              </w:rPr>
            </w:pPr>
            <w:r>
              <w:rPr>
                <w:rFonts w:ascii="Courier New" w:cs="Courier New" w:eastAsia="Courier New" w:hAnsi="Courier New"/>
                <w:sz w:val="17"/>
                <w:szCs w:val="17"/>
                <w:color w:val="auto"/>
              </w:rPr>
              <w:t>Extraordinary items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5-03(b)(18)</w:t>
            </w:r>
          </w:p>
        </w:tc>
        <w:tc>
          <w:tcPr>
            <w:tcW w:w="6380" w:type="dxa"/>
            <w:vAlign w:val="bottom"/>
          </w:tcPr>
          <w:p>
            <w:pPr>
              <w:ind w:left="580"/>
              <w:spacing w:after="0"/>
              <w:rPr>
                <w:sz w:val="20"/>
                <w:szCs w:val="20"/>
                <w:color w:val="auto"/>
              </w:rPr>
            </w:pPr>
            <w:r>
              <w:rPr>
                <w:rFonts w:ascii="Courier New" w:cs="Courier New" w:eastAsia="Courier New" w:hAnsi="Courier New"/>
                <w:sz w:val="17"/>
                <w:szCs w:val="17"/>
                <w:color w:val="auto"/>
              </w:rPr>
              <w:t>Cumulative effect--changes in accounting principles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5-03(b)(19)</w:t>
            </w:r>
          </w:p>
        </w:tc>
        <w:tc>
          <w:tcPr>
            <w:tcW w:w="6380" w:type="dxa"/>
            <w:vAlign w:val="bottom"/>
          </w:tcPr>
          <w:p>
            <w:pPr>
              <w:ind w:left="580"/>
              <w:spacing w:after="0"/>
              <w:rPr>
                <w:sz w:val="20"/>
                <w:szCs w:val="20"/>
                <w:color w:val="auto"/>
              </w:rPr>
            </w:pPr>
            <w:r>
              <w:rPr>
                <w:rFonts w:ascii="Courier New" w:cs="Courier New" w:eastAsia="Courier New" w:hAnsi="Courier New"/>
                <w:sz w:val="17"/>
                <w:szCs w:val="17"/>
                <w:color w:val="auto"/>
              </w:rPr>
              <w:t>Net income or loss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1,088</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5-03(b)(20)</w:t>
            </w:r>
          </w:p>
        </w:tc>
        <w:tc>
          <w:tcPr>
            <w:tcW w:w="6380" w:type="dxa"/>
            <w:vAlign w:val="bottom"/>
          </w:tcPr>
          <w:p>
            <w:pPr>
              <w:ind w:left="580"/>
              <w:spacing w:after="0"/>
              <w:rPr>
                <w:sz w:val="20"/>
                <w:szCs w:val="20"/>
                <w:color w:val="auto"/>
              </w:rPr>
            </w:pPr>
            <w:r>
              <w:rPr>
                <w:rFonts w:ascii="Courier New" w:cs="Courier New" w:eastAsia="Courier New" w:hAnsi="Courier New"/>
                <w:sz w:val="17"/>
                <w:szCs w:val="17"/>
                <w:color w:val="auto"/>
              </w:rPr>
              <w:t>Earnings per share--primary</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5.63</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5-03(b)(20)</w:t>
            </w:r>
          </w:p>
        </w:tc>
        <w:tc>
          <w:tcPr>
            <w:tcW w:w="6380" w:type="dxa"/>
            <w:vAlign w:val="bottom"/>
          </w:tcPr>
          <w:p>
            <w:pPr>
              <w:ind w:left="580"/>
              <w:spacing w:after="0"/>
              <w:rPr>
                <w:sz w:val="20"/>
                <w:szCs w:val="20"/>
                <w:color w:val="auto"/>
              </w:rPr>
            </w:pPr>
            <w:r>
              <w:rPr>
                <w:rFonts w:ascii="Courier New" w:cs="Courier New" w:eastAsia="Courier New" w:hAnsi="Courier New"/>
                <w:sz w:val="17"/>
                <w:szCs w:val="17"/>
                <w:color w:val="auto"/>
              </w:rPr>
              <w:t>Earnings per share--fully diluted</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decimal"/>
      <w:start w:val="13"/>
    </w:lvl>
  </w:abstractNum>
  <w:abstractNum w:abstractNumId="4">
    <w:nsid w:val="41B71EFB"/>
    <w:multiLevelType w:val="hybridMultilevel"/>
    <w:lvl w:ilvl="0">
      <w:lvlJc w:val="left"/>
      <w:lvlText w:val="%1"/>
      <w:numFmt w:val="decimal"/>
      <w:start w:val="21"/>
    </w:lvl>
  </w:abstractNum>
  <w:abstractNum w:abstractNumId="5">
    <w:nsid w:val="79E2A9E3"/>
    <w:multiLevelType w:val="hybridMultilevel"/>
    <w:lvl w:ilvl="0">
      <w:lvlJc w:val="left"/>
      <w:lvlText w:val="%1"/>
      <w:numFmt w:val="decimal"/>
      <w:start w:val="23"/>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2019-12-13T07:33:24Z</dcterms:created>
  <dcterms:modified xsi:type="dcterms:W3CDTF">2019-12-13T07:33:24Z</dcterms:modified>
</cp:coreProperties>
</file>