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419735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23,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436245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53"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801" w:right="739" w:bottom="1440" w:gutter="0" w:footer="0" w:header="0"/>
        </w:sectPr>
      </w:pPr>
    </w:p>
    <w:p>
      <w:pPr>
        <w:spacing w:after="0" w:line="200" w:lineRule="exact"/>
        <w:rPr>
          <w:sz w:val="24"/>
          <w:szCs w:val="24"/>
          <w:color w:val="auto"/>
        </w:rPr>
      </w:pPr>
    </w:p>
    <w:p>
      <w:pPr>
        <w:spacing w:after="0" w:line="302"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801"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801"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429260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801"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Registrant's news release dated April 23, 2007, regarding its first quarter 2007 results of operations and financial condition attached hereto as Exhibit 99 is incorporated by reference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36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715"/>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Designation</w:t>
            </w:r>
          </w:p>
        </w:tc>
        <w:tc>
          <w:tcPr>
            <w:tcW w:w="36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7"/>
              </w:rPr>
              <w:t>of Exhibit</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16"/>
        </w:trPr>
        <w:tc>
          <w:tcPr>
            <w:tcW w:w="186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in this</w:t>
            </w:r>
          </w:p>
        </w:tc>
        <w:tc>
          <w:tcPr>
            <w:tcW w:w="360" w:type="dxa"/>
            <w:vAlign w:val="bottom"/>
          </w:tcPr>
          <w:p>
            <w:pPr>
              <w:spacing w:after="0"/>
              <w:rPr>
                <w:sz w:val="18"/>
                <w:szCs w:val="18"/>
                <w:color w:val="auto"/>
              </w:rPr>
            </w:pPr>
          </w:p>
        </w:tc>
        <w:tc>
          <w:tcPr>
            <w:tcW w:w="9200" w:type="dxa"/>
            <w:vAlign w:val="bottom"/>
          </w:tcPr>
          <w:p>
            <w:pPr>
              <w:spacing w:after="0"/>
              <w:rPr>
                <w:sz w:val="18"/>
                <w:szCs w:val="18"/>
                <w:color w:val="auto"/>
              </w:rPr>
            </w:pPr>
          </w:p>
        </w:tc>
      </w:tr>
      <w:tr>
        <w:trPr>
          <w:trHeight w:val="230"/>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53"/>
        </w:trPr>
        <w:tc>
          <w:tcPr>
            <w:tcW w:w="12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580" w:type="dxa"/>
            <w:vAlign w:val="bottom"/>
          </w:tcPr>
          <w:p>
            <w:pPr>
              <w:spacing w:after="0"/>
              <w:rPr>
                <w:sz w:val="24"/>
                <w:szCs w:val="24"/>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Registrant’s News Release</w:t>
            </w:r>
          </w:p>
        </w:tc>
      </w:tr>
      <w:tr>
        <w:trPr>
          <w:trHeight w:val="270"/>
        </w:trPr>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Dated April 23, 2007 (furnished pursuant to Item 2.02)</w:t>
            </w:r>
          </w:p>
        </w:tc>
      </w:tr>
    </w:tbl>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hanging="13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306"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April 23,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3378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68" w:right="239" w:bottom="896"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1Q07 Financial Results</w:t>
      </w:r>
    </w:p>
    <w:p>
      <w:pPr>
        <w:spacing w:after="0" w:line="28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 Revenue Down 8% Sequentially and 4% from Year Ago</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of $0.35</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Growth Expected to Resume in 2Q07</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Except as noted, financial results are for continuing operations. The sale of TI’s former Sensors &amp; Controls business was completed on April 27, 2006, and that business is reported as a discontinued operation.</w:t>
      </w:r>
    </w:p>
    <w:p>
      <w:pPr>
        <w:spacing w:after="0" w:line="224" w:lineRule="exact"/>
        <w:rPr>
          <w:sz w:val="20"/>
          <w:szCs w:val="20"/>
          <w:color w:val="auto"/>
        </w:rPr>
      </w:pPr>
    </w:p>
    <w:p>
      <w:pPr>
        <w:ind w:right="40" w:firstLine="666"/>
        <w:spacing w:after="0" w:line="264" w:lineRule="auto"/>
        <w:rPr>
          <w:sz w:val="20"/>
          <w:szCs w:val="20"/>
          <w:color w:val="auto"/>
        </w:rPr>
      </w:pPr>
      <w:r>
        <w:rPr>
          <w:rFonts w:ascii="Arial" w:cs="Arial" w:eastAsia="Arial" w:hAnsi="Arial"/>
          <w:sz w:val="18"/>
          <w:szCs w:val="18"/>
          <w:color w:val="auto"/>
        </w:rPr>
        <w:t>DALLAS (April 23, 2007) - Texas Instruments Incorporated (TI) (NYSE: TXN) today reported revenue of $3.19 billion for the first quarter of 2007. Revenue declined 8 percent compared with the prior quarter and 4 percent compared with the year-ago quarter. Revenue was impacted by an inventory correction in the semiconductor market.</w:t>
      </w:r>
    </w:p>
    <w:p>
      <w:pPr>
        <w:spacing w:after="0" w:line="181" w:lineRule="exact"/>
        <w:rPr>
          <w:sz w:val="20"/>
          <w:szCs w:val="20"/>
          <w:color w:val="auto"/>
        </w:rPr>
      </w:pPr>
    </w:p>
    <w:p>
      <w:pPr>
        <w:jc w:val="both"/>
        <w:ind w:firstLine="700"/>
        <w:spacing w:after="0" w:line="264" w:lineRule="auto"/>
        <w:rPr>
          <w:sz w:val="20"/>
          <w:szCs w:val="20"/>
          <w:color w:val="auto"/>
        </w:rPr>
      </w:pPr>
      <w:r>
        <w:rPr>
          <w:rFonts w:ascii="Arial" w:cs="Arial" w:eastAsia="Arial" w:hAnsi="Arial"/>
          <w:sz w:val="18"/>
          <w:szCs w:val="18"/>
          <w:color w:val="auto"/>
        </w:rPr>
        <w:t>Earnings per share (EPS) from continuing operations were $0.35, a decline of $0.10 from the prior quarter. The fourth quarter of 2006 included a benefit of $0.05 from the reinstatement of the federal research tax credit and a benefit of $0.01 from catch-up payments associated with new patent license agreements.</w:t>
      </w:r>
    </w:p>
    <w:p>
      <w:pPr>
        <w:spacing w:after="0" w:line="235" w:lineRule="exact"/>
        <w:rPr>
          <w:sz w:val="20"/>
          <w:szCs w:val="20"/>
          <w:color w:val="auto"/>
        </w:rPr>
      </w:pPr>
    </w:p>
    <w:p>
      <w:pPr>
        <w:jc w:val="both"/>
        <w:ind w:firstLine="680"/>
        <w:spacing w:after="0" w:line="277" w:lineRule="auto"/>
        <w:rPr>
          <w:sz w:val="20"/>
          <w:szCs w:val="20"/>
          <w:color w:val="auto"/>
        </w:rPr>
      </w:pPr>
      <w:r>
        <w:rPr>
          <w:rFonts w:ascii="Arial" w:cs="Arial" w:eastAsia="Arial" w:hAnsi="Arial"/>
          <w:sz w:val="18"/>
          <w:szCs w:val="18"/>
          <w:color w:val="auto"/>
        </w:rPr>
        <w:t>“We believe the inventory correction that began in the second half of last year largely ended in the first quarter,” said Rich Templeton, TI president and CEO. “Orders are beginning to rebound, and we expect sequential growth to resume in the second quarter.</w:t>
      </w:r>
    </w:p>
    <w:p>
      <w:pPr>
        <w:spacing w:after="0" w:line="224" w:lineRule="exact"/>
        <w:rPr>
          <w:sz w:val="20"/>
          <w:szCs w:val="20"/>
          <w:color w:val="auto"/>
        </w:rPr>
      </w:pPr>
    </w:p>
    <w:p>
      <w:pPr>
        <w:jc w:val="both"/>
        <w:ind w:firstLine="666"/>
        <w:spacing w:after="0" w:line="286" w:lineRule="auto"/>
        <w:rPr>
          <w:sz w:val="20"/>
          <w:szCs w:val="20"/>
          <w:color w:val="auto"/>
        </w:rPr>
      </w:pPr>
      <w:r>
        <w:rPr>
          <w:rFonts w:ascii="Arial" w:cs="Arial" w:eastAsia="Arial" w:hAnsi="Arial"/>
          <w:sz w:val="17"/>
          <w:szCs w:val="17"/>
          <w:color w:val="auto"/>
        </w:rPr>
        <w:t>“TI’s performance in the first quarter was confirmation of fundamental and sustainable long-term changes we have made in the company. Even with an 8 percent decline in sequential revenue, gross margin remained above 50 percent and operating margin remained above 20 percent. TI performed considerably better than in prior troughs because of a more resilient manufacturing strategy and a stronger portfolio of analog products.</w:t>
      </w:r>
    </w:p>
    <w:p>
      <w:pPr>
        <w:spacing w:after="0" w:line="220" w:lineRule="exact"/>
        <w:rPr>
          <w:sz w:val="20"/>
          <w:szCs w:val="20"/>
          <w:color w:val="auto"/>
        </w:rPr>
      </w:pPr>
    </w:p>
    <w:p>
      <w:pPr>
        <w:jc w:val="both"/>
        <w:ind w:firstLine="680"/>
        <w:spacing w:after="0" w:line="279" w:lineRule="auto"/>
        <w:rPr>
          <w:sz w:val="20"/>
          <w:szCs w:val="20"/>
          <w:color w:val="auto"/>
        </w:rPr>
      </w:pPr>
      <w:r>
        <w:rPr>
          <w:rFonts w:ascii="Arial" w:cs="Arial" w:eastAsia="Arial" w:hAnsi="Arial"/>
          <w:sz w:val="17"/>
          <w:szCs w:val="17"/>
          <w:color w:val="auto"/>
        </w:rPr>
        <w:t>“Analog will continue to play an increasing role in our company. Even though we are the world’s leading supplier, our share is low in this large but fragmented market. The opportunity for share gains combined with the attractive financial characteristics of the analog market is appealing. This represents a unique opportunity, especially alongside our strong position in DSP, which provides early entry into important new markets. We continue to keep customers at the core of our strategy, recognizing that we are successful only to the extent we help make them successful,” Templeton said.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83" w:lineRule="exact"/>
        <w:rPr>
          <w:sz w:val="20"/>
          <w:szCs w:val="20"/>
          <w:color w:val="auto"/>
        </w:rPr>
      </w:pPr>
    </w:p>
    <w:p>
      <w:pPr>
        <w:jc w:val="both"/>
        <w:ind w:right="20" w:firstLine="680"/>
        <w:spacing w:after="0" w:line="277" w:lineRule="auto"/>
        <w:rPr>
          <w:sz w:val="20"/>
          <w:szCs w:val="20"/>
          <w:color w:val="auto"/>
        </w:rPr>
      </w:pPr>
      <w:r>
        <w:rPr>
          <w:rFonts w:ascii="Arial" w:cs="Arial" w:eastAsia="Arial" w:hAnsi="Arial"/>
          <w:sz w:val="18"/>
          <w:szCs w:val="18"/>
          <w:color w:val="auto"/>
        </w:rPr>
        <w:t>Gross profit was $1.64 billion, or 51.3 percent of revenue. This was down $111 million from the prior quarter and down $35 million from the year-ago quarter due to lower 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jc w:val="both"/>
        <w:ind w:firstLine="666"/>
        <w:spacing w:after="0" w:line="264" w:lineRule="auto"/>
        <w:rPr>
          <w:sz w:val="20"/>
          <w:szCs w:val="20"/>
          <w:color w:val="auto"/>
        </w:rPr>
      </w:pPr>
      <w:r>
        <w:rPr>
          <w:rFonts w:ascii="Arial" w:cs="Arial" w:eastAsia="Arial" w:hAnsi="Arial"/>
          <w:sz w:val="18"/>
          <w:szCs w:val="18"/>
          <w:color w:val="auto"/>
        </w:rPr>
        <w:t>Research and development (R&amp;D) expense was $552 million. Despite seasonally higher pay and benefits, this was about even with the prior quarter due to cost-saving actions. R&amp;D expense increased $19 million from the year-ago quarter due to higher product development costs in the company’s Semiconductor segment.</w:t>
      </w:r>
    </w:p>
    <w:p>
      <w:pPr>
        <w:spacing w:after="0" w:line="235" w:lineRule="exact"/>
        <w:rPr>
          <w:sz w:val="20"/>
          <w:szCs w:val="20"/>
          <w:color w:val="auto"/>
        </w:rPr>
      </w:pPr>
    </w:p>
    <w:p>
      <w:pPr>
        <w:ind w:right="600" w:firstLine="666"/>
        <w:spacing w:after="0" w:line="342" w:lineRule="auto"/>
        <w:rPr>
          <w:sz w:val="20"/>
          <w:szCs w:val="20"/>
          <w:color w:val="auto"/>
        </w:rPr>
      </w:pPr>
      <w:r>
        <w:rPr>
          <w:rFonts w:ascii="Arial" w:cs="Arial" w:eastAsia="Arial" w:hAnsi="Arial"/>
          <w:sz w:val="16"/>
          <w:szCs w:val="16"/>
          <w:color w:val="auto"/>
        </w:rPr>
        <w:t>Selling, general and administrative (SG&amp;A) expense was $405 million. This was a decrease of 5 percent from the prior quarter due to lower marketing expense, including seasonally lower advertising. SG&amp;A expense declined $16 million from the year-ago quarter due to cost-saving 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83" w:lineRule="exact"/>
        <w:rPr>
          <w:sz w:val="20"/>
          <w:szCs w:val="20"/>
          <w:color w:val="auto"/>
        </w:rPr>
      </w:pPr>
    </w:p>
    <w:p>
      <w:pPr>
        <w:jc w:val="both"/>
        <w:ind w:firstLine="686"/>
        <w:spacing w:after="0" w:line="312" w:lineRule="auto"/>
        <w:rPr>
          <w:sz w:val="20"/>
          <w:szCs w:val="20"/>
          <w:color w:val="auto"/>
        </w:rPr>
      </w:pPr>
      <w:r>
        <w:rPr>
          <w:rFonts w:ascii="Arial" w:cs="Arial" w:eastAsia="Arial" w:hAnsi="Arial"/>
          <w:sz w:val="16"/>
          <w:szCs w:val="16"/>
          <w:color w:val="auto"/>
        </w:rPr>
        <w:t>Operating profit was $680 million, or 21.3 percent of revenue. This was a decrease of $87 million from the prior quarter and $38 million from the year-ago quarter primarily due to lower gross profit in the company’s Semiconductor segment. Included in Corporate were stock-based compensation expense of $78 million, or 2.4 percent of revenue, and restructuring expense of $14 million, including $9 million in cost of revenue and $5 million in R&amp;D.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283" w:lineRule="exact"/>
        <w:rPr>
          <w:sz w:val="20"/>
          <w:szCs w:val="20"/>
          <w:color w:val="auto"/>
        </w:rPr>
      </w:pPr>
    </w:p>
    <w:p>
      <w:pPr>
        <w:jc w:val="both"/>
        <w:ind w:firstLine="700"/>
        <w:spacing w:after="0" w:line="308" w:lineRule="auto"/>
        <w:rPr>
          <w:sz w:val="20"/>
          <w:szCs w:val="20"/>
          <w:color w:val="auto"/>
        </w:rPr>
      </w:pPr>
      <w:r>
        <w:rPr>
          <w:rFonts w:ascii="Arial" w:cs="Arial" w:eastAsia="Arial" w:hAnsi="Arial"/>
          <w:sz w:val="17"/>
          <w:szCs w:val="17"/>
          <w:color w:val="auto"/>
        </w:rPr>
        <w:t>OI&amp;E was $40 million. This was a decrease of $30 million from the prior quarter, which included a favorable settlement of all remaining matters related to grants from the Italian government regarding TI’s former memory operations. OI&amp;E declined $12 million from the year-ago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income was $516 million, or $0.35 per share.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283" w:lineRule="exact"/>
        <w:rPr>
          <w:sz w:val="20"/>
          <w:szCs w:val="20"/>
          <w:color w:val="auto"/>
        </w:rPr>
      </w:pPr>
    </w:p>
    <w:p>
      <w:pPr>
        <w:jc w:val="both"/>
        <w:ind w:firstLine="663"/>
        <w:spacing w:after="0" w:line="342" w:lineRule="auto"/>
        <w:rPr>
          <w:sz w:val="20"/>
          <w:szCs w:val="20"/>
          <w:color w:val="auto"/>
        </w:rPr>
      </w:pPr>
      <w:r>
        <w:rPr>
          <w:rFonts w:ascii="Arial" w:cs="Arial" w:eastAsia="Arial" w:hAnsi="Arial"/>
          <w:sz w:val="16"/>
          <w:szCs w:val="16"/>
          <w:color w:val="auto"/>
        </w:rPr>
        <w:t>TI orders were $3.20 billion. This was an increase of $128 million from the prior quarter due to higher demand for products in both of the company’s segments - Semiconductor and Education Technology. Orders declined $399 million from the year-ago quarter due to lower demand in both segments.</w:t>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Cash</w:t>
      </w:r>
    </w:p>
    <w:p>
      <w:pPr>
        <w:spacing w:after="0" w:line="283" w:lineRule="exact"/>
        <w:rPr>
          <w:sz w:val="20"/>
          <w:szCs w:val="20"/>
          <w:color w:val="auto"/>
        </w:rPr>
      </w:pPr>
    </w:p>
    <w:p>
      <w:pPr>
        <w:jc w:val="both"/>
        <w:ind w:firstLine="734"/>
        <w:spacing w:after="0" w:line="257" w:lineRule="auto"/>
        <w:rPr>
          <w:sz w:val="20"/>
          <w:szCs w:val="20"/>
          <w:color w:val="auto"/>
        </w:rPr>
      </w:pPr>
      <w:r>
        <w:rPr>
          <w:rFonts w:ascii="Arial" w:cs="Arial" w:eastAsia="Arial" w:hAnsi="Arial"/>
          <w:sz w:val="18"/>
          <w:szCs w:val="18"/>
          <w:color w:val="auto"/>
        </w:rPr>
        <w:t>Cash flow from operations was $554 million. This was a decrease of $292 million from the prior quarter due to increased cash needed to meet working capital requirements, such as payment of profit sharing and bonus related to 2006 performance, as well as lower net income. Total cash (cash and cash equivalents plus short-term investments) was $3.34 billion at the end of the first quarter. This was a decrease of $381 million from the end of the prior quarter and a decrease of $328 million from the year-ago quarter. In the first quarter, the company used $857 million to repurchase 28 million shares of common stock and paid $58 million in dividends.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Spending and Depreciation</w:t>
      </w:r>
    </w:p>
    <w:p>
      <w:pPr>
        <w:spacing w:after="0" w:line="283" w:lineRule="exact"/>
        <w:rPr>
          <w:sz w:val="20"/>
          <w:szCs w:val="20"/>
          <w:color w:val="auto"/>
        </w:rPr>
      </w:pPr>
    </w:p>
    <w:p>
      <w:pPr>
        <w:jc w:val="both"/>
        <w:ind w:firstLine="666"/>
        <w:spacing w:after="0" w:line="286" w:lineRule="auto"/>
        <w:rPr>
          <w:sz w:val="20"/>
          <w:szCs w:val="20"/>
          <w:color w:val="auto"/>
        </w:rPr>
      </w:pPr>
      <w:r>
        <w:rPr>
          <w:rFonts w:ascii="Arial" w:cs="Arial" w:eastAsia="Arial" w:hAnsi="Arial"/>
          <w:sz w:val="17"/>
          <w:szCs w:val="17"/>
          <w:color w:val="auto"/>
        </w:rPr>
        <w:t>Capital expenditures were $179 million. This was a decrease of $35 million from the prior quarter and a decrease of $229 million from the year-ago quarter due to lower expenditures for semiconductor manufacturing equipment. TI’s capital expenditures in the quarter were primarily for equipment used in the assembly and test of semiconductors, and wafer fabrication equipment used to manufacture analog semiconductors.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Depreciation was $252 million. This was about even with the prior quarter and a decrease of $18 million from the year-ago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283" w:lineRule="exact"/>
        <w:rPr>
          <w:sz w:val="20"/>
          <w:szCs w:val="20"/>
          <w:color w:val="auto"/>
        </w:rPr>
      </w:pPr>
    </w:p>
    <w:p>
      <w:pPr>
        <w:jc w:val="both"/>
        <w:ind w:firstLine="656"/>
        <w:spacing w:after="0" w:line="264" w:lineRule="auto"/>
        <w:rPr>
          <w:sz w:val="20"/>
          <w:szCs w:val="20"/>
          <w:color w:val="auto"/>
        </w:rPr>
      </w:pPr>
      <w:r>
        <w:rPr>
          <w:rFonts w:ascii="Arial" w:cs="Arial" w:eastAsia="Arial" w:hAnsi="Arial"/>
          <w:sz w:val="18"/>
          <w:szCs w:val="18"/>
          <w:color w:val="auto"/>
        </w:rPr>
        <w:t>Accounts receivable were $1.76 billion at the end of the first quarter. This was about even with the prior quarter, and a decrease of $42 million from the year-ago quarter primarily due to lower revenue. Days sales outstanding were 50 at the end of the first quarter compared with 46 at the end of the prior quarter and 49 at the end of the year-ago quarter.</w:t>
      </w:r>
    </w:p>
    <w:p>
      <w:pPr>
        <w:spacing w:after="0" w:line="235" w:lineRule="exact"/>
        <w:rPr>
          <w:sz w:val="20"/>
          <w:szCs w:val="20"/>
          <w:color w:val="auto"/>
        </w:rPr>
      </w:pPr>
    </w:p>
    <w:p>
      <w:pPr>
        <w:jc w:val="both"/>
        <w:ind w:firstLine="754"/>
        <w:spacing w:after="0" w:line="276" w:lineRule="auto"/>
        <w:rPr>
          <w:sz w:val="20"/>
          <w:szCs w:val="20"/>
          <w:color w:val="auto"/>
        </w:rPr>
      </w:pPr>
      <w:r>
        <w:rPr>
          <w:rFonts w:ascii="Arial" w:cs="Arial" w:eastAsia="Arial" w:hAnsi="Arial"/>
          <w:sz w:val="17"/>
          <w:szCs w:val="17"/>
          <w:color w:val="auto"/>
        </w:rPr>
        <w:t>Inventory was $1.41 billion at the end of the first quarter. This was a decrease of $28 million from the prior quarter as the company reduced inventory, especially DSP products used in wireless applications, in response to lower demand. This was partially offset by planned replenishment of long-lived, high-performance analog product inventory. Compared with a year ago, inventory increased $163 million primarily due to replenishment of high-performance analog product inventory from less-than-desirable levels a year ago. Days of inventory at the end of the first quarter were 82 compared with 75 at the end of the prior quarter and 67 a year ago, as inventory decreased at a slower rate than cost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TI intends to provide a mid-quarter update to its financial outlook on June 11, 2007, by issuing a press release and holding a conference call.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Both will be available on the company’s web site.</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the second quarter of 2007, TI expects revenue to be in the following ranges:</w:t>
      </w:r>
    </w:p>
    <w:p>
      <w:pPr>
        <w:spacing w:after="0" w:line="279" w:lineRule="exact"/>
        <w:rPr>
          <w:sz w:val="20"/>
          <w:szCs w:val="20"/>
          <w:color w:val="auto"/>
        </w:rPr>
      </w:pPr>
    </w:p>
    <w:p>
      <w:pPr>
        <w:ind w:left="1620" w:hanging="12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TI, $3.32 billion to $3.60 billion;</w:t>
      </w:r>
    </w:p>
    <w:p>
      <w:pPr>
        <w:spacing w:after="0" w:line="23" w:lineRule="exact"/>
        <w:rPr>
          <w:rFonts w:ascii="Arial" w:cs="Arial" w:eastAsia="Arial" w:hAnsi="Arial"/>
          <w:sz w:val="18"/>
          <w:szCs w:val="18"/>
          <w:color w:val="auto"/>
        </w:rPr>
      </w:pPr>
    </w:p>
    <w:p>
      <w:pPr>
        <w:ind w:left="1620" w:hanging="12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Semiconductor, $3.14 billion to $3.40 billion; and</w:t>
      </w:r>
    </w:p>
    <w:p>
      <w:pPr>
        <w:spacing w:after="0" w:line="9" w:lineRule="exact"/>
        <w:rPr>
          <w:rFonts w:ascii="Arial" w:cs="Arial" w:eastAsia="Arial" w:hAnsi="Arial"/>
          <w:sz w:val="18"/>
          <w:szCs w:val="18"/>
          <w:color w:val="auto"/>
        </w:rPr>
      </w:pPr>
    </w:p>
    <w:p>
      <w:pPr>
        <w:ind w:left="1620" w:hanging="12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Education Technology, $180 million to $200 million.</w:t>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 expects earnings per share to be in the range of $0.39 to $0.45.</w:t>
      </w:r>
    </w:p>
    <w:p>
      <w:pPr>
        <w:spacing w:after="0" w:line="225" w:lineRule="exact"/>
        <w:rPr>
          <w:sz w:val="20"/>
          <w:szCs w:val="20"/>
          <w:color w:val="auto"/>
        </w:rPr>
      </w:pPr>
    </w:p>
    <w:p>
      <w:pPr>
        <w:ind w:firstLine="734"/>
        <w:spacing w:after="0" w:line="277" w:lineRule="auto"/>
        <w:rPr>
          <w:sz w:val="20"/>
          <w:szCs w:val="20"/>
          <w:color w:val="auto"/>
        </w:rPr>
      </w:pPr>
      <w:r>
        <w:rPr>
          <w:rFonts w:ascii="Arial" w:cs="Arial" w:eastAsia="Arial" w:hAnsi="Arial"/>
          <w:sz w:val="18"/>
          <w:szCs w:val="18"/>
          <w:color w:val="auto"/>
        </w:rPr>
        <w:t>In 2007, TI still expects: an annual effective tax rate of about 28 percent, capital expenditures of about $0.9 billion and depreciation of about $1.0 billion. TI now expects R&amp;D expense of about $2.2 billion, down from the prior expectation of about $2.3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92"/>
              </w:rPr>
              <w:t>For Three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Mar. 31,</w:t>
            </w:r>
          </w:p>
        </w:tc>
        <w:tc>
          <w:tcPr>
            <w:tcW w:w="240" w:type="dxa"/>
            <w:vAlign w:val="bottom"/>
          </w:tcPr>
          <w:p>
            <w:pPr>
              <w:spacing w:after="0"/>
              <w:rPr>
                <w:sz w:val="16"/>
                <w:szCs w:val="16"/>
                <w:color w:val="auto"/>
              </w:rPr>
            </w:pPr>
          </w:p>
        </w:tc>
        <w:tc>
          <w:tcPr>
            <w:tcW w:w="132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8"/>
              </w:rPr>
              <w:t>Dec. 31,</w:t>
            </w:r>
          </w:p>
        </w:tc>
        <w:tc>
          <w:tcPr>
            <w:tcW w:w="2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1,554</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1,662</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1,637</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1,748</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552</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2,511</w:t>
            </w: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2,696</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2,616</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680</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r>
      <w:tr>
        <w:trPr>
          <w:trHeight w:val="20"/>
        </w:trPr>
        <w:tc>
          <w:tcPr>
            <w:tcW w:w="6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1,442</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1,585</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1,470</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1,618</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7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51.3%</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SG&amp;A</w:t>
            </w:r>
          </w:p>
        </w:tc>
        <w:tc>
          <w:tcPr>
            <w:tcW w:w="24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12.7%</w:t>
            </w:r>
          </w:p>
        </w:tc>
        <w:tc>
          <w:tcPr>
            <w:tcW w:w="24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388"/>
        </w:trPr>
        <w:tc>
          <w:tcPr>
            <w:tcW w:w="67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 31,</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 31,</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$965</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2,371</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($25), ($26) and ($32)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1,071</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Assets of discontinued operations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7,833</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7,854</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7,715</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7,751</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3,880</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 long-term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8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$13,750</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payable and current portion of long-term debt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profit sharing and retirement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Long-term debt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57"/>
        </w:trPr>
        <w:tc>
          <w:tcPr>
            <w:tcW w:w="6740" w:type="dxa"/>
            <w:vAlign w:val="bottom"/>
            <w:tcBorders>
              <w:top w:val="single" w:sz="8" w:color="CCEEFF"/>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40" w:type="dxa"/>
            <w:vAlign w:val="bottom"/>
          </w:tcPr>
          <w:p>
            <w:pPr>
              <w:ind w:left="180"/>
              <w:spacing w:after="0"/>
              <w:rPr>
                <w:sz w:val="20"/>
                <w:szCs w:val="20"/>
                <w:color w:val="auto"/>
              </w:rPr>
            </w:pPr>
            <w:r>
              <w:rPr>
                <w:rFonts w:ascii="Arial" w:cs="Arial" w:eastAsia="Arial" w:hAnsi="Arial"/>
                <w:sz w:val="18"/>
                <w:szCs w:val="18"/>
                <w:color w:val="auto"/>
              </w:rPr>
              <w:t>Preferred stock, $25 par value. Authorized -- 10,000,000 shares. Participating</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cumulative preferred. None issued</w:t>
            </w:r>
          </w:p>
        </w:tc>
        <w:tc>
          <w:tcPr>
            <w:tcW w:w="1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March</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31, 2007 -- 1,739,211,844; December 31, 2006 -- 1,739,108,694; March 31, 2006 --</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1,739,070,044</w:t>
            </w:r>
          </w:p>
        </w:tc>
        <w:tc>
          <w:tcPr>
            <w:tcW w:w="13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822</w:t>
            </w:r>
          </w:p>
        </w:tc>
        <w:tc>
          <w:tcPr>
            <w:tcW w:w="24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18,017</w:t>
            </w:r>
          </w:p>
        </w:tc>
        <w:tc>
          <w:tcPr>
            <w:tcW w:w="24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17,529</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Less treasury common stock at cost:</w:t>
            </w: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Shares: March 31, 2007 -- 305,502,566; December 31, 2006 -- 289,078,450; March</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 2006 -- 181,032,577</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(8,940)</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(8,430)</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1600" w:type="dxa"/>
            <w:vAlign w:val="bottom"/>
            <w:gridSpan w:val="2"/>
          </w:tcPr>
          <w:p>
            <w:pPr>
              <w:spacing w:after="0"/>
              <w:rPr>
                <w:sz w:val="22"/>
                <w:szCs w:val="22"/>
                <w:color w:val="auto"/>
              </w:rPr>
            </w:pPr>
          </w:p>
        </w:tc>
        <w:tc>
          <w:tcPr>
            <w:tcW w:w="14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9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11,283</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11,238</w:t>
            </w:r>
          </w:p>
        </w:tc>
      </w:tr>
      <w:tr>
        <w:trPr>
          <w:trHeight w:val="27"/>
        </w:trPr>
        <w:tc>
          <w:tcPr>
            <w:tcW w:w="67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13,750</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14,038</w:t>
            </w:r>
          </w:p>
        </w:tc>
      </w:tr>
      <w:tr>
        <w:trPr>
          <w:trHeight w:val="896"/>
        </w:trPr>
        <w:tc>
          <w:tcPr>
            <w:tcW w:w="6740" w:type="dxa"/>
            <w:vAlign w:val="bottom"/>
            <w:tcBorders>
              <w:top w:val="single" w:sz="8" w:color="CCEEFF"/>
              <w:bottom w:val="single" w:sz="8" w:color="808080"/>
            </w:tcBorders>
          </w:tcPr>
          <w:p>
            <w:pPr>
              <w:spacing w:after="0"/>
              <w:rPr>
                <w:sz w:val="24"/>
                <w:szCs w:val="24"/>
                <w:color w:val="auto"/>
              </w:rPr>
            </w:pPr>
          </w:p>
        </w:tc>
        <w:tc>
          <w:tcPr>
            <w:tcW w:w="50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24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8"/>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ind w:right="50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cash provided by operating activities of</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2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capitalized software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funded status of retirement plans and accrued retirement costs</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assets</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cash investments</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cash investments</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equity investments</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equity and other long-term investments</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2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24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stock option exercises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discontinued operations: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discontinued operations</w:t>
            </w: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965</w:t>
            </w:r>
          </w:p>
        </w:tc>
        <w:tc>
          <w:tcPr>
            <w:tcW w:w="1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672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CCEEFF"/>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Segment Net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left="8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r>
      <w:tr>
        <w:trPr>
          <w:trHeight w:val="234"/>
        </w:trPr>
        <w:tc>
          <w:tcPr>
            <w:tcW w:w="6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37"/>
        </w:trPr>
        <w:tc>
          <w:tcPr>
            <w:tcW w:w="674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Total net revenue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3,191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3,334</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Profit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7"/>
          </w:tcPr>
          <w:p>
            <w:pPr>
              <w:jc w:val="center"/>
              <w:ind w:left="10"/>
              <w:spacing w:after="0"/>
              <w:rPr>
                <w:sz w:val="20"/>
                <w:szCs w:val="20"/>
                <w:color w:val="auto"/>
              </w:rPr>
            </w:pPr>
            <w:r>
              <w:rPr>
                <w:rFonts w:ascii="Arial" w:cs="Arial" w:eastAsia="Arial" w:hAnsi="Arial"/>
                <w:sz w:val="18"/>
                <w:szCs w:val="18"/>
                <w:b w:val="1"/>
                <w:bCs w:val="1"/>
                <w:color w:val="auto"/>
                <w:w w:val="93"/>
              </w:rPr>
              <w:t>For Three Months Ended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 31,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8"/>
              </w:rPr>
              <w:t>Dec. 31,</w:t>
            </w:r>
          </w:p>
        </w:tc>
        <w:tc>
          <w:tcPr>
            <w:tcW w:w="220" w:type="dxa"/>
            <w:vAlign w:val="bottom"/>
          </w:tcPr>
          <w:p>
            <w:pPr>
              <w:spacing w:after="0"/>
              <w:rPr>
                <w:sz w:val="16"/>
                <w:szCs w:val="16"/>
                <w:color w:val="auto"/>
              </w:rPr>
            </w:pPr>
          </w:p>
        </w:tc>
        <w:tc>
          <w:tcPr>
            <w:tcW w:w="11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Education Technology</w:t>
            </w:r>
          </w:p>
        </w:tc>
        <w:tc>
          <w:tcPr>
            <w:tcW w:w="10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0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0"/>
              </w:rPr>
              <w:t>(167)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Corporate includes the following stock-based compensation expense:</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COR</w:t>
            </w: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SG&amp;A</w:t>
            </w: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179"/>
        </w:trPr>
        <w:tc>
          <w:tcPr>
            <w:tcW w:w="20" w:type="dxa"/>
            <w:vAlign w:val="bottom"/>
          </w:tcPr>
          <w:p>
            <w:pPr>
              <w:spacing w:after="0"/>
              <w:rPr>
                <w:sz w:val="24"/>
                <w:szCs w:val="24"/>
                <w:color w:val="auto"/>
              </w:rPr>
            </w:pPr>
          </w:p>
        </w:tc>
        <w:tc>
          <w:tcPr>
            <w:tcW w:w="6720" w:type="dxa"/>
            <w:vAlign w:val="bottom"/>
            <w:tcBorders>
              <w:top w:val="single" w:sz="8" w:color="CCEEFF"/>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Semiconductor</w:t>
      </w:r>
    </w:p>
    <w:p>
      <w:pPr>
        <w:spacing w:after="0" w:line="27" w:lineRule="exact"/>
        <w:rPr>
          <w:sz w:val="20"/>
          <w:szCs w:val="20"/>
          <w:color w:val="auto"/>
        </w:rPr>
      </w:pPr>
    </w:p>
    <w:p>
      <w:pPr>
        <w:ind w:left="340" w:hanging="143"/>
        <w:spacing w:after="0" w:line="32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in the first quarter was $3.12 billion. This was a decrease of 8 percent from the prior quarter due to a broad-based decline in demand. Compared with a year ago, revenue decreased 4 percent primarily due to lower demand for DSP products that more than offset higher demand for analog products.</w:t>
      </w:r>
    </w:p>
    <w:p>
      <w:pPr>
        <w:spacing w:after="0" w:line="193" w:lineRule="exact"/>
        <w:rPr>
          <w:sz w:val="20"/>
          <w:szCs w:val="20"/>
          <w:color w:val="auto"/>
        </w:rPr>
      </w:pPr>
    </w:p>
    <w:p>
      <w:pPr>
        <w:jc w:val="both"/>
        <w:ind w:left="660" w:hanging="184"/>
        <w:spacing w:after="0" w:line="25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Analog product revenue of $1.25 billion was down 5 percent from the prior quarter due to a broad-based decline in demand. Compared with the year-ago quarter, analog revenue increased 2 percent as a decline in analog revenue for wireless applications was more than offset by broad-based increases in other analog products, especially high-performance analog. Revenue from high-performance analog products declined 5 percent from the prior quarter and increased 8 percent from a year ago.</w:t>
      </w:r>
    </w:p>
    <w:p>
      <w:pPr>
        <w:spacing w:after="0" w:line="2" w:lineRule="exact"/>
        <w:rPr>
          <w:rFonts w:ascii="Arial" w:cs="Arial" w:eastAsia="Arial" w:hAnsi="Arial"/>
          <w:sz w:val="18"/>
          <w:szCs w:val="18"/>
          <w:color w:val="auto"/>
        </w:rPr>
      </w:pPr>
    </w:p>
    <w:p>
      <w:pPr>
        <w:ind w:left="660" w:hanging="184"/>
        <w:spacing w:after="0" w:line="250"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DSP product revenue of $1.16 billion was down 5 percent from the prior quarter and down 10 percent from a year ago due to lower demand for a broad range of products.</w:t>
      </w:r>
    </w:p>
    <w:p>
      <w:pPr>
        <w:jc w:val="both"/>
        <w:ind w:left="660" w:hanging="184"/>
        <w:spacing w:after="0" w:line="239" w:lineRule="auto"/>
        <w:tabs>
          <w:tab w:leader="none" w:pos="660" w:val="left"/>
        </w:tabs>
        <w:numPr>
          <w:ilvl w:val="1"/>
          <w:numId w:val="6"/>
        </w:numPr>
        <w:rPr>
          <w:rFonts w:ascii="Arial" w:cs="Arial" w:eastAsia="Arial" w:hAnsi="Arial"/>
          <w:sz w:val="31"/>
          <w:szCs w:val="31"/>
          <w:color w:val="auto"/>
          <w:vertAlign w:val="superscript"/>
        </w:rPr>
      </w:pPr>
      <w:r>
        <w:rPr>
          <w:rFonts w:ascii="Arial" w:cs="Arial" w:eastAsia="Arial" w:hAnsi="Arial"/>
          <w:sz w:val="16"/>
          <w:szCs w:val="16"/>
          <w:color w:val="auto"/>
        </w:rPr>
        <w:t>TI’s remaining Semiconductor product revenue of $713 million was 17 percent lower than the prior quarter due to declines in DLP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royalties, microprocessors and standard logic that offset growth in microcontrollers. Royalties declined because new patent license agreements that were signed in the prior quarter included non-recurring catch-up payments. TI’s remaining Semiconductor revenue decreased 5 percent from the year-ago quarter as declines in microprocessors, DLP products and standard logic more than offset growth in royalties and microcontrollers.</w:t>
      </w:r>
    </w:p>
    <w:p>
      <w:pPr>
        <w:spacing w:after="0" w:line="255" w:lineRule="exact"/>
        <w:rPr>
          <w:rFonts w:ascii="Arial" w:cs="Arial" w:eastAsia="Arial" w:hAnsi="Arial"/>
          <w:sz w:val="31"/>
          <w:szCs w:val="31"/>
          <w:color w:val="auto"/>
          <w:vertAlign w:val="superscript"/>
        </w:rPr>
      </w:pPr>
    </w:p>
    <w:p>
      <w:pPr>
        <w:ind w:left="340" w:hanging="143"/>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$1.63 billion, or 52.3 percent of revenue. This was a decrease of $103 million from the prior quarter and a decrease of $30 million from the year-ago quarter due to lower revenue.</w:t>
      </w:r>
    </w:p>
    <w:p>
      <w:pPr>
        <w:spacing w:after="0" w:line="1"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$831 million, or 26.7 percent of revenue. This was a decline of $77 million from the prior quarter and a decline of $52 million from the year-ago quarter primarily due to lower gross profit.</w:t>
      </w:r>
    </w:p>
    <w:p>
      <w:pPr>
        <w:ind w:left="340" w:hanging="143"/>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orders were $3.08 billion. This was an increase of 3 percent from the prior quarter due to higher demand for DSP products and a decrease of 10 percent from the year-ago quarter due to broadly lower demand.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Highlights</w:t>
      </w:r>
    </w:p>
    <w:p>
      <w:pPr>
        <w:spacing w:after="0" w:line="283" w:lineRule="exact"/>
        <w:rPr>
          <w:sz w:val="20"/>
          <w:szCs w:val="20"/>
          <w:color w:val="auto"/>
        </w:rPr>
      </w:pPr>
    </w:p>
    <w:p>
      <w:pPr>
        <w:jc w:val="both"/>
        <w:ind w:left="340" w:hanging="143"/>
        <w:spacing w:after="0" w:line="29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 introduced a new high-performance analog product that will enable a range of portable electronic products to draw power from new energy sources, such as solar and micro-fuel cells. The DC/DC boost converter can operate at the industry's lowest input voltage of less than 0.3 volt with high efficiency.</w:t>
      </w: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demonstrated a prototype DLP pico-projector small enough to integrate into mobile devices, such as cell phones and digital cameras. This innovation will give manufacturers a new and enhanced display option for their devices.</w:t>
      </w:r>
    </w:p>
    <w:p>
      <w:pPr>
        <w:jc w:val="both"/>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launched its “LoCosto ULC” single-chip platform for the ultra low-cost cell phone market. This platform enables cell phone manufacturers to include more features in their products, including an enhanced color display, FM stereo, MP3 ring tones and playback, and camera functionality. The new platform will include the industry’s first single-chip GSM/GPRS cell phone products to be manufactured using 65-nanometer process technology and is expected to sample in the second quarter of 2007.</w:t>
      </w:r>
    </w:p>
    <w:p>
      <w:pPr>
        <w:spacing w:after="0" w:line="1" w:lineRule="exact"/>
        <w:rPr>
          <w:rFonts w:ascii="Arial" w:cs="Arial" w:eastAsia="Arial" w:hAnsi="Arial"/>
          <w:sz w:val="18"/>
          <w:szCs w:val="18"/>
          <w:color w:val="auto"/>
        </w:rPr>
      </w:pPr>
    </w:p>
    <w:p>
      <w:pPr>
        <w:jc w:val="both"/>
        <w:ind w:left="340" w:hanging="143"/>
        <w:spacing w:after="0" w:line="30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 extended its OMAP™ 3 platform with products that allow cell phone manufacturers to scale their product offerings to address a range of performance levels and price points. The products bring “life-like” 3D graphics to the handset and create a mobile gaming experience comparable to today’s handheld gaming devices. In addition, the products are the industry’s first application processors to play 720p high-definition video on cell phones.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Education Technology</w:t>
      </w:r>
    </w:p>
    <w:p>
      <w:pPr>
        <w:spacing w:after="0" w:line="283" w:lineRule="exact"/>
        <w:rPr>
          <w:sz w:val="20"/>
          <w:szCs w:val="20"/>
          <w:color w:val="auto"/>
        </w:rPr>
      </w:pPr>
    </w:p>
    <w:p>
      <w:pPr>
        <w:ind w:left="340" w:hanging="143"/>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was $76 million. This was a decrease of $2 million from the prior quarter and an increase of $2 million from the year-ago quarter.</w:t>
      </w:r>
    </w:p>
    <w:p>
      <w:pPr>
        <w:spacing w:after="0" w:line="23"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was $45 million, or 59.0 percent of revenue. Gross profit was even with the prior quarter and increased $4 million from the year-ago quarter primarily due to a combination of higher revenue and product cost reductions.</w:t>
      </w:r>
    </w:p>
    <w:p>
      <w:pPr>
        <w:ind w:left="340" w:hanging="143"/>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was $16 million, or 20.6 percent of revenue. This was a decrease of $3 million compared with the prior quarter due to higher SG&amp;A expense. It was an increase of $3 million from the year-ago quarter due to higher gross profit.</w:t>
      </w:r>
    </w:p>
    <w:p>
      <w:pPr>
        <w:spacing w:after="0" w:line="237" w:lineRule="exact"/>
        <w:rPr>
          <w:rFonts w:ascii="Arial" w:cs="Arial" w:eastAsia="Arial" w:hAnsi="Arial"/>
          <w:sz w:val="18"/>
          <w:szCs w:val="18"/>
          <w:color w:val="auto"/>
        </w:rPr>
      </w:pPr>
    </w:p>
    <w:p>
      <w:pPr>
        <w:ind w:left="5660" w:hanging="126"/>
        <w:spacing w:after="0"/>
        <w:tabs>
          <w:tab w:leader="none" w:pos="5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20" w:hanging="143"/>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2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w:t>
      </w:r>
    </w:p>
    <w:p>
      <w:pPr>
        <w:ind w:left="340"/>
        <w:spacing w:after="0"/>
        <w:rPr>
          <w:rFonts w:ascii="Arial" w:cs="Arial" w:eastAsia="Arial" w:hAnsi="Arial"/>
          <w:sz w:val="18"/>
          <w:szCs w:val="18"/>
          <w:color w:val="auto"/>
        </w:rPr>
      </w:pPr>
      <w:r>
        <w:rPr>
          <w:rFonts w:ascii="Arial" w:cs="Arial" w:eastAsia="Arial" w:hAnsi="Arial"/>
          <w:sz w:val="18"/>
          <w:szCs w:val="18"/>
          <w:color w:val="auto"/>
        </w:rPr>
        <w:t>assembly/test subcontract services.</w:t>
      </w:r>
    </w:p>
    <w:p>
      <w:pPr>
        <w:spacing w:after="0" w:line="26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 Technology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Texas Instruments is traded on the New York Stock Exchange under the symbol TXN. More information is located on the World Wide Web at </w:t>
      </w:r>
      <w:r>
        <w:rPr>
          <w:rFonts w:ascii="Arial" w:cs="Arial" w:eastAsia="Arial" w:hAnsi="Arial"/>
          <w:sz w:val="16"/>
          <w:szCs w:val="16"/>
          <w:u w:val="single" w:color="auto"/>
          <w:color w:val="auto"/>
        </w:rPr>
        <w:t>www.ti.com</w:t>
      </w:r>
      <w:r>
        <w:rPr>
          <w:rFonts w:ascii="Arial" w:cs="Arial" w:eastAsia="Arial" w:hAnsi="Arial"/>
          <w:sz w:val="16"/>
          <w:szCs w:val="16"/>
          <w:color w:val="auto"/>
        </w:rPr>
        <w:t>.</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o"/>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2019-12-13T07:31:23Z</dcterms:created>
  <dcterms:modified xsi:type="dcterms:W3CDTF">2019-12-13T07:31:23Z</dcterms:modified>
</cp:coreProperties>
</file>