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36"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10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Registrant's news release dated October 22, 2007, regarding its third quarter 2007 results of operations and financial condition attached hereto as Exhibit 99 is incorporated by reference herein.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2"/>
          </w:tcPr>
          <w:p>
            <w:pPr>
              <w:ind w:left="220"/>
              <w:spacing w:after="0"/>
              <w:rPr>
                <w:sz w:val="20"/>
                <w:szCs w:val="20"/>
                <w:color w:val="auto"/>
              </w:rPr>
            </w:pPr>
            <w:r>
              <w:rPr>
                <w:rFonts w:ascii="Arial" w:cs="Arial" w:eastAsia="Arial" w:hAnsi="Arial"/>
                <w:sz w:val="18"/>
                <w:szCs w:val="18"/>
                <w:color w:val="auto"/>
              </w:rPr>
              <w:t>ITEM 9.01. Exhibits</w:t>
            </w:r>
          </w:p>
        </w:tc>
        <w:tc>
          <w:tcPr>
            <w:tcW w:w="22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688"/>
        </w:trPr>
        <w:tc>
          <w:tcPr>
            <w:tcW w:w="2000" w:type="dxa"/>
            <w:vAlign w:val="bottom"/>
            <w:gridSpan w:val="2"/>
          </w:tcPr>
          <w:p>
            <w:pPr>
              <w:jc w:val="center"/>
              <w:ind w:right="720"/>
              <w:spacing w:after="0"/>
              <w:rPr>
                <w:sz w:val="20"/>
                <w:szCs w:val="20"/>
                <w:color w:val="auto"/>
              </w:rPr>
            </w:pPr>
            <w:r>
              <w:rPr>
                <w:rFonts w:ascii="Arial" w:cs="Arial" w:eastAsia="Arial" w:hAnsi="Arial"/>
                <w:sz w:val="18"/>
                <w:szCs w:val="18"/>
                <w:color w:val="auto"/>
                <w:w w:val="92"/>
              </w:rPr>
              <w:t>Designation</w:t>
            </w:r>
          </w:p>
        </w:tc>
        <w:tc>
          <w:tcPr>
            <w:tcW w:w="22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16"/>
        </w:trPr>
        <w:tc>
          <w:tcPr>
            <w:tcW w:w="2000" w:type="dxa"/>
            <w:vAlign w:val="bottom"/>
            <w:gridSpan w:val="2"/>
          </w:tcPr>
          <w:p>
            <w:pPr>
              <w:jc w:val="center"/>
              <w:ind w:right="720"/>
              <w:spacing w:after="0"/>
              <w:rPr>
                <w:sz w:val="20"/>
                <w:szCs w:val="20"/>
                <w:color w:val="auto"/>
              </w:rPr>
            </w:pPr>
            <w:r>
              <w:rPr>
                <w:rFonts w:ascii="Arial" w:cs="Arial" w:eastAsia="Arial" w:hAnsi="Arial"/>
                <w:sz w:val="18"/>
                <w:szCs w:val="18"/>
                <w:color w:val="auto"/>
                <w:w w:val="97"/>
              </w:rPr>
              <w:t>of Exhibit</w:t>
            </w:r>
          </w:p>
        </w:tc>
        <w:tc>
          <w:tcPr>
            <w:tcW w:w="22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200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in this</w:t>
            </w:r>
          </w:p>
        </w:tc>
        <w:tc>
          <w:tcPr>
            <w:tcW w:w="22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7"/>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32"/>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720" w:type="dxa"/>
            <w:vAlign w:val="bottom"/>
          </w:tcPr>
          <w:p>
            <w:pPr>
              <w:spacing w:after="0"/>
              <w:rPr>
                <w:sz w:val="24"/>
                <w:szCs w:val="24"/>
                <w:color w:val="auto"/>
              </w:rPr>
            </w:pPr>
          </w:p>
        </w:tc>
        <w:tc>
          <w:tcPr>
            <w:tcW w:w="9420" w:type="dxa"/>
            <w:vAlign w:val="bottom"/>
            <w:gridSpan w:val="2"/>
          </w:tcPr>
          <w:p>
            <w:pPr>
              <w:ind w:left="220"/>
              <w:spacing w:after="0"/>
              <w:rPr>
                <w:sz w:val="20"/>
                <w:szCs w:val="20"/>
                <w:color w:val="auto"/>
              </w:rPr>
            </w:pPr>
            <w:r>
              <w:rPr>
                <w:rFonts w:ascii="Arial" w:cs="Arial" w:eastAsia="Arial" w:hAnsi="Arial"/>
                <w:sz w:val="18"/>
                <w:szCs w:val="18"/>
                <w:color w:val="auto"/>
              </w:rPr>
              <w:t>Registrant’s News Release</w:t>
            </w:r>
          </w:p>
        </w:tc>
      </w:tr>
      <w:tr>
        <w:trPr>
          <w:trHeight w:val="243"/>
        </w:trPr>
        <w:tc>
          <w:tcPr>
            <w:tcW w:w="1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20" w:type="dxa"/>
            <w:vAlign w:val="bottom"/>
            <w:gridSpan w:val="2"/>
          </w:tcPr>
          <w:p>
            <w:pPr>
              <w:ind w:left="220"/>
              <w:spacing w:after="0"/>
              <w:rPr>
                <w:sz w:val="20"/>
                <w:szCs w:val="20"/>
                <w:color w:val="auto"/>
              </w:rPr>
            </w:pPr>
            <w:r>
              <w:rPr>
                <w:rFonts w:ascii="Arial" w:cs="Arial" w:eastAsia="Arial" w:hAnsi="Arial"/>
                <w:sz w:val="18"/>
                <w:szCs w:val="18"/>
                <w:color w:val="auto"/>
              </w:rPr>
              <w:t>Dated October 22, 2007 (furnished pursuant to Item 2.02)</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October 22,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3Q07 Financial Results</w:t>
      </w:r>
    </w:p>
    <w:p>
      <w:pPr>
        <w:spacing w:after="0" w:line="200" w:lineRule="exact"/>
        <w:rPr>
          <w:sz w:val="20"/>
          <w:szCs w:val="20"/>
          <w:color w:val="auto"/>
        </w:rPr>
      </w:pPr>
    </w:p>
    <w:p>
      <w:pPr>
        <w:spacing w:after="0" w:line="289"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Up 7% Sequentially, Down 3% from Year Ago</w:t>
      </w:r>
    </w:p>
    <w:p>
      <w:pPr>
        <w:spacing w:after="0" w:line="23"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$0.52</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Gross and Operating Margins Supported by Strong Analog Revenue Growth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197" w:lineRule="exact"/>
        <w:rPr>
          <w:sz w:val="20"/>
          <w:szCs w:val="20"/>
          <w:color w:val="auto"/>
        </w:rPr>
      </w:pPr>
    </w:p>
    <w:p>
      <w:pPr>
        <w:ind w:right="20" w:firstLine="666"/>
        <w:spacing w:after="0" w:line="312" w:lineRule="auto"/>
        <w:rPr>
          <w:sz w:val="20"/>
          <w:szCs w:val="20"/>
          <w:color w:val="auto"/>
        </w:rPr>
      </w:pPr>
      <w:r>
        <w:rPr>
          <w:rFonts w:ascii="Arial" w:cs="Arial" w:eastAsia="Arial" w:hAnsi="Arial"/>
          <w:sz w:val="16"/>
          <w:szCs w:val="16"/>
          <w:color w:val="auto"/>
        </w:rPr>
        <w:t>DALLAS (Oct. 22, 2007) – Texas Instruments Incorporated (TI) (NYSE: TXN) today reported third-quarter 2007 revenue of $3.66 billion. Revenue increased 7 percent compared with the prior quarter primarily due to increased demand for analog semiconductor products. Back-to-school demand for graphing calculators also contributed to sequential growth. TI revenue decreased 3 percent from a year ago when customers were building inventory.</w:t>
      </w:r>
    </w:p>
    <w:p>
      <w:pPr>
        <w:spacing w:after="0" w:line="17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Earnings per share (EPS) were $0.52. This was an increase of $0.10, or 24 percent, from the prior quarter and $0.07, or 16 percent, from the year-ago quarter. The third quarter’s financial results included a gain of $0.02 from the sale of the company’s semiconductor product line for broadband DSL customer-premises equipment. The gain on sale was included in the company’s most recent business outlook issued September 11, 2007.</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“Strong growth in analog was at the core of our performance in the third quarter. Our investments in analog technology have led to broader and deeper engagements with customers. As a result, this part of our business, which delivers about 40 percent of our revenue, grew 10 percent sequentially,” said Rich Templeton, TI's president and chief executive officer. “Our growth allows us to continue to increase our return to shareholders. In the third quarter, we repurchased $1.4 billion of our stock. In September, our Board authorized an additional $5 billion in repurchases, and we announced a 25 percent increase in the dividend.”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Gross profit was $1.98 billion, or 54.2 percent of revenue. This was up $200 million from the prior quarter primarily due to higher revenue, as well as a gain of $39 million on the sale of TI’s DSL product line that is included in cost of revenue. Gross profit was up $52 million from the year-ago quarter as a combination of reduced manufacturing costs and the gain on sale more than offset the impact of lower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Research and development (R&amp;D) expense was $542 million. This was a decrease of $9 million from the prior quarter and $28 million from the year-ago quarter. The declines were due to progress in implementing the company’s advanced CMOS process development strategy.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general and administrative (SG&amp;A) expense was $429 million. This was about even with both the prior and year-ago 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Operating profit was $1.01 billion, or 27.6 percent of revenue. This was an increase of $204 million from the prior quarter due to higher gross profit, and an increase of $83 million from the year-ago quarter due to higher gross profit and lower R&amp;D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OI&amp;E was $53 million. This was a decrease of $3 million from the prior quarter and $1 million from the year-ago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Income from continuing operations was $758 million, or $0.52 per share. Income from discontinued operations was $18 million due to a reduction of a state tax liability associated with the sale of TI’s former Sensors &amp; Controls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TI orders were $3.55 billion. This was an increase of $103 million from the prior quarter as higher demand for semiconductor products more than offset a seasonal decline in orders for graphing calculator products. Orders were up $125 million from the year-ago quarter due to higher demand for semiconductor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Cash flow from operations was $1.53 billion. This was an increase of $633 million from the prior quarter primarily due to the receipt of a tax refund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higher net income. Total cash (cash and cash equivalents plus short-term investments) was $3.67 billion at the end of the third quarter. This was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$88 million from the end of the prior quarter and a decrease of $515 million from the year-ago quarter. In the third quarter of 2007, the company used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$1.41 billion to repurchase 40 million shares of common stock and paid $114 million in dividends to shareholders. Since the end of the year-ago quarter,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has used $4.14 billion to repurchase 127 million shares of common stock and paid $346 million in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58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Capital expenditures were $152 million. This was a decrease of $22 million from the prior quarter and $124 million from the year-ago quarter due to lower expenditures for semiconductor manufacturing equipment. TI’s capital expenditures in the quarter were primarily for semiconductor assembly and test equipment.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was $262 million. This was an increase of $6 million from the prior quarter and a decrease of $4 million from the year-ago quarter.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56"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Accounts receivable were $2.02 billion at the end of the third quarter. This was an increase of $126 million from the prior quarter and a decrease of $66 million from the year-ago quarter due to changes in revenue. Days sales outstanding were 50 at the end of the third quarter, unchanged from the end of the prior quarter and the year-ago quarter.</w:t>
      </w:r>
    </w:p>
    <w:p>
      <w:pPr>
        <w:spacing w:after="0" w:line="20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Inventory was $1.45 billion at the end of the third quarter. This was an increase of $26 million from the prior quarter. Compared with a year ago, inventory decreased $41 million. Days of inventory at the end of the third quarter were 78, unchanged from the end of the prior quarter and up from 73 a year ago.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TI intends to provide a mid-quarter update to its financial outlook on December 10, 2007, by issuing a press release and holding a conference call. Both will be available on the company’s web site.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2007, TI expects revenue to be in the following ranges:</w:t>
      </w:r>
    </w:p>
    <w:p>
      <w:pPr>
        <w:spacing w:after="0" w:line="252" w:lineRule="exact"/>
        <w:rPr>
          <w:sz w:val="20"/>
          <w:szCs w:val="20"/>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$3.40 billion to $3.68 billion;</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$3.33 billion to $3.59 billion;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$70 million to $90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expects earnings per share to be in the range of $0.48 to $0.54.</w:t>
      </w:r>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2007, TI continues to expect R&amp;D expense of about $2.2 billion and depreciation of about $1.0 billion. TI now expects an annual effective tax rate of about 29 percent compared with the prior expectation of 28 percent, and capital expenditures of about $0.7 billion compared with the prior expectation of $0.9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92"/>
              </w:rPr>
              <w:t>For Three Months Ended</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80"/>
              <w:spacing w:after="0" w:line="198" w:lineRule="exact"/>
              <w:rPr>
                <w:sz w:val="20"/>
                <w:szCs w:val="20"/>
                <w:color w:val="auto"/>
              </w:rPr>
            </w:pPr>
            <w:r>
              <w:rPr>
                <w:rFonts w:ascii="Arial" w:cs="Arial" w:eastAsia="Arial" w:hAnsi="Arial"/>
                <w:sz w:val="18"/>
                <w:szCs w:val="18"/>
                <w:b w:val="1"/>
                <w:bCs w:val="1"/>
                <w:color w:val="auto"/>
                <w:w w:val="89"/>
              </w:rPr>
              <w:t>Sept. 30,</w:t>
            </w:r>
          </w:p>
        </w:tc>
        <w:tc>
          <w:tcPr>
            <w:tcW w:w="160" w:type="dxa"/>
            <w:vAlign w:val="bottom"/>
          </w:tcPr>
          <w:p>
            <w:pPr>
              <w:spacing w:after="0"/>
              <w:rPr>
                <w:sz w:val="17"/>
                <w:szCs w:val="17"/>
                <w:color w:val="auto"/>
              </w:rPr>
            </w:pPr>
          </w:p>
        </w:tc>
        <w:tc>
          <w:tcPr>
            <w:tcW w:w="124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7"/>
                <w:szCs w:val="17"/>
                <w:color w:val="auto"/>
              </w:rPr>
            </w:pPr>
          </w:p>
        </w:tc>
        <w:tc>
          <w:tcPr>
            <w:tcW w:w="96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4"/>
              </w:rPr>
              <w:t>Sept.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 (COR)</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1,679</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1,640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1,984</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542</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429</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2,650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2,615</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1,013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1,066</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758</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776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1,417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1,448</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54.2%</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14.8%</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11.7%</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27.6%</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Sept. 30,</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Sept.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2,862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($30), ($27) and ($29)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2,023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8,053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(3,916)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and other long-term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retirement costs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13,724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14,020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Loans payable and current portion of long-term debt</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Participating cumulative preferred. None issued</w:t>
            </w: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$1 par value. Authorized -- 2,400,000,000 shares.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Shares issued: Sept. 30, 2007 -- 1,739,579,782; June 30, 2007 -- 1,739,467,307; Sept. 30, 2006</w:t>
            </w: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-- 1,739,102,544</w:t>
            </w: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19,172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Shares: Sept. 30, 2007 -- 341,373,012; June 30, 2007 -- 310,382,046; Sept. 30, 2006 --</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(10,344)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500"/>
              <w:spacing w:after="0"/>
              <w:rPr>
                <w:sz w:val="20"/>
                <w:szCs w:val="20"/>
                <w:color w:val="auto"/>
              </w:rPr>
            </w:pPr>
            <w:r>
              <w:rPr>
                <w:rFonts w:ascii="Arial" w:cs="Arial" w:eastAsia="Arial" w:hAnsi="Arial"/>
                <w:sz w:val="18"/>
                <w:szCs w:val="18"/>
                <w:color w:val="auto"/>
              </w:rPr>
              <w:t>255,218,212</w:t>
            </w: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814"/>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10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2"/>
              </w:rPr>
              <w:t>For Three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7"/>
              </w:rPr>
              <w:t>Sept. 30,</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1"/>
              </w:rPr>
              <w:t>Sept.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 by</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activities of continuing operations: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capitalized software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on sales of assets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profit sharing and retirement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Change in funded status of retirement plans and accrued</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retirement costs</w:t>
            </w: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sales of assets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cash investments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equity investments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of equity and other long-term investments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investing activities of continuing</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(648)</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loans and long-term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(1,341)</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2"/>
              </w:rPr>
              <w:t>For Three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Sept. 30,</w:t>
            </w:r>
          </w:p>
        </w:tc>
        <w:tc>
          <w:tcPr>
            <w:tcW w:w="180" w:type="dxa"/>
            <w:vAlign w:val="bottom"/>
          </w:tcPr>
          <w:p>
            <w:pPr>
              <w:spacing w:after="0"/>
              <w:rPr>
                <w:sz w:val="17"/>
                <w:szCs w:val="17"/>
                <w:color w:val="auto"/>
              </w:rPr>
            </w:pPr>
          </w:p>
        </w:tc>
        <w:tc>
          <w:tcPr>
            <w:tcW w:w="10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1"/>
              </w:rPr>
              <w:t>Sept.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Education Technology</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net revenue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Profit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690"/>
              <w:spacing w:after="0"/>
              <w:rPr>
                <w:sz w:val="20"/>
                <w:szCs w:val="20"/>
                <w:color w:val="auto"/>
              </w:rPr>
            </w:pPr>
            <w:r>
              <w:rPr>
                <w:rFonts w:ascii="Arial" w:cs="Arial" w:eastAsia="Arial" w:hAnsi="Arial"/>
                <w:sz w:val="18"/>
                <w:szCs w:val="18"/>
                <w:b w:val="1"/>
                <w:bCs w:val="1"/>
                <w:color w:val="auto"/>
                <w:w w:val="92"/>
              </w:rPr>
              <w:t>For Three Months Ended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7"/>
              </w:rPr>
              <w:t>Sept. 30,</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Arial" w:cs="Arial" w:eastAsia="Arial" w:hAnsi="Arial"/>
                <w:sz w:val="18"/>
                <w:szCs w:val="18"/>
                <w:b w:val="1"/>
                <w:bCs w:val="1"/>
                <w:color w:val="auto"/>
                <w:w w:val="91"/>
              </w:rPr>
              <w:t>Sept.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Education Technology</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80" w:right="340" w:hanging="172"/>
        <w:spacing w:after="0" w:line="261" w:lineRule="auto"/>
        <w:tabs>
          <w:tab w:leader="none" w:pos="153"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includes a gain on the sale of the company's semiconductor product line for broadband DSL customer-premises equipment of $39 in the third quarter of 2007 in cost of revenue. Corporate also includes the following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COR</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R&amp;D</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Profit from operations</w:t>
            </w:r>
          </w:p>
        </w:tc>
        <w:tc>
          <w:tcPr>
            <w:tcW w:w="540" w:type="dxa"/>
            <w:vAlign w:val="bottom"/>
          </w:tcPr>
          <w:p>
            <w:pPr>
              <w:jc w:val="right"/>
              <w:ind w:right="38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7"/>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Semiconductor</w:t>
      </w:r>
    </w:p>
    <w:p>
      <w:pPr>
        <w:spacing w:after="0" w:line="256" w:lineRule="exact"/>
        <w:rPr>
          <w:sz w:val="20"/>
          <w:szCs w:val="20"/>
          <w:color w:val="auto"/>
        </w:rPr>
      </w:pPr>
    </w:p>
    <w:p>
      <w:pPr>
        <w:jc w:val="both"/>
        <w:ind w:left="340" w:hanging="143"/>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in the third quarter was $3.46 billion. This was an increase of 6 percent from the prior quarter primarily due to higher demand for analog products, as well as for DSP products used in cell phone applications. Compared with a year ago, revenue decreased 3 percent as higher analog product revenue was more than offset by declines across a broad base of other products.</w:t>
      </w:r>
    </w:p>
    <w:p>
      <w:pPr>
        <w:spacing w:after="0" w:line="208" w:lineRule="exact"/>
        <w:rPr>
          <w:sz w:val="20"/>
          <w:szCs w:val="20"/>
          <w:color w:val="auto"/>
        </w:rPr>
      </w:pPr>
    </w:p>
    <w:p>
      <w:pPr>
        <w:jc w:val="both"/>
        <w:ind w:left="980" w:hanging="180"/>
        <w:spacing w:after="0" w:line="259" w:lineRule="auto"/>
        <w:tabs>
          <w:tab w:leader="none" w:pos="98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Analog product revenue of $1.40 billion was up 10 percent from the prior quarter primarily due to increased demand for high-performance analog products, as well as a broad range of analog products used in other applications, especially storage devices. Compared with the year-ago quarter, analog revenue increased 2 percent due to gains in high-performance analog. Revenue from high-performance analog products increased 13 percent from the prior quarter and 10 percent from a year ago.</w:t>
      </w:r>
    </w:p>
    <w:p>
      <w:pPr>
        <w:spacing w:after="0" w:line="213" w:lineRule="exact"/>
        <w:rPr>
          <w:rFonts w:ascii="Arial" w:cs="Arial" w:eastAsia="Arial" w:hAnsi="Arial"/>
          <w:sz w:val="18"/>
          <w:szCs w:val="18"/>
          <w:color w:val="auto"/>
        </w:rPr>
      </w:pPr>
    </w:p>
    <w:p>
      <w:pPr>
        <w:jc w:val="both"/>
        <w:ind w:left="980" w:hanging="180"/>
        <w:spacing w:after="0" w:line="264" w:lineRule="auto"/>
        <w:tabs>
          <w:tab w:leader="none" w:pos="980" w:val="left"/>
        </w:tabs>
        <w:numPr>
          <w:ilvl w:val="2"/>
          <w:numId w:val="7"/>
        </w:numPr>
        <w:rPr>
          <w:rFonts w:ascii="Arial" w:cs="Arial" w:eastAsia="Arial" w:hAnsi="Arial"/>
          <w:sz w:val="18"/>
          <w:szCs w:val="18"/>
          <w:color w:val="auto"/>
        </w:rPr>
      </w:pPr>
      <w:r>
        <w:rPr>
          <w:rFonts w:ascii="Arial" w:cs="Arial" w:eastAsia="Arial" w:hAnsi="Arial"/>
          <w:sz w:val="18"/>
          <w:szCs w:val="18"/>
          <w:color w:val="auto"/>
        </w:rPr>
        <w:t>DSP product revenue of $1.31 billion was up 6 percent from the prior quarter primarily due to higher demand for products used in cell phone applications. DSP product revenue declined 4 percent from a year ago primarily due to products used in wireless network infrastructure and cell phone applications.</w:t>
      </w:r>
    </w:p>
    <w:p>
      <w:pPr>
        <w:spacing w:after="0" w:line="208" w:lineRule="exact"/>
        <w:rPr>
          <w:rFonts w:ascii="Arial" w:cs="Arial" w:eastAsia="Arial" w:hAnsi="Arial"/>
          <w:sz w:val="18"/>
          <w:szCs w:val="18"/>
          <w:color w:val="auto"/>
        </w:rPr>
      </w:pPr>
    </w:p>
    <w:p>
      <w:pPr>
        <w:jc w:val="both"/>
        <w:ind w:left="340" w:hanging="143"/>
        <w:spacing w:after="0" w:line="228" w:lineRule="auto"/>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TI’s remaining Semiconductor revenue of $751 million was about even with the prior quarter as growth in microcontroller, standard logic and RISC microprocessor product revenue offset a decline in DLP</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revenue. Royalties also grew on a sequential basis. TI’s remaining Semiconductor revenue decreased 10 percent from the year-ago quarter primarily due to declines in DLP, RISC microprocessor and standard logic product revenue, while royalties and microcontroller product revenue grew compared with the year-ago quarter.</w:t>
      </w:r>
    </w:p>
    <w:p>
      <w:pPr>
        <w:spacing w:after="0" w:line="230" w:lineRule="exact"/>
        <w:rPr>
          <w:rFonts w:ascii="Arial" w:cs="Arial" w:eastAsia="Arial" w:hAnsi="Arial"/>
          <w:sz w:val="18"/>
          <w:szCs w:val="18"/>
          <w:color w:val="auto"/>
        </w:rPr>
      </w:pPr>
    </w:p>
    <w:p>
      <w:pPr>
        <w:ind w:left="300" w:hanging="143"/>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was $1.84 billion, or 53.2 percent of revenue. This was an increase of $132 million from the prior quarter primarily due to higher</w:t>
      </w:r>
    </w:p>
    <w:p>
      <w:pPr>
        <w:spacing w:after="0" w:line="23" w:lineRule="exact"/>
        <w:rPr>
          <w:rFonts w:ascii="Arial" w:cs="Arial" w:eastAsia="Arial" w:hAnsi="Arial"/>
          <w:sz w:val="18"/>
          <w:szCs w:val="18"/>
          <w:color w:val="auto"/>
        </w:rPr>
      </w:pPr>
    </w:p>
    <w:p>
      <w:pPr>
        <w:ind w:left="300"/>
        <w:spacing w:after="0" w:line="261" w:lineRule="auto"/>
        <w:rPr>
          <w:rFonts w:ascii="Arial" w:cs="Arial" w:eastAsia="Arial" w:hAnsi="Arial"/>
          <w:sz w:val="18"/>
          <w:szCs w:val="18"/>
          <w:color w:val="auto"/>
        </w:rPr>
      </w:pPr>
      <w:r>
        <w:rPr>
          <w:rFonts w:ascii="Arial" w:cs="Arial" w:eastAsia="Arial" w:hAnsi="Arial"/>
          <w:sz w:val="18"/>
          <w:szCs w:val="18"/>
          <w:color w:val="auto"/>
        </w:rPr>
        <w:t>revenue. Compared with the year-ago quarter, gross profit was about even primarily due to reduced manufacturing costs, which offset the impact of lower revenue.</w:t>
      </w:r>
    </w:p>
    <w:p>
      <w:pPr>
        <w:spacing w:after="0" w:line="210" w:lineRule="exact"/>
        <w:rPr>
          <w:rFonts w:ascii="Arial" w:cs="Arial" w:eastAsia="Arial" w:hAnsi="Arial"/>
          <w:sz w:val="18"/>
          <w:szCs w:val="18"/>
          <w:color w:val="auto"/>
        </w:rPr>
      </w:pPr>
    </w:p>
    <w:p>
      <w:pPr>
        <w:ind w:left="340" w:hanging="143"/>
        <w:spacing w:after="0" w:line="277" w:lineRule="auto"/>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profit was $1.03 billion, or 29.8 percent of revenue. This was an increase of $126 million from the prior quarter due to higher gross profit. It was an increase of $23 million from the year-ago quarter due to lower R&amp;D expense.</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Semiconductor orders were $3.44 billion. This was an increase of 6 percent from the prior quarter and 4 percent from the year-ago quarter primarily due to higher demand for analog and DSP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56" w:lineRule="exact"/>
        <w:rPr>
          <w:sz w:val="20"/>
          <w:szCs w:val="20"/>
          <w:color w:val="auto"/>
        </w:rPr>
      </w:pPr>
    </w:p>
    <w:p>
      <w:pPr>
        <w:ind w:left="340" w:right="20" w:hanging="143"/>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 introduced the industry's lowest power zero-crossover operational amplifier. This high-performance analog product’s unique architecture improves performance and simplifies designs in battery-powered, portable applications.</w:t>
      </w:r>
    </w:p>
    <w:p>
      <w:pPr>
        <w:spacing w:after="0" w:line="201" w:lineRule="exact"/>
        <w:rPr>
          <w:rFonts w:ascii="Arial" w:cs="Arial" w:eastAsia="Arial" w:hAnsi="Arial"/>
          <w:sz w:val="18"/>
          <w:szCs w:val="18"/>
          <w:color w:val="auto"/>
        </w:rPr>
      </w:pPr>
    </w:p>
    <w:p>
      <w:pPr>
        <w:ind w:left="340" w:hanging="143"/>
        <w:spacing w:after="0" w:line="186" w:lineRule="auto"/>
        <w:tabs>
          <w:tab w:leader="none" w:pos="34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TI launched a new, low-cost DaVinci</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processor that doubles the battery life of portable, high-definition video products such as digital cameras and IP video security cameras.</w:t>
      </w:r>
    </w:p>
    <w:p>
      <w:pPr>
        <w:spacing w:after="0" w:line="230" w:lineRule="exact"/>
        <w:rPr>
          <w:rFonts w:ascii="Arial" w:cs="Arial" w:eastAsia="Arial" w:hAnsi="Arial"/>
          <w:sz w:val="36"/>
          <w:szCs w:val="36"/>
          <w:color w:val="auto"/>
          <w:vertAlign w:val="superscript"/>
        </w:rPr>
      </w:pPr>
    </w:p>
    <w:p>
      <w:pPr>
        <w:ind w:left="340" w:hanging="143"/>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 introduced a power management battery fuel gauge chip that predicts battery life with 99 percent accuracy in smartphones and other handheld devices.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Technology</w:t>
      </w:r>
    </w:p>
    <w:p>
      <w:pPr>
        <w:spacing w:after="0" w:line="256" w:lineRule="exact"/>
        <w:rPr>
          <w:sz w:val="20"/>
          <w:szCs w:val="20"/>
          <w:color w:val="auto"/>
        </w:rPr>
      </w:pPr>
    </w:p>
    <w:p>
      <w:pPr>
        <w:jc w:val="both"/>
        <w:ind w:left="340" w:hanging="143"/>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in the third quarter was $202 million. This was an increase of $35 million from the prior quarter as retailers purchased calculators for the back-to-school season. It was an increase of $20 million from the year-ago quarter as some major retailers shifted calculator purchases from the second into the third quarter in order to be closer to the start of the school year.</w:t>
      </w:r>
    </w:p>
    <w:p>
      <w:pPr>
        <w:spacing w:after="0" w:line="208"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was $136 million, or a record 67.1 percent of revenue. This was up $27 million from the prior quarter and $20 million from the year-ago quarter due to higher revenue.</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profit was $99 million, or a record 49.1 percent of revenue. This was an increase of $25 million compared with the prior quarter and $16 million compared with the year-ago quarter due to higher gross profit.</w:t>
      </w:r>
    </w:p>
    <w:p>
      <w:pPr>
        <w:spacing w:after="0" w:line="197" w:lineRule="exact"/>
        <w:rPr>
          <w:rFonts w:ascii="Arial" w:cs="Arial" w:eastAsia="Arial" w:hAnsi="Arial"/>
          <w:sz w:val="18"/>
          <w:szCs w:val="18"/>
          <w:color w:val="auto"/>
        </w:rPr>
      </w:pPr>
    </w:p>
    <w:p>
      <w:pPr>
        <w:ind w:left="5660" w:hanging="216"/>
        <w:spacing w:after="0"/>
        <w:tabs>
          <w:tab w:leader="none" w:pos="5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right="20" w:hanging="143"/>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our most recent Form 10-K. The forward-looking statements included in this release are made only as of the date of publication, and we undertake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DaVinci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2019-12-11T20:23:08Z</dcterms:created>
  <dcterms:modified xsi:type="dcterms:W3CDTF">2019-12-11T20:23:08Z</dcterms:modified>
</cp:coreProperties>
</file>