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199390</wp:posOffset>
            </wp:positionV>
            <wp:extent cx="74993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90805</wp:posOffset>
            </wp:positionV>
            <wp:extent cx="74993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500" w:right="2520" w:hanging="492"/>
        <w:spacing w:after="0" w:line="501"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2010</w:t>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0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238125</wp:posOffset>
            </wp:positionV>
            <wp:extent cx="74993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208280</wp:posOffset>
            </wp:positionV>
            <wp:extent cx="74993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34"/>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220980</wp:posOffset>
            </wp:positionV>
            <wp:extent cx="74993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rPr>
          <w:sz w:val="20"/>
          <w:szCs w:val="20"/>
          <w:color w:val="auto"/>
        </w:rPr>
      </w:pPr>
      <w:r>
        <w:rPr>
          <w:rFonts w:ascii="Arial" w:cs="Arial" w:eastAsia="Arial" w:hAnsi="Arial"/>
          <w:sz w:val="17"/>
          <w:szCs w:val="17"/>
          <w:color w:val="auto"/>
        </w:rPr>
        <w:t>Yes S  No o</w:t>
      </w:r>
    </w:p>
    <w:p>
      <w:pPr>
        <w:spacing w:after="0" w:line="2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10480"/>
        <w:spacing w:after="0"/>
        <w:rPr>
          <w:sz w:val="20"/>
          <w:szCs w:val="20"/>
          <w:color w:val="auto"/>
        </w:rPr>
      </w:pPr>
      <w:r>
        <w:rPr>
          <w:rFonts w:ascii="Arial" w:cs="Arial" w:eastAsia="Arial" w:hAnsi="Arial"/>
          <w:sz w:val="17"/>
          <w:szCs w:val="17"/>
          <w:color w:val="auto"/>
        </w:rPr>
        <w:t>Yes S  No o</w:t>
      </w:r>
    </w:p>
    <w:p>
      <w:pPr>
        <w:spacing w:after="0" w:line="26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sectPr>
      </w:pPr>
    </w:p>
    <w:p>
      <w:pPr>
        <w:spacing w:after="0" w:line="174" w:lineRule="exact"/>
        <w:rPr>
          <w:sz w:val="24"/>
          <w:szCs w:val="24"/>
          <w:color w:val="auto"/>
        </w:rPr>
      </w:pPr>
    </w:p>
    <w:p>
      <w:pPr>
        <w:ind w:right="500"/>
        <w:spacing w:after="0" w:line="342" w:lineRule="auto"/>
        <w:rPr>
          <w:sz w:val="20"/>
          <w:szCs w:val="20"/>
          <w:color w:val="auto"/>
        </w:rPr>
      </w:pPr>
      <w:r>
        <w:rPr>
          <w:rFonts w:ascii="Arial" w:cs="Arial" w:eastAsia="Arial" w:hAnsi="Arial"/>
          <w:sz w:val="16"/>
          <w:szCs w:val="16"/>
          <w:color w:val="auto"/>
        </w:rPr>
        <w:t>Large accelerated filer S Non-accelerated filer o</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60" w:lineRule="exact"/>
        <w:rPr>
          <w:sz w:val="24"/>
          <w:szCs w:val="24"/>
          <w:color w:val="auto"/>
        </w:rPr>
      </w:pPr>
    </w:p>
    <w:p>
      <w:pPr>
        <w:sectPr>
          <w:pgSz w:w="11900" w:h="16838" w:orient="portrait"/>
          <w:cols w:equalWidth="0" w:num="3">
            <w:col w:w="2260" w:space="720"/>
            <w:col w:w="3960" w:space="720"/>
            <w:col w:w="3760"/>
          </w:cols>
          <w:pgMar w:left="240" w:top="3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1,222,226,383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Consolidated Statements of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Unrealized gains, net of taxes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net of taxes</w:t>
            </w:r>
          </w:p>
        </w:tc>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652</w:t>
            </w:r>
          </w:p>
        </w:tc>
        <w:tc>
          <w:tcPr>
            <w:tcW w:w="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($20) and ($23)</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Long-term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assets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12,370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6560" w:type="dxa"/>
            <w:vAlign w:val="bottom"/>
            <w:tcBorders>
              <w:top w:val="single" w:sz="8" w:color="CCEEFF"/>
              <w:bottom w:val="single" w:sz="8" w:color="808080"/>
            </w:tcBorders>
          </w:tcPr>
          <w:p>
            <w:pPr>
              <w:spacing w:after="0"/>
              <w:rPr>
                <w:sz w:val="24"/>
                <w:szCs w:val="24"/>
                <w:color w:val="auto"/>
              </w:rPr>
            </w:pPr>
          </w:p>
        </w:tc>
        <w:tc>
          <w:tcPr>
            <w:tcW w:w="224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March 31, 2010 -- 1,739,818,725;</w:t>
            </w: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December 31, 2009 -- 1,739,811,721</w:t>
            </w:r>
          </w:p>
        </w:tc>
        <w:tc>
          <w:tcPr>
            <w:tcW w:w="3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22,573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Less treasury common stock at cost. Shares: March 31, 2010 -- 517,592,342; December 31, 2009 -- 499,693,704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12,370</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1,217</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32" w:hanging="332"/>
        <w:spacing w:after="0" w:line="277"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about 80,000 customers all over the world buy our products.</w:t>
      </w:r>
    </w:p>
    <w:p>
      <w:pPr>
        <w:spacing w:after="0" w:line="197"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2009. The consolidated statements of income, statements of comprehensive income and statements of cash flows for the periods ended March 31, 2010 and 2009, and the balance sheet as of March 31, 2010, are not audited but reflect all adjustments that are of a normal recurring nature and are necessary for a fair statement of the results of the periods shown. The consolidated balance sheet as of December 31, 2009, presented herein is derived from the audited consoli 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2009. The results for the three-month period are not necessarily indicative of a full year’s results.</w:t>
      </w:r>
    </w:p>
    <w:p>
      <w:pPr>
        <w:spacing w:after="0" w:line="172" w:lineRule="exact"/>
        <w:rPr>
          <w:rFonts w:ascii="Arial" w:cs="Arial" w:eastAsia="Arial" w:hAnsi="Arial"/>
          <w:sz w:val="18"/>
          <w:szCs w:val="18"/>
          <w:color w:val="auto"/>
        </w:rPr>
      </w:pPr>
    </w:p>
    <w:p>
      <w:pPr>
        <w:ind w:left="332" w:right="5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w:t>
      </w:r>
    </w:p>
    <w:p>
      <w:pPr>
        <w:spacing w:after="0" w:line="197" w:lineRule="exact"/>
        <w:rPr>
          <w:rFonts w:ascii="Arial" w:cs="Arial" w:eastAsia="Arial" w:hAnsi="Arial"/>
          <w:sz w:val="18"/>
          <w:szCs w:val="18"/>
          <w:color w:val="auto"/>
        </w:rPr>
      </w:pPr>
    </w:p>
    <w:p>
      <w:pPr>
        <w:ind w:left="332" w:right="320"/>
        <w:spacing w:after="0" w:line="277" w:lineRule="auto"/>
        <w:rPr>
          <w:rFonts w:ascii="Arial" w:cs="Arial" w:eastAsia="Arial" w:hAnsi="Arial"/>
          <w:sz w:val="18"/>
          <w:szCs w:val="18"/>
          <w:color w:val="auto"/>
        </w:rPr>
      </w:pPr>
      <w:r>
        <w:rPr>
          <w:rFonts w:ascii="Arial" w:cs="Arial" w:eastAsia="Arial" w:hAnsi="Arial"/>
          <w:sz w:val="18"/>
          <w:szCs w:val="18"/>
          <w:color w:val="auto"/>
        </w:rPr>
        <w:t>All dollar amounts in the financial statements and tables in the notes, except share and per-share amounts, are stated in millions of U.S. dollars unless otherwise indicated.</w:t>
      </w:r>
    </w:p>
    <w:p>
      <w:pPr>
        <w:spacing w:after="0" w:line="197" w:lineRule="exact"/>
        <w:rPr>
          <w:rFonts w:ascii="Arial" w:cs="Arial" w:eastAsia="Arial" w:hAnsi="Arial"/>
          <w:sz w:val="18"/>
          <w:szCs w:val="18"/>
          <w:color w:val="auto"/>
        </w:rPr>
      </w:pPr>
    </w:p>
    <w:p>
      <w:pPr>
        <w:ind w:left="332" w:right="14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first quarter of 2009, we acquired CICLON Semiconductor Device Corporation (CICLON), a designer of high-frequency, high-efficiency power management semiconductors for net cash of $104 million and other consideration of $7 million. We recognized $70 million of goodwill, which is not expected to be deductible for tax purposes, $40 million of intangible assets, and $1 million of other net assets and liabilities. The former CICLON operations were integrated into our Analog segment.</w:t>
      </w:r>
    </w:p>
    <w:p>
      <w:pPr>
        <w:spacing w:after="0" w:line="213"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results of operations of this acquisition have been included in our financial statements from the acquisition date.</w:t>
      </w:r>
    </w:p>
    <w:p>
      <w:pPr>
        <w:spacing w:after="0" w:line="252" w:lineRule="exact"/>
        <w:rPr>
          <w:rFonts w:ascii="Arial" w:cs="Arial" w:eastAsia="Arial" w:hAnsi="Arial"/>
          <w:sz w:val="18"/>
          <w:szCs w:val="18"/>
          <w:color w:val="auto"/>
        </w:rPr>
      </w:pPr>
    </w:p>
    <w:p>
      <w:pPr>
        <w:ind w:left="332"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Use of Derivatives and Hedging </w:t>
      </w:r>
      <w:r>
        <w:rPr>
          <w:rFonts w:ascii="Arial" w:cs="Arial" w:eastAsia="Arial" w:hAnsi="Arial"/>
          <w:sz w:val="17"/>
          <w:szCs w:val="17"/>
          <w:color w:val="auto"/>
        </w:rPr>
        <w:t>– We use derivative financial instruments to manage exposure to foreign exchange risk. These instruments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derivatives for speculative or trading purposes. We do not apply hedge accounting to our foreign currency derivative instruments.</w:t>
      </w:r>
    </w:p>
    <w:p>
      <w:pPr>
        <w:spacing w:after="0" w:line="199" w:lineRule="exact"/>
        <w:rPr>
          <w:rFonts w:ascii="Arial" w:cs="Arial" w:eastAsia="Arial" w:hAnsi="Arial"/>
          <w:sz w:val="18"/>
          <w:szCs w:val="18"/>
          <w:color w:val="auto"/>
        </w:rPr>
      </w:pPr>
    </w:p>
    <w:p>
      <w:pPr>
        <w:jc w:val="both"/>
        <w:ind w:left="332"/>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March 31, 2010.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short-term investments and certain long-term investments are carried at fair value and are disclosed in Note 5. The carrying values for other current financial assets and liabilities, such as accounts receivable and accounts payable, approximate fair value due to the short maturity of such instruments.</w:t>
      </w:r>
    </w:p>
    <w:p>
      <w:pPr>
        <w:spacing w:after="0" w:line="213" w:lineRule="exact"/>
        <w:rPr>
          <w:rFonts w:ascii="Arial" w:cs="Arial" w:eastAsia="Arial" w:hAnsi="Arial"/>
          <w:sz w:val="18"/>
          <w:szCs w:val="18"/>
          <w:color w:val="auto"/>
        </w:rPr>
      </w:pPr>
    </w:p>
    <w:p>
      <w:pPr>
        <w:ind w:left="332" w:right="20"/>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Changes in Accounting Standards </w:t>
      </w:r>
      <w:r>
        <w:rPr>
          <w:rFonts w:ascii="Arial" w:cs="Arial" w:eastAsia="Arial" w:hAnsi="Arial"/>
          <w:sz w:val="17"/>
          <w:szCs w:val="17"/>
          <w:color w:val="auto"/>
        </w:rPr>
        <w:t>– In January 2010, the Financial Accounting Standards Board (FASB) issued Accounting Standards Update (ASU)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2010 - 06 – </w:t>
      </w:r>
      <w:r>
        <w:rPr>
          <w:rFonts w:ascii="Arial" w:cs="Arial" w:eastAsia="Arial" w:hAnsi="Arial"/>
          <w:sz w:val="17"/>
          <w:szCs w:val="17"/>
          <w:i w:val="1"/>
          <w:iCs w:val="1"/>
          <w:color w:val="auto"/>
        </w:rPr>
        <w:t>Fair Value Measurements and Disclosures (Topic 820): Improving Disclosures about Fair Value Measurements</w:t>
      </w:r>
      <w:r>
        <w:rPr>
          <w:rFonts w:ascii="Arial" w:cs="Arial" w:eastAsia="Arial" w:hAnsi="Arial"/>
          <w:sz w:val="17"/>
          <w:szCs w:val="17"/>
          <w:color w:val="auto"/>
        </w:rPr>
        <w:t>. This standard amends the disclosure guidance with respect to fair value measurements for both interim and 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Except for the detailed disclosures of changes in Level 3 items, which will be effective for us as of January 1, 2011, the remaining new disclosure requirements were effective for us as of January 1, 2010. We have included these new disclosures, as applicable,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7" w:name="page8"/>
    <w:bookmarkEnd w:id="7"/>
    <w:p>
      <w:pPr>
        <w:jc w:val="both"/>
        <w:ind w:left="332" w:hanging="332"/>
        <w:spacing w:after="0" w:line="26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Restructuring activities</w:t>
      </w:r>
      <w:r>
        <w:rPr>
          <w:rFonts w:ascii="Arial" w:cs="Arial" w:eastAsia="Arial" w:hAnsi="Arial"/>
          <w:sz w:val="18"/>
          <w:szCs w:val="18"/>
          <w:color w:val="auto"/>
        </w:rPr>
        <w:t>. 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208"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table below reflects the changes in accrued restructuring balances associated with these actions:</w:t>
      </w:r>
    </w:p>
    <w:p>
      <w:pPr>
        <w:spacing w:after="0" w:line="248"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Impairments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Severance and</w:t>
            </w:r>
          </w:p>
        </w:tc>
        <w:tc>
          <w:tcPr>
            <w:tcW w:w="10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Benefits</w:t>
            </w:r>
          </w:p>
        </w:tc>
        <w:tc>
          <w:tcPr>
            <w:tcW w:w="1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Accrual at December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Non-cash charges</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Remaining accrual at March 31, 2010</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Reflects postretirement benefit plan settlement charges.</w:t>
      </w:r>
    </w:p>
    <w:p>
      <w:pPr>
        <w:spacing w:after="0" w:line="252" w:lineRule="exact"/>
        <w:rPr>
          <w:sz w:val="20"/>
          <w:szCs w:val="20"/>
          <w:color w:val="auto"/>
        </w:rPr>
      </w:pPr>
    </w:p>
    <w:p>
      <w:pPr>
        <w:ind w:left="332" w:right="42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balance sheets, depending on the expected timing of payment.</w:t>
      </w:r>
    </w:p>
    <w:p>
      <w:pPr>
        <w:spacing w:after="0" w:line="197"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w w:val="99"/>
              </w:rPr>
              <w:t>Restructuring expense recognized by segment from the actions above is as follows:</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14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Embedded Processing</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32" w:right="200" w:hanging="332"/>
        <w:spacing w:after="0" w:line="25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The rate is based on current tax law and for 2010 does not assume reinstatement of the federal research tax credit, which expired at the end of 2009. As of March 31, 2010, the estimated annual effective tax rate for 2010 is about 31 percent, which differs from the 35 percent statutory corporate tax rate primarily due to the effects of non-U.S. tax rates.</w:t>
      </w:r>
    </w:p>
    <w:p>
      <w:pPr>
        <w:spacing w:after="0" w:line="213" w:lineRule="exact"/>
        <w:rPr>
          <w:rFonts w:ascii="Arial" w:cs="Arial" w:eastAsia="Arial" w:hAnsi="Arial"/>
          <w:sz w:val="18"/>
          <w:szCs w:val="18"/>
          <w:color w:val="auto"/>
        </w:rPr>
      </w:pPr>
    </w:p>
    <w:p>
      <w:pPr>
        <w:ind w:left="332" w:right="180" w:hanging="332"/>
        <w:spacing w:after="0" w:line="25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3"/>
              </w:rPr>
              <w:t>March 31,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 2009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658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860" w:type="dxa"/>
            <w:vAlign w:val="bottom"/>
            <w:vMerge w:val="restart"/>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650</w:t>
            </w:r>
          </w:p>
        </w:tc>
        <w:tc>
          <w:tcPr>
            <w:tcW w:w="120" w:type="dxa"/>
            <w:vAlign w:val="bottom"/>
            <w:vMerge w:val="restart"/>
            <w:shd w:val="clear" w:color="auto" w:fill="CCEEFF"/>
          </w:tcPr>
          <w:p>
            <w:pPr>
              <w:spacing w:after="0"/>
              <w:rPr>
                <w:sz w:val="17"/>
                <w:szCs w:val="17"/>
                <w:color w:val="auto"/>
              </w:rPr>
            </w:pPr>
          </w:p>
        </w:tc>
        <w:tc>
          <w:tcPr>
            <w:tcW w:w="15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1,233</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 EPS calculation</w:t>
            </w:r>
          </w:p>
        </w:tc>
        <w:tc>
          <w:tcPr>
            <w:tcW w:w="860" w:type="dxa"/>
            <w:vAlign w:val="bottom"/>
            <w:vMerge w:val="continue"/>
            <w:shd w:val="clear" w:color="auto" w:fill="CCEEFF"/>
          </w:tcPr>
          <w:p>
            <w:pPr>
              <w:spacing w:after="0"/>
              <w:rPr>
                <w:sz w:val="23"/>
                <w:szCs w:val="23"/>
                <w:color w:val="auto"/>
              </w:rPr>
            </w:pPr>
          </w:p>
        </w:tc>
        <w:tc>
          <w:tcPr>
            <w:tcW w:w="300" w:type="dxa"/>
            <w:vAlign w:val="bottom"/>
            <w:vMerge w:val="continue"/>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1500" w:type="dxa"/>
            <w:vAlign w:val="bottom"/>
            <w:gridSpan w:val="3"/>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dilutuve shares: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658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860" w:type="dxa"/>
            <w:vAlign w:val="bottom"/>
            <w:vMerge w:val="restart"/>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650</w:t>
            </w:r>
          </w:p>
        </w:tc>
        <w:tc>
          <w:tcPr>
            <w:tcW w:w="12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860" w:type="dxa"/>
            <w:vAlign w:val="bottom"/>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color w:val="auto"/>
        </w:rPr>
        <w:t>Options to purchase 101 million and 167 million shares of common stock that were outstanding during the first quarters of 2010 and 2009, respectively, were not included in the computation of diluted earnings per share because their exercise price was greater than the average market price of the common shares and, therefore, the effect would be anti-dilutive.</w:t>
      </w:r>
    </w:p>
    <w:p>
      <w:pPr>
        <w:spacing w:after="0" w:line="181" w:lineRule="exact"/>
        <w:rPr>
          <w:sz w:val="20"/>
          <w:szCs w:val="20"/>
          <w:color w:val="auto"/>
        </w:rPr>
      </w:pPr>
    </w:p>
    <w:p>
      <w:pPr>
        <w:ind w:left="500" w:right="6380" w:hanging="492"/>
        <w:spacing w:after="0" w:line="53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50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75" w:lineRule="exact"/>
        <w:rPr>
          <w:rFonts w:ascii="Arial" w:cs="Arial" w:eastAsia="Arial" w:hAnsi="Arial"/>
          <w:sz w:val="18"/>
          <w:szCs w:val="18"/>
          <w:color w:val="auto"/>
        </w:rPr>
      </w:pPr>
    </w:p>
    <w:p>
      <w:pPr>
        <w:jc w:val="both"/>
        <w:ind w:left="50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and all other unrealized gains and losses as an increase or decrease, net of taxes, in accumulated other comprehensive income (AOCI).</w:t>
      </w:r>
    </w:p>
    <w:p>
      <w:pPr>
        <w:spacing w:after="0" w:line="213" w:lineRule="exact"/>
        <w:rPr>
          <w:rFonts w:ascii="Arial" w:cs="Arial" w:eastAsia="Arial" w:hAnsi="Arial"/>
          <w:sz w:val="18"/>
          <w:szCs w:val="18"/>
          <w:color w:val="auto"/>
        </w:rPr>
      </w:pPr>
    </w:p>
    <w:p>
      <w:pPr>
        <w:jc w:val="both"/>
        <w:ind w:left="500"/>
        <w:spacing w:after="0" w:line="286" w:lineRule="auto"/>
        <w:rPr>
          <w:rFonts w:ascii="Arial" w:cs="Arial" w:eastAsia="Arial" w:hAnsi="Arial"/>
          <w:sz w:val="18"/>
          <w:szCs w:val="18"/>
          <w:color w:val="auto"/>
        </w:rPr>
      </w:pPr>
      <w:r>
        <w:rPr>
          <w:rFonts w:ascii="Arial" w:cs="Arial" w:eastAsia="Arial" w:hAnsi="Arial"/>
          <w:sz w:val="17"/>
          <w:szCs w:val="17"/>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expense.</w:t>
      </w:r>
    </w:p>
    <w:p>
      <w:pPr>
        <w:spacing w:after="0" w:line="192" w:lineRule="exact"/>
        <w:rPr>
          <w:rFonts w:ascii="Arial" w:cs="Arial" w:eastAsia="Arial" w:hAnsi="Arial"/>
          <w:sz w:val="18"/>
          <w:szCs w:val="18"/>
          <w:color w:val="auto"/>
        </w:rPr>
      </w:pPr>
    </w:p>
    <w:p>
      <w:pPr>
        <w:jc w:val="both"/>
        <w:ind w:left="500"/>
        <w:spacing w:after="0" w:line="257" w:lineRule="auto"/>
        <w:rPr>
          <w:rFonts w:ascii="Arial" w:cs="Arial" w:eastAsia="Arial" w:hAnsi="Arial"/>
          <w:sz w:val="18"/>
          <w:szCs w:val="18"/>
          <w:color w:val="auto"/>
        </w:rPr>
      </w:pPr>
      <w:r>
        <w:rPr>
          <w:rFonts w:ascii="Arial" w:cs="Arial" w:eastAsia="Arial" w:hAnsi="Arial"/>
          <w:sz w:val="18"/>
          <w:szCs w:val="18"/>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 We determine cost or amortized cost, as appropriate, on a specific identification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500"/>
        <w:spacing w:after="0"/>
        <w:rPr>
          <w:sz w:val="20"/>
          <w:szCs w:val="20"/>
          <w:color w:val="auto"/>
        </w:rPr>
      </w:pPr>
      <w:r>
        <w:rPr>
          <w:rFonts w:ascii="Arial" w:cs="Arial" w:eastAsia="Arial" w:hAnsi="Arial"/>
          <w:sz w:val="18"/>
          <w:szCs w:val="18"/>
          <w:color w:val="auto"/>
        </w:rPr>
        <w:t>Details of our investments by class and related unrealized gains and losses included in AOCI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3"/>
              </w:rPr>
              <w:t>March 31, 2010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Cash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5"/>
              </w:rPr>
              <w:t>Cash and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Long-Term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Equivalents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Measured at fair value:</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government agency and Treasury</w:t>
            </w:r>
          </w:p>
        </w:tc>
        <w:tc>
          <w:tcPr>
            <w:tcW w:w="1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1,056</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1,217</w:t>
            </w: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As of March 31, 2010, about 70 percent of our investments in the corporate obligations shown above are insured by either the Federal Deposit Insurance Corporation (FDIC) or the U.K. government.</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2010 and December 31, 2009, unrealized losses included in AOCI were associated with auction-rate securities.</w:t>
      </w:r>
    </w:p>
    <w:p>
      <w:pPr>
        <w:spacing w:after="0" w:line="252"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As of March 31, 2010, we have determined that our available-for-sale investments with unrealized losses are not other-than-temporarily impaired. We expect to recover the entire cost basis of these securities. We do not intend to sell these investments, nor do we expect to be required to sell these investments before a recovery of the cost basis. For the three months ended March 31, 2010 and 2009, we did not recognize in earnings any credit losses related to these investments.</w:t>
      </w:r>
    </w:p>
    <w:p>
      <w:pPr>
        <w:spacing w:after="0" w:line="214"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color w:val="auto"/>
        </w:rPr>
        <w:t>For the three months ended March 31, 2010 and 2009, the proceeds from sales of available-for-sale securities prior to their scheduled maturities were $696 million and $588 million, respectively. Gross realized gains and losses from these sales were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table presents the aggregate maturities of investments in money market funds and debt securities classified as available-for-sale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80" w:type="dxa"/>
            <w:vAlign w:val="bottom"/>
          </w:tcPr>
          <w:p>
            <w:pPr>
              <w:ind w:left="3720"/>
              <w:spacing w:after="0"/>
              <w:rPr>
                <w:sz w:val="20"/>
                <w:szCs w:val="20"/>
                <w:color w:val="auto"/>
              </w:rPr>
            </w:pPr>
            <w:r>
              <w:rPr>
                <w:rFonts w:ascii="Arial" w:cs="Arial" w:eastAsia="Arial" w:hAnsi="Arial"/>
                <w:sz w:val="18"/>
                <w:szCs w:val="18"/>
                <w:b w:val="1"/>
                <w:bCs w:val="1"/>
                <w:color w:val="auto"/>
              </w:rPr>
              <w:t>Due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One to three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Level 2 assets consist of corporate obligations and some U.S. government agency securities. We use a market approach to determine the fair value, primarily utilizing unadjusted quotes obtained from brokers or dealers based on observable prices for similar assets in active markets.</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own auction-rate securities that are classified as Level 3 assets. Auction-rate securities are debt instruments with variable interest rates that historically would periodically reset through an auction process. There is currently no active market for auction-rate securities, so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 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13 to 37 years. All of our auction-rate securities are backed by pools of student loans substantially guaranteed by the U.S. Department of Education and we continue to believe that the credit quality of these securities is high based on this guarantee. As of March 31, 2010, all of these securities were rated AAA or Aaa by at least one of the major rating agencies. One security (with a par value of $25 million) also had a long-term credit rating below AAA/Aaa and it was rated AAA/B3.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517" w:right="239" w:bottom="1440" w:gutter="0" w:footer="0" w:header="0"/>
        </w:sectPr>
      </w:pPr>
    </w:p>
    <w:bookmarkStart w:id="11" w:name="page12"/>
    <w:bookmarkEnd w:id="11"/>
    <w:p>
      <w:pPr>
        <w:ind w:left="500"/>
        <w:spacing w:after="0"/>
        <w:rPr>
          <w:sz w:val="20"/>
          <w:szCs w:val="20"/>
          <w:color w:val="auto"/>
        </w:rPr>
      </w:pPr>
      <w:r>
        <w:rPr>
          <w:rFonts w:ascii="Arial" w:cs="Arial" w:eastAsia="Arial" w:hAnsi="Arial"/>
          <w:sz w:val="17"/>
          <w:szCs w:val="17"/>
          <w:color w:val="auto"/>
        </w:rPr>
        <w:t>The following are our assets and liabilities that were accounted for at fair value on a recurring basis as of March 31, 2010 and December 31,</w:t>
      </w:r>
    </w:p>
    <w:p>
      <w:pPr>
        <w:spacing w:after="0" w:line="35" w:lineRule="exact"/>
        <w:rPr>
          <w:sz w:val="20"/>
          <w:szCs w:val="20"/>
          <w:color w:val="auto"/>
        </w:rPr>
      </w:pPr>
    </w:p>
    <w:p>
      <w:pPr>
        <w:ind w:left="500" w:right="180"/>
        <w:spacing w:after="0" w:line="261" w:lineRule="auto"/>
        <w:rPr>
          <w:sz w:val="20"/>
          <w:szCs w:val="20"/>
          <w:color w:val="auto"/>
        </w:rPr>
      </w:pPr>
      <w:r>
        <w:rPr>
          <w:rFonts w:ascii="Arial" w:cs="Arial" w:eastAsia="Arial" w:hAnsi="Arial"/>
          <w:sz w:val="18"/>
          <w:szCs w:val="18"/>
          <w:color w:val="auto"/>
        </w:rPr>
        <w:t>2009. These tables do not include cash on hand, assets held by our postretirement plans or assets and liabilities that are measured at historical cost or any basis other than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3,157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9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380"/>
        <w:spacing w:after="0" w:line="277" w:lineRule="auto"/>
        <w:rPr>
          <w:sz w:val="20"/>
          <w:szCs w:val="20"/>
          <w:color w:val="auto"/>
        </w:rPr>
      </w:pPr>
      <w:r>
        <w:rPr>
          <w:rFonts w:ascii="Arial" w:cs="Arial" w:eastAsia="Arial" w:hAnsi="Arial"/>
          <w:sz w:val="18"/>
          <w:szCs w:val="18"/>
          <w:color w:val="auto"/>
        </w:rPr>
        <w:t>The liabilities in the tables above are a component of Accrued expenses and other liabilities or Deferred credits and other liabilities on our balance sheets, depending on the expected timing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500" w:right="640"/>
        <w:spacing w:after="0" w:line="277" w:lineRule="auto"/>
        <w:rPr>
          <w:sz w:val="20"/>
          <w:szCs w:val="20"/>
          <w:color w:val="auto"/>
        </w:rPr>
      </w:pPr>
      <w:r>
        <w:rPr>
          <w:rFonts w:ascii="Arial" w:cs="Arial" w:eastAsia="Arial" w:hAnsi="Arial"/>
          <w:sz w:val="18"/>
          <w:szCs w:val="18"/>
          <w:color w:val="auto"/>
        </w:rPr>
        <w:t>The following table provides a reconciliation of changes in the fair values for Level 3 assets and liabilities. There were no transfers of assets or liabilities between the different fair-value levels during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Level 3</w:t>
            </w:r>
          </w:p>
        </w:tc>
      </w:tr>
      <w:tr>
        <w:trPr>
          <w:trHeight w:val="198"/>
        </w:trPr>
        <w:tc>
          <w:tcPr>
            <w:tcW w:w="882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8"/>
              </w:rPr>
              <w:t>Auction-rate</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Contingent</w:t>
            </w:r>
          </w:p>
        </w:tc>
        <w:tc>
          <w:tcPr>
            <w:tcW w:w="100" w:type="dxa"/>
            <w:vAlign w:val="bottom"/>
          </w:tcPr>
          <w:p>
            <w:pPr>
              <w:spacing w:after="0"/>
              <w:rPr>
                <w:sz w:val="17"/>
                <w:szCs w:val="17"/>
                <w:color w:val="auto"/>
              </w:rPr>
            </w:pPr>
          </w:p>
        </w:tc>
      </w:tr>
      <w:tr>
        <w:trPr>
          <w:trHeight w:val="241"/>
        </w:trPr>
        <w:tc>
          <w:tcPr>
            <w:tcW w:w="8820" w:type="dxa"/>
            <w:vAlign w:val="bottom"/>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securities</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consideration</w:t>
            </w:r>
          </w:p>
        </w:tc>
      </w:tr>
      <w:tr>
        <w:trPr>
          <w:trHeight w:val="216"/>
        </w:trPr>
        <w:tc>
          <w:tcPr>
            <w:tcW w:w="8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Balance, December 31, 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New contingent consideration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color w:val="auto"/>
              </w:rPr>
              <w:t>Redemptions at par</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 March 31, 2009</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contingent consideration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color w:val="auto"/>
              </w:rPr>
              <w:t>Redemptions at par</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 December 31, 2009</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Redemptions at par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Ending Balance, March 31, 2010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p>
        </w:tc>
      </w:tr>
      <w:tr>
        <w:trPr>
          <w:trHeight w:val="21"/>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9"/>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rPr>
              <w:t>Defined Benefit</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rPr>
              <w:t>Retiree Health Care</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rPr>
              <w:t>Defined Benefit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March 31,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termination benefit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500" w:right="4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 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500" w:right="10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7"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Discontinued Operations Indemnity – </w:t>
      </w:r>
      <w:r>
        <w:rPr>
          <w:rFonts w:ascii="Arial" w:cs="Arial" w:eastAsia="Arial" w:hAnsi="Arial"/>
          <w:sz w:val="18"/>
          <w:szCs w:val="18"/>
          <w:color w:val="auto"/>
        </w:rPr>
        <w:t>In connection with the 2006 sale of the former Sensors &amp; Controls business, we have agreed to indemnify</w:t>
      </w:r>
      <w:r>
        <w:rPr>
          <w:rFonts w:ascii="Arial" w:cs="Arial" w:eastAsia="Arial" w:hAnsi="Arial"/>
          <w:sz w:val="18"/>
          <w:szCs w:val="18"/>
          <w:i w:val="1"/>
          <w:iCs w:val="1"/>
          <w:color w:val="auto"/>
        </w:rPr>
        <w:t xml:space="preserve"> </w:t>
      </w:r>
      <w:r>
        <w:rPr>
          <w:rFonts w:ascii="Arial" w:cs="Arial" w:eastAsia="Arial" w:hAnsi="Arial"/>
          <w:sz w:val="18"/>
          <w:szCs w:val="18"/>
          <w:color w:val="auto"/>
        </w:rPr>
        <w:t>Sensata 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 re periods.</w:t>
      </w:r>
    </w:p>
    <w:p>
      <w:pPr>
        <w:spacing w:after="0" w:line="193" w:lineRule="exact"/>
        <w:rPr>
          <w:sz w:val="20"/>
          <w:szCs w:val="20"/>
          <w:color w:val="auto"/>
        </w:rPr>
      </w:pPr>
    </w:p>
    <w:p>
      <w:pPr>
        <w:ind w:left="500" w:right="2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In the first quarter of 2010, we transferred a low-power wireless product line from the Analog segment to the Wireless segment. All segment results for prior periods have been restated to conform to this new presentation.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Embedded Processing</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 (Loss)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3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Embedded Processing</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for restructuring expenses impacting segment results for the three months ended March 31,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We were the world’s fourth largest semiconductor company in 2009 as measured by revenue, according to preliminary estimates from an external source. Additionally, we sell calculators and related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nearly 80,000 customers generated about 40 percent of our revenue in 2009. According to external sources, the worldwide market for analog semiconductors was about $32 billion in 2009. Our Analog segment’s revenue in 2009 was $4.2 billion, or about 13 percent of this market, the leading position. We believe that we are well-positioned to increase our market share over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more than 15,000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ind w:right="36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2009. The worldwide market for embedded processors was about $14 billion in 2009. According to external sources, we have about 11 percent share in this fragmented market, and we believe we are well-positioned to increase our market share over time.</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Smart phones (phones which contain computing capability) are a rapidly growing portion of the cell phone market. These devices require an applications processor to run the phone’s software and services, and other semiconductors to enable connectivity through means other than the cellular network (for example, Bluetooth® devices, WiFi networks or GPS location services).</w:t>
      </w:r>
    </w:p>
    <w:p>
      <w:pPr>
        <w:spacing w:after="0" w:line="208"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We concentrate our Wireless investments on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connectivity products. These products are central to smart phones and offer growth opportunities with a broad set of customers.</w:t>
      </w: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discontinued investment in baseband chips, a market with shrinking competitive barriers and slowing growth rates. We expect substantially all of our baseband revenue, which was $1.73 billion in 2009, to cease by the end of 2012.</w:t>
      </w:r>
    </w:p>
    <w:p>
      <w:pPr>
        <w:spacing w:after="0" w:line="19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Wireless products are typically sold in high volumes, and our Wireless portfolio includes both standard products and custom products. Sales of Wireless products generated about 25 percent of our revenue in 2009, and a significant portion of our Wireless sales were to a single customer.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Other segment includes revenue from sales from our smaller semiconductor product lines and of our handheld graphing and scientific calculators, as well as royalties received for our patented technology that we license to other electronics companies.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20 percent of our revenue in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allowing greater flexibility to meet final package and test configurations.</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two multi-year trends, in general we expect to carry higher levels of inventory relative to our revenue expectations (commonly viewed by investors as days of inventory) than in past years. First, standard products have become a larger part of our portfolio. Second, we have increased consignment programs for our largest customers and some distributors and, as a result, we now carry more inventory on average than in the past in order to service the needs of these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12 and 18 weeks and takes place in highly specialized facilities.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varies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supplement our internal wafer fabrication capacity and maximize our responsiveness to customer demand and return on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2009, external foundries provided about 55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 ction needs.</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in maintaining internal assembly/test capacity.</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2009, to expand our existing wafer fabrication capacity, we began installing equipment in the industry’s first 300-millimeter analog wafer factory, located in Richardson, Texas, and are currently qualifying for production. We also opened a new assembly/test facility in the Philippines to significantly increase our assembly/test capacity.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$3.21 billion, net income was $658 million and earnings per share were 52 cents.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 support our expected growth, we invested in new manufacturing capacity for both wafer fabs and assembly/test facilities during the downturn in 2009. The strategic investments we’ve made over the years are delivering strong growth and market share gains. This was the fourth quarter of excellent sequential revenue increases, with the combined revenue of our Analog and Embedded Processing businesses setting a new record level.</w:t>
      </w:r>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Momentum continues into the second quarter as demand for our products remains strong, and we add more manufacturing capacity to support our customers. Production output is at an all-time high, and capacity will increase each quarter in 2010 as we add 200-millimeter equipment purchased last year and as we ramp the industry’s first 300-millimeter Analog facility, from which we will start shipments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gridSpan w:val="5"/>
          </w:tcPr>
          <w:p>
            <w:pPr>
              <w:jc w:val="center"/>
              <w:ind w:left="2610"/>
              <w:spacing w:after="0"/>
              <w:rPr>
                <w:sz w:val="20"/>
                <w:szCs w:val="20"/>
                <w:color w:val="auto"/>
              </w:rPr>
            </w:pPr>
            <w:r>
              <w:rPr>
                <w:rFonts w:ascii="Arial" w:cs="Arial" w:eastAsia="Arial" w:hAnsi="Arial"/>
                <w:sz w:val="18"/>
                <w:szCs w:val="18"/>
                <w:color w:val="auto"/>
                <w:w w:val="96"/>
              </w:rPr>
              <w:t>TEXAS INSTRUMENTS INCORPORATED AND SUBSIDIARIES</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60" w:type="dxa"/>
            <w:vAlign w:val="bottom"/>
            <w:gridSpan w:val="2"/>
          </w:tcPr>
          <w:p>
            <w:pPr>
              <w:jc w:val="center"/>
              <w:ind w:right="230"/>
              <w:spacing w:after="0"/>
              <w:rPr>
                <w:sz w:val="20"/>
                <w:szCs w:val="20"/>
                <w:color w:val="auto"/>
              </w:rPr>
            </w:pPr>
            <w:r>
              <w:rPr>
                <w:rFonts w:ascii="Arial" w:cs="Arial" w:eastAsia="Arial" w:hAnsi="Arial"/>
                <w:sz w:val="18"/>
                <w:szCs w:val="18"/>
                <w:color w:val="auto"/>
                <w:w w:val="90"/>
              </w:rPr>
              <w:t>Statements of Income</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60" w:type="dxa"/>
            <w:vAlign w:val="bottom"/>
            <w:gridSpan w:val="2"/>
          </w:tcPr>
          <w:p>
            <w:pPr>
              <w:jc w:val="center"/>
              <w:ind w:right="230"/>
              <w:spacing w:after="0"/>
              <w:rPr>
                <w:sz w:val="20"/>
                <w:szCs w:val="20"/>
                <w:color w:val="auto"/>
              </w:rPr>
            </w:pPr>
            <w:r>
              <w:rPr>
                <w:rFonts w:ascii="Arial" w:cs="Arial" w:eastAsia="Arial" w:hAnsi="Arial"/>
                <w:sz w:val="18"/>
                <w:szCs w:val="18"/>
                <w:color w:val="auto"/>
                <w:w w:val="90"/>
              </w:rPr>
              <w:t>(In millions, except per-share amounts)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Mar. 31, 2010</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Mar. 31, 2009</w:t>
            </w: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 31, 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3,205</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2,086</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revenue</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1,516</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370</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Restructuring expense</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950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957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299</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658</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Basic</w:t>
            </w:r>
          </w:p>
        </w:tc>
        <w:tc>
          <w:tcPr>
            <w:tcW w:w="36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.53</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Basic</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1,233</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1,275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1,246</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dividends declared per share of common stock</w:t>
            </w:r>
          </w:p>
        </w:tc>
        <w:tc>
          <w:tcPr>
            <w:tcW w:w="3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Gross profit</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52.7%</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SG&amp;A</w:t>
            </w: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Revenue for the first quarter of 2010 was $3.21 billion, an increase of $1.12 billion, or 54 percent, from the year-ago quarter, and $200 million, or 7 percent from the prior quarter. Revenue in all segments increased over the year-ago quarter primarily due to increased shipments across a broad range of products. We typically have slightly lower revenue in the first quarter compared to the prior quarter due to seasonality. However, this quarter our higher revenue reflected strength in a broad spectrum of markets, except for Wireless. The decrease in Wireless revenue was primarily due to seasonally lower shipments of baseband products.</w:t>
      </w:r>
    </w:p>
    <w:p>
      <w:pPr>
        <w:spacing w:after="0" w:line="21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Gross profit for the first quarter of 2010 was $1.69 billion, or 52.7 percent of revenue, an increase of $883 million, or 110 percent, from the year-ago quarter. Gross profit increased $100 million, or 6 percent, from the prior quarter. The increase in gross profit in both comparisons was primarily due to higher revenue. The comparison with the year-ago quarter also benefited from a $170 million favorable impact from higher utilization of our fixed-cost manufacturing assets. Our gross margin decreased from the prior quarter as utilization remained about even and compensation-related expenses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right="80"/>
        <w:spacing w:after="0" w:line="255" w:lineRule="auto"/>
        <w:rPr>
          <w:sz w:val="20"/>
          <w:szCs w:val="20"/>
          <w:color w:val="auto"/>
        </w:rPr>
      </w:pPr>
      <w:r>
        <w:rPr>
          <w:rFonts w:ascii="Arial" w:cs="Arial" w:eastAsia="Arial" w:hAnsi="Arial"/>
          <w:sz w:val="18"/>
          <w:szCs w:val="18"/>
          <w:color w:val="auto"/>
        </w:rPr>
        <w:t>Operating expenses for the first quarter of 2010 were $370 million for R&amp;D and $359 million for SG&amp;A. R&amp;D expense decreased $16 million, or 4 percent, from a year ago primarily due to lower Wireless baseband product development costs, partially offset by higher compensation-related costs. R&amp;D expense increased $15 million, or 4 percent, from the prior quarter due to higher compensation-related costs. SG&amp;A expense increased $54 million, or 18 percent, from the year-ago quarter, primarily due to higher compensation-related costs and, to a lesser extent, increased investments in sales and marketing activities. Compared with the prior quarter SG&amp;A expense increased $12 million, or 3 percent, from the prior quarter, due to higher compensation-related costs.</w:t>
      </w:r>
    </w:p>
    <w:p>
      <w:pPr>
        <w:spacing w:after="0" w:line="2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Restructuring costs in the first quarter of 2010 were $10 million, reflecting settlements of U.S. pension plan benefits for employees affected by actions taken in 2008 and 2009. This compares with $105 million in the year-ago quarter and $12 million in the previous quarter. The restructuring costs in the first quarter of 2009 were primarily for severance and benefits costs. These actions were completed in 2009 (see Note 2 to the Financial Statements for a detailed discussion of these charges and payments made during the quarter).</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quarter of 2010, our operating profit was $950 million, or 29.7 percent of revenue, compared with $10 million, or 0.5 percent of revenue, for the year-ago quarter, and $875 million, or 29.1 percent of revenue, for the previous quarter. The increase in operating profit from a year ago was due to higher gross profit, and to a lesser extent, lower restructuring charges. The increase from the prior quarter was also due to higher gross profit, which more than offset higher operating expenses.</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March 31, 2010, the estimated annual effective tax rate for 2010 is expected to be about 31 percent (see Note 3 to the Financial Statements for additional information). The tax rate is based on current tax law and does not assume reinstatement of the federal research tax credit, which expired at the end of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first quarter of 2010 our tax provision was $299 million, compared with a net tax benefit of $2 million in the year-ago quarter and a tax provision of $226 million in the previous quarter. The increase in the tax provision from both periods was primarily due to higher income before income taxes.</w:t>
      </w:r>
    </w:p>
    <w:p>
      <w:pPr>
        <w:spacing w:after="0" w:line="15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first quarter of 2010, our net income was $658 million, compared with net income of $17 million for the year-ago quarter and $655 million for the prior quarter. Earnings per share were $0.52, compared with $0.01 per share for the year-ago quarter and $0.52 per share for the prior quarter.</w:t>
      </w:r>
    </w:p>
    <w:p>
      <w:pPr>
        <w:spacing w:after="0" w:line="1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Orders in the first quarter were $3.64 billion, an increase of 66 percent from the year-ago quarter when orders were unusually weak as customers reduced their inventory in response to the slowing global economy. Compared with the prior quarter, orders were up 12 percent.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periods have been restated to reflect the transfer of a low-power wireless product line from our Analog segment to our Wireless segment. During 2009, revenue from this product line was $68 million, and it operated at a loss of $17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1Q10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1Q10</w:t>
            </w:r>
          </w:p>
        </w:tc>
        <w:tc>
          <w:tcPr>
            <w:tcW w:w="4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1Q09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vs. 1Q09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4Q09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 (loss) *</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398</w:t>
            </w:r>
          </w:p>
        </w:tc>
        <w:tc>
          <w:tcPr>
            <w:tcW w:w="4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Analog revenue increased 70 percent from the year-ago quarter, primarily due to increased shipments in all major product areas, especially high-volume analog &amp; logic and power management products. The higher revenue and associated gross profit resulted in an improvement in operating profit compared with the year-ago quarter. Revenue increased 8 percent from the prior quarter, due about equally to higher shipments in all three major product areas. Operating profit increased 4 percent from the previous quarter due to the increase in revenue and higher associated gross profit, partially offset by higher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1Q09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4Q09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3,550%</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Embedded Processing revenue increased 39 percent from the year-ago quarter and 7 percent from the prior quarter. These increases were primarily due to increased shipments of catalog products. Shipments of automotive products also increased from the year-ago quarter, although to a lesser extent. Compared to the year-ago quarter, operating profit increased due to the combination of higher revenue and associated higher gross profit. Operating profit was 18 percent lower than the previous quarter due to higher operating expenses as we increased investment in this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1Q10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1Q10</w:t>
            </w:r>
          </w:p>
        </w:tc>
        <w:tc>
          <w:tcPr>
            <w:tcW w:w="4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1Q09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vs. 1Q09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4Q09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 (loss) *</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158</w:t>
            </w:r>
          </w:p>
        </w:tc>
        <w:tc>
          <w:tcPr>
            <w:tcW w:w="4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Wireless revenue increased 27 percent from the year-ago quarter. This increase was primarily due to increased shipments of connectivity products and, to a lesser extent, applications processor products. Also contributing to the segment’s revenue increase was baseband product revenue, as we shipped an increased proportion of higher-priced products. Compared with the prior quarter, revenue declined 5 percent due to lower shipments of baseband products. Baseband revenue for the first quarter of 2010 was $424 million, an increase of $24 million, or 6 percent, from the year-ago quarter and a seasonal decrease of $41 million, or 9 percent, from the prior quarter. The increase in Wireless operating profit compared with the year-ago quarter was primarily due to higher revenue and associated higher gross profit and, to a lesser ex tent, lower restructuring costs and lower operating expenses. Compared with the prior quarter, operating profit declined 13 percent due to lower revenue and lower associated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1Q09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4Q09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Other revenue increased 68 percent from the year-ago quarter, primarily due to higher shipments of DLP products and higher royalties. Also contributing to the increase, to a lesser extent, were increased shipments of custom ASIC products and calculators. Compared with the prior quarter, revenue increased 19 percent due to increased royalties and increased shipments of, in decreasing order, custom ASIC products, DLP products and calculators. Operating profit for the first quarter of 2010 increased from both the year-ago quarter and the prior quarter due to higher revenue and higher associated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the first quarter of 2010, total cash (cash and cash equivalents plus short-term investments) was $2.79 billion. This was $134 million lower than at the end of 2009.</w:t>
      </w:r>
    </w:p>
    <w:p>
      <w:pPr>
        <w:spacing w:after="0" w:line="19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Accounts receivable were $1.53 billion at the end of the quarter. This was an increase of $249 million from the end of 2009. Days sales outstanding were 43 at the end of the quarter compared with 38 at the end of 2009. The increase in accounts receivable was primarily the result of seasonally lower shipments in December, and to a lesser extent, higher first-quarter revenue.</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Inventory was $1.28 billion at the end of the quarter. This was an increase of $74 million from the end of 2009. Days of inventory at the end of the first quarter were 76, unchanged from the end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sources of liquidity are our cash flows from operations, cash and cash equivalents, short-term investments and revolving credit facilities. Our primary source of liquidity is cash flow from operations. Cash flow from operations for the first quarter of 2010 was $710 million, an increase of $459 million from the year-ago period. This increase was due to the increase in net income, partially offset by changes in working capital, primarily for inventory.</w:t>
      </w:r>
    </w:p>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$1.22 billion of cash and cash equivalents and $1.57 billion of short-term investments as of March 31, 2010. We have a multi-year $1 billion revolving credit facility. We also have a non-U.S. revolving credit facility of $175 million that expires in November 2010. As of March 31, 2010, these credit facilities were not being utilized.</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Investing activities used cash of $51 million, compared with providing cash of $363 million in the year-ago period. Capital expenditures in the first quarter of 2010 totaled $219 million. This was an increase of $176 million from a year ago primarily due to increased expenditures for assembly/test manufacturing equipment, and to a lesser extent, for analog wafer manufacturing equipment. In the year-ago quarter, net reductions in short-term investments from purchases, sales and maturities provided cash of $509 million compared with $169 million in the current quarter.</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used in financing activities was $624 million, compared with $224 million in the year-ago period. We used $504 million of cash in the first quarter of 2010 to repurchase 20.6 million shares of our common stock and paid dividends of $149 million. In the same period last year we used $101 million of cash to repurchase 6.6 million shares of common stock and paid $141 million in dividends.</w:t>
      </w:r>
    </w:p>
    <w:p>
      <w:pPr>
        <w:spacing w:after="0" w:line="20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2010, we expect: an annual effective tax rate of about 31 percent; R&amp;D expense of $1.5 billion; capital expenditures of $0.9 billion; and depreciation of $0.9 billion. The tax rate is based on current tax law and does not assume reinstatement of the federal research tax credit, which expired at the end of 2009.</w:t>
      </w:r>
    </w:p>
    <w:p>
      <w:pPr>
        <w:spacing w:after="0" w:line="15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2009, and is incorporated by reference to such exhibit.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 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Purchased as</w:t>
            </w:r>
          </w:p>
        </w:tc>
        <w:tc>
          <w:tcPr>
            <w:tcW w:w="1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Part of</w:t>
            </w:r>
          </w:p>
        </w:tc>
        <w:tc>
          <w:tcPr>
            <w:tcW w:w="1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Publicly</w:t>
            </w:r>
          </w:p>
        </w:tc>
        <w:tc>
          <w:tcPr>
            <w:tcW w:w="1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8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Price Paid</w:t>
            </w: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Plans or</w:t>
            </w:r>
          </w:p>
        </w:tc>
        <w:tc>
          <w:tcPr>
            <w:tcW w:w="1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ind w:left="70"/>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2010</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February 1 through February 28, 2010</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14,991,700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24.46</w:t>
            </w: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14,991,700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2,228</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2010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w:t>
            </w:r>
          </w:p>
        </w:tc>
        <w:tc>
          <w:tcPr>
            <w:tcW w:w="1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5,414,300</w:t>
            </w:r>
            <w:r>
              <w:rPr>
                <w:rFonts w:ascii="Arial" w:cs="Arial" w:eastAsia="Arial" w:hAnsi="Arial"/>
                <w:sz w:val="12"/>
                <w:szCs w:val="12"/>
                <w:color w:val="auto"/>
              </w:rPr>
              <w:t>(2)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20,406,000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24.50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20,406,000</w:t>
            </w:r>
            <w:r>
              <w:rPr>
                <w:rFonts w:ascii="Arial" w:cs="Arial" w:eastAsia="Arial" w:hAnsi="Arial"/>
                <w:sz w:val="12"/>
                <w:szCs w:val="12"/>
                <w:color w:val="auto"/>
              </w:rPr>
              <w:t>(2)(3)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2,095</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4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purchases during the quarter were made under an authorization to purchase up to $5 billion of additional shares of TI common stock, which was announced on September 21, 2007. No expiration date has been specified for this authorization.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purchases in the period were made through open-market purchases.</w:t>
      </w:r>
    </w:p>
    <w:p>
      <w:pPr>
        <w:spacing w:after="0" w:line="252"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table does not include the purchase of 220,000 shares pursuant to orders placed in the fourth quarter of 2009, for which trades were settled in the first three business days of the first quarter of 2010. The purchase of these shares was reflected in this item in our report on Form 10-K for the year ended December 31, 2009.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ind w:left="180"/>
              <w:spacing w:after="0"/>
              <w:rPr>
                <w:sz w:val="20"/>
                <w:szCs w:val="20"/>
                <w:color w:val="auto"/>
              </w:rPr>
            </w:pPr>
            <w:r>
              <w:rPr>
                <w:rFonts w:ascii="Arial" w:cs="Arial" w:eastAsia="Arial" w:hAnsi="Arial"/>
                <w:sz w:val="18"/>
                <w:szCs w:val="18"/>
                <w:b w:val="1"/>
                <w:bCs w:val="1"/>
                <w:color w:val="auto"/>
              </w:rPr>
              <w:t>Designation</w:t>
            </w:r>
          </w:p>
        </w:tc>
        <w:tc>
          <w:tcPr>
            <w:tcW w:w="10180" w:type="dxa"/>
            <w:vAlign w:val="bottom"/>
          </w:tcPr>
          <w:p>
            <w:pPr>
              <w:spacing w:after="0"/>
              <w:rPr>
                <w:sz w:val="18"/>
                <w:szCs w:val="18"/>
                <w:color w:val="auto"/>
              </w:rPr>
            </w:pPr>
          </w:p>
        </w:tc>
      </w:tr>
      <w:tr>
        <w:trPr>
          <w:trHeight w:val="216"/>
        </w:trPr>
        <w:tc>
          <w:tcPr>
            <w:tcW w:w="1240" w:type="dxa"/>
            <w:vAlign w:val="bottom"/>
            <w:gridSpan w:val="3"/>
          </w:tcPr>
          <w:p>
            <w:pPr>
              <w:ind w:left="180"/>
              <w:spacing w:after="0"/>
              <w:rPr>
                <w:sz w:val="20"/>
                <w:szCs w:val="20"/>
                <w:color w:val="auto"/>
              </w:rPr>
            </w:pPr>
            <w:r>
              <w:rPr>
                <w:rFonts w:ascii="Arial" w:cs="Arial" w:eastAsia="Arial" w:hAnsi="Arial"/>
                <w:sz w:val="18"/>
                <w:szCs w:val="18"/>
                <w:b w:val="1"/>
                <w:bCs w:val="1"/>
                <w:color w:val="auto"/>
              </w:rPr>
              <w:t>of Exhibits</w:t>
            </w:r>
          </w:p>
        </w:tc>
        <w:tc>
          <w:tcPr>
            <w:tcW w:w="10180" w:type="dxa"/>
            <w:vAlign w:val="bottom"/>
          </w:tcPr>
          <w:p>
            <w:pPr>
              <w:spacing w:after="0"/>
              <w:rPr>
                <w:sz w:val="18"/>
                <w:szCs w:val="18"/>
                <w:color w:val="auto"/>
              </w:rPr>
            </w:pPr>
          </w:p>
        </w:tc>
      </w:tr>
      <w:tr>
        <w:trPr>
          <w:trHeight w:val="216"/>
        </w:trPr>
        <w:tc>
          <w:tcPr>
            <w:tcW w:w="1240" w:type="dxa"/>
            <w:vAlign w:val="bottom"/>
            <w:gridSpan w:val="3"/>
          </w:tcPr>
          <w:p>
            <w:pPr>
              <w:ind w:left="180"/>
              <w:spacing w:after="0"/>
              <w:rPr>
                <w:sz w:val="20"/>
                <w:szCs w:val="20"/>
                <w:color w:val="auto"/>
              </w:rPr>
            </w:pPr>
            <w:r>
              <w:rPr>
                <w:rFonts w:ascii="Arial" w:cs="Arial" w:eastAsia="Arial" w:hAnsi="Arial"/>
                <w:sz w:val="18"/>
                <w:szCs w:val="18"/>
                <w:b w:val="1"/>
                <w:bCs w:val="1"/>
                <w:color w:val="auto"/>
              </w:rPr>
              <w:t>in This</w:t>
            </w:r>
          </w:p>
        </w:tc>
        <w:tc>
          <w:tcPr>
            <w:tcW w:w="10180" w:type="dxa"/>
            <w:vAlign w:val="bottom"/>
          </w:tcPr>
          <w:p>
            <w:pPr>
              <w:spacing w:after="0"/>
              <w:rPr>
                <w:sz w:val="18"/>
                <w:szCs w:val="18"/>
                <w:color w:val="auto"/>
              </w:rPr>
            </w:pPr>
          </w:p>
        </w:tc>
      </w:tr>
      <w:tr>
        <w:trPr>
          <w:trHeight w:val="241"/>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Report</w:t>
            </w:r>
          </w:p>
        </w:tc>
        <w:tc>
          <w:tcPr>
            <w:tcW w:w="10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Description of Exhibit</w:t>
            </w: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50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176"/>
        </w:trPr>
        <w:tc>
          <w:tcPr>
            <w:tcW w:w="124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0180" w:type="dxa"/>
            <w:vAlign w:val="bottom"/>
          </w:tcPr>
          <w:p>
            <w:pPr>
              <w:ind w:left="140"/>
              <w:spacing w:after="0" w:line="176" w:lineRule="exact"/>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1"/>
        </w:trPr>
        <w:tc>
          <w:tcPr>
            <w:tcW w:w="4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50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176"/>
        </w:trPr>
        <w:tc>
          <w:tcPr>
            <w:tcW w:w="124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10180" w:type="dxa"/>
            <w:vAlign w:val="bottom"/>
          </w:tcPr>
          <w:p>
            <w:pPr>
              <w:ind w:left="140"/>
              <w:spacing w:after="0" w:line="176" w:lineRule="exact"/>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1"/>
        </w:trPr>
        <w:tc>
          <w:tcPr>
            <w:tcW w:w="4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16"/>
        </w:trPr>
        <w:tc>
          <w:tcPr>
            <w:tcW w:w="12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101.ins</w:t>
            </w:r>
          </w:p>
        </w:tc>
        <w:tc>
          <w:tcPr>
            <w:tcW w:w="10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Instance Document*</w:t>
            </w:r>
          </w:p>
        </w:tc>
      </w:tr>
      <w:tr>
        <w:trPr>
          <w:trHeight w:val="216"/>
        </w:trPr>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101.sch</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Taxonomy Schema*</w:t>
            </w:r>
          </w:p>
        </w:tc>
      </w:tr>
      <w:tr>
        <w:trPr>
          <w:trHeight w:val="216"/>
        </w:trPr>
        <w:tc>
          <w:tcPr>
            <w:tcW w:w="12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101.cal</w:t>
            </w:r>
          </w:p>
        </w:tc>
        <w:tc>
          <w:tcPr>
            <w:tcW w:w="10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101.lab</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Taxonomy Labels Linkbase*</w:t>
            </w:r>
          </w:p>
        </w:tc>
      </w:tr>
      <w:tr>
        <w:trPr>
          <w:trHeight w:val="216"/>
        </w:trPr>
        <w:tc>
          <w:tcPr>
            <w:tcW w:w="12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101.pre</w:t>
            </w:r>
          </w:p>
        </w:tc>
        <w:tc>
          <w:tcPr>
            <w:tcW w:w="10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Presentation Linkbase*</w:t>
            </w:r>
          </w:p>
        </w:tc>
      </w:tr>
      <w:tr>
        <w:trPr>
          <w:trHeight w:val="230"/>
        </w:trPr>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101.def</w:t>
            </w:r>
          </w:p>
        </w:tc>
        <w:tc>
          <w:tcPr>
            <w:tcW w:w="10180" w:type="dxa"/>
            <w:vAlign w:val="bottom"/>
          </w:tcPr>
          <w:p>
            <w:pPr>
              <w:ind w:left="140"/>
              <w:spacing w:after="0"/>
              <w:rPr>
                <w:sz w:val="20"/>
                <w:szCs w:val="20"/>
                <w:color w:val="auto"/>
              </w:rPr>
            </w:pPr>
            <w:r>
              <w:rPr>
                <w:rFonts w:ascii="Arial" w:cs="Arial" w:eastAsia="Arial" w:hAnsi="Arial"/>
                <w:sz w:val="18"/>
                <w:szCs w:val="18"/>
                <w:color w:val="auto"/>
              </w:rPr>
              <w:t>XBRLTaxonomy Definitions Document*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25"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00" w:right="20" w:hanging="6"/>
        <w:spacing w:after="0" w:line="264"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40" w:firstLine="494"/>
        <w:spacing w:after="0" w:line="308" w:lineRule="auto"/>
        <w:tabs>
          <w:tab w:leader="none" w:pos="6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7" w:lineRule="exact"/>
        <w:rPr>
          <w:sz w:val="20"/>
          <w:szCs w:val="20"/>
          <w:color w:val="auto"/>
        </w:rPr>
      </w:pPr>
    </w:p>
    <w:p>
      <w:pPr>
        <w:ind w:left="500" w:right="420" w:hanging="6"/>
        <w:spacing w:after="0" w:line="277"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680" w:hanging="18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25"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00" w:right="20" w:hanging="6"/>
        <w:spacing w:after="0" w:line="264"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40" w:firstLine="494"/>
        <w:spacing w:after="0" w:line="308" w:lineRule="auto"/>
        <w:tabs>
          <w:tab w:leader="none" w:pos="66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7" w:lineRule="exact"/>
        <w:rPr>
          <w:sz w:val="20"/>
          <w:szCs w:val="20"/>
          <w:color w:val="auto"/>
        </w:rPr>
      </w:pPr>
    </w:p>
    <w:p>
      <w:pPr>
        <w:ind w:left="500" w:right="420" w:hanging="6"/>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34" w:lineRule="exact"/>
        <w:rPr>
          <w:sz w:val="20"/>
          <w:szCs w:val="20"/>
          <w:color w:val="auto"/>
        </w:rPr>
      </w:pPr>
    </w:p>
    <w:p>
      <w:pPr>
        <w:ind w:left="500" w:right="180" w:hanging="6"/>
        <w:spacing w:after="0" w:line="342"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28" w:lineRule="auto"/>
        <w:tabs>
          <w:tab w:leader="none" w:pos="7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2010</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24" w:lineRule="exact"/>
        <w:rPr>
          <w:sz w:val="20"/>
          <w:szCs w:val="20"/>
          <w:color w:val="auto"/>
        </w:rPr>
      </w:pPr>
    </w:p>
    <w:p>
      <w:pPr>
        <w:ind w:left="500" w:right="180" w:hanging="6"/>
        <w:spacing w:after="0" w:line="342"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01" w:lineRule="auto"/>
        <w:tabs>
          <w:tab w:leader="none" w:pos="7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2010</w:t>
      </w:r>
    </w:p>
    <w:p>
      <w:pPr>
        <w:ind w:left="57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S"/>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2019-12-10T02:24:54Z</dcterms:created>
  <dcterms:modified xsi:type="dcterms:W3CDTF">2019-12-10T02:24:54Z</dcterms:modified>
</cp:coreProperties>
</file>