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20549</w:t>
      </w:r>
    </w:p>
    <w:p>
      <w:pPr>
        <w:spacing w:after="0" w:line="201"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10"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Date of Report (Date of earliest event reported): November 20, 2000</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TEXAS INSTRUMENTS INCORPORATED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1580"/>
        <w:spacing w:after="0"/>
        <w:tabs>
          <w:tab w:leader="none" w:pos="482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6"/>
          <w:szCs w:val="16"/>
          <w:color w:val="auto"/>
        </w:rPr>
        <w:t>001-03761</w:t>
      </w:r>
    </w:p>
    <w:p>
      <w:pPr>
        <w:ind w:left="540"/>
        <w:spacing w:after="0"/>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540"/>
        <w:spacing w:after="0"/>
        <w:tabs>
          <w:tab w:leader="none" w:pos="42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6"/>
          <w:szCs w:val="16"/>
          <w:color w:val="auto"/>
        </w:rPr>
        <w:t>(Commission File No.)</w:t>
      </w:r>
    </w:p>
    <w:p>
      <w:pPr>
        <w:ind w:left="1060"/>
        <w:spacing w:after="0" w:line="237" w:lineRule="auto"/>
        <w:rPr>
          <w:sz w:val="20"/>
          <w:szCs w:val="20"/>
          <w:color w:val="auto"/>
        </w:rPr>
      </w:pPr>
      <w:r>
        <w:rPr>
          <w:rFonts w:ascii="Courier New" w:cs="Courier New" w:eastAsia="Courier New" w:hAnsi="Courier New"/>
          <w:sz w:val="18"/>
          <w:szCs w:val="18"/>
          <w:color w:val="auto"/>
        </w:rPr>
        <w:t>or incorporation)</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75-0289970</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12500 TI BOULEVARD</w:t>
      </w:r>
    </w:p>
    <w:p>
      <w:pPr>
        <w:ind w:left="3160"/>
        <w:spacing w:after="0" w:line="238" w:lineRule="auto"/>
        <w:rPr>
          <w:sz w:val="20"/>
          <w:szCs w:val="20"/>
          <w:color w:val="auto"/>
        </w:rPr>
      </w:pPr>
      <w:r>
        <w:rPr>
          <w:rFonts w:ascii="Courier New" w:cs="Courier New" w:eastAsia="Courier New" w:hAnsi="Courier New"/>
          <w:sz w:val="18"/>
          <w:szCs w:val="18"/>
          <w:color w:val="auto"/>
        </w:rPr>
        <w:t>P.O. BOX 660199</w:t>
      </w:r>
    </w:p>
    <w:p>
      <w:pPr>
        <w:ind w:left="2640"/>
        <w:spacing w:after="0"/>
        <w:rPr>
          <w:sz w:val="20"/>
          <w:szCs w:val="20"/>
          <w:color w:val="auto"/>
        </w:rPr>
      </w:pPr>
      <w:r>
        <w:rPr>
          <w:rFonts w:ascii="Courier New" w:cs="Courier New" w:eastAsia="Courier New" w:hAnsi="Courier New"/>
          <w:sz w:val="18"/>
          <w:szCs w:val="18"/>
          <w:color w:val="auto"/>
        </w:rPr>
        <w:t>DALLAS, TEXAS 75266-0199</w:t>
      </w:r>
    </w:p>
    <w:p>
      <w:pPr>
        <w:ind w:left="1800"/>
        <w:spacing w:after="0" w:line="237" w:lineRule="auto"/>
        <w:rPr>
          <w:sz w:val="20"/>
          <w:szCs w:val="20"/>
          <w:color w:val="auto"/>
        </w:rPr>
      </w:pPr>
      <w:r>
        <w:rPr>
          <w:rFonts w:ascii="Courier New" w:cs="Courier New" w:eastAsia="Courier New" w:hAnsi="Courier New"/>
          <w:sz w:val="18"/>
          <w:szCs w:val="18"/>
          <w:color w:val="auto"/>
        </w:rPr>
        <w:t>(Address of principal executive officers)</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Registrant's telephone number, including area code (972) 995-3773</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899"/>
          </w:cols>
          <w:pgMar w:left="56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Registrant ("TI") confirms its outlook for the fourth quarter of 2000 as set forth in the Outlook section included in Item 2 of its Form 10-Q for the quarter ended September 30, 2000, which was filed with the Commission on October 24, 2000. This confirmation is being made for purposes of Regulation FD only and is not an indication or assessment of materiality, nor is it intended to constitute a representation that the information is not otherwise publicly available. The full text of that Outlook section, updated to reflect the closing of the sale of the materials portion of the Materials &amp; Controls business on November 13, 2000, follows: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OUTLOOK</w:t>
      </w:r>
    </w:p>
    <w:p>
      <w:pPr>
        <w:spacing w:after="0" w:line="207" w:lineRule="exact"/>
        <w:rPr>
          <w:sz w:val="20"/>
          <w:szCs w:val="20"/>
          <w:color w:val="auto"/>
        </w:rPr>
      </w:pPr>
    </w:p>
    <w:p>
      <w:pPr>
        <w:ind w:left="540" w:right="2199"/>
        <w:spacing w:after="0" w:line="273" w:lineRule="auto"/>
        <w:rPr>
          <w:sz w:val="20"/>
          <w:szCs w:val="20"/>
          <w:color w:val="auto"/>
        </w:rPr>
      </w:pPr>
      <w:r>
        <w:rPr>
          <w:rFonts w:ascii="Courier New" w:cs="Courier New" w:eastAsia="Courier New" w:hAnsi="Courier New"/>
          <w:sz w:val="16"/>
          <w:szCs w:val="16"/>
          <w:color w:val="auto"/>
        </w:rPr>
        <w:t>TI expects its semiconductor revenue to grow sequentially by a few percentage points in the fourth quarter. Revenue is expected to decline sequentially in Educational &amp; Productivity Solutions and in Materials &amp; Controls. TI expects the net result to be total revenue in the fourth quarter that is about even with total revenue in the third quarter.</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Specifically, TI expects the following:</w:t>
      </w:r>
    </w:p>
    <w:p>
      <w:pPr>
        <w:spacing w:after="0" w:line="207"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Revenue from wireless will decline sequentially as certain major handset customers absorb semiconductor inventory in the fourth quarter, more than offsetting the continuing revenue growth in chipset and base-station products.</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Revenue from catalog DSP and Analog products is expected to grow as a result of new applications, new product introductions and increased demand for existing products.</w:t>
      </w:r>
    </w:p>
    <w:p>
      <w:pPr>
        <w:spacing w:after="0" w:line="209"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Revenue growth for broadband communications should reflect the continuing strong demand that is developing for TI's digital subscriber line (DSL) and cable modem products.</w:t>
      </w:r>
    </w:p>
    <w:p>
      <w:pPr>
        <w:spacing w:after="0" w:line="209"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Revenue for the Materials &amp; Controls business should be down from the third quarter reflecting the sale of the materials portion of this business. This sale closed on November 13, 2000. The materials operation contributed about $95 million in trade revenue in 1999.</w:t>
      </w:r>
    </w:p>
    <w:p>
      <w:pPr>
        <w:spacing w:after="0" w:line="207"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Revenue for Educational &amp; Productivity Solutions in the fourth quarter is expected to be less than half of what it was in the third quarter, primarily due to the normal seasonal pattern in this business.</w:t>
      </w:r>
    </w:p>
    <w:p>
      <w:pPr>
        <w:spacing w:after="0" w:line="209" w:lineRule="exact"/>
        <w:rPr>
          <w:sz w:val="20"/>
          <w:szCs w:val="20"/>
          <w:color w:val="auto"/>
        </w:rPr>
      </w:pPr>
    </w:p>
    <w:p>
      <w:pPr>
        <w:ind w:left="540" w:right="2619"/>
        <w:spacing w:after="0" w:line="236" w:lineRule="auto"/>
        <w:rPr>
          <w:sz w:val="20"/>
          <w:szCs w:val="20"/>
          <w:color w:val="auto"/>
        </w:rPr>
      </w:pPr>
      <w:r>
        <w:rPr>
          <w:rFonts w:ascii="Courier New" w:cs="Courier New" w:eastAsia="Courier New" w:hAnsi="Courier New"/>
          <w:sz w:val="18"/>
          <w:szCs w:val="18"/>
          <w:color w:val="auto"/>
        </w:rPr>
        <w:t>R&amp;D is expected to be $1.6 billion, excluding acquisition-related in-process R&amp;D costs, up from the previously expected $1.5 billion, reflecting the acquisition of Burr-Brown.</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 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 looking statements.</w:t>
      </w:r>
    </w:p>
    <w:p>
      <w:pPr>
        <w:spacing w:after="0" w:line="186"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TI or its management:</w:t>
      </w:r>
    </w:p>
    <w:p>
      <w:pPr>
        <w:spacing w:after="0" w:line="209" w:lineRule="exact"/>
        <w:rPr>
          <w:sz w:val="20"/>
          <w:szCs w:val="20"/>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6"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5" w:lineRule="exact"/>
        <w:rPr>
          <w:rFonts w:ascii="Courier New" w:cs="Courier New" w:eastAsia="Courier New" w:hAnsi="Courier New"/>
          <w:sz w:val="18"/>
          <w:szCs w:val="18"/>
          <w:color w:val="auto"/>
        </w:rPr>
      </w:pPr>
    </w:p>
    <w:p>
      <w:pPr>
        <w:ind w:left="540" w:right="293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5"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Timely completion and successful integration of announced acquisitions;</w:t>
      </w:r>
    </w:p>
    <w:p>
      <w:pPr>
        <w:spacing w:after="0" w:line="4" w:lineRule="exact"/>
        <w:rPr>
          <w:rFonts w:ascii="Courier New" w:cs="Courier New" w:eastAsia="Courier New" w:hAnsi="Courier New"/>
          <w:sz w:val="18"/>
          <w:szCs w:val="18"/>
          <w:color w:val="auto"/>
        </w:rPr>
      </w:pPr>
    </w:p>
    <w:p>
      <w:pPr>
        <w:ind w:left="540" w:right="209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-Global economic, social and political conditions in the countries in which TI and its customers and suppliers operate, including fluctuations in foreign currency exchange rates;</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Losses or curtailments of purchases from key customers;</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20, 2000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William A. Aylesworth,</w:t>
      </w:r>
    </w:p>
    <w:p>
      <w:pPr>
        <w:ind w:left="3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320"/>
        <w:spacing w:after="0"/>
        <w:rPr>
          <w:sz w:val="20"/>
          <w:szCs w:val="20"/>
          <w:color w:val="auto"/>
        </w:rPr>
      </w:pPr>
      <w:r>
        <w:rPr>
          <w:rFonts w:ascii="Courier New" w:cs="Courier New" w:eastAsia="Courier New" w:hAnsi="Courier New"/>
          <w:sz w:val="18"/>
          <w:szCs w:val="18"/>
          <w:color w:val="auto"/>
        </w:rPr>
        <w:t>Treasurer and</w:t>
      </w:r>
    </w:p>
    <w:p>
      <w:pPr>
        <w:ind w:left="320"/>
        <w:spacing w:after="0" w:line="237"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3">
        <w:col w:w="540" w:space="200"/>
        <w:col w:w="2860" w:space="720"/>
        <w:col w:w="589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2019-12-12T10:28:04Z</dcterms:created>
  <dcterms:modified xsi:type="dcterms:W3CDTF">2019-12-12T10:28:04Z</dcterms:modified>
</cp:coreProperties>
</file>