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24,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January 24, 2011, regarding the Registrant’s fourth quarter and 2010 results of operations and financial condition is attached hereto as Exhibit 99 and is incorporated by reference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9240" w:type="dxa"/>
            <w:vAlign w:val="bottom"/>
          </w:tcPr>
          <w:p>
            <w:pPr>
              <w:spacing w:after="0"/>
              <w:rPr>
                <w:sz w:val="20"/>
                <w:szCs w:val="20"/>
                <w:color w:val="auto"/>
              </w:rPr>
            </w:pPr>
          </w:p>
        </w:tc>
      </w:tr>
      <w:tr>
        <w:trPr>
          <w:trHeight w:val="418"/>
        </w:trPr>
        <w:tc>
          <w:tcPr>
            <w:tcW w:w="2180" w:type="dxa"/>
            <w:vAlign w:val="bottom"/>
            <w:gridSpan w:val="2"/>
          </w:tcPr>
          <w:p>
            <w:pPr>
              <w:spacing w:after="0"/>
              <w:rPr>
                <w:sz w:val="20"/>
                <w:szCs w:val="20"/>
                <w:color w:val="auto"/>
              </w:rPr>
            </w:pPr>
            <w:r>
              <w:rPr>
                <w:rFonts w:ascii="Arial" w:cs="Arial" w:eastAsia="Arial" w:hAnsi="Arial"/>
                <w:sz w:val="18"/>
                <w:szCs w:val="18"/>
                <w:color w:val="auto"/>
              </w:rPr>
              <w:t>Designation</w:t>
            </w:r>
          </w:p>
        </w:tc>
        <w:tc>
          <w:tcPr>
            <w:tcW w:w="9240" w:type="dxa"/>
            <w:vAlign w:val="bottom"/>
          </w:tcPr>
          <w:p>
            <w:pPr>
              <w:spacing w:after="0"/>
              <w:rPr>
                <w:sz w:val="24"/>
                <w:szCs w:val="24"/>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of Exhibit</w:t>
            </w:r>
          </w:p>
        </w:tc>
        <w:tc>
          <w:tcPr>
            <w:tcW w:w="9240" w:type="dxa"/>
            <w:vAlign w:val="bottom"/>
          </w:tcPr>
          <w:p>
            <w:pPr>
              <w:spacing w:after="0"/>
              <w:rPr>
                <w:sz w:val="18"/>
                <w:szCs w:val="18"/>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in this</w:t>
            </w:r>
          </w:p>
        </w:tc>
        <w:tc>
          <w:tcPr>
            <w:tcW w:w="9240" w:type="dxa"/>
            <w:vAlign w:val="bottom"/>
          </w:tcPr>
          <w:p>
            <w:pPr>
              <w:spacing w:after="0"/>
              <w:rPr>
                <w:sz w:val="18"/>
                <w:szCs w:val="18"/>
                <w:color w:val="auto"/>
              </w:rPr>
            </w:pPr>
          </w:p>
        </w:tc>
      </w:tr>
      <w:tr>
        <w:trPr>
          <w:trHeight w:val="237"/>
        </w:trPr>
        <w:tc>
          <w:tcPr>
            <w:tcW w:w="2180" w:type="dxa"/>
            <w:vAlign w:val="bottom"/>
            <w:gridSpan w:val="2"/>
          </w:tcPr>
          <w:p>
            <w:pPr>
              <w:spacing w:after="0"/>
              <w:rPr>
                <w:sz w:val="20"/>
                <w:szCs w:val="20"/>
                <w:color w:val="auto"/>
              </w:rPr>
            </w:pPr>
            <w:r>
              <w:rPr>
                <w:rFonts w:ascii="Arial" w:cs="Arial" w:eastAsia="Arial" w:hAnsi="Arial"/>
                <w:sz w:val="18"/>
                <w:szCs w:val="18"/>
                <w:color w:val="auto"/>
              </w:rPr>
              <w:t>Report</w:t>
            </w:r>
          </w:p>
        </w:tc>
        <w:tc>
          <w:tcPr>
            <w:tcW w:w="9240" w:type="dxa"/>
            <w:vAlign w:val="bottom"/>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24"/>
                <w:szCs w:val="24"/>
                <w:color w:val="auto"/>
              </w:rPr>
            </w:pPr>
          </w:p>
        </w:tc>
        <w:tc>
          <w:tcPr>
            <w:tcW w:w="9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January 24, 2011 (furnished pursuant to Item 2.02)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20" w:hanging="32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entertainment electronics;</w:t>
      </w:r>
    </w:p>
    <w:p>
      <w:pPr>
        <w:spacing w:after="0" w:line="263" w:lineRule="exact"/>
        <w:rPr>
          <w:rFonts w:ascii="Arial" w:cs="Arial" w:eastAsia="Arial" w:hAnsi="Arial"/>
          <w:sz w:val="17"/>
          <w:szCs w:val="17"/>
          <w:color w:val="auto"/>
        </w:rPr>
      </w:pPr>
    </w:p>
    <w:p>
      <w:pPr>
        <w:ind w:left="620" w:right="480" w:hanging="328"/>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20" w:right="780" w:hanging="328"/>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20" w:right="240" w:hanging="328"/>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20" w:right="40" w:hanging="328"/>
        <w:spacing w:after="0" w:line="342"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620" w:hanging="32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20" w:right="420" w:hanging="328"/>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on Form 8-K are made only as of the date of this report, and we undertake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ectPr>
          <w:pgSz w:w="11900" w:h="16887" w:orient="portrait"/>
          <w:cols w:equalWidth="0" w:num="1">
            <w:col w:w="11420"/>
          </w:cols>
          <w:pgMar w:left="240" w:top="274"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January 24,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4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4Q10 and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DALLAS (Jan. 24, 2011) – Texas Instruments Incorporated (TI) (NYSE: TXN) today announced fourth-quarter revenue of $3.53 billion, net income of $942 million and earnings per share of 78 cents. Earnings per share included 14 cents from the combination of the gain on the sale of a product line and a tax benefit that was primarily associated with the reinstatement of the federal R&amp;D tax credit.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strong financial results for the fourth quarter reinforce our view that the inventory-driven downturn that started in the second half of 2010 is now mostly complete,” said Rich Templeton, TI chairman, president and chief executive officer. “We used this short and shallow downturn to replenish our inventory, return product lead times to normal and ramp three new factories. As markets start to grow again, we are well positioned with the products and manufacturing capacity that our customers need.”</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Templeton noted that the fourth quarter capped an important year in TI’s transformation. “Strong revenue growth of 34 percent last year was led by our core businesses of Analog, Embedded Processing and the part of our Wireless segment that is focused on smartphones and tablets. Each of these core businesses grew more than 40 percent and gained significant market share. Success in these businesses let us again return cash to shareholders by repurchasing $2.5 billion of TI stock and paying dividends of nearly $600 million.</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we enter 2011, Analog and Embedded Processing technologies are becoming even more pervasive in the electronics of everyday life. They are critical for the small form factors and long battery lives in tablets and smartphones, the safety and intelligence features in automobiles, and the reliability and energy-saving features of the smart grid. With our focused R&amp;D and expanded manufacturing capacity, we’re ready to deliver when and where our customers want.”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4Q10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4Q10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4Q09</w:t>
            </w:r>
          </w:p>
        </w:tc>
        <w:tc>
          <w:tcPr>
            <w:tcW w:w="340" w:type="dxa"/>
            <w:vAlign w:val="bottom"/>
          </w:tcPr>
          <w:p>
            <w:pPr>
              <w:spacing w:after="0"/>
              <w:rPr>
                <w:sz w:val="20"/>
                <w:szCs w:val="20"/>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vs. 4Q09</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3Q10</w:t>
            </w: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vs. 3Q10</w:t>
            </w:r>
          </w:p>
        </w:tc>
        <w:tc>
          <w:tcPr>
            <w:tcW w:w="1360" w:type="dxa"/>
            <w:vAlign w:val="bottom"/>
          </w:tcPr>
          <w:p>
            <w:pPr>
              <w:spacing w:after="0"/>
              <w:rPr>
                <w:sz w:val="20"/>
                <w:szCs w:val="20"/>
                <w:color w:val="auto"/>
              </w:rPr>
            </w:pPr>
          </w:p>
        </w:tc>
      </w:tr>
      <w:tr>
        <w:trPr>
          <w:trHeight w:val="216"/>
        </w:trPr>
        <w:tc>
          <w:tcPr>
            <w:tcW w:w="33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3,005</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w:t>
            </w:r>
          </w:p>
        </w:tc>
        <w:tc>
          <w:tcPr>
            <w:tcW w:w="26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w:t>
            </w:r>
          </w:p>
        </w:tc>
      </w:tr>
      <w:tr>
        <w:trPr>
          <w:trHeight w:val="216"/>
        </w:trPr>
        <w:tc>
          <w:tcPr>
            <w:tcW w:w="3340" w:type="dxa"/>
            <w:vAlign w:val="bottom"/>
          </w:tcPr>
          <w:p>
            <w:pPr>
              <w:jc w:val="right"/>
              <w:ind w:right="1530"/>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1,227</w:t>
            </w:r>
          </w:p>
        </w:tc>
        <w:tc>
          <w:tcPr>
            <w:tcW w:w="2600" w:type="dxa"/>
            <w:vAlign w:val="bottom"/>
            <w:gridSpan w:val="2"/>
          </w:tcPr>
          <w:p>
            <w:pPr>
              <w:jc w:val="right"/>
              <w:ind w:right="1220"/>
              <w:spacing w:after="0"/>
              <w:rPr>
                <w:sz w:val="20"/>
                <w:szCs w:val="20"/>
                <w:color w:val="auto"/>
              </w:rPr>
            </w:pPr>
            <w:r>
              <w:rPr>
                <w:rFonts w:ascii="Arial" w:cs="Arial" w:eastAsia="Arial" w:hAnsi="Arial"/>
                <w:sz w:val="18"/>
                <w:szCs w:val="18"/>
                <w:color w:val="auto"/>
              </w:rPr>
              <w:t>0%</w:t>
            </w:r>
          </w:p>
        </w:tc>
      </w:tr>
      <w:tr>
        <w:trPr>
          <w:trHeight w:val="216"/>
        </w:trPr>
        <w:tc>
          <w:tcPr>
            <w:tcW w:w="33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26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w:t>
            </w:r>
          </w:p>
        </w:tc>
      </w:tr>
      <w:tr>
        <w:trPr>
          <w:trHeight w:val="216"/>
        </w:trPr>
        <w:tc>
          <w:tcPr>
            <w:tcW w:w="3340" w:type="dxa"/>
            <w:vAlign w:val="bottom"/>
          </w:tcPr>
          <w:p>
            <w:pPr>
              <w:jc w:val="right"/>
              <w:ind w:right="153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0.52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2600" w:type="dxa"/>
            <w:vAlign w:val="bottom"/>
            <w:gridSpan w:val="2"/>
          </w:tcPr>
          <w:p>
            <w:pPr>
              <w:jc w:val="right"/>
              <w:ind w:right="1220"/>
              <w:spacing w:after="0"/>
              <w:rPr>
                <w:sz w:val="20"/>
                <w:szCs w:val="20"/>
                <w:color w:val="auto"/>
              </w:rPr>
            </w:pPr>
            <w:r>
              <w:rPr>
                <w:rFonts w:ascii="Arial" w:cs="Arial" w:eastAsia="Arial" w:hAnsi="Arial"/>
                <w:sz w:val="18"/>
                <w:szCs w:val="18"/>
                <w:color w:val="auto"/>
              </w:rPr>
              <w:t>10%</w:t>
            </w:r>
          </w:p>
        </w:tc>
      </w:tr>
      <w:tr>
        <w:trPr>
          <w:trHeight w:val="202"/>
        </w:trPr>
        <w:tc>
          <w:tcPr>
            <w:tcW w:w="3340" w:type="dxa"/>
            <w:vAlign w:val="bottom"/>
            <w:shd w:val="clear" w:color="auto" w:fill="CCEEFF"/>
          </w:tcPr>
          <w:p>
            <w:pPr>
              <w:jc w:val="right"/>
              <w:ind w:right="1530"/>
              <w:spacing w:after="0" w:line="201" w:lineRule="exact"/>
              <w:rPr>
                <w:sz w:val="20"/>
                <w:szCs w:val="20"/>
                <w:color w:val="auto"/>
              </w:rPr>
            </w:pPr>
            <w:r>
              <w:rPr>
                <w:rFonts w:ascii="Arial" w:cs="Arial" w:eastAsia="Arial" w:hAnsi="Arial"/>
                <w:sz w:val="18"/>
                <w:szCs w:val="18"/>
                <w:color w:val="auto"/>
              </w:rPr>
              <w:t>Cash flow from</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operations: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w:t>
            </w:r>
          </w:p>
        </w:tc>
        <w:tc>
          <w:tcPr>
            <w:tcW w:w="26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TI’s operating profit included $144 million from the gain on the sale of a product line. Net income also included a $78 million tax benefit, which was primarily associated with the reinstatement of the federal R&amp;D tax credit that was retroactive to the beginning of 2010.</w:t>
      </w:r>
    </w:p>
    <w:p>
      <w:pPr>
        <w:spacing w:after="0" w:line="19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operating profit increased from a year ago due to higher gross profit from higher revenue. Compared with the prior quarter, operating profit was about even as lower gross profit, which resulted from lower revenue, offset the gain on sale and lower operating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4Q10 segment results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4Q10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4Q09</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vs. 4Q09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3Q10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vs. 3Q10</w:t>
            </w:r>
          </w:p>
        </w:tc>
      </w:tr>
      <w:tr>
        <w:trPr>
          <w:trHeight w:val="202"/>
        </w:trPr>
        <w:tc>
          <w:tcPr>
            <w:tcW w:w="20" w:type="dxa"/>
            <w:vAlign w:val="bottom"/>
          </w:tcPr>
          <w:p>
            <w:pPr>
              <w:spacing w:after="0"/>
              <w:rPr>
                <w:sz w:val="17"/>
                <w:szCs w:val="17"/>
                <w:color w:val="auto"/>
              </w:rPr>
            </w:pPr>
          </w:p>
        </w:tc>
        <w:tc>
          <w:tcPr>
            <w:tcW w:w="372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Analog:</w:t>
            </w: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1,518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1,581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 (loss)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Wireless:</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 (loss)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Note: 4Q09 has been restated to reflect the 1Q10 transfer of a low-power wireless product line from the Analog segment to the Wireless segment. For 2009, revenue from this product line was $68 million, and it operated at a loss of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high-volume analog &amp; logic, high-performance analog and power management products)</w:t>
      </w:r>
    </w:p>
    <w:p>
      <w:pPr>
        <w:spacing w:after="0" w:line="27" w:lineRule="exact"/>
        <w:rPr>
          <w:sz w:val="20"/>
          <w:szCs w:val="20"/>
          <w:color w:val="auto"/>
        </w:rPr>
      </w:pPr>
    </w:p>
    <w:p>
      <w:pPr>
        <w:ind w:left="340" w:hanging="228"/>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with a year ago, the increase in revenue was primarily due to high-performance analog products. High-volume analog &amp; logic and power management products grew to a lesser extent.</w:t>
      </w:r>
    </w:p>
    <w:p>
      <w:pPr>
        <w:ind w:left="340" w:right="20" w:hanging="228"/>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with the prior quarter, the decline in revenue was primarily due to power management products. The other two product areas declined to a lesser extent.</w:t>
      </w:r>
    </w:p>
    <w:p>
      <w:pPr>
        <w:ind w:left="340" w:hanging="22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increased from a year ago and declined from the prior quarter due to gross profit changes.</w:t>
      </w:r>
    </w:p>
    <w:p>
      <w:pPr>
        <w:spacing w:after="0" w:line="23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a year ago, revenue grew primarily due to catalog products. Revenue from products sold into communications infrastructure also grew strongly, while revenue from automotive applications increased to a lesser extent.</w:t>
      </w:r>
    </w:p>
    <w:p>
      <w:pPr>
        <w:ind w:left="340" w:hanging="228"/>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Compared with the prior quarter, revenue declined due to catalog products.  Revenue from products sold into communications infrastructure and</w:t>
      </w:r>
    </w:p>
    <w:p>
      <w:pPr>
        <w:sectPr>
          <w:pgSz w:w="11900" w:h="16838" w:orient="portrait"/>
          <w:cols w:equalWidth="0" w:num="1">
            <w:col w:w="11420"/>
          </w:cols>
          <w:pgMar w:left="240" w:top="125" w:right="239" w:bottom="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automotive applications was about even.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Ÿ Operating profit increased from a year ago and declined from the prior quarter due to gross profit changes.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340" w:right="2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revenue was about even as strength in connectivity products, and to a lesser extent applications processors, was offset by lower baseband revenue.</w:t>
      </w:r>
    </w:p>
    <w:p>
      <w:pPr>
        <w:ind w:left="340" w:right="2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was even as growth in applications processors was offset by lower revenue from connectivity and baseband products.</w:t>
      </w: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was about even with the year-ago and prior quarters.</w:t>
      </w:r>
    </w:p>
    <w:p>
      <w:pPr>
        <w:spacing w:after="0" w:line="234"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 as well as products sold under transitional supply agreements associated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recently acquired factories)</w:t>
      </w:r>
    </w:p>
    <w:p>
      <w:pPr>
        <w:spacing w:after="0" w:line="1" w:lineRule="exact"/>
        <w:rPr>
          <w:sz w:val="20"/>
          <w:szCs w:val="20"/>
          <w:color w:val="auto"/>
        </w:rPr>
      </w:pP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a year ago, revenue grew primarily as a result of transitional supply agreements associated with recently acquired factories and higher revenue from custom ASIC and DLP products. Royalties and calculator revenue increased to a lesser extent.</w:t>
      </w:r>
    </w:p>
    <w:p>
      <w:pPr>
        <w:ind w:left="340" w:hanging="228"/>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Compared with the prior quarter, revenue decreased due to the seasonal decline in calculator revenue. DLP product revenue declined and transitional supply revenue increased by similar amounts. Royalty revenue increased to a lesser extent and custom ASIC revenue was about even.</w:t>
      </w: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both from a year ago and from the prior quarter primarily due to the gain on the sale of a product line. Higher gross profit also contributed to the year-ago increase. Lower gross profit partially offset the gain on sale compared with the prior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4Q10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4Q09</w:t>
            </w:r>
          </w:p>
        </w:tc>
        <w:tc>
          <w:tcPr>
            <w:tcW w:w="580" w:type="dxa"/>
            <w:vAlign w:val="bottom"/>
          </w:tcPr>
          <w:p>
            <w:pPr>
              <w:spacing w:after="0"/>
              <w:rPr>
                <w:sz w:val="20"/>
                <w:szCs w:val="20"/>
                <w:color w:val="auto"/>
              </w:rPr>
            </w:pPr>
          </w:p>
        </w:tc>
        <w:tc>
          <w:tcPr>
            <w:tcW w:w="4640" w:type="dxa"/>
            <w:vAlign w:val="bottom"/>
            <w:gridSpan w:val="2"/>
          </w:tcPr>
          <w:p>
            <w:pPr>
              <w:jc w:val="right"/>
              <w:ind w:right="3760"/>
              <w:spacing w:after="0"/>
              <w:rPr>
                <w:sz w:val="20"/>
                <w:szCs w:val="20"/>
                <w:color w:val="auto"/>
              </w:rPr>
            </w:pPr>
            <w:r>
              <w:rPr>
                <w:rFonts w:ascii="Arial" w:cs="Arial" w:eastAsia="Arial" w:hAnsi="Arial"/>
                <w:sz w:val="18"/>
                <w:szCs w:val="18"/>
                <w:color w:val="auto"/>
              </w:rPr>
              <w:t>3Q10</w:t>
            </w:r>
          </w:p>
        </w:tc>
      </w:tr>
      <w:tr>
        <w:trPr>
          <w:trHeight w:val="27"/>
        </w:trPr>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16"/>
        </w:trPr>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Analog:</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1</w:t>
            </w:r>
          </w:p>
        </w:tc>
      </w:tr>
      <w:tr>
        <w:trPr>
          <w:trHeight w:val="202"/>
        </w:trPr>
        <w:tc>
          <w:tcPr>
            <w:tcW w:w="2300" w:type="dxa"/>
            <w:vAlign w:val="bottom"/>
          </w:tcPr>
          <w:p>
            <w:pPr>
              <w:jc w:val="right"/>
              <w:ind w:right="710"/>
              <w:spacing w:after="0" w:line="201" w:lineRule="exact"/>
              <w:rPr>
                <w:sz w:val="20"/>
                <w:szCs w:val="20"/>
                <w:color w:val="auto"/>
              </w:rPr>
            </w:pPr>
            <w:r>
              <w:rPr>
                <w:rFonts w:ascii="Arial" w:cs="Arial" w:eastAsia="Arial" w:hAnsi="Arial"/>
                <w:sz w:val="18"/>
                <w:szCs w:val="18"/>
                <w:color w:val="auto"/>
              </w:rPr>
              <w:t>Embedded</w:t>
            </w: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30"/>
        </w:trPr>
        <w:tc>
          <w:tcPr>
            <w:tcW w:w="2300" w:type="dxa"/>
            <w:vAlign w:val="bottom"/>
          </w:tcPr>
          <w:p>
            <w:pPr>
              <w:jc w:val="right"/>
              <w:ind w:right="710"/>
              <w:spacing w:after="0"/>
              <w:rPr>
                <w:sz w:val="20"/>
                <w:szCs w:val="20"/>
                <w:color w:val="auto"/>
              </w:rPr>
            </w:pPr>
            <w:r>
              <w:rPr>
                <w:rFonts w:ascii="Arial" w:cs="Arial" w:eastAsia="Arial" w:hAnsi="Arial"/>
                <w:sz w:val="18"/>
                <w:szCs w:val="18"/>
                <w:color w:val="auto"/>
              </w:rPr>
              <w:t>Processing:</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tcPr>
          <w:p>
            <w:pPr>
              <w:jc w:val="right"/>
              <w:ind w:right="3760"/>
              <w:spacing w:after="0"/>
              <w:rPr>
                <w:sz w:val="20"/>
                <w:szCs w:val="20"/>
                <w:color w:val="auto"/>
              </w:rPr>
            </w:pPr>
            <w:r>
              <w:rPr>
                <w:rFonts w:ascii="Arial" w:cs="Arial" w:eastAsia="Arial" w:hAnsi="Arial"/>
                <w:sz w:val="18"/>
                <w:szCs w:val="18"/>
                <w:color w:val="auto"/>
              </w:rPr>
              <w:t>1</w:t>
            </w:r>
          </w:p>
        </w:tc>
      </w:tr>
      <w:tr>
        <w:trPr>
          <w:trHeight w:val="216"/>
        </w:trPr>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Wireless: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1</w:t>
            </w:r>
          </w:p>
        </w:tc>
      </w:tr>
      <w:tr>
        <w:trPr>
          <w:trHeight w:val="216"/>
        </w:trPr>
        <w:tc>
          <w:tcPr>
            <w:tcW w:w="2300" w:type="dxa"/>
            <w:vAlign w:val="bottom"/>
          </w:tcPr>
          <w:p>
            <w:pPr>
              <w:jc w:val="right"/>
              <w:ind w:right="71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tcPr>
          <w:p>
            <w:pPr>
              <w:jc w:val="right"/>
              <w:ind w:right="3760"/>
              <w:spacing w:after="0"/>
              <w:rPr>
                <w:sz w:val="20"/>
                <w:szCs w:val="20"/>
                <w:color w:val="auto"/>
              </w:rPr>
            </w:pPr>
            <w:r>
              <w:rPr>
                <w:rFonts w:ascii="Arial" w:cs="Arial" w:eastAsia="Arial" w:hAnsi="Arial"/>
                <w:sz w:val="18"/>
                <w:szCs w:val="18"/>
                <w:color w:val="auto"/>
              </w:rPr>
              <w:t>1</w:t>
            </w:r>
          </w:p>
        </w:tc>
      </w:tr>
      <w:tr>
        <w:trPr>
          <w:trHeight w:val="216"/>
        </w:trPr>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4Q10 additional financial information</w:t>
      </w:r>
    </w:p>
    <w:p>
      <w:pPr>
        <w:spacing w:after="0" w:line="256" w:lineRule="exact"/>
        <w:rPr>
          <w:sz w:val="20"/>
          <w:szCs w:val="20"/>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Orders were $3.13 billion, down 4 percent from a year ago and down 9 percent from the prior quarter.</w:t>
      </w:r>
    </w:p>
    <w:p>
      <w:pPr>
        <w:spacing w:after="0" w:line="23" w:lineRule="exact"/>
        <w:rPr>
          <w:rFonts w:ascii="Arial" w:cs="Arial" w:eastAsia="Arial" w:hAnsi="Arial"/>
          <w:sz w:val="18"/>
          <w:szCs w:val="18"/>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was $1.52 billion at the end of the quarter, up $318 million from a year ago and up $96 million from the prior quarter.</w:t>
      </w:r>
    </w:p>
    <w:p>
      <w:pPr>
        <w:spacing w:after="0" w:line="9" w:lineRule="exact"/>
        <w:rPr>
          <w:rFonts w:ascii="Arial" w:cs="Arial" w:eastAsia="Arial" w:hAnsi="Arial"/>
          <w:sz w:val="18"/>
          <w:szCs w:val="18"/>
          <w:color w:val="auto"/>
        </w:rPr>
      </w:pPr>
    </w:p>
    <w:p>
      <w:pPr>
        <w:ind w:left="340" w:hanging="228"/>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were $301 million in the quarter compared with $436 million a year ago and $396 million in the prior quarter. Capital expenditures in the quarter were primarily for assembly/test manufacturing equipment, as well as for analog wafer manufacturing equipment.</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used $600 million in the quarter to repurchase 19.5 million shares of its common stock and paid dividends of $153 million.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w w:val="92"/>
              </w:rPr>
              <w:t>Year 2010 financial summary</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480"/>
        </w:trPr>
        <w:tc>
          <w:tcPr>
            <w:tcW w:w="2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2009</w:t>
            </w:r>
          </w:p>
        </w:tc>
        <w:tc>
          <w:tcPr>
            <w:tcW w:w="5220" w:type="dxa"/>
            <w:vAlign w:val="bottom"/>
            <w:gridSpan w:val="2"/>
          </w:tcPr>
          <w:p>
            <w:pPr>
              <w:jc w:val="right"/>
              <w:ind w:right="3760"/>
              <w:spacing w:after="0"/>
              <w:rPr>
                <w:sz w:val="20"/>
                <w:szCs w:val="20"/>
                <w:color w:val="auto"/>
              </w:rPr>
            </w:pPr>
            <w:r>
              <w:rPr>
                <w:rFonts w:ascii="Arial" w:cs="Arial" w:eastAsia="Arial" w:hAnsi="Arial"/>
                <w:sz w:val="18"/>
                <w:szCs w:val="18"/>
                <w:color w:val="auto"/>
              </w:rPr>
              <w:t>vs. 2009</w:t>
            </w:r>
          </w:p>
        </w:tc>
      </w:tr>
      <w:tr>
        <w:trPr>
          <w:trHeight w:val="27"/>
        </w:trPr>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16"/>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10,427</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34%</w:t>
            </w:r>
          </w:p>
        </w:tc>
      </w:tr>
      <w:tr>
        <w:trPr>
          <w:trHeight w:val="216"/>
        </w:trPr>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Operating profit: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4,514</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1,991</w:t>
            </w:r>
          </w:p>
        </w:tc>
        <w:tc>
          <w:tcPr>
            <w:tcW w:w="5220" w:type="dxa"/>
            <w:vAlign w:val="bottom"/>
            <w:gridSpan w:val="2"/>
          </w:tcPr>
          <w:p>
            <w:pPr>
              <w:jc w:val="right"/>
              <w:ind w:right="3600"/>
              <w:spacing w:after="0"/>
              <w:rPr>
                <w:sz w:val="20"/>
                <w:szCs w:val="20"/>
                <w:color w:val="auto"/>
              </w:rPr>
            </w:pPr>
            <w:r>
              <w:rPr>
                <w:rFonts w:ascii="Arial" w:cs="Arial" w:eastAsia="Arial" w:hAnsi="Arial"/>
                <w:sz w:val="18"/>
                <w:szCs w:val="18"/>
                <w:color w:val="auto"/>
              </w:rPr>
              <w:t>127%</w:t>
            </w:r>
          </w:p>
        </w:tc>
      </w:tr>
      <w:tr>
        <w:trPr>
          <w:trHeight w:val="216"/>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1,470</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120%</w:t>
            </w:r>
          </w:p>
        </w:tc>
      </w:tr>
      <w:tr>
        <w:trPr>
          <w:trHeight w:val="216"/>
        </w:trPr>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Earnings per share: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5220" w:type="dxa"/>
            <w:vAlign w:val="bottom"/>
            <w:gridSpan w:val="2"/>
          </w:tcPr>
          <w:p>
            <w:pPr>
              <w:jc w:val="right"/>
              <w:ind w:right="3600"/>
              <w:spacing w:after="0"/>
              <w:rPr>
                <w:sz w:val="20"/>
                <w:szCs w:val="20"/>
                <w:color w:val="auto"/>
              </w:rPr>
            </w:pPr>
            <w:r>
              <w:rPr>
                <w:rFonts w:ascii="Arial" w:cs="Arial" w:eastAsia="Arial" w:hAnsi="Arial"/>
                <w:sz w:val="18"/>
                <w:szCs w:val="18"/>
                <w:color w:val="auto"/>
              </w:rPr>
              <w:t>128%</w:t>
            </w:r>
          </w:p>
        </w:tc>
      </w:tr>
      <w:tr>
        <w:trPr>
          <w:trHeight w:val="202"/>
        </w:trPr>
        <w:tc>
          <w:tcPr>
            <w:tcW w:w="230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Cash flow from</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r>
        <w:trPr>
          <w:trHeight w:val="230"/>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operations: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2,643</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TI’s operating profit increased in 2010 due to higher gross profit from higher revenue.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Year 2010 segment results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4"/>
        </w:trPr>
        <w:tc>
          <w:tcPr>
            <w:tcW w:w="60" w:type="dxa"/>
            <w:vAlign w:val="bottom"/>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vs. 2009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Note</w:t>
            </w:r>
          </w:p>
        </w:tc>
      </w:tr>
      <w:tr>
        <w:trPr>
          <w:trHeight w:val="202"/>
        </w:trPr>
        <w:tc>
          <w:tcPr>
            <w:tcW w:w="60" w:type="dxa"/>
            <w:vAlign w:val="bottom"/>
          </w:tcPr>
          <w:p>
            <w:pPr>
              <w:spacing w:after="0"/>
              <w:rPr>
                <w:sz w:val="17"/>
                <w:szCs w:val="17"/>
                <w:color w:val="auto"/>
              </w:rPr>
            </w:pPr>
          </w:p>
        </w:tc>
        <w:tc>
          <w:tcPr>
            <w:tcW w:w="318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Analog:</w:t>
            </w:r>
          </w:p>
        </w:tc>
        <w:tc>
          <w:tcPr>
            <w:tcW w:w="11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5,979</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2,073</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Wireless:</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2,626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2,936</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1,464</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340" w:right="20" w:hanging="308"/>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Analog revenue increased due to strength across all three major product areas – high-volume analog &amp; logic, power management and high-performance analog products.</w:t>
      </w:r>
    </w:p>
    <w:p>
      <w:pPr>
        <w:spacing w:after="0" w:line="197"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Embedded Processing revenue increased primarily due to catalog products. Revenue from products sold into communications infrastructure and automotive applications increased to a lesser extent.</w:t>
      </w:r>
    </w:p>
    <w:p>
      <w:pPr>
        <w:spacing w:after="0" w:line="197" w:lineRule="exact"/>
        <w:rPr>
          <w:rFonts w:ascii="Arial" w:cs="Arial" w:eastAsia="Arial" w:hAnsi="Arial"/>
          <w:sz w:val="18"/>
          <w:szCs w:val="18"/>
          <w:color w:val="auto"/>
        </w:rPr>
      </w:pPr>
    </w:p>
    <w:p>
      <w:pPr>
        <w:ind w:left="340" w:hanging="308"/>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Wireless revenue increased primarily due to strength in connectivity products, and to a lesser extent, applications processors.  Baseband revenue was</w:t>
      </w:r>
    </w:p>
    <w:p>
      <w:pPr>
        <w:sectPr>
          <w:pgSz w:w="11900" w:h="16838" w:orient="portrait"/>
          <w:cols w:equalWidth="0" w:num="1">
            <w:col w:w="11420"/>
          </w:cols>
          <w:pgMar w:left="240" w:top="125" w:right="239" w:bottom="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about even.</w:t>
      </w:r>
    </w:p>
    <w:p>
      <w:pPr>
        <w:spacing w:after="0" w:line="252" w:lineRule="exact"/>
        <w:rPr>
          <w:sz w:val="20"/>
          <w:szCs w:val="20"/>
          <w:color w:val="auto"/>
        </w:rPr>
      </w:pPr>
    </w:p>
    <w:p>
      <w:pPr>
        <w:ind w:left="340" w:hanging="308"/>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revenue increased primarily due to strength in DLP products and custom ASIC products, as well as higher royalties. Transitional supply revenue and calculator revenue grew to a lesser extent.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negatively impacted each segment’s operating profit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0" w:type="dxa"/>
            <w:vAlign w:val="bottom"/>
            <w:gridSpan w:val="2"/>
          </w:tcPr>
          <w:p>
            <w:pPr>
              <w:jc w:val="right"/>
              <w:ind w:right="5140"/>
              <w:spacing w:after="0"/>
              <w:rPr>
                <w:sz w:val="20"/>
                <w:szCs w:val="20"/>
                <w:color w:val="auto"/>
              </w:rPr>
            </w:pPr>
            <w:r>
              <w:rPr>
                <w:rFonts w:ascii="Arial" w:cs="Arial" w:eastAsia="Arial" w:hAnsi="Arial"/>
                <w:sz w:val="18"/>
                <w:szCs w:val="18"/>
                <w:color w:val="auto"/>
              </w:rPr>
              <w:t>2009</w:t>
            </w:r>
          </w:p>
        </w:tc>
      </w:tr>
      <w:tr>
        <w:trPr>
          <w:trHeight w:val="27"/>
        </w:trPr>
        <w:tc>
          <w:tcPr>
            <w:tcW w:w="2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r>
      <w:tr>
        <w:trPr>
          <w:trHeight w:val="216"/>
        </w:trPr>
        <w:tc>
          <w:tcPr>
            <w:tcW w:w="2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Analog:</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shd w:val="clear" w:color="auto" w:fill="CCEEFF"/>
          </w:tcPr>
          <w:p>
            <w:pPr>
              <w:jc w:val="right"/>
              <w:ind w:right="5140"/>
              <w:spacing w:after="0"/>
              <w:rPr>
                <w:sz w:val="20"/>
                <w:szCs w:val="20"/>
                <w:color w:val="auto"/>
              </w:rPr>
            </w:pPr>
            <w:r>
              <w:rPr>
                <w:rFonts w:ascii="Arial" w:cs="Arial" w:eastAsia="Arial" w:hAnsi="Arial"/>
                <w:sz w:val="18"/>
                <w:szCs w:val="18"/>
                <w:color w:val="auto"/>
              </w:rPr>
              <w:t>84</w:t>
            </w:r>
          </w:p>
        </w:tc>
      </w:tr>
      <w:tr>
        <w:trPr>
          <w:trHeight w:val="202"/>
        </w:trPr>
        <w:tc>
          <w:tcPr>
            <w:tcW w:w="2880" w:type="dxa"/>
            <w:vAlign w:val="bottom"/>
          </w:tcPr>
          <w:p>
            <w:pPr>
              <w:jc w:val="right"/>
              <w:ind w:right="1290"/>
              <w:spacing w:after="0" w:line="201" w:lineRule="exact"/>
              <w:rPr>
                <w:sz w:val="20"/>
                <w:szCs w:val="20"/>
                <w:color w:val="auto"/>
              </w:rPr>
            </w:pPr>
            <w:r>
              <w:rPr>
                <w:rFonts w:ascii="Arial" w:cs="Arial" w:eastAsia="Arial" w:hAnsi="Arial"/>
                <w:sz w:val="18"/>
                <w:szCs w:val="18"/>
                <w:color w:val="auto"/>
              </w:rPr>
              <w:t>Embedded</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0"/>
        </w:trPr>
        <w:tc>
          <w:tcPr>
            <w:tcW w:w="2880" w:type="dxa"/>
            <w:vAlign w:val="bottom"/>
          </w:tcPr>
          <w:p>
            <w:pPr>
              <w:jc w:val="right"/>
              <w:ind w:right="1290"/>
              <w:spacing w:after="0"/>
              <w:rPr>
                <w:sz w:val="20"/>
                <w:szCs w:val="20"/>
                <w:color w:val="auto"/>
              </w:rPr>
            </w:pPr>
            <w:r>
              <w:rPr>
                <w:rFonts w:ascii="Arial" w:cs="Arial" w:eastAsia="Arial" w:hAnsi="Arial"/>
                <w:sz w:val="18"/>
                <w:szCs w:val="18"/>
                <w:color w:val="auto"/>
              </w:rPr>
              <w:t>Processing:</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tcPr>
          <w:p>
            <w:pPr>
              <w:jc w:val="right"/>
              <w:ind w:right="5140"/>
              <w:spacing w:after="0"/>
              <w:rPr>
                <w:sz w:val="20"/>
                <w:szCs w:val="20"/>
                <w:color w:val="auto"/>
              </w:rPr>
            </w:pPr>
            <w:r>
              <w:rPr>
                <w:rFonts w:ascii="Arial" w:cs="Arial" w:eastAsia="Arial" w:hAnsi="Arial"/>
                <w:sz w:val="18"/>
                <w:szCs w:val="18"/>
                <w:color w:val="auto"/>
              </w:rPr>
              <w:t>43</w:t>
            </w:r>
          </w:p>
        </w:tc>
      </w:tr>
      <w:tr>
        <w:trPr>
          <w:trHeight w:val="216"/>
        </w:trPr>
        <w:tc>
          <w:tcPr>
            <w:tcW w:w="2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Wireless:</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shd w:val="clear" w:color="auto" w:fill="CCEEFF"/>
          </w:tcPr>
          <w:p>
            <w:pPr>
              <w:jc w:val="right"/>
              <w:ind w:right="5140"/>
              <w:spacing w:after="0"/>
              <w:rPr>
                <w:sz w:val="20"/>
                <w:szCs w:val="20"/>
                <w:color w:val="auto"/>
              </w:rPr>
            </w:pPr>
            <w:r>
              <w:rPr>
                <w:rFonts w:ascii="Arial" w:cs="Arial" w:eastAsia="Arial" w:hAnsi="Arial"/>
                <w:sz w:val="18"/>
                <w:szCs w:val="18"/>
                <w:color w:val="auto"/>
              </w:rPr>
              <w:t>62</w:t>
            </w:r>
          </w:p>
        </w:tc>
      </w:tr>
      <w:tr>
        <w:trPr>
          <w:trHeight w:val="216"/>
        </w:trPr>
        <w:tc>
          <w:tcPr>
            <w:tcW w:w="2880" w:type="dxa"/>
            <w:vAlign w:val="bottom"/>
          </w:tcPr>
          <w:p>
            <w:pPr>
              <w:jc w:val="right"/>
              <w:ind w:right="129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tcPr>
          <w:p>
            <w:pPr>
              <w:jc w:val="right"/>
              <w:ind w:right="5140"/>
              <w:spacing w:after="0"/>
              <w:rPr>
                <w:sz w:val="20"/>
                <w:szCs w:val="20"/>
                <w:color w:val="auto"/>
              </w:rPr>
            </w:pPr>
            <w:r>
              <w:rPr>
                <w:rFonts w:ascii="Arial" w:cs="Arial" w:eastAsia="Arial" w:hAnsi="Arial"/>
                <w:sz w:val="18"/>
                <w:szCs w:val="18"/>
                <w:color w:val="auto"/>
              </w:rPr>
              <w:t>23</w:t>
            </w:r>
          </w:p>
        </w:tc>
      </w:tr>
      <w:tr>
        <w:trPr>
          <w:trHeight w:val="216"/>
        </w:trPr>
        <w:tc>
          <w:tcPr>
            <w:tcW w:w="2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shd w:val="clear" w:color="auto" w:fill="CCEEFF"/>
          </w:tcPr>
          <w:p>
            <w:pPr>
              <w:jc w:val="right"/>
              <w:ind w:right="5140"/>
              <w:spacing w:after="0"/>
              <w:rPr>
                <w:sz w:val="20"/>
                <w:szCs w:val="20"/>
                <w:color w:val="auto"/>
              </w:rPr>
            </w:pPr>
            <w:r>
              <w:rPr>
                <w:rFonts w:ascii="Arial" w:cs="Arial" w:eastAsia="Arial" w:hAnsi="Arial"/>
                <w:sz w:val="18"/>
                <w:szCs w:val="18"/>
                <w:color w:val="auto"/>
              </w:rPr>
              <w:t>212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2010 additional financial information</w:t>
      </w:r>
    </w:p>
    <w:p>
      <w:pPr>
        <w:spacing w:after="0" w:line="256" w:lineRule="exact"/>
        <w:rPr>
          <w:sz w:val="20"/>
          <w:szCs w:val="20"/>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were $1.20 billion in 2010, up $446 million from 2009.</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used $2.45 billion to repurchase 93.7 million shares of its common stock and paid dividends of $592 million.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2011, TI expects:</w:t>
      </w:r>
    </w:p>
    <w:p>
      <w:pPr>
        <w:spacing w:after="0" w:line="252" w:lineRule="exact"/>
        <w:rPr>
          <w:sz w:val="20"/>
          <w:szCs w:val="20"/>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$3.27 – 3.55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per share: $0.54 – 0.62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first-quarter outlook on March 8,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2011,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R&amp;D expense: $1.7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effective tax rate: 30%</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Years Ended</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Dec. 31, 2010</w:t>
            </w:r>
          </w:p>
        </w:tc>
        <w:tc>
          <w:tcPr>
            <w:tcW w:w="6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Dec. 31, 2009</w:t>
            </w:r>
          </w:p>
        </w:tc>
        <w:tc>
          <w:tcPr>
            <w:tcW w:w="60" w:type="dxa"/>
            <w:vAlign w:val="bottom"/>
          </w:tcPr>
          <w:p>
            <w:pPr>
              <w:spacing w:after="0"/>
              <w:rPr>
                <w:sz w:val="19"/>
                <w:szCs w:val="19"/>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Sept. 30, 2010</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Dec. 31, 2010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Dec. 31,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3,525</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3,005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3,740</w:t>
            </w:r>
          </w:p>
        </w:tc>
        <w:tc>
          <w:tcPr>
            <w:tcW w:w="28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13,966</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1,656</w:t>
            </w:r>
          </w:p>
        </w:tc>
        <w:tc>
          <w:tcPr>
            <w:tcW w:w="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6,474</w:t>
            </w:r>
          </w:p>
        </w:tc>
        <w:tc>
          <w:tcPr>
            <w:tcW w:w="3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1,869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1,589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7,492</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1,570</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389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1,519</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Gain on divestiture</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(144)</w:t>
            </w:r>
          </w:p>
        </w:tc>
        <w:tc>
          <w:tcPr>
            <w:tcW w:w="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4,514</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4,551</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1,323</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2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3,228</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2.66</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.78</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2.62</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1,170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1,243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1,199</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1,189</w:t>
            </w: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1,213</w:t>
            </w:r>
          </w:p>
        </w:tc>
        <w:tc>
          <w:tcPr>
            <w:tcW w:w="5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53.6%</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32.3%</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$14 million, $7 million and $13 million for the quarters ending December 31, 2010, December 31, 2009, and September 30, 2010; and $44 million and $14 million for years ending December 31, 2010, and December 31, 2009, respectively.</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3"/>
              </w:rPr>
              <w:t>Dec. 31, 2010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Dec. 31, 2009</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Sept.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1,182</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($18), ($23) and ($20)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(3,227)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13,401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12,119</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2,964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Dec. 31, 2010 -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- 1,740,166,101; Dec. 31, 2009 -- 1,739,811,721; Sept. 30, 2010 -- 1,739,932,695</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24,695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Dec. 31, 2010 -- 572,722,397; Dec. 31, 2009 --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(16,411)</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499,693,704; Sept. 30, 2010 -- 565,775,203</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(14,549)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13,401</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12,119</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Years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Dec. 31, 2010</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Dec. 31, 2009</w:t>
            </w: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Sept. 30, 2010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Dec. 31, 2010</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Dec.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942</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3,228</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Gain on divestiture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1,318</w:t>
            </w: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3,820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Proceeds from divestiture……………………………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(2,510)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60"/>
              <w:spacing w:after="0" w:line="201" w:lineRule="exact"/>
              <w:rPr>
                <w:sz w:val="20"/>
                <w:szCs w:val="20"/>
                <w:color w:val="auto"/>
              </w:rPr>
            </w:pPr>
            <w:r>
              <w:rPr>
                <w:rFonts w:ascii="Arial" w:cs="Arial" w:eastAsia="Arial" w:hAnsi="Arial"/>
                <w:sz w:val="18"/>
                <w:szCs w:val="18"/>
                <w:color w:val="auto"/>
              </w:rPr>
              <w:t>Sales, redemptions and maturities of short-term</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390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2,564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(1,057)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(2,454)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1,319</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1,319</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entertainment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Ÿ"/>
      <w:numFmt w:val="bullet"/>
      <w:start w:val="1"/>
    </w:lvl>
  </w:abstractNum>
  <w:abstractNum w:abstractNumId="3">
    <w:nsid w:val="515F007C"/>
    <w:multiLevelType w:val="hybridMultilevel"/>
    <w:lvl w:ilvl="0">
      <w:lvlJc w:val="left"/>
      <w:lvlText w:val="Ÿ"/>
      <w:numFmt w:val="bullet"/>
      <w:start w:val="1"/>
    </w:lvl>
  </w:abstractNum>
  <w:abstractNum w:abstractNumId="4">
    <w:nsid w:val="5BD062C2"/>
    <w:multiLevelType w:val="hybridMultilevel"/>
    <w:lvl w:ilvl="0">
      <w:lvlJc w:val="left"/>
      <w:lvlText w:val="Ÿ"/>
      <w:numFmt w:val="bullet"/>
      <w:start w:val="1"/>
    </w:lvl>
  </w:abstractNum>
  <w:abstractNum w:abstractNumId="5">
    <w:nsid w:val="12200854"/>
    <w:multiLevelType w:val="hybridMultilevel"/>
    <w:lvl w:ilvl="0">
      <w:lvlJc w:val="left"/>
      <w:lvlText w:val="Ÿ"/>
      <w:numFmt w:val="bullet"/>
      <w:start w:val="1"/>
    </w:lvl>
  </w:abstractNum>
  <w:abstractNum w:abstractNumId="6">
    <w:nsid w:val="4DB127F8"/>
    <w:multiLevelType w:val="hybridMultilevel"/>
    <w:lvl w:ilvl="0">
      <w:lvlJc w:val="left"/>
      <w:lvlText w:val="Ÿ"/>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4"/>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Ÿ"/>
      <w:numFmt w:val="bullet"/>
      <w:start w:val="1"/>
    </w:lvl>
  </w:abstractNum>
  <w:abstractNum w:abstractNumId="11">
    <w:nsid w:val="140E0F76"/>
    <w:multiLevelType w:val="hybridMultilevel"/>
    <w:lvl w:ilvl="0">
      <w:lvlJc w:val="left"/>
      <w:lvlText w:val="Ÿ"/>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2019-12-10T03:59:48Z</dcterms:created>
  <dcterms:modified xsi:type="dcterms:W3CDTF">2019-12-10T03:59:48Z</dcterms:modified>
</cp:coreProperties>
</file>