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18415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36830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5"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00"/>
              <w:spacing w:after="0"/>
              <w:rPr>
                <w:sz w:val="20"/>
                <w:szCs w:val="20"/>
                <w:color w:val="auto"/>
              </w:rPr>
            </w:pPr>
            <w:r>
              <w:rPr>
                <w:rFonts w:ascii="Arial" w:cs="Arial" w:eastAsia="Arial" w:hAnsi="Arial"/>
                <w:sz w:val="18"/>
                <w:szCs w:val="18"/>
                <w:b w:val="1"/>
                <w:bCs w:val="1"/>
                <w:color w:val="auto"/>
                <w:w w:val="90"/>
              </w:rPr>
              <w:t>001-03761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75-0289970</w:t>
            </w:r>
          </w:p>
        </w:tc>
      </w:tr>
      <w:tr>
        <w:trPr>
          <w:trHeight w:val="148"/>
        </w:trPr>
        <w:tc>
          <w:tcPr>
            <w:tcW w:w="2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of incorporation)</w:t>
            </w:r>
          </w:p>
        </w:tc>
        <w:tc>
          <w:tcPr>
            <w:tcW w:w="5820" w:type="dxa"/>
            <w:vAlign w:val="bottom"/>
          </w:tcPr>
          <w:p>
            <w:pPr>
              <w:jc w:val="center"/>
              <w:ind w:right="600"/>
              <w:spacing w:after="0"/>
              <w:rPr>
                <w:sz w:val="20"/>
                <w:szCs w:val="20"/>
                <w:color w:val="auto"/>
              </w:rPr>
            </w:pPr>
            <w:r>
              <w:rPr>
                <w:rFonts w:ascii="Arial" w:cs="Arial" w:eastAsia="Arial" w:hAnsi="Arial"/>
                <w:sz w:val="14"/>
                <w:szCs w:val="14"/>
                <w:b w:val="1"/>
                <w:bCs w:val="1"/>
                <w:color w:val="auto"/>
                <w:w w:val="97"/>
              </w:rPr>
              <w:t>file number)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524"/>
        </w:trPr>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40" w:type="dxa"/>
            <w:vAlign w:val="bottom"/>
          </w:tcPr>
          <w:p>
            <w:pPr>
              <w:spacing w:after="0"/>
              <w:rPr>
                <w:sz w:val="24"/>
                <w:szCs w:val="24"/>
                <w:color w:val="auto"/>
              </w:rPr>
            </w:pPr>
          </w:p>
        </w:tc>
      </w:tr>
      <w:tr>
        <w:trPr>
          <w:trHeight w:val="212"/>
        </w:trPr>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40" w:type="dxa"/>
            <w:vAlign w:val="bottom"/>
          </w:tcPr>
          <w:p>
            <w:pPr>
              <w:spacing w:after="0"/>
              <w:rPr>
                <w:sz w:val="18"/>
                <w:szCs w:val="18"/>
                <w:color w:val="auto"/>
              </w:rPr>
            </w:pPr>
          </w:p>
        </w:tc>
      </w:tr>
      <w:tr>
        <w:trPr>
          <w:trHeight w:val="186"/>
        </w:trPr>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spacing w:after="0"/>
              <w:rPr>
                <w:sz w:val="16"/>
                <w:szCs w:val="16"/>
                <w:color w:val="auto"/>
              </w:rPr>
            </w:pPr>
          </w:p>
        </w:tc>
      </w:tr>
      <w:tr>
        <w:trPr>
          <w:trHeight w:val="378"/>
        </w:trPr>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40" w:type="dxa"/>
            <w:vAlign w:val="bottom"/>
          </w:tcPr>
          <w:p>
            <w:pPr>
              <w:spacing w:after="0"/>
              <w:rPr>
                <w:sz w:val="24"/>
                <w:szCs w:val="24"/>
                <w:color w:val="auto"/>
              </w:rPr>
            </w:pPr>
          </w:p>
        </w:tc>
      </w:tr>
      <w:tr>
        <w:trPr>
          <w:trHeight w:val="39"/>
        </w:trPr>
        <w:tc>
          <w:tcPr>
            <w:tcW w:w="13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bl>
    <w:p>
      <w:pPr>
        <w:spacing w:after="0" w:line="364" w:lineRule="exact"/>
        <w:rPr>
          <w:sz w:val="24"/>
          <w:szCs w:val="24"/>
          <w:color w:val="auto"/>
        </w:rPr>
      </w:pPr>
    </w:p>
    <w:p>
      <w:pPr>
        <w:ind w:right="36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33"/>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32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4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2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29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67945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128270</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Registrant’s news release dated July 25, 2023, regarding its second-quarter results of operations and financial condition is attached hereto as Exhibit 99.</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Designation</w:t>
      </w:r>
    </w:p>
    <w:p>
      <w:pPr>
        <w:ind w:left="340"/>
        <w:spacing w:after="0" w:line="201" w:lineRule="auto"/>
        <w:rPr>
          <w:sz w:val="20"/>
          <w:szCs w:val="20"/>
          <w:color w:val="auto"/>
        </w:rPr>
      </w:pPr>
      <w:r>
        <w:rPr>
          <w:rFonts w:ascii="Arial" w:cs="Arial" w:eastAsia="Arial" w:hAnsi="Arial"/>
          <w:sz w:val="14"/>
          <w:szCs w:val="14"/>
          <w:color w:val="auto"/>
        </w:rPr>
        <w:t>of Exhibit</w:t>
      </w:r>
    </w:p>
    <w:p>
      <w:pPr>
        <w:ind w:left="460"/>
        <w:spacing w:after="0" w:line="201" w:lineRule="auto"/>
        <w:rPr>
          <w:sz w:val="20"/>
          <w:szCs w:val="20"/>
          <w:color w:val="auto"/>
        </w:rPr>
      </w:pPr>
      <w:r>
        <w:rPr>
          <w:rFonts w:ascii="Arial" w:cs="Arial" w:eastAsia="Arial" w:hAnsi="Arial"/>
          <w:sz w:val="14"/>
          <w:szCs w:val="14"/>
          <w:color w:val="auto"/>
        </w:rPr>
        <w:t>in this</w:t>
      </w:r>
    </w:p>
    <w:p>
      <w:pPr>
        <w:ind w:left="440"/>
        <w:spacing w:after="0"/>
        <w:tabs>
          <w:tab w:leader="none" w:pos="162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22225</wp:posOffset>
            </wp:positionV>
            <wp:extent cx="6111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97" w:lineRule="exact"/>
        <w:rPr>
          <w:sz w:val="20"/>
          <w:szCs w:val="20"/>
          <w:color w:val="auto"/>
        </w:rPr>
      </w:pPr>
    </w:p>
    <w:p>
      <w:pPr>
        <w:ind w:left="1640" w:hanging="1098"/>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23"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Dated July 25, 2023 (furnished pursuant to Item 2.02)</w:t>
      </w:r>
    </w:p>
    <w:p>
      <w:pPr>
        <w:spacing w:after="0" w:line="23" w:lineRule="exact"/>
        <w:rPr>
          <w:sz w:val="20"/>
          <w:szCs w:val="20"/>
          <w:color w:val="auto"/>
        </w:rPr>
      </w:pPr>
    </w:p>
    <w:p>
      <w:pPr>
        <w:ind w:left="500"/>
        <w:spacing w:after="0"/>
        <w:tabs>
          <w:tab w:leader="none" w:pos="1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4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760" w:type="dxa"/>
            <w:vAlign w:val="bottom"/>
          </w:tcPr>
          <w:p>
            <w:pPr>
              <w:spacing w:after="0"/>
              <w:rPr>
                <w:sz w:val="20"/>
                <w:szCs w:val="20"/>
                <w:color w:val="auto"/>
              </w:rPr>
            </w:pPr>
            <w:r>
              <w:rPr>
                <w:rFonts w:ascii="Arial" w:cs="Arial" w:eastAsia="Arial" w:hAnsi="Arial"/>
                <w:sz w:val="18"/>
                <w:szCs w:val="18"/>
                <w:color w:val="auto"/>
              </w:rPr>
              <w:t>Date: July 25, 2023</w:t>
            </w:r>
          </w:p>
        </w:tc>
        <w:tc>
          <w:tcPr>
            <w:tcW w:w="3180" w:type="dxa"/>
            <w:vAlign w:val="bottom"/>
          </w:tcPr>
          <w:p>
            <w:pPr>
              <w:ind w:left="234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4"/>
        </w:trPr>
        <w:tc>
          <w:tcPr>
            <w:tcW w:w="37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Rafael R. Lizardi</w:t>
            </w:r>
          </w:p>
        </w:tc>
      </w:tr>
    </w:tbl>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and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2023 financial results and shareholder returns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DALLAS (July 25, 2023) – Texas Instruments Incorporated (TI) (Nasdaq: TXN) today reported second quarter revenue of $4.53 billion, net income of $1.72 billion and earnings per share of $1.87.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180" w:hanging="328"/>
        <w:spacing w:after="0" w:line="27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3% sequentially and decreased 13% from the same quarter a year ago. Similar to last quarter, we experienced weakness across our end markets with the exception of automotive.</w:t>
      </w:r>
    </w:p>
    <w:p>
      <w:pPr>
        <w:spacing w:after="0" w:line="173" w:lineRule="exact"/>
        <w:rPr>
          <w:rFonts w:ascii="Arial" w:cs="Arial" w:eastAsia="Arial" w:hAnsi="Arial"/>
          <w:sz w:val="18"/>
          <w:szCs w:val="18"/>
          <w:color w:val="auto"/>
        </w:rPr>
      </w:pPr>
    </w:p>
    <w:p>
      <w:pPr>
        <w:ind w:left="620" w:right="100" w:hanging="328"/>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$7.4 billion for the trailing 12 months again underscored the strength of our business model, the quality of our product portfolio and the benefit of 300-mm production. Free cash flow for the same period was $3.2 billion and 17% of revenue.</w:t>
      </w:r>
    </w:p>
    <w:p>
      <w:pPr>
        <w:spacing w:after="0" w:line="183" w:lineRule="exact"/>
        <w:rPr>
          <w:rFonts w:ascii="Arial" w:cs="Arial" w:eastAsia="Arial" w:hAnsi="Arial"/>
          <w:sz w:val="18"/>
          <w:szCs w:val="18"/>
          <w:color w:val="auto"/>
        </w:rPr>
      </w:pPr>
    </w:p>
    <w:p>
      <w:pPr>
        <w:ind w:left="620" w:right="160" w:hanging="328"/>
        <w:spacing w:after="0" w:line="27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$3.6 billion in R&amp;D and SG&amp;A, invested $4.2 billion in capital expenditures and returned $6.5 billion to owners.</w:t>
      </w:r>
    </w:p>
    <w:p>
      <w:pPr>
        <w:spacing w:after="0" w:line="173" w:lineRule="exact"/>
        <w:rPr>
          <w:rFonts w:ascii="Arial" w:cs="Arial" w:eastAsia="Arial" w:hAnsi="Arial"/>
          <w:sz w:val="18"/>
          <w:szCs w:val="18"/>
          <w:color w:val="auto"/>
        </w:rPr>
      </w:pPr>
    </w:p>
    <w:p>
      <w:pPr>
        <w:ind w:left="620" w:right="40" w:hanging="328"/>
        <w:spacing w:after="0" w:line="27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 quarter outlook is for revenue in the range of $4.36 billion to $4.74 billion and earnings per share between $1.68 and $1.92. We continue to expect our 2023 effective tax rate to be about 13% to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8"/>
                <w:szCs w:val="18"/>
                <w:color w:val="auto"/>
              </w:rPr>
              <w:t>Q2 2023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8"/>
                <w:szCs w:val="18"/>
                <w:color w:val="auto"/>
              </w:rPr>
              <w:t>Q2 2022</w:t>
            </w:r>
          </w:p>
        </w:tc>
        <w:tc>
          <w:tcPr>
            <w:tcW w:w="120" w:type="dxa"/>
            <w:vAlign w:val="bottom"/>
            <w:gridSpan w:val="2"/>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vMerge w:val="restart"/>
          </w:tcPr>
          <w:p>
            <w:pPr>
              <w:ind w:left="4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4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4,531</w:t>
            </w:r>
          </w:p>
        </w:tc>
        <w:tc>
          <w:tcPr>
            <w:tcW w:w="40" w:type="dxa"/>
            <w:vAlign w:val="bottom"/>
            <w:shd w:val="clear" w:color="auto" w:fill="DBDBDB"/>
          </w:tcPr>
          <w:p>
            <w:pPr>
              <w:spacing w:after="0"/>
              <w:rPr>
                <w:sz w:val="20"/>
                <w:szCs w:val="20"/>
                <w:color w:val="auto"/>
              </w:rPr>
            </w:pPr>
          </w:p>
        </w:tc>
        <w:tc>
          <w:tcPr>
            <w:tcW w:w="360" w:type="dxa"/>
            <w:vAlign w:val="bottom"/>
            <w:gridSpan w:val="5"/>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5,212</w:t>
            </w:r>
          </w:p>
        </w:tc>
        <w:tc>
          <w:tcPr>
            <w:tcW w:w="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1,972</w:t>
            </w:r>
          </w:p>
        </w:tc>
        <w:tc>
          <w:tcPr>
            <w:tcW w:w="40" w:type="dxa"/>
            <w:vAlign w:val="bottom"/>
          </w:tcPr>
          <w:p>
            <w:pPr>
              <w:spacing w:after="0"/>
              <w:rPr>
                <w:sz w:val="19"/>
                <w:szCs w:val="19"/>
                <w:color w:val="auto"/>
              </w:rPr>
            </w:pP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c>
          <w:tcPr>
            <w:tcW w:w="40" w:type="dxa"/>
            <w:vAlign w:val="bottom"/>
            <w:shd w:val="clear" w:color="auto" w:fill="DBDBDB"/>
          </w:tcPr>
          <w:p>
            <w:pPr>
              <w:spacing w:after="0"/>
              <w:rPr>
                <w:sz w:val="19"/>
                <w:szCs w:val="19"/>
                <w:color w:val="auto"/>
              </w:rPr>
            </w:pPr>
          </w:p>
        </w:tc>
        <w:tc>
          <w:tcPr>
            <w:tcW w:w="360" w:type="dxa"/>
            <w:vAlign w:val="bottom"/>
            <w:gridSpan w:val="5"/>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2,291</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94"/>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Trailing 12 Months</w:t>
            </w: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Q2 2023</w:t>
            </w:r>
          </w:p>
        </w:tc>
        <w:tc>
          <w:tcPr>
            <w:tcW w:w="120" w:type="dxa"/>
            <w:vAlign w:val="bottom"/>
            <w:tcBorders>
              <w:bottom w:val="single" w:sz="8" w:color="DBDBDB"/>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Q2 2023</w:t>
            </w:r>
          </w:p>
        </w:tc>
        <w:tc>
          <w:tcPr>
            <w:tcW w:w="4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Q2 2022</w:t>
            </w:r>
          </w:p>
        </w:tc>
        <w:tc>
          <w:tcPr>
            <w:tcW w:w="8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7,367</w:t>
            </w:r>
          </w:p>
        </w:tc>
        <w:tc>
          <w:tcPr>
            <w:tcW w:w="40" w:type="dxa"/>
            <w:vAlign w:val="bottom"/>
            <w:shd w:val="clear" w:color="auto" w:fill="DBDBDB"/>
          </w:tcPr>
          <w:p>
            <w:pPr>
              <w:spacing w:after="0"/>
              <w:rPr>
                <w:sz w:val="19"/>
                <w:szCs w:val="19"/>
                <w:color w:val="auto"/>
              </w:rPr>
            </w:pPr>
          </w:p>
        </w:tc>
        <w:tc>
          <w:tcPr>
            <w:tcW w:w="360" w:type="dxa"/>
            <w:vAlign w:val="bottom"/>
            <w:gridSpan w:val="5"/>
            <w:shd w:val="clear" w:color="auto" w:fill="DBDBDB"/>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8,697</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4,185</w:t>
            </w:r>
          </w:p>
        </w:tc>
        <w:tc>
          <w:tcPr>
            <w:tcW w:w="40" w:type="dxa"/>
            <w:vAlign w:val="bottom"/>
          </w:tcPr>
          <w:p>
            <w:pPr>
              <w:spacing w:after="0"/>
              <w:rPr>
                <w:sz w:val="20"/>
                <w:szCs w:val="20"/>
                <w:color w:val="auto"/>
              </w:rPr>
            </w:pPr>
          </w:p>
        </w:tc>
        <w:tc>
          <w:tcPr>
            <w:tcW w:w="360" w:type="dxa"/>
            <w:vAlign w:val="bottom"/>
            <w:gridSpan w:val="5"/>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2,808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6"/>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BDBDB"/>
          </w:tcPr>
          <w:p>
            <w:pPr>
              <w:spacing w:after="0"/>
              <w:rPr>
                <w:sz w:val="20"/>
                <w:szCs w:val="20"/>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3,182</w:t>
            </w:r>
          </w:p>
        </w:tc>
        <w:tc>
          <w:tcPr>
            <w:tcW w:w="40" w:type="dxa"/>
            <w:vAlign w:val="bottom"/>
            <w:shd w:val="clear" w:color="auto" w:fill="DBDBDB"/>
          </w:tcPr>
          <w:p>
            <w:pPr>
              <w:spacing w:after="0"/>
              <w:rPr>
                <w:sz w:val="20"/>
                <w:szCs w:val="20"/>
                <w:color w:val="auto"/>
              </w:rPr>
            </w:pPr>
          </w:p>
        </w:tc>
        <w:tc>
          <w:tcPr>
            <w:tcW w:w="360" w:type="dxa"/>
            <w:vAlign w:val="bottom"/>
            <w:gridSpan w:val="5"/>
            <w:shd w:val="clear" w:color="auto" w:fill="DBDBDB"/>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5,889</w:t>
            </w:r>
          </w:p>
        </w:tc>
        <w:tc>
          <w:tcPr>
            <w:tcW w:w="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8"/>
              </w:rPr>
              <w:t>Trailing 12 Months</w:t>
            </w: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Q2 2023</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Q2 2023</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Q2 2022</w:t>
            </w:r>
          </w:p>
        </w:tc>
        <w:tc>
          <w:tcPr>
            <w:tcW w:w="120" w:type="dxa"/>
            <w:vAlign w:val="bottom"/>
            <w:tcBorders>
              <w:bottom w:val="single" w:sz="8" w:color="DBDBDB"/>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32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36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4,424</w:t>
            </w:r>
          </w:p>
        </w:tc>
        <w:tc>
          <w:tcPr>
            <w:tcW w:w="40" w:type="dxa"/>
            <w:vAlign w:val="bottom"/>
            <w:shd w:val="clear" w:color="auto" w:fill="DBDBDB"/>
          </w:tcPr>
          <w:p>
            <w:pPr>
              <w:spacing w:after="0"/>
              <w:rPr>
                <w:sz w:val="19"/>
                <w:szCs w:val="19"/>
                <w:color w:val="auto"/>
              </w:rPr>
            </w:pPr>
          </w:p>
        </w:tc>
        <w:tc>
          <w:tcPr>
            <w:tcW w:w="360" w:type="dxa"/>
            <w:vAlign w:val="bottom"/>
            <w:gridSpan w:val="5"/>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4,127</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9"/>
                <w:szCs w:val="19"/>
                <w:color w:val="auto"/>
              </w:rPr>
            </w:pPr>
          </w:p>
        </w:tc>
        <w:tc>
          <w:tcPr>
            <w:tcW w:w="36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4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2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1,204</w:t>
            </w:r>
          </w:p>
        </w:tc>
        <w:tc>
          <w:tcPr>
            <w:tcW w:w="36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6,450</w:t>
            </w:r>
          </w:p>
        </w:tc>
        <w:tc>
          <w:tcPr>
            <w:tcW w:w="40" w:type="dxa"/>
            <w:vAlign w:val="bottom"/>
            <w:shd w:val="clear" w:color="auto" w:fill="DBDBDB"/>
          </w:tcPr>
          <w:p>
            <w:pPr>
              <w:spacing w:after="0"/>
              <w:rPr>
                <w:sz w:val="21"/>
                <w:szCs w:val="21"/>
                <w:color w:val="auto"/>
              </w:rPr>
            </w:pPr>
          </w:p>
        </w:tc>
        <w:tc>
          <w:tcPr>
            <w:tcW w:w="360" w:type="dxa"/>
            <w:vAlign w:val="bottom"/>
            <w:gridSpan w:val="5"/>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6,179</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1"/>
        </w:trPr>
        <w:tc>
          <w:tcPr>
            <w:tcW w:w="828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4,531</w:t>
            </w:r>
          </w:p>
        </w:tc>
        <w:tc>
          <w:tcPr>
            <w:tcW w:w="58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00" w:type="dxa"/>
            <w:vAlign w:val="bottom"/>
            <w:tcBorders>
              <w:bottom w:val="single" w:sz="8" w:color="DBDBDB"/>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120" w:type="dxa"/>
            <w:vAlign w:val="bottom"/>
            <w:tcBorders>
              <w:bottom w:val="single" w:sz="8" w:color="DBDBDB"/>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2,910</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Restructuring charges/other</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1,972</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income (expense), net (OI&amp;E)</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10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bottom w:val="single" w:sz="8" w:color="DBDBDB"/>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640" w:type="dxa"/>
            <w:vAlign w:val="bottom"/>
            <w:vMerge w:val="restart"/>
          </w:tcPr>
          <w:p>
            <w:pPr>
              <w:jc w:val="center"/>
              <w:ind w:left="3450"/>
              <w:spacing w:after="0"/>
              <w:rPr>
                <w:sz w:val="20"/>
                <w:szCs w:val="20"/>
                <w:color w:val="auto"/>
              </w:rPr>
            </w:pPr>
            <w:r>
              <w:rPr>
                <w:rFonts w:ascii="Arial" w:cs="Arial" w:eastAsia="Arial" w:hAnsi="Arial"/>
                <w:sz w:val="18"/>
                <w:szCs w:val="18"/>
                <w:b w:val="1"/>
                <w:bCs w:val="1"/>
                <w:color w:val="auto"/>
                <w:w w:val="99"/>
              </w:rPr>
              <w:t>Supplemental Information</w:t>
            </w: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7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640" w:type="dxa"/>
            <w:vAlign w:val="bottom"/>
          </w:tcPr>
          <w:p>
            <w:pPr>
              <w:jc w:val="center"/>
              <w:ind w:left="3430"/>
              <w:spacing w:after="0"/>
              <w:rPr>
                <w:sz w:val="20"/>
                <w:szCs w:val="20"/>
                <w:color w:val="auto"/>
              </w:rPr>
            </w:pPr>
            <w:r>
              <w:rPr>
                <w:rFonts w:ascii="Arial" w:cs="Arial" w:eastAsia="Arial" w:hAnsi="Arial"/>
                <w:sz w:val="18"/>
                <w:szCs w:val="18"/>
                <w:b w:val="1"/>
                <w:bCs w:val="1"/>
                <w:color w:val="auto"/>
                <w:w w:val="99"/>
              </w:rPr>
              <w:t>(Quarterly, except as noted)</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4"/>
        </w:trPr>
        <w:tc>
          <w:tcPr>
            <w:tcW w:w="7640" w:type="dxa"/>
            <w:vAlign w:val="bottom"/>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640" w:type="dxa"/>
            <w:vAlign w:val="bottom"/>
            <w:gridSpan w:val="2"/>
            <w:shd w:val="clear" w:color="auto" w:fill="DBDBDB"/>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289</w:t>
            </w:r>
          </w:p>
        </w:tc>
        <w:tc>
          <w:tcPr>
            <w:tcW w:w="58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Discrete tax items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640" w:type="dxa"/>
            <w:vAlign w:val="bottom"/>
            <w:gridSpan w:val="2"/>
            <w:shd w:val="clear" w:color="auto" w:fill="DBDBDB"/>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c>
          <w:tcPr>
            <w:tcW w:w="58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20" w:right="760"/>
        <w:spacing w:after="0" w:line="244"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1,722</w:t>
            </w:r>
          </w:p>
        </w:tc>
        <w:tc>
          <w:tcPr>
            <w:tcW w:w="720" w:type="dxa"/>
            <w:vAlign w:val="bottom"/>
            <w:gridSpan w:val="2"/>
            <w:shd w:val="clear" w:color="auto" w:fill="DBDBDB"/>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2,291</w:t>
            </w:r>
          </w:p>
        </w:tc>
      </w:tr>
      <w:tr>
        <w:trPr>
          <w:trHeight w:val="243"/>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DBDBDB"/>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1,714</w:t>
            </w:r>
          </w:p>
        </w:tc>
        <w:tc>
          <w:tcPr>
            <w:tcW w:w="720" w:type="dxa"/>
            <w:vAlign w:val="bottom"/>
            <w:gridSpan w:val="2"/>
            <w:shd w:val="clear" w:color="auto" w:fill="DBDBDB"/>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2,281</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6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1"/>
        </w:trPr>
        <w:tc>
          <w:tcPr>
            <w:tcW w:w="8280" w:type="dxa"/>
            <w:vAlign w:val="bottom"/>
            <w:gridSpan w:val="3"/>
          </w:tcPr>
          <w:p>
            <w:pPr>
              <w:ind w:left="298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4"/>
                <w:szCs w:val="24"/>
                <w:color w:val="auto"/>
              </w:rPr>
            </w:pPr>
          </w:p>
        </w:tc>
      </w:tr>
      <w:tr>
        <w:trPr>
          <w:trHeight w:val="236"/>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DBDBDB"/>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DBDBDB"/>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3,439</w:t>
            </w:r>
          </w:p>
        </w:tc>
        <w:tc>
          <w:tcPr>
            <w:tcW w:w="58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3,802</w:t>
            </w: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4,585</w:t>
            </w: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($16) and ($12)</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1,956</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2,190</w:t>
            </w: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2,110</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1,258</w:t>
            </w: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37"/>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3,729</w:t>
            </w: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2,199</w:t>
            </w:r>
          </w:p>
        </w:tc>
      </w:tr>
      <w:tr>
        <w:trPr>
          <w:trHeight w:val="229"/>
        </w:trPr>
        <w:tc>
          <w:tcPr>
            <w:tcW w:w="764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76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15,514</w:t>
            </w:r>
          </w:p>
        </w:tc>
        <w:tc>
          <w:tcPr>
            <w:tcW w:w="12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13,043</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11,664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8,825</w:t>
            </w:r>
          </w:p>
        </w:tc>
      </w:tr>
      <w:tr>
        <w:trPr>
          <w:trHeight w:val="229"/>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(3,139)</w:t>
            </w:r>
          </w:p>
        </w:tc>
        <w:tc>
          <w:tcPr>
            <w:tcW w:w="12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(2,894)</w:t>
            </w: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8,525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5,931</w:t>
            </w: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Overfunded retirement plans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1,675</w:t>
            </w:r>
          </w:p>
        </w:tc>
        <w:tc>
          <w:tcPr>
            <w:tcW w:w="12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30,939</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24,723</w:t>
            </w:r>
          </w:p>
        </w:tc>
      </w:tr>
      <w:tr>
        <w:trPr>
          <w:trHeight w:val="20"/>
        </w:trPr>
        <w:tc>
          <w:tcPr>
            <w:tcW w:w="7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36"/>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2,711</w:t>
            </w:r>
          </w:p>
        </w:tc>
        <w:tc>
          <w:tcPr>
            <w:tcW w:w="12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2,560</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10,920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6,745</w:t>
            </w:r>
          </w:p>
        </w:tc>
      </w:tr>
      <w:tr>
        <w:trPr>
          <w:trHeight w:val="229"/>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1,165</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14,999</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w:t>
            </w: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29"/>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51,522</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48,280</w:t>
            </w:r>
          </w:p>
        </w:tc>
      </w:tr>
      <w:tr>
        <w:trPr>
          <w:trHeight w:val="236"/>
        </w:trPr>
        <w:tc>
          <w:tcPr>
            <w:tcW w:w="7640" w:type="dxa"/>
            <w:vAlign w:val="bottom"/>
          </w:tcPr>
          <w:p>
            <w:pPr>
              <w:ind w:left="220"/>
              <w:spacing w:after="0"/>
              <w:rPr>
                <w:sz w:val="20"/>
                <w:szCs w:val="20"/>
                <w:color w:val="auto"/>
              </w:rPr>
            </w:pPr>
            <w:r>
              <w:rPr>
                <w:rFonts w:ascii="Arial" w:cs="Arial" w:eastAsia="Arial" w:hAnsi="Arial"/>
                <w:sz w:val="18"/>
                <w:szCs w:val="18"/>
                <w:color w:val="auto"/>
              </w:rPr>
              <w:t>Treasury common stock at cost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Shares: June 30, 2023 – 833; June 30, 2022 – 826</w:t>
            </w: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(40,240)</w:t>
            </w: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(38,532)</w:t>
            </w: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36"/>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15,940</w:t>
            </w:r>
          </w:p>
        </w:tc>
        <w:tc>
          <w:tcPr>
            <w:tcW w:w="12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14,092</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30,939</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24,723</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60" w:top="88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1"/>
        </w:trPr>
        <w:tc>
          <w:tcPr>
            <w:tcW w:w="8280" w:type="dxa"/>
            <w:vAlign w:val="bottom"/>
            <w:gridSpan w:val="3"/>
          </w:tcPr>
          <w:p>
            <w:pPr>
              <w:ind w:left="298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Amortization of capitalized software</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Gains on sales of assets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1,399</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6"/>
        </w:trPr>
        <w:tc>
          <w:tcPr>
            <w:tcW w:w="76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(1,446)</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Proceeds from asset sales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(4,047)</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Proceeds from short-term investments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50"/>
        </w:trPr>
        <w:tc>
          <w:tcPr>
            <w:tcW w:w="7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Repayment of debt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(1,125)</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Stock repurchases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30"/>
        </w:trPr>
        <w:tc>
          <w:tcPr>
            <w:tcW w:w="76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1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DBDBDB"/>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DBDBDB"/>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4,477</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43"/>
        </w:trPr>
        <w:tc>
          <w:tcPr>
            <w:tcW w:w="7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3,439</w:t>
            </w:r>
          </w:p>
        </w:tc>
        <w:tc>
          <w:tcPr>
            <w:tcW w:w="58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60" w:top="88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Q2 2023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Q2 2022</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37"/>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1,463</w:t>
            </w:r>
          </w:p>
        </w:tc>
        <w:tc>
          <w:tcPr>
            <w:tcW w:w="3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2,226</w:t>
            </w:r>
          </w:p>
        </w:tc>
        <w:tc>
          <w:tcPr>
            <w:tcW w:w="16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3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6"/>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894</w:t>
            </w:r>
          </w:p>
        </w:tc>
        <w:tc>
          <w:tcPr>
            <w:tcW w:w="3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6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3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6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3"/>
        </w:trPr>
        <w:tc>
          <w:tcPr>
            <w:tcW w:w="6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3"/>
        </w:trPr>
        <w:tc>
          <w:tcPr>
            <w:tcW w:w="636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7,367</w:t>
            </w:r>
          </w:p>
        </w:tc>
        <w:tc>
          <w:tcPr>
            <w:tcW w:w="56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8,697</w:t>
            </w:r>
          </w:p>
        </w:tc>
        <w:tc>
          <w:tcPr>
            <w:tcW w:w="16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(4,185)</w:t>
            </w:r>
          </w:p>
        </w:tc>
        <w:tc>
          <w:tcPr>
            <w:tcW w:w="100" w:type="dxa"/>
            <w:vAlign w:val="bottom"/>
            <w:tcBorders>
              <w:bottom w:val="single" w:sz="8" w:color="DBDBDB"/>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DBDBDB"/>
            </w:tcBorders>
          </w:tcPr>
          <w:p>
            <w:pPr>
              <w:spacing w:after="0"/>
              <w:rPr>
                <w:sz w:val="21"/>
                <w:szCs w:val="21"/>
                <w:color w:val="auto"/>
              </w:rPr>
            </w:pPr>
          </w:p>
        </w:tc>
        <w:tc>
          <w:tcPr>
            <w:tcW w:w="1540" w:type="dxa"/>
            <w:vAlign w:val="bottom"/>
            <w:tcBorders>
              <w:bottom w:val="single" w:sz="8" w:color="DBDBDB"/>
            </w:tcBorders>
          </w:tcPr>
          <w:p>
            <w:pPr>
              <w:spacing w:after="0"/>
              <w:rPr>
                <w:sz w:val="21"/>
                <w:szCs w:val="21"/>
                <w:color w:val="auto"/>
              </w:rPr>
            </w:pPr>
          </w:p>
        </w:tc>
      </w:tr>
      <w:tr>
        <w:trPr>
          <w:trHeight w:val="243"/>
        </w:trPr>
        <w:tc>
          <w:tcPr>
            <w:tcW w:w="6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3,182</w:t>
            </w:r>
          </w:p>
        </w:tc>
        <w:tc>
          <w:tcPr>
            <w:tcW w:w="56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5,889</w:t>
            </w:r>
          </w:p>
        </w:tc>
        <w:tc>
          <w:tcPr>
            <w:tcW w:w="16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3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6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18,821</w:t>
            </w:r>
          </w:p>
        </w:tc>
        <w:tc>
          <w:tcPr>
            <w:tcW w:w="56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19,592</w:t>
            </w:r>
          </w:p>
        </w:tc>
        <w:tc>
          <w:tcPr>
            <w:tcW w:w="100" w:type="dxa"/>
            <w:vAlign w:val="bottom"/>
            <w:shd w:val="clear" w:color="auto" w:fill="DBDBDB"/>
          </w:tcPr>
          <w:p>
            <w:pPr>
              <w:spacing w:after="0"/>
              <w:rPr>
                <w:sz w:val="21"/>
                <w:szCs w:val="21"/>
                <w:color w:val="auto"/>
              </w:rPr>
            </w:pPr>
          </w:p>
        </w:tc>
        <w:tc>
          <w:tcPr>
            <w:tcW w:w="1540" w:type="dxa"/>
            <w:vAlign w:val="bottom"/>
            <w:shd w:val="clear" w:color="auto" w:fill="DBDBDB"/>
          </w:tcPr>
          <w:p>
            <w:pPr>
              <w:spacing w:after="0"/>
              <w:rPr>
                <w:sz w:val="21"/>
                <w:szCs w:val="21"/>
                <w:color w:val="auto"/>
              </w:rPr>
            </w:pPr>
          </w:p>
        </w:tc>
      </w:tr>
      <w:tr>
        <w:trPr>
          <w:trHeight w:val="20"/>
        </w:trPr>
        <w:tc>
          <w:tcPr>
            <w:tcW w:w="63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6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39.1 %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44.4 %</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r>
      <w:tr>
        <w:trPr>
          <w:trHeight w:val="251"/>
        </w:trPr>
        <w:tc>
          <w:tcPr>
            <w:tcW w:w="63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16.9 %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3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4" w:lineRule="exact"/>
        <w:rPr>
          <w:sz w:val="20"/>
          <w:szCs w:val="20"/>
          <w:color w:val="auto"/>
        </w:rPr>
      </w:pPr>
    </w:p>
    <w:p>
      <w:pPr>
        <w:ind w:left="620" w:right="340" w:hanging="328"/>
        <w:spacing w:after="0" w:line="25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16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8"/>
        <w:spacing w:after="0" w:line="26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3"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3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2023-07-25T15:07:43Z</dcterms:created>
  <dcterms:modified xsi:type="dcterms:W3CDTF">2023-07-25T15:07:43Z</dcterms:modified>
</cp:coreProperties>
</file>