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April 25, 2017, regarding its first-quarter results of operations and financial condition is attached hereto as Exhibit 99.</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00"/>
          </w:cols>
          <w:pgMar w:left="240" w:top="557" w:right="45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9920"/>
          </w:cols>
          <w:pgMar w:left="240" w:top="557" w:right="45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April 25, 2017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7" w:right="4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April 25, 2017</w:t>
            </w: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By:  /s/ Rafael R. Lizardi</w:t>
            </w:r>
          </w:p>
        </w:tc>
      </w:tr>
      <w:tr>
        <w:trPr>
          <w:trHeight w:val="195"/>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 reports 1Q17 financial results and shareholder returns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www.ti.com/ir</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DALLAS (April 25, 2017) – Texas Instruments Incorporated (TI) (NASDAQ: TXN) today reported first-quarter revenue of $3.40 billion, net income of $997 million and earnings per share of 97 cents. Earnings per share include an 8-cent discrete tax benefit not in the company’s original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1040" w:right="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13 percent from the same quarter a year ago. Demand for our products continued to be strong in the automotive market and continued to strengthen in the industrial market.</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our core businesses, Analog revenue grew 20 percent and Embedded Processing revenue grew 10 percent from the same quarter a year ago. Operating margin increased in both businesses.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63.0 percent reflected the quality of our product portfolio, as well as the efficiency of our manufacturing strategy, including the benefit of 300-millimeter Analog production.</w:t>
      </w:r>
    </w:p>
    <w:p>
      <w:pPr>
        <w:spacing w:after="0" w:line="62" w:lineRule="exact"/>
        <w:rPr>
          <w:rFonts w:ascii="Arial" w:cs="Arial" w:eastAsia="Arial" w:hAnsi="Arial"/>
          <w:sz w:val="18"/>
          <w:szCs w:val="18"/>
          <w:color w:val="auto"/>
        </w:rPr>
      </w:pPr>
    </w:p>
    <w:p>
      <w:pPr>
        <w:jc w:val="both"/>
        <w:ind w:left="1040" w:right="8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$4.8 billion for the trailing 12 months again underscored the strength of our business model. Free cash flow for the trailing 12 months was up 11 percent from a year ago to $4.2 billion and represents 30.7 percent of revenue, up from 29.5 percent a year ago.</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returned $3.8 billion to owners in the past 12 months through stock repurchases and dividends.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$3.0 billion of cash and short-term investments at the end of the quarter, about 80 percent of which was owned by the company’s U.S. entities. Inventory ended the quarter at 132 days.</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second-quarter outlook is for revenue in the range of $3.40 billion to $3.70 billion, and earnings per share between $0.89 and $1.01, which includes an estimated $30 million discrete tax benefit.”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amounts in the prior period have been recast to conform to the current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1Q17</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1Q16</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22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1,252</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Earnings per share</w:t>
            </w:r>
          </w:p>
        </w:tc>
        <w:tc>
          <w:tcPr>
            <w:tcW w:w="22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160" w:type="dxa"/>
            <w:vAlign w:val="bottom"/>
          </w:tcPr>
          <w:p>
            <w:pPr>
              <w:spacing w:after="0"/>
              <w:rPr>
                <w:sz w:val="20"/>
                <w:szCs w:val="20"/>
                <w:color w:val="auto"/>
              </w:rPr>
            </w:pPr>
          </w:p>
        </w:tc>
      </w:tr>
      <w:tr>
        <w:trPr>
          <w:trHeight w:val="762"/>
        </w:trPr>
        <w:tc>
          <w:tcPr>
            <w:tcW w:w="11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 reports 1Q17 financial results and shareholder returns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82"/>
              </w:rPr>
              <w:t>Page 2</w:t>
            </w:r>
          </w:p>
        </w:tc>
      </w:tr>
      <w:tr>
        <w:trPr>
          <w:trHeight w:val="567"/>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50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w w:val="99"/>
              </w:rPr>
              <w:t>Trailing 12 Months</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38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1Q17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1Q17</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1Q16</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534</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8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4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Free cash flow % of revenue</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12 months were 4 percent of revenue, consistent with TI’s long-term expectations.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7"/>
              </w:rPr>
              <w:t>Trailing 12 Months</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1Q17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1Q17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1Q16</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 repurchases</w:t>
            </w:r>
          </w:p>
        </w:tc>
        <w:tc>
          <w:tcPr>
            <w:tcW w:w="21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2,052</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21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TI reports 1Q17 financial results and shareholder returns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441"/>
        </w:trPr>
        <w:tc>
          <w:tcPr>
            <w:tcW w:w="8780" w:type="dxa"/>
            <w:vAlign w:val="bottom"/>
            <w:gridSpan w:val="3"/>
          </w:tcPr>
          <w:p>
            <w:pPr>
              <w:jc w:val="center"/>
              <w:ind w:left="255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542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88"/>
              </w:rPr>
              <w:t>Consolidated Statements of Income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542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3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For Three Months Ended</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44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3,402</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44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1,258</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2,144</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w w:val="97"/>
              </w:rPr>
              <w:t>Selling, general and administrative (SG&amp;A)</w:t>
            </w:r>
          </w:p>
        </w:tc>
        <w:tc>
          <w:tcPr>
            <w:tcW w:w="4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439</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Acquisition charges</w:t>
            </w:r>
          </w:p>
        </w:tc>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44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Operating profit</w:t>
            </w:r>
          </w:p>
        </w:tc>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1,252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4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44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4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1,255</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4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4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w:t>
            </w:r>
          </w:p>
        </w:tc>
        <w:tc>
          <w:tcPr>
            <w:tcW w:w="3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5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FF0FC"/>
            </w:tcBorders>
            <w:vMerge w:val="continue"/>
          </w:tcPr>
          <w:p>
            <w:pPr>
              <w:spacing w:after="0"/>
              <w:rPr>
                <w:sz w:val="21"/>
                <w:szCs w:val="21"/>
                <w:color w:val="auto"/>
              </w:rPr>
            </w:pPr>
          </w:p>
        </w:tc>
        <w:tc>
          <w:tcPr>
            <w:tcW w:w="440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3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 (millions):</w:t>
            </w:r>
          </w:p>
        </w:tc>
        <w:tc>
          <w:tcPr>
            <w:tcW w:w="4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4400" w:type="dxa"/>
            <w:vAlign w:val="bottom"/>
            <w:tcBorders>
              <w:bottom w:val="single" w:sz="8" w:color="CFF0FC"/>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w:t>
            </w:r>
          </w:p>
        </w:tc>
        <w:tc>
          <w:tcPr>
            <w:tcW w:w="36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44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1,019</w:t>
            </w:r>
          </w:p>
        </w:tc>
        <w:tc>
          <w:tcPr>
            <w:tcW w:w="3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w w:val="94"/>
              </w:rPr>
              <w:t>Cash dividends declared per common share</w:t>
            </w:r>
          </w:p>
        </w:tc>
        <w:tc>
          <w:tcPr>
            <w:tcW w:w="5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tcPr>
          <w:p>
            <w:pPr>
              <w:spacing w:after="0"/>
              <w:rPr>
                <w:sz w:val="18"/>
                <w:szCs w:val="18"/>
                <w:color w:val="auto"/>
              </w:rPr>
            </w:pPr>
          </w:p>
        </w:tc>
        <w:tc>
          <w:tcPr>
            <w:tcW w:w="44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20" w:right="640" w:hanging="220"/>
        <w:spacing w:after="0" w:line="264" w:lineRule="auto"/>
        <w:rPr>
          <w:sz w:val="20"/>
          <w:szCs w:val="20"/>
          <w:color w:val="auto"/>
        </w:rPr>
      </w:pPr>
      <w:r>
        <w:rPr>
          <w:rFonts w:ascii="Arial" w:cs="Arial" w:eastAsia="Arial" w:hAnsi="Arial"/>
          <w:sz w:val="18"/>
          <w:szCs w:val="18"/>
          <w:color w:val="auto"/>
        </w:rPr>
        <w:t>Certain amounts in the prior period have been adjusted to reflect the following: (1) the fourth-quarter 2016 early adoption of ASU 2016-09 related to stock-based compensation, and (2) the first-quarter 2017 early adoption of ASU 2017-07 related to the reclassification of certain pension and other retiree benefit costs to OI&amp;E.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0" w:type="dxa"/>
            <w:vAlign w:val="bottom"/>
          </w:tcPr>
          <w:p>
            <w:pPr>
              <w:ind w:left="4540"/>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7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280" w:type="dxa"/>
            <w:vAlign w:val="bottom"/>
          </w:tcPr>
          <w:p>
            <w:pPr>
              <w:spacing w:after="0"/>
              <w:rPr>
                <w:sz w:val="19"/>
                <w:szCs w:val="19"/>
                <w:color w:val="auto"/>
              </w:rPr>
            </w:pPr>
          </w:p>
        </w:tc>
        <w:tc>
          <w:tcPr>
            <w:tcW w:w="76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Discrete tax items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Provision for income taxes (effective taxes)</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tax rate</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Effective tax rate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20" w:right="320" w:hanging="22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360" w:type="dxa"/>
            <w:vAlign w:val="bottom"/>
          </w:tcPr>
          <w:p>
            <w:pPr>
              <w:spacing w:after="0"/>
              <w:rPr>
                <w:sz w:val="20"/>
                <w:szCs w:val="20"/>
                <w:color w:val="auto"/>
              </w:rPr>
            </w:pPr>
          </w:p>
        </w:tc>
        <w:tc>
          <w:tcPr>
            <w:tcW w:w="680" w:type="dxa"/>
            <w:vAlign w:val="bottom"/>
            <w:gridSpan w:val="2"/>
          </w:tcPr>
          <w:p>
            <w:pPr>
              <w:jc w:val="right"/>
              <w:ind w:right="55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2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20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57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TI reports 1Q17 financial results and shareholder returns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4</w:t>
            </w:r>
          </w:p>
        </w:tc>
      </w:tr>
      <w:tr>
        <w:trPr>
          <w:trHeight w:val="441"/>
        </w:trPr>
        <w:tc>
          <w:tcPr>
            <w:tcW w:w="8880" w:type="dxa"/>
            <w:vAlign w:val="bottom"/>
            <w:gridSpan w:val="3"/>
          </w:tcPr>
          <w:p>
            <w:pPr>
              <w:jc w:val="center"/>
              <w:ind w:left="2458"/>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00" w:type="dxa"/>
            <w:vAlign w:val="bottom"/>
          </w:tcPr>
          <w:p>
            <w:pPr>
              <w:jc w:val="center"/>
              <w:ind w:left="3758"/>
              <w:spacing w:after="0"/>
              <w:rPr>
                <w:sz w:val="20"/>
                <w:szCs w:val="20"/>
                <w:color w:val="auto"/>
              </w:rPr>
            </w:pPr>
            <w:r>
              <w:rPr>
                <w:rFonts w:ascii="Arial" w:cs="Arial" w:eastAsia="Arial" w:hAnsi="Arial"/>
                <w:sz w:val="18"/>
                <w:szCs w:val="18"/>
                <w:b w:val="1"/>
                <w:bCs w:val="1"/>
                <w:color w:val="auto"/>
                <w:w w:val="87"/>
              </w:rPr>
              <w:t>Consolidated Balance Sheets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00" w:type="dxa"/>
            <w:vAlign w:val="bottom"/>
          </w:tcPr>
          <w:p>
            <w:pPr>
              <w:jc w:val="center"/>
              <w:ind w:left="3738"/>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6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19"/>
                <w:szCs w:val="19"/>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1,073</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allowances of ($11) and ($11)</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Raw materials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Work in process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FF0FC"/>
            </w:tcBorders>
          </w:tcPr>
          <w:p>
            <w:pPr>
              <w:spacing w:after="0"/>
              <w:rPr>
                <w:sz w:val="18"/>
                <w:szCs w:val="18"/>
                <w:color w:val="auto"/>
              </w:rPr>
            </w:pPr>
          </w:p>
        </w:tc>
      </w:tr>
      <w:tr>
        <w:trPr>
          <w:trHeight w:val="212"/>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1,805</w:t>
            </w:r>
          </w:p>
        </w:tc>
        <w:tc>
          <w:tcPr>
            <w:tcW w:w="120" w:type="dxa"/>
            <w:vAlign w:val="bottom"/>
            <w:shd w:val="clear" w:color="auto" w:fill="CFF0FC"/>
          </w:tcPr>
          <w:p>
            <w:pPr>
              <w:spacing w:after="0"/>
              <w:rPr>
                <w:sz w:val="18"/>
                <w:szCs w:val="18"/>
                <w:color w:val="auto"/>
              </w:rPr>
            </w:pPr>
          </w:p>
        </w:tc>
      </w:tr>
      <w:tr>
        <w:trPr>
          <w:trHeight w:val="207"/>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811</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FF0FC"/>
            </w:tcBorders>
          </w:tcPr>
          <w:p>
            <w:pPr>
              <w:spacing w:after="0"/>
              <w:rPr>
                <w:sz w:val="17"/>
                <w:szCs w:val="17"/>
                <w:color w:val="auto"/>
              </w:rPr>
            </w:pPr>
          </w:p>
        </w:tc>
      </w:tr>
      <w:tr>
        <w:trPr>
          <w:trHeight w:val="212"/>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7,040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6,659</w:t>
            </w:r>
          </w:p>
        </w:tc>
        <w:tc>
          <w:tcPr>
            <w:tcW w:w="120" w:type="dxa"/>
            <w:vAlign w:val="bottom"/>
            <w:shd w:val="clear" w:color="auto" w:fill="CFF0FC"/>
          </w:tcPr>
          <w:p>
            <w:pPr>
              <w:spacing w:after="0"/>
              <w:rPr>
                <w:sz w:val="18"/>
                <w:szCs w:val="18"/>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6"/>
                <w:szCs w:val="16"/>
                <w:color w:val="auto"/>
              </w:rPr>
              <w:t>Property, plant and equipment at cost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4,833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5,290</w:t>
            </w:r>
          </w:p>
        </w:tc>
        <w:tc>
          <w:tcPr>
            <w:tcW w:w="120" w:type="dxa"/>
            <w:vAlign w:val="bottom"/>
          </w:tcPr>
          <w:p>
            <w:pPr>
              <w:spacing w:after="0"/>
              <w:rPr>
                <w:sz w:val="17"/>
                <w:szCs w:val="17"/>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(2,332)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(2,736)</w:t>
            </w:r>
          </w:p>
        </w:tc>
      </w:tr>
      <w:tr>
        <w:trPr>
          <w:trHeight w:val="207"/>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2,501</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120" w:type="dxa"/>
            <w:vAlign w:val="bottom"/>
            <w:tcBorders>
              <w:bottom w:val="single" w:sz="8" w:color="CFF0FC"/>
            </w:tcBorders>
          </w:tcPr>
          <w:p>
            <w:pPr>
              <w:spacing w:after="0"/>
              <w:rPr>
                <w:sz w:val="17"/>
                <w:szCs w:val="17"/>
                <w:color w:val="auto"/>
              </w:rPr>
            </w:pPr>
          </w:p>
        </w:tc>
      </w:tr>
      <w:tr>
        <w:trPr>
          <w:trHeight w:val="212"/>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FF0FC"/>
          </w:tcPr>
          <w:p>
            <w:pPr>
              <w:spacing w:after="0"/>
              <w:rPr>
                <w:sz w:val="18"/>
                <w:szCs w:val="18"/>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Goodwill, net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intangibles, net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Capitalized software licenses, net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Overfunded retirement plans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FF0FC"/>
          </w:tcPr>
          <w:p>
            <w:pPr>
              <w:spacing w:after="0"/>
              <w:rPr>
                <w:sz w:val="19"/>
                <w:szCs w:val="19"/>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1"/>
                <w:szCs w:val="21"/>
                <w:color w:val="auto"/>
              </w:rPr>
            </w:pPr>
          </w:p>
        </w:tc>
        <w:tc>
          <w:tcPr>
            <w:tcW w:w="1020" w:type="dxa"/>
            <w:vAlign w:val="bottom"/>
          </w:tcPr>
          <w:p>
            <w:pPr>
              <w:jc w:val="right"/>
              <w:ind w:right="859"/>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15,978</w:t>
            </w:r>
          </w:p>
        </w:tc>
        <w:tc>
          <w:tcPr>
            <w:tcW w:w="160" w:type="dxa"/>
            <w:vAlign w:val="bottom"/>
          </w:tcPr>
          <w:p>
            <w:pPr>
              <w:spacing w:after="0"/>
              <w:rPr>
                <w:sz w:val="21"/>
                <w:szCs w:val="21"/>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15,686</w:t>
            </w:r>
          </w:p>
        </w:tc>
        <w:tc>
          <w:tcPr>
            <w:tcW w:w="120" w:type="dxa"/>
            <w:vAlign w:val="bottom"/>
          </w:tcPr>
          <w:p>
            <w:pPr>
              <w:spacing w:after="0"/>
              <w:rPr>
                <w:sz w:val="21"/>
                <w:szCs w:val="21"/>
                <w:color w:val="auto"/>
              </w:rPr>
            </w:pPr>
          </w:p>
        </w:tc>
      </w:tr>
      <w:tr>
        <w:trPr>
          <w:trHeight w:val="199"/>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128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378</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FF0FC"/>
          </w:tcPr>
          <w:p>
            <w:pPr>
              <w:spacing w:after="0"/>
              <w:rPr>
                <w:sz w:val="19"/>
                <w:szCs w:val="19"/>
                <w:color w:val="auto"/>
              </w:rPr>
            </w:pPr>
          </w:p>
        </w:tc>
      </w:tr>
      <w:tr>
        <w:trPr>
          <w:trHeight w:val="207"/>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1,602</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FF0FC"/>
            </w:tcBorders>
          </w:tcPr>
          <w:p>
            <w:pPr>
              <w:spacing w:after="0"/>
              <w:rPr>
                <w:sz w:val="17"/>
                <w:szCs w:val="17"/>
                <w:color w:val="auto"/>
              </w:rPr>
            </w:pPr>
          </w:p>
        </w:tc>
      </w:tr>
      <w:tr>
        <w:trPr>
          <w:trHeight w:val="212"/>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2,869</w:t>
            </w:r>
          </w:p>
        </w:tc>
        <w:tc>
          <w:tcPr>
            <w:tcW w:w="120" w:type="dxa"/>
            <w:vAlign w:val="bottom"/>
            <w:shd w:val="clear" w:color="auto" w:fill="CFF0FC"/>
          </w:tcPr>
          <w:p>
            <w:pPr>
              <w:spacing w:after="0"/>
              <w:rPr>
                <w:sz w:val="18"/>
                <w:szCs w:val="18"/>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Underfunded retirement plans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credits and other liabilities</w:t>
            </w: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FF0FC"/>
            </w:tcBorders>
          </w:tcPr>
          <w:p>
            <w:pPr>
              <w:spacing w:after="0"/>
              <w:rPr>
                <w:sz w:val="18"/>
                <w:szCs w:val="18"/>
                <w:color w:val="auto"/>
              </w:rPr>
            </w:pPr>
          </w:p>
        </w:tc>
      </w:tr>
      <w:tr>
        <w:trPr>
          <w:trHeight w:val="212"/>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5,904</w:t>
            </w:r>
          </w:p>
        </w:tc>
        <w:tc>
          <w:tcPr>
            <w:tcW w:w="120" w:type="dxa"/>
            <w:vAlign w:val="bottom"/>
            <w:shd w:val="clear" w:color="auto" w:fill="CFF0FC"/>
          </w:tcPr>
          <w:p>
            <w:pPr>
              <w:spacing w:after="0"/>
              <w:rPr>
                <w:sz w:val="18"/>
                <w:szCs w:val="18"/>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$25 par value. Authorized – 10,000,000 shares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Participating cumulative preferred – None issued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$1 par value. Authorized – 2,400,000,000 shares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Shares issued – 1,740,815,939</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Paid-in capital</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w:t>
            </w: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33,595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31,500</w:t>
            </w:r>
          </w:p>
        </w:tc>
        <w:tc>
          <w:tcPr>
            <w:tcW w:w="120" w:type="dxa"/>
            <w:vAlign w:val="bottom"/>
          </w:tcPr>
          <w:p>
            <w:pPr>
              <w:spacing w:after="0"/>
              <w:rPr>
                <w:sz w:val="18"/>
                <w:szCs w:val="18"/>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common stock at cost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Shares: March 31, 2017 – 743,085,976; March 31, 2016 – 734,244,179</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7"/>
              </w:rPr>
              <w:t>(25,767)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(24,443)</w:t>
            </w: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 net of taxes (AOCI)</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(527)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(531)</w:t>
            </w:r>
          </w:p>
        </w:tc>
      </w:tr>
      <w:tr>
        <w:trPr>
          <w:trHeight w:val="207"/>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9,782</w:t>
            </w:r>
          </w:p>
        </w:tc>
        <w:tc>
          <w:tcPr>
            <w:tcW w:w="120" w:type="dxa"/>
            <w:vAlign w:val="bottom"/>
            <w:tcBorders>
              <w:bottom w:val="single" w:sz="8" w:color="CFF0FC"/>
            </w:tcBorders>
          </w:tcPr>
          <w:p>
            <w:pPr>
              <w:spacing w:after="0"/>
              <w:rPr>
                <w:sz w:val="17"/>
                <w:szCs w:val="17"/>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59"/>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15,978</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15,686</w:t>
            </w:r>
          </w:p>
        </w:tc>
        <w:tc>
          <w:tcPr>
            <w:tcW w:w="120" w:type="dxa"/>
            <w:vAlign w:val="bottom"/>
            <w:shd w:val="clear" w:color="auto" w:fill="CFF0FC"/>
          </w:tcPr>
          <w:p>
            <w:pPr>
              <w:spacing w:after="0"/>
              <w:rPr>
                <w:sz w:val="18"/>
                <w:szCs w:val="18"/>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 have been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TI reports 1Q17 financial results and shareholder returns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5</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80" w:type="dxa"/>
            <w:vAlign w:val="bottom"/>
            <w:gridSpan w:val="3"/>
          </w:tcPr>
          <w:p>
            <w:pPr>
              <w:jc w:val="center"/>
              <w:ind w:left="241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jc w:val="center"/>
              <w:ind w:left="3630"/>
              <w:spacing w:after="0"/>
              <w:rPr>
                <w:sz w:val="20"/>
                <w:szCs w:val="20"/>
                <w:color w:val="auto"/>
              </w:rPr>
            </w:pPr>
            <w:r>
              <w:rPr>
                <w:rFonts w:ascii="Arial" w:cs="Arial" w:eastAsia="Arial" w:hAnsi="Arial"/>
                <w:sz w:val="18"/>
                <w:szCs w:val="18"/>
                <w:b w:val="1"/>
                <w:bCs w:val="1"/>
                <w:color w:val="auto"/>
                <w:w w:val="92"/>
              </w:rPr>
              <w:t>(Millions of dollars)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5"/>
          </w:tcPr>
          <w:p>
            <w:pPr>
              <w:jc w:val="right"/>
              <w:ind w:right="145"/>
              <w:spacing w:after="0"/>
              <w:rPr>
                <w:sz w:val="20"/>
                <w:szCs w:val="20"/>
                <w:color w:val="auto"/>
              </w:rPr>
            </w:pPr>
            <w:r>
              <w:rPr>
                <w:rFonts w:ascii="Arial" w:cs="Arial" w:eastAsia="Arial" w:hAnsi="Arial"/>
                <w:sz w:val="18"/>
                <w:szCs w:val="18"/>
                <w:b w:val="1"/>
                <w:bCs w:val="1"/>
                <w:color w:val="auto"/>
              </w:rPr>
              <w:t>For Three Months Ended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160" w:type="dxa"/>
            <w:vAlign w:val="bottom"/>
          </w:tcPr>
          <w:p>
            <w:pPr>
              <w:spacing w:after="0"/>
              <w:rPr>
                <w:sz w:val="19"/>
                <w:szCs w:val="19"/>
                <w:color w:val="auto"/>
              </w:rPr>
            </w:pPr>
          </w:p>
        </w:tc>
        <w:tc>
          <w:tcPr>
            <w:tcW w:w="118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Net income: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compensation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(decrease) from changes in:</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Changes in funded status of retirement plans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asset sales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investments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debt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Proceeds from common stock transactions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 have been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TI reports 1Q17 financial results and shareholder returns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b w:val="1"/>
                <w:bCs w:val="1"/>
                <w:color w:val="auto"/>
                <w:w w:val="82"/>
              </w:rPr>
              <w:t>Page 6</w:t>
            </w:r>
          </w:p>
        </w:tc>
      </w:tr>
      <w:tr>
        <w:trPr>
          <w:trHeight w:val="743"/>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 results</w:t>
            </w:r>
          </w:p>
        </w:tc>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5"/>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1Q17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1Q16</w:t>
            </w:r>
          </w:p>
        </w:tc>
        <w:tc>
          <w:tcPr>
            <w:tcW w:w="2360" w:type="dxa"/>
            <w:vAlign w:val="bottom"/>
            <w:gridSpan w:val="3"/>
          </w:tcPr>
          <w:p>
            <w:pPr>
              <w:ind w:left="240"/>
              <w:spacing w:after="0"/>
              <w:rPr>
                <w:sz w:val="20"/>
                <w:szCs w:val="20"/>
                <w:color w:val="auto"/>
              </w:rPr>
            </w:pPr>
            <w:r>
              <w:rPr>
                <w:rFonts w:ascii="Arial" w:cs="Arial" w:eastAsia="Arial" w:hAnsi="Arial"/>
                <w:sz w:val="18"/>
                <w:szCs w:val="18"/>
                <w:color w:val="auto"/>
              </w:rPr>
              <w:t>Change</w:t>
            </w:r>
          </w:p>
        </w:tc>
      </w:tr>
      <w:tr>
        <w:trPr>
          <w:trHeight w:val="223"/>
        </w:trPr>
        <w:tc>
          <w:tcPr>
            <w:tcW w:w="1220" w:type="dxa"/>
            <w:vAlign w:val="bottom"/>
            <w:tcBorders>
              <w:right w:val="single" w:sz="8" w:color="CFF0FC"/>
            </w:tcBorders>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0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1,879</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Embedded Processing:</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9"/>
                <w:szCs w:val="19"/>
                <w:color w:val="auto"/>
              </w:rPr>
            </w:pPr>
          </w:p>
        </w:tc>
      </w:tr>
    </w:tbl>
    <w:p>
      <w:pPr>
        <w:spacing w:after="0" w:line="11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2"/>
          <w:szCs w:val="22"/>
          <w:i w:val="1"/>
          <w:iCs w:val="1"/>
          <w:color w:val="auto"/>
        </w:rPr>
      </w:pPr>
      <w:r>
        <w:rPr>
          <w:rFonts w:ascii="Arial" w:cs="Arial" w:eastAsia="Arial" w:hAnsi="Arial"/>
          <w:sz w:val="18"/>
          <w:szCs w:val="18"/>
          <w:i w:val="1"/>
          <w:iCs w:val="1"/>
          <w:color w:val="auto"/>
        </w:rPr>
        <w:t>Includes Acquisition charges and Restructuring charges/other.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6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primarily due to Power and Signal Chain. High Volume also grew.</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due to higher revenue and associated gross profit.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6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increased in both product lines by about the same amount.</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spacing w:after="0" w:line="6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decreased by $57 million, and operating profit declined by $32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shareholders, as well as insight into its financial performance. These non-GAAP measures are supplemental to the comparable GAAP measures.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For 12 Months Ended</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4,756</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(534)</w:t>
            </w:r>
          </w:p>
        </w:tc>
        <w:tc>
          <w:tcPr>
            <w:tcW w:w="3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4,222</w:t>
            </w:r>
          </w:p>
        </w:tc>
        <w:tc>
          <w:tcPr>
            <w:tcW w:w="360" w:type="dxa"/>
            <w:vAlign w:val="bottom"/>
            <w:tcBorders>
              <w:top w:val="single" w:sz="8" w:color="CFF0FC"/>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148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13,764</w:t>
            </w:r>
          </w:p>
        </w:tc>
        <w:tc>
          <w:tcPr>
            <w:tcW w:w="3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12,858</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34.6%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33.8%</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30.7%</w:t>
            </w:r>
          </w:p>
        </w:tc>
        <w:tc>
          <w:tcPr>
            <w:tcW w:w="3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release also includes references to an operating tax rate, a non-GAAP term we use to describe the estimated annual effective tax rate, a GAAP measure that by definition does not include discrete tax items. We believe the term operating tax rate is useful because it more clearly describes what the estimated annual effective tax rate represents, i.e., how incremental changes in our operations will be impacted by taxes. No adjustments were made to the estimated annual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tabs>
          <w:tab w:leader="none" w:pos="10900" w:val="left"/>
        </w:tabs>
        <w:rPr>
          <w:sz w:val="20"/>
          <w:szCs w:val="20"/>
          <w:color w:val="auto"/>
        </w:rPr>
      </w:pPr>
      <w:r>
        <w:rPr>
          <w:rFonts w:ascii="Arial" w:cs="Arial" w:eastAsia="Arial" w:hAnsi="Arial"/>
          <w:sz w:val="18"/>
          <w:szCs w:val="18"/>
          <w:b w:val="1"/>
          <w:bCs w:val="1"/>
          <w:color w:val="auto"/>
        </w:rPr>
        <w:t>TI reports 1Q17 financial results and shareholder returns</w:t>
      </w:r>
      <w:r>
        <w:rPr>
          <w:sz w:val="20"/>
          <w:szCs w:val="20"/>
          <w:color w:val="auto"/>
        </w:rPr>
        <w:tab/>
      </w:r>
      <w:r>
        <w:rPr>
          <w:rFonts w:ascii="Arial" w:cs="Arial" w:eastAsia="Arial" w:hAnsi="Arial"/>
          <w:sz w:val="15"/>
          <w:szCs w:val="15"/>
          <w:b w:val="1"/>
          <w:bCs w:val="1"/>
          <w:color w:val="auto"/>
        </w:rPr>
        <w:t>Page 7</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TI, our customers or our suppliers operate;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Breaches or disruptions of TI’s information technology systems or those of our customers or suppliers;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18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73"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 or the loss of a significant number of distributors;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40"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our ability to utilize our manufacturing facilities at sufficient levels to cover our fixed operating costs, in an intensely competitive and cyclical industry;</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maintain freedom of operation; or TI’s exposure to infringement claims;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our daily operations, invest in the business, make strategic acquisitions, or make principal and interest payments on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0900" w:val="left"/>
        </w:tabs>
        <w:rPr>
          <w:sz w:val="20"/>
          <w:szCs w:val="20"/>
          <w:color w:val="auto"/>
        </w:rPr>
      </w:pPr>
      <w:r>
        <w:rPr>
          <w:rFonts w:ascii="Arial" w:cs="Arial" w:eastAsia="Arial" w:hAnsi="Arial"/>
          <w:sz w:val="18"/>
          <w:szCs w:val="18"/>
          <w:b w:val="1"/>
          <w:bCs w:val="1"/>
          <w:color w:val="auto"/>
        </w:rPr>
        <w:t>TI reports 1Q17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364"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engineering, management and technical personnel;</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18"/>
          <w:szCs w:val="18"/>
          <w:u w:val="single" w:color="auto"/>
          <w:color w:val="0000FF"/>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2019-12-05T07:44:13Z</dcterms:created>
  <dcterms:modified xsi:type="dcterms:W3CDTF">2019-12-05T07:44:13Z</dcterms:modified>
</cp:coreProperties>
</file>