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164465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189865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UNITED STATES</w:t>
      </w:r>
    </w:p>
    <w:p>
      <w:pPr>
        <w:spacing w:after="0" w:line="15"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159385</wp:posOffset>
            </wp:positionV>
            <wp:extent cx="755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178435</wp:posOffset>
            </wp:positionV>
            <wp:extent cx="755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1"/>
          <w:szCs w:val="21"/>
          <w:b w:val="1"/>
          <w:bCs w:val="1"/>
          <w:color w:val="auto"/>
        </w:rPr>
        <w:t>CURRENT REPORT</w:t>
      </w:r>
    </w:p>
    <w:p>
      <w:pPr>
        <w:spacing w:after="0" w:line="17" w:lineRule="exact"/>
        <w:rPr>
          <w:sz w:val="24"/>
          <w:szCs w:val="24"/>
          <w:color w:val="auto"/>
        </w:rPr>
      </w:pPr>
    </w:p>
    <w:p>
      <w:pPr>
        <w:jc w:val="center"/>
        <w:ind w:right="-799"/>
        <w:spacing w:after="0"/>
        <w:rPr>
          <w:sz w:val="20"/>
          <w:szCs w:val="20"/>
          <w:color w:val="auto"/>
        </w:rPr>
      </w:pPr>
      <w:r>
        <w:rPr>
          <w:rFonts w:ascii="Arial" w:cs="Arial" w:eastAsia="Arial" w:hAnsi="Arial"/>
          <w:sz w:val="21"/>
          <w:szCs w:val="21"/>
          <w:b w:val="1"/>
          <w:bCs w:val="1"/>
          <w:color w:val="auto"/>
        </w:rPr>
        <w:t>PURSUANT TO SECTION 13 OR 15(d)</w:t>
      </w:r>
    </w:p>
    <w:p>
      <w:pPr>
        <w:jc w:val="center"/>
        <w:ind w:right="-79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4" w:lineRule="exact"/>
        <w:rPr>
          <w:sz w:val="24"/>
          <w:szCs w:val="24"/>
          <w:color w:val="auto"/>
        </w:rPr>
      </w:pPr>
    </w:p>
    <w:p>
      <w:pPr>
        <w:ind w:left="1980"/>
        <w:spacing w:after="0"/>
        <w:rPr>
          <w:sz w:val="20"/>
          <w:szCs w:val="20"/>
          <w:color w:val="auto"/>
        </w:rPr>
      </w:pPr>
      <w:r>
        <w:rPr>
          <w:rFonts w:ascii="Arial" w:cs="Arial" w:eastAsia="Arial" w:hAnsi="Arial"/>
          <w:sz w:val="21"/>
          <w:szCs w:val="21"/>
          <w:b w:val="1"/>
          <w:bCs w:val="1"/>
          <w:color w:val="auto"/>
        </w:rPr>
        <w:t>DATE OF REPORT (DATE OF EARLIEST EVENT REPORTED): April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166370</wp:posOffset>
            </wp:positionV>
            <wp:extent cx="755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1620"/>
        <w:spacing w:after="0"/>
        <w:rPr>
          <w:sz w:val="20"/>
          <w:szCs w:val="20"/>
          <w:color w:val="auto"/>
        </w:rPr>
      </w:pPr>
      <w:r>
        <w:rPr>
          <w:rFonts w:ascii="Arial" w:cs="Arial" w:eastAsia="Arial" w:hAnsi="Arial"/>
          <w:sz w:val="42"/>
          <w:szCs w:val="42"/>
          <w:b w:val="1"/>
          <w:bCs w:val="1"/>
          <w:color w:val="auto"/>
        </w:rPr>
        <w:t>TEXAS INSTRUMENTS INCORPORATED</w:t>
      </w:r>
    </w:p>
    <w:p>
      <w:pPr>
        <w:spacing w:after="0" w:line="49" w:lineRule="exact"/>
        <w:rPr>
          <w:sz w:val="24"/>
          <w:szCs w:val="24"/>
          <w:color w:val="auto"/>
        </w:rPr>
      </w:pPr>
    </w:p>
    <w:tbl>
      <w:tblPr>
        <w:tblLayout w:type="fixed"/>
        <w:tblInd w:w="110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5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740" w:type="dxa"/>
            <w:vAlign w:val="bottom"/>
          </w:tcPr>
          <w:p>
            <w:pPr>
              <w:spacing w:after="0"/>
              <w:rPr>
                <w:sz w:val="19"/>
                <w:szCs w:val="19"/>
                <w:color w:val="auto"/>
              </w:rPr>
            </w:pPr>
          </w:p>
        </w:tc>
      </w:tr>
      <w:tr>
        <w:trPr>
          <w:trHeight w:val="232"/>
        </w:trPr>
        <w:tc>
          <w:tcPr>
            <w:tcW w:w="2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3"/>
        </w:trPr>
        <w:tc>
          <w:tcPr>
            <w:tcW w:w="2100" w:type="dxa"/>
            <w:vAlign w:val="bottom"/>
          </w:tcPr>
          <w:p>
            <w:pPr>
              <w:jc w:val="center"/>
              <w:ind w:right="424"/>
              <w:spacing w:after="0"/>
              <w:rPr>
                <w:sz w:val="20"/>
                <w:szCs w:val="20"/>
                <w:color w:val="auto"/>
              </w:rPr>
            </w:pPr>
            <w:r>
              <w:rPr>
                <w:rFonts w:ascii="Arial" w:cs="Arial" w:eastAsia="Arial" w:hAnsi="Arial"/>
                <w:sz w:val="18"/>
                <w:szCs w:val="18"/>
                <w:b w:val="1"/>
                <w:bCs w:val="1"/>
                <w:color w:val="auto"/>
                <w:w w:val="96"/>
              </w:rPr>
              <w:t>DELAWARE</w:t>
            </w:r>
          </w:p>
        </w:tc>
        <w:tc>
          <w:tcPr>
            <w:tcW w:w="3100" w:type="dxa"/>
            <w:vAlign w:val="bottom"/>
            <w:gridSpan w:val="2"/>
          </w:tcPr>
          <w:p>
            <w:pPr>
              <w:ind w:left="220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40" w:type="dxa"/>
            <w:vAlign w:val="bottom"/>
          </w:tcPr>
          <w:p>
            <w:pPr>
              <w:jc w:val="center"/>
              <w:ind w:left="584"/>
              <w:spacing w:after="0"/>
              <w:rPr>
                <w:sz w:val="20"/>
                <w:szCs w:val="20"/>
                <w:color w:val="auto"/>
              </w:rPr>
            </w:pPr>
            <w:r>
              <w:rPr>
                <w:rFonts w:ascii="Arial" w:cs="Arial" w:eastAsia="Arial" w:hAnsi="Arial"/>
                <w:sz w:val="18"/>
                <w:szCs w:val="18"/>
                <w:b w:val="1"/>
                <w:bCs w:val="1"/>
                <w:color w:val="auto"/>
                <w:w w:val="87"/>
              </w:rPr>
              <w:t>75-0289970</w:t>
            </w:r>
          </w:p>
        </w:tc>
      </w:tr>
      <w:tr>
        <w:trPr>
          <w:trHeight w:val="145"/>
        </w:trPr>
        <w:tc>
          <w:tcPr>
            <w:tcW w:w="2100" w:type="dxa"/>
            <w:vAlign w:val="bottom"/>
          </w:tcPr>
          <w:p>
            <w:pPr>
              <w:jc w:val="center"/>
              <w:ind w:right="424"/>
              <w:spacing w:after="0" w:line="145" w:lineRule="exact"/>
              <w:rPr>
                <w:sz w:val="20"/>
                <w:szCs w:val="20"/>
                <w:color w:val="auto"/>
              </w:rPr>
            </w:pPr>
            <w:r>
              <w:rPr>
                <w:rFonts w:ascii="Arial" w:cs="Arial" w:eastAsia="Arial" w:hAnsi="Arial"/>
                <w:sz w:val="14"/>
                <w:szCs w:val="14"/>
                <w:b w:val="1"/>
                <w:bCs w:val="1"/>
                <w:color w:val="auto"/>
                <w:w w:val="91"/>
              </w:rPr>
              <w:t>(State or other jurisdiction</w:t>
            </w:r>
          </w:p>
        </w:tc>
        <w:tc>
          <w:tcPr>
            <w:tcW w:w="1920" w:type="dxa"/>
            <w:vAlign w:val="bottom"/>
          </w:tcPr>
          <w:p>
            <w:pPr>
              <w:spacing w:after="0"/>
              <w:rPr>
                <w:sz w:val="12"/>
                <w:szCs w:val="12"/>
                <w:color w:val="auto"/>
              </w:rPr>
            </w:pPr>
          </w:p>
        </w:tc>
        <w:tc>
          <w:tcPr>
            <w:tcW w:w="3280" w:type="dxa"/>
            <w:vAlign w:val="bottom"/>
            <w:gridSpan w:val="2"/>
          </w:tcPr>
          <w:p>
            <w:pPr>
              <w:ind w:left="280"/>
              <w:spacing w:after="0" w:line="145" w:lineRule="exact"/>
              <w:rPr>
                <w:sz w:val="20"/>
                <w:szCs w:val="20"/>
                <w:color w:val="auto"/>
              </w:rPr>
            </w:pPr>
            <w:r>
              <w:rPr>
                <w:rFonts w:ascii="Arial" w:cs="Arial" w:eastAsia="Arial" w:hAnsi="Arial"/>
                <w:sz w:val="14"/>
                <w:szCs w:val="14"/>
                <w:b w:val="1"/>
                <w:bCs w:val="1"/>
                <w:color w:val="auto"/>
              </w:rPr>
              <w:t>(Commission</w:t>
            </w:r>
          </w:p>
        </w:tc>
        <w:tc>
          <w:tcPr>
            <w:tcW w:w="1740" w:type="dxa"/>
            <w:vAlign w:val="bottom"/>
          </w:tcPr>
          <w:p>
            <w:pPr>
              <w:jc w:val="center"/>
              <w:ind w:left="584"/>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100" w:type="dxa"/>
            <w:vAlign w:val="bottom"/>
          </w:tcPr>
          <w:p>
            <w:pPr>
              <w:jc w:val="center"/>
              <w:ind w:right="444"/>
              <w:spacing w:after="0"/>
              <w:rPr>
                <w:sz w:val="20"/>
                <w:szCs w:val="20"/>
                <w:color w:val="auto"/>
              </w:rPr>
            </w:pPr>
            <w:r>
              <w:rPr>
                <w:rFonts w:ascii="Arial" w:cs="Arial" w:eastAsia="Arial" w:hAnsi="Arial"/>
                <w:sz w:val="14"/>
                <w:szCs w:val="14"/>
                <w:b w:val="1"/>
                <w:bCs w:val="1"/>
                <w:color w:val="auto"/>
                <w:w w:val="91"/>
              </w:rPr>
              <w:t>of incorporation)</w:t>
            </w:r>
          </w:p>
        </w:tc>
        <w:tc>
          <w:tcPr>
            <w:tcW w:w="1920" w:type="dxa"/>
            <w:vAlign w:val="bottom"/>
          </w:tcPr>
          <w:p>
            <w:pPr>
              <w:spacing w:after="0"/>
              <w:rPr>
                <w:sz w:val="15"/>
                <w:szCs w:val="15"/>
                <w:color w:val="auto"/>
              </w:rPr>
            </w:pPr>
          </w:p>
        </w:tc>
        <w:tc>
          <w:tcPr>
            <w:tcW w:w="3280" w:type="dxa"/>
            <w:vAlign w:val="bottom"/>
            <w:gridSpan w:val="2"/>
          </w:tcPr>
          <w:p>
            <w:pPr>
              <w:ind w:left="300"/>
              <w:spacing w:after="0"/>
              <w:rPr>
                <w:sz w:val="20"/>
                <w:szCs w:val="20"/>
                <w:color w:val="auto"/>
              </w:rPr>
            </w:pPr>
            <w:r>
              <w:rPr>
                <w:rFonts w:ascii="Arial" w:cs="Arial" w:eastAsia="Arial" w:hAnsi="Arial"/>
                <w:sz w:val="14"/>
                <w:szCs w:val="14"/>
                <w:b w:val="1"/>
                <w:bCs w:val="1"/>
                <w:color w:val="auto"/>
              </w:rPr>
              <w:t>file number)</w:t>
            </w:r>
          </w:p>
        </w:tc>
        <w:tc>
          <w:tcPr>
            <w:tcW w:w="1740" w:type="dxa"/>
            <w:vAlign w:val="bottom"/>
          </w:tcPr>
          <w:p>
            <w:pPr>
              <w:jc w:val="center"/>
              <w:ind w:left="584"/>
              <w:spacing w:after="0"/>
              <w:rPr>
                <w:sz w:val="20"/>
                <w:szCs w:val="20"/>
                <w:color w:val="auto"/>
              </w:rPr>
            </w:pPr>
            <w:r>
              <w:rPr>
                <w:rFonts w:ascii="Arial" w:cs="Arial" w:eastAsia="Arial" w:hAnsi="Arial"/>
                <w:sz w:val="14"/>
                <w:szCs w:val="14"/>
                <w:b w:val="1"/>
                <w:bCs w:val="1"/>
                <w:color w:val="auto"/>
                <w:w w:val="92"/>
              </w:rPr>
              <w:t>identification no.)</w:t>
            </w:r>
          </w:p>
        </w:tc>
      </w:tr>
      <w:tr>
        <w:trPr>
          <w:trHeight w:val="389"/>
        </w:trPr>
        <w:tc>
          <w:tcPr>
            <w:tcW w:w="2100" w:type="dxa"/>
            <w:vAlign w:val="bottom"/>
          </w:tcPr>
          <w:p>
            <w:pPr>
              <w:spacing w:after="0"/>
              <w:rPr>
                <w:sz w:val="24"/>
                <w:szCs w:val="24"/>
                <w:color w:val="auto"/>
              </w:rPr>
            </w:pPr>
          </w:p>
        </w:tc>
        <w:tc>
          <w:tcPr>
            <w:tcW w:w="5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12500 TI BOULEVARD</w:t>
            </w:r>
          </w:p>
        </w:tc>
        <w:tc>
          <w:tcPr>
            <w:tcW w:w="1740" w:type="dxa"/>
            <w:vAlign w:val="bottom"/>
          </w:tcPr>
          <w:p>
            <w:pPr>
              <w:spacing w:after="0"/>
              <w:rPr>
                <w:sz w:val="24"/>
                <w:szCs w:val="24"/>
                <w:color w:val="auto"/>
              </w:rPr>
            </w:pPr>
          </w:p>
        </w:tc>
      </w:tr>
      <w:tr>
        <w:trPr>
          <w:trHeight w:val="207"/>
        </w:trPr>
        <w:tc>
          <w:tcPr>
            <w:tcW w:w="2100" w:type="dxa"/>
            <w:vAlign w:val="bottom"/>
          </w:tcPr>
          <w:p>
            <w:pPr>
              <w:spacing w:after="0"/>
              <w:rPr>
                <w:sz w:val="18"/>
                <w:szCs w:val="18"/>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DALLAS, TEXAS 75243</w:t>
            </w:r>
          </w:p>
        </w:tc>
        <w:tc>
          <w:tcPr>
            <w:tcW w:w="1740" w:type="dxa"/>
            <w:vAlign w:val="bottom"/>
          </w:tcPr>
          <w:p>
            <w:pPr>
              <w:spacing w:after="0"/>
              <w:rPr>
                <w:sz w:val="18"/>
                <w:szCs w:val="18"/>
                <w:color w:val="auto"/>
              </w:rPr>
            </w:pPr>
          </w:p>
        </w:tc>
      </w:tr>
      <w:tr>
        <w:trPr>
          <w:trHeight w:val="184"/>
        </w:trPr>
        <w:tc>
          <w:tcPr>
            <w:tcW w:w="2100" w:type="dxa"/>
            <w:vAlign w:val="bottom"/>
          </w:tcPr>
          <w:p>
            <w:pPr>
              <w:spacing w:after="0"/>
              <w:rPr>
                <w:sz w:val="15"/>
                <w:szCs w:val="15"/>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740" w:type="dxa"/>
            <w:vAlign w:val="bottom"/>
          </w:tcPr>
          <w:p>
            <w:pPr>
              <w:spacing w:after="0"/>
              <w:rPr>
                <w:sz w:val="15"/>
                <w:szCs w:val="15"/>
                <w:color w:val="auto"/>
              </w:rPr>
            </w:pPr>
          </w:p>
        </w:tc>
      </w:tr>
      <w:tr>
        <w:trPr>
          <w:trHeight w:val="357"/>
        </w:trPr>
        <w:tc>
          <w:tcPr>
            <w:tcW w:w="2100" w:type="dxa"/>
            <w:vAlign w:val="bottom"/>
          </w:tcPr>
          <w:p>
            <w:pPr>
              <w:spacing w:after="0"/>
              <w:rPr>
                <w:sz w:val="24"/>
                <w:szCs w:val="24"/>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Registrant’s telephone number, including area code: (214) 479-3773</w:t>
            </w:r>
          </w:p>
        </w:tc>
        <w:tc>
          <w:tcPr>
            <w:tcW w:w="17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149225</wp:posOffset>
            </wp:positionV>
            <wp:extent cx="755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1" w:lineRule="exact"/>
        <w:rPr>
          <w:sz w:val="24"/>
          <w:szCs w:val="24"/>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610235</wp:posOffset>
            </wp:positionV>
            <wp:extent cx="7291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620"/>
          </w:cols>
          <w:pgMar w:left="240" w:top="376"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At the annual meeting of stockholders held on April 21, 2016, the stockholders elected TI’s Board of Directors and voted upon three Board proposals contained within our Proxy Statement dated March 9,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2"/>
              </w:rPr>
              <w:t>Broker</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700" w:type="dxa"/>
            <w:vAlign w:val="bottom"/>
          </w:tcPr>
          <w:p>
            <w:pPr>
              <w:ind w:left="400"/>
              <w:spacing w:after="0"/>
              <w:rPr>
                <w:sz w:val="20"/>
                <w:szCs w:val="20"/>
                <w:color w:val="auto"/>
              </w:rPr>
            </w:pPr>
            <w:r>
              <w:rPr>
                <w:rFonts w:ascii="Arial" w:cs="Arial" w:eastAsia="Arial" w:hAnsi="Arial"/>
                <w:sz w:val="18"/>
                <w:szCs w:val="18"/>
                <w:b w:val="1"/>
                <w:bCs w:val="1"/>
                <w:color w:val="auto"/>
                <w:w w:val="96"/>
              </w:rPr>
              <w:t>For</w:t>
            </w:r>
          </w:p>
        </w:tc>
        <w:tc>
          <w:tcPr>
            <w:tcW w:w="960" w:type="dxa"/>
            <w:vAlign w:val="bottom"/>
          </w:tcPr>
          <w:p>
            <w:pPr>
              <w:spacing w:after="0"/>
              <w:rPr>
                <w:sz w:val="20"/>
                <w:szCs w:val="20"/>
                <w:color w:val="auto"/>
              </w:rPr>
            </w:pPr>
          </w:p>
        </w:tc>
        <w:tc>
          <w:tcPr>
            <w:tcW w:w="1380" w:type="dxa"/>
            <w:vAlign w:val="bottom"/>
          </w:tcPr>
          <w:p>
            <w:pPr>
              <w:ind w:left="100"/>
              <w:spacing w:after="0"/>
              <w:rPr>
                <w:sz w:val="20"/>
                <w:szCs w:val="20"/>
                <w:color w:val="auto"/>
              </w:rPr>
            </w:pPr>
            <w:r>
              <w:rPr>
                <w:rFonts w:ascii="Arial" w:cs="Arial" w:eastAsia="Arial" w:hAnsi="Arial"/>
                <w:sz w:val="18"/>
                <w:szCs w:val="18"/>
                <w:b w:val="1"/>
                <w:bCs w:val="1"/>
                <w:color w:val="auto"/>
              </w:rPr>
              <w:t>Against</w:t>
            </w:r>
          </w:p>
        </w:tc>
        <w:tc>
          <w:tcPr>
            <w:tcW w:w="148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Abstentions</w:t>
            </w:r>
          </w:p>
        </w:tc>
        <w:tc>
          <w:tcPr>
            <w:tcW w:w="23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6"/>
              </w:rPr>
              <w:t>Non-Votes</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7"/>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Ralph W. Babb, Jr.</w:t>
            </w:r>
          </w:p>
        </w:tc>
        <w:tc>
          <w:tcPr>
            <w:tcW w:w="1660" w:type="dxa"/>
            <w:vAlign w:val="bottom"/>
            <w:tcBorders>
              <w:top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87"/>
              </w:rPr>
              <w:t>823,989,946</w:t>
            </w:r>
          </w:p>
        </w:tc>
        <w:tc>
          <w:tcPr>
            <w:tcW w:w="1380" w:type="dxa"/>
            <w:vAlign w:val="bottom"/>
            <w:tcBorders>
              <w:top w:val="single" w:sz="8" w:color="auto"/>
            </w:tcBorders>
          </w:tcPr>
          <w:p>
            <w:pPr>
              <w:jc w:val="center"/>
              <w:ind w:right="512"/>
              <w:spacing w:after="0"/>
              <w:rPr>
                <w:sz w:val="20"/>
                <w:szCs w:val="20"/>
                <w:color w:val="auto"/>
              </w:rPr>
            </w:pPr>
            <w:r>
              <w:rPr>
                <w:rFonts w:ascii="Arial" w:cs="Arial" w:eastAsia="Arial" w:hAnsi="Arial"/>
                <w:sz w:val="18"/>
                <w:szCs w:val="18"/>
                <w:color w:val="auto"/>
                <w:w w:val="87"/>
              </w:rPr>
              <w:t>2,636,655</w:t>
            </w:r>
          </w:p>
        </w:tc>
        <w:tc>
          <w:tcPr>
            <w:tcW w:w="1480" w:type="dxa"/>
            <w:vAlign w:val="bottom"/>
            <w:tcBorders>
              <w:top w:val="single" w:sz="8" w:color="auto"/>
            </w:tcBorders>
          </w:tcPr>
          <w:p>
            <w:pPr>
              <w:jc w:val="center"/>
              <w:ind w:right="312"/>
              <w:spacing w:after="0"/>
              <w:rPr>
                <w:sz w:val="20"/>
                <w:szCs w:val="20"/>
                <w:color w:val="auto"/>
              </w:rPr>
            </w:pPr>
            <w:r>
              <w:rPr>
                <w:rFonts w:ascii="Arial" w:cs="Arial" w:eastAsia="Arial" w:hAnsi="Arial"/>
                <w:sz w:val="18"/>
                <w:szCs w:val="18"/>
                <w:color w:val="auto"/>
                <w:w w:val="89"/>
              </w:rPr>
              <w:t>1,491,802</w:t>
            </w:r>
          </w:p>
        </w:tc>
        <w:tc>
          <w:tcPr>
            <w:tcW w:w="1360" w:type="dxa"/>
            <w:vAlign w:val="bottom"/>
            <w:tcBorders>
              <w:top w:val="single" w:sz="8" w:color="auto"/>
            </w:tcBorders>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Mark A. Blinn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824,077,431</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2,431,373</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1,609,599</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Daniel A. Carp</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817,532,082</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7,957,423</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2,628,898</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Janet F. Clark</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824,081,771</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2,386,384</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1,650,248</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Carrie S. Cox</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818,463,478</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8,048,680</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1,606,245</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Ronald Kirk</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823,453,718</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3,225,189</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1,439,496</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Pamela H. Patsley</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815,859,473</w:t>
            </w:r>
          </w:p>
        </w:tc>
        <w:tc>
          <w:tcPr>
            <w:tcW w:w="1380" w:type="dxa"/>
            <w:vAlign w:val="bottom"/>
          </w:tcPr>
          <w:p>
            <w:pPr>
              <w:jc w:val="center"/>
              <w:ind w:right="492"/>
              <w:spacing w:after="0"/>
              <w:rPr>
                <w:sz w:val="20"/>
                <w:szCs w:val="20"/>
                <w:color w:val="auto"/>
              </w:rPr>
            </w:pPr>
            <w:r>
              <w:rPr>
                <w:rFonts w:ascii="Arial" w:cs="Arial" w:eastAsia="Arial" w:hAnsi="Arial"/>
                <w:sz w:val="18"/>
                <w:szCs w:val="18"/>
                <w:color w:val="auto"/>
                <w:w w:val="88"/>
              </w:rPr>
              <w:t>10,634,682</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1,624,248</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Robert E. Sanchez</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823,439,096</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3,119,335</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1,559,972</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Wayne R. Sanders</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813,109,330</w:t>
            </w:r>
          </w:p>
        </w:tc>
        <w:tc>
          <w:tcPr>
            <w:tcW w:w="1380" w:type="dxa"/>
            <w:vAlign w:val="bottom"/>
          </w:tcPr>
          <w:p>
            <w:pPr>
              <w:jc w:val="center"/>
              <w:ind w:right="492"/>
              <w:spacing w:after="0"/>
              <w:rPr>
                <w:sz w:val="20"/>
                <w:szCs w:val="20"/>
                <w:color w:val="auto"/>
              </w:rPr>
            </w:pPr>
            <w:r>
              <w:rPr>
                <w:rFonts w:ascii="Arial" w:cs="Arial" w:eastAsia="Arial" w:hAnsi="Arial"/>
                <w:sz w:val="18"/>
                <w:szCs w:val="18"/>
                <w:color w:val="auto"/>
                <w:w w:val="88"/>
              </w:rPr>
              <w:t>13,408,841</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1,600,232</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Richard K. Templeton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806,712,692</w:t>
            </w:r>
          </w:p>
        </w:tc>
        <w:tc>
          <w:tcPr>
            <w:tcW w:w="1380" w:type="dxa"/>
            <w:vAlign w:val="bottom"/>
          </w:tcPr>
          <w:p>
            <w:pPr>
              <w:jc w:val="center"/>
              <w:ind w:right="492"/>
              <w:spacing w:after="0"/>
              <w:rPr>
                <w:sz w:val="20"/>
                <w:szCs w:val="20"/>
                <w:color w:val="auto"/>
              </w:rPr>
            </w:pPr>
            <w:r>
              <w:rPr>
                <w:rFonts w:ascii="Arial" w:cs="Arial" w:eastAsia="Arial" w:hAnsi="Arial"/>
                <w:sz w:val="18"/>
                <w:szCs w:val="18"/>
                <w:color w:val="auto"/>
                <w:w w:val="88"/>
              </w:rPr>
              <w:t>16,021,842</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5,383,869</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color w:val="auto"/>
              </w:rPr>
              <w:t>Christine Todd Whitman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818,331,238</w:t>
            </w:r>
          </w:p>
        </w:tc>
        <w:tc>
          <w:tcPr>
            <w:tcW w:w="1380" w:type="dxa"/>
            <w:vAlign w:val="bottom"/>
          </w:tcPr>
          <w:p>
            <w:pPr>
              <w:jc w:val="center"/>
              <w:ind w:right="512"/>
              <w:spacing w:after="0"/>
              <w:rPr>
                <w:sz w:val="20"/>
                <w:szCs w:val="20"/>
                <w:color w:val="auto"/>
              </w:rPr>
            </w:pPr>
            <w:r>
              <w:rPr>
                <w:rFonts w:ascii="Arial" w:cs="Arial" w:eastAsia="Arial" w:hAnsi="Arial"/>
                <w:sz w:val="18"/>
                <w:szCs w:val="18"/>
                <w:color w:val="auto"/>
                <w:w w:val="87"/>
              </w:rPr>
              <w:t>7,290,904</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2,496,261</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83,773,947</w:t>
            </w:r>
          </w:p>
        </w:tc>
        <w:tc>
          <w:tcPr>
            <w:tcW w:w="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7380" w:type="dxa"/>
            <w:vAlign w:val="bottom"/>
            <w:gridSpan w:val="5"/>
          </w:tcPr>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2"/>
              </w:rPr>
              <w:t>Broker</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7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380" w:type="dxa"/>
            <w:vAlign w:val="bottom"/>
          </w:tcPr>
          <w:p>
            <w:pPr>
              <w:jc w:val="center"/>
              <w:ind w:left="232"/>
              <w:spacing w:after="0"/>
              <w:rPr>
                <w:sz w:val="20"/>
                <w:szCs w:val="20"/>
                <w:color w:val="auto"/>
              </w:rPr>
            </w:pPr>
            <w:r>
              <w:rPr>
                <w:rFonts w:ascii="Arial" w:cs="Arial" w:eastAsia="Arial" w:hAnsi="Arial"/>
                <w:sz w:val="18"/>
                <w:szCs w:val="18"/>
                <w:b w:val="1"/>
                <w:bCs w:val="1"/>
                <w:color w:val="auto"/>
                <w:w w:val="87"/>
              </w:rPr>
              <w:t>Against</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Abstentions</w:t>
            </w:r>
          </w:p>
        </w:tc>
        <w:tc>
          <w:tcPr>
            <w:tcW w:w="2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6"/>
              </w:rPr>
              <w:t>Non-Votes</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Board proposal regarding advisory approval of</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785,591,583</w:t>
            </w:r>
          </w:p>
        </w:tc>
        <w:tc>
          <w:tcPr>
            <w:tcW w:w="1380" w:type="dxa"/>
            <w:vAlign w:val="bottom"/>
            <w:tcBorders>
              <w:top w:val="single" w:sz="8" w:color="auto"/>
            </w:tcBorders>
          </w:tcPr>
          <w:p>
            <w:pPr>
              <w:jc w:val="center"/>
              <w:ind w:left="232"/>
              <w:spacing w:after="0"/>
              <w:rPr>
                <w:sz w:val="20"/>
                <w:szCs w:val="20"/>
                <w:color w:val="auto"/>
              </w:rPr>
            </w:pPr>
            <w:r>
              <w:rPr>
                <w:rFonts w:ascii="Arial" w:cs="Arial" w:eastAsia="Arial" w:hAnsi="Arial"/>
                <w:sz w:val="18"/>
                <w:szCs w:val="18"/>
                <w:color w:val="auto"/>
                <w:w w:val="86"/>
              </w:rPr>
              <w:t>40,047,891</w:t>
            </w:r>
          </w:p>
        </w:tc>
        <w:tc>
          <w:tcPr>
            <w:tcW w:w="1480" w:type="dxa"/>
            <w:vAlign w:val="bottom"/>
            <w:tcBorders>
              <w:top w:val="single" w:sz="8" w:color="auto"/>
            </w:tcBorders>
          </w:tcPr>
          <w:p>
            <w:pPr>
              <w:jc w:val="center"/>
              <w:ind w:left="72"/>
              <w:spacing w:after="0"/>
              <w:rPr>
                <w:sz w:val="20"/>
                <w:szCs w:val="20"/>
                <w:color w:val="auto"/>
              </w:rPr>
            </w:pPr>
            <w:r>
              <w:rPr>
                <w:rFonts w:ascii="Arial" w:cs="Arial" w:eastAsia="Arial" w:hAnsi="Arial"/>
                <w:sz w:val="18"/>
                <w:szCs w:val="18"/>
                <w:color w:val="auto"/>
                <w:w w:val="84"/>
              </w:rPr>
              <w:t>2,478,929</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83,773,947</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w w:val="90"/>
              </w:rPr>
              <w:t>the company’s executive compensation</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4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For</w:t>
            </w:r>
          </w:p>
        </w:tc>
        <w:tc>
          <w:tcPr>
            <w:tcW w:w="14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Against</w:t>
            </w:r>
          </w:p>
        </w:tc>
        <w:tc>
          <w:tcPr>
            <w:tcW w:w="1800" w:type="dxa"/>
            <w:vAlign w:val="bottom"/>
            <w:tcBorders>
              <w:bottom w:val="single" w:sz="8" w:color="auto"/>
            </w:tcBorders>
            <w:gridSpan w:val="2"/>
          </w:tcPr>
          <w:p>
            <w:pPr>
              <w:jc w:val="center"/>
              <w:ind w:left="772"/>
              <w:spacing w:after="0"/>
              <w:rPr>
                <w:sz w:val="20"/>
                <w:szCs w:val="20"/>
                <w:color w:val="auto"/>
              </w:rPr>
            </w:pPr>
            <w:r>
              <w:rPr>
                <w:rFonts w:ascii="Arial" w:cs="Arial" w:eastAsia="Arial" w:hAnsi="Arial"/>
                <w:sz w:val="18"/>
                <w:szCs w:val="18"/>
                <w:b w:val="1"/>
                <w:bCs w:val="1"/>
                <w:color w:val="auto"/>
                <w:w w:val="86"/>
              </w:rPr>
              <w:t>Abstentions</w:t>
            </w:r>
          </w:p>
        </w:tc>
      </w:tr>
      <w:tr>
        <w:trPr>
          <w:trHeight w:val="410"/>
        </w:trPr>
        <w:tc>
          <w:tcPr>
            <w:tcW w:w="5900" w:type="dxa"/>
            <w:vAlign w:val="bottom"/>
            <w:gridSpan w:val="4"/>
          </w:tcPr>
          <w:p>
            <w:pPr>
              <w:spacing w:after="0"/>
              <w:rPr>
                <w:sz w:val="20"/>
                <w:szCs w:val="20"/>
                <w:color w:val="auto"/>
              </w:rPr>
            </w:pPr>
            <w:r>
              <w:rPr>
                <w:rFonts w:ascii="Arial" w:cs="Arial" w:eastAsia="Arial" w:hAnsi="Arial"/>
                <w:sz w:val="18"/>
                <w:szCs w:val="18"/>
                <w:color w:val="auto"/>
                <w:w w:val="96"/>
              </w:rPr>
              <w:t>Board proposal to ratify the appointment of Ernst &amp; Young LLP  900,324,871</w:t>
            </w:r>
          </w:p>
        </w:tc>
        <w:tc>
          <w:tcPr>
            <w:tcW w:w="1480" w:type="dxa"/>
            <w:vAlign w:val="bottom"/>
          </w:tcPr>
          <w:p>
            <w:pPr>
              <w:spacing w:after="0"/>
              <w:rPr>
                <w:sz w:val="24"/>
                <w:szCs w:val="24"/>
                <w:color w:val="auto"/>
              </w:rPr>
            </w:pPr>
          </w:p>
        </w:tc>
        <w:tc>
          <w:tcPr>
            <w:tcW w:w="2340" w:type="dxa"/>
            <w:vAlign w:val="bottom"/>
            <w:gridSpan w:val="2"/>
          </w:tcPr>
          <w:p>
            <w:pPr>
              <w:jc w:val="right"/>
              <w:ind w:right="880"/>
              <w:spacing w:after="0"/>
              <w:rPr>
                <w:sz w:val="20"/>
                <w:szCs w:val="20"/>
                <w:color w:val="auto"/>
              </w:rPr>
            </w:pPr>
            <w:r>
              <w:rPr>
                <w:rFonts w:ascii="Arial" w:cs="Arial" w:eastAsia="Arial" w:hAnsi="Arial"/>
                <w:sz w:val="18"/>
                <w:szCs w:val="18"/>
                <w:color w:val="auto"/>
              </w:rPr>
              <w:t>10,177,415</w:t>
            </w:r>
          </w:p>
        </w:tc>
        <w:tc>
          <w:tcPr>
            <w:tcW w:w="1720" w:type="dxa"/>
            <w:vAlign w:val="bottom"/>
          </w:tcPr>
          <w:p>
            <w:pPr>
              <w:jc w:val="right"/>
              <w:spacing w:after="0"/>
              <w:rPr>
                <w:sz w:val="20"/>
                <w:szCs w:val="20"/>
                <w:color w:val="auto"/>
              </w:rPr>
            </w:pPr>
            <w:r>
              <w:rPr>
                <w:rFonts w:ascii="Arial" w:cs="Arial" w:eastAsia="Arial" w:hAnsi="Arial"/>
                <w:sz w:val="18"/>
                <w:szCs w:val="18"/>
                <w:color w:val="auto"/>
              </w:rPr>
              <w:t>1,390,064</w:t>
            </w:r>
          </w:p>
        </w:tc>
        <w:tc>
          <w:tcPr>
            <w:tcW w:w="80" w:type="dxa"/>
            <w:vAlign w:val="bottom"/>
          </w:tcPr>
          <w:p>
            <w:pPr>
              <w:spacing w:after="0"/>
              <w:rPr>
                <w:sz w:val="24"/>
                <w:szCs w:val="24"/>
                <w:color w:val="auto"/>
              </w:rPr>
            </w:pPr>
          </w:p>
        </w:tc>
      </w:tr>
      <w:tr>
        <w:trPr>
          <w:trHeight w:val="211"/>
        </w:trPr>
        <w:tc>
          <w:tcPr>
            <w:tcW w:w="4520" w:type="dxa"/>
            <w:vAlign w:val="bottom"/>
            <w:gridSpan w:val="3"/>
          </w:tcPr>
          <w:p>
            <w:pPr>
              <w:spacing w:after="0"/>
              <w:rPr>
                <w:sz w:val="20"/>
                <w:szCs w:val="20"/>
                <w:color w:val="auto"/>
              </w:rPr>
            </w:pPr>
            <w:r>
              <w:rPr>
                <w:rFonts w:ascii="Arial" w:cs="Arial" w:eastAsia="Arial" w:hAnsi="Arial"/>
                <w:sz w:val="18"/>
                <w:szCs w:val="18"/>
                <w:color w:val="auto"/>
                <w:w w:val="88"/>
              </w:rPr>
              <w:t>as the company’s independent registered public accounting firm</w:t>
            </w: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for 2016</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5"/>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2"/>
              </w:rPr>
              <w:t>Broker</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7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380" w:type="dxa"/>
            <w:vAlign w:val="bottom"/>
          </w:tcPr>
          <w:p>
            <w:pPr>
              <w:jc w:val="center"/>
              <w:ind w:left="232"/>
              <w:spacing w:after="0"/>
              <w:rPr>
                <w:sz w:val="20"/>
                <w:szCs w:val="20"/>
                <w:color w:val="auto"/>
              </w:rPr>
            </w:pPr>
            <w:r>
              <w:rPr>
                <w:rFonts w:ascii="Arial" w:cs="Arial" w:eastAsia="Arial" w:hAnsi="Arial"/>
                <w:sz w:val="18"/>
                <w:szCs w:val="18"/>
                <w:b w:val="1"/>
                <w:bCs w:val="1"/>
                <w:color w:val="auto"/>
                <w:w w:val="87"/>
              </w:rPr>
              <w:t>Against</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Abstentions</w:t>
            </w:r>
          </w:p>
        </w:tc>
        <w:tc>
          <w:tcPr>
            <w:tcW w:w="2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6"/>
              </w:rPr>
              <w:t>Non-Votes</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Board proposal to approve amendments to the</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757,965,292</w:t>
            </w:r>
          </w:p>
        </w:tc>
        <w:tc>
          <w:tcPr>
            <w:tcW w:w="1380" w:type="dxa"/>
            <w:vAlign w:val="bottom"/>
            <w:tcBorders>
              <w:top w:val="single" w:sz="8" w:color="auto"/>
            </w:tcBorders>
          </w:tcPr>
          <w:p>
            <w:pPr>
              <w:jc w:val="center"/>
              <w:ind w:left="232"/>
              <w:spacing w:after="0"/>
              <w:rPr>
                <w:sz w:val="20"/>
                <w:szCs w:val="20"/>
                <w:color w:val="auto"/>
              </w:rPr>
            </w:pPr>
            <w:r>
              <w:rPr>
                <w:rFonts w:ascii="Arial" w:cs="Arial" w:eastAsia="Arial" w:hAnsi="Arial"/>
                <w:sz w:val="18"/>
                <w:szCs w:val="18"/>
                <w:color w:val="auto"/>
                <w:w w:val="86"/>
              </w:rPr>
              <w:t>67,347,658</w:t>
            </w:r>
          </w:p>
        </w:tc>
        <w:tc>
          <w:tcPr>
            <w:tcW w:w="1480" w:type="dxa"/>
            <w:vAlign w:val="bottom"/>
            <w:tcBorders>
              <w:top w:val="single" w:sz="8" w:color="auto"/>
            </w:tcBorders>
          </w:tcPr>
          <w:p>
            <w:pPr>
              <w:jc w:val="center"/>
              <w:ind w:left="72"/>
              <w:spacing w:after="0"/>
              <w:rPr>
                <w:sz w:val="20"/>
                <w:szCs w:val="20"/>
                <w:color w:val="auto"/>
              </w:rPr>
            </w:pPr>
            <w:r>
              <w:rPr>
                <w:rFonts w:ascii="Arial" w:cs="Arial" w:eastAsia="Arial" w:hAnsi="Arial"/>
                <w:sz w:val="18"/>
                <w:szCs w:val="18"/>
                <w:color w:val="auto"/>
                <w:w w:val="84"/>
              </w:rPr>
              <w:t>2,805,453</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83,773,947</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1"/>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Texas Instruments 2009 Long-Term Incentive</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Plan</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4"/>
        </w:trPr>
        <w:tc>
          <w:tcPr>
            <w:tcW w:w="2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7880" w:type="dxa"/>
            <w:vAlign w:val="bottom"/>
            <w:gridSpan w:val="2"/>
          </w:tcPr>
          <w:p>
            <w:pPr>
              <w:ind w:left="2060"/>
              <w:spacing w:after="0"/>
              <w:rPr>
                <w:sz w:val="20"/>
                <w:szCs w:val="20"/>
                <w:color w:val="auto"/>
              </w:rPr>
            </w:pPr>
            <w:r>
              <w:rPr>
                <w:rFonts w:ascii="Arial" w:cs="Arial" w:eastAsia="Arial" w:hAnsi="Arial"/>
                <w:sz w:val="18"/>
                <w:szCs w:val="18"/>
                <w:color w:val="auto"/>
              </w:rPr>
              <w:t>TEXAS INSTRUMENTS INCORPORATED</w:t>
            </w:r>
          </w:p>
        </w:tc>
      </w:tr>
      <w:tr>
        <w:trPr>
          <w:trHeight w:val="423"/>
        </w:trPr>
        <w:tc>
          <w:tcPr>
            <w:tcW w:w="3540" w:type="dxa"/>
            <w:vAlign w:val="bottom"/>
          </w:tcPr>
          <w:p>
            <w:pPr>
              <w:spacing w:after="0"/>
              <w:rPr>
                <w:sz w:val="20"/>
                <w:szCs w:val="20"/>
                <w:color w:val="auto"/>
              </w:rPr>
            </w:pPr>
            <w:r>
              <w:rPr>
                <w:rFonts w:ascii="Arial" w:cs="Arial" w:eastAsia="Arial" w:hAnsi="Arial"/>
                <w:sz w:val="18"/>
                <w:szCs w:val="18"/>
                <w:color w:val="auto"/>
              </w:rPr>
              <w:t>Date: April 26, 2016</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3"/>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80" w:type="dxa"/>
            <w:vAlign w:val="bottom"/>
          </w:tcPr>
          <w:p>
            <w:pPr>
              <w:spacing w:after="0" w:line="193" w:lineRule="exact"/>
              <w:rPr>
                <w:sz w:val="20"/>
                <w:szCs w:val="20"/>
                <w:color w:val="auto"/>
              </w:rPr>
            </w:pPr>
            <w:r>
              <w:rPr>
                <w:rFonts w:ascii="Arial" w:cs="Arial" w:eastAsia="Arial" w:hAnsi="Arial"/>
                <w:sz w:val="18"/>
                <w:szCs w:val="18"/>
                <w:color w:val="auto"/>
              </w:rPr>
              <w:t>Cynthia Hoff Trochu</w:t>
            </w:r>
          </w:p>
        </w:tc>
      </w:tr>
      <w:tr>
        <w:trPr>
          <w:trHeight w:val="223"/>
        </w:trPr>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2019-12-05T10:35:49Z</dcterms:created>
  <dcterms:modified xsi:type="dcterms:W3CDTF">2019-12-05T10:35:49Z</dcterms:modified>
</cp:coreProperties>
</file>