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22, 2013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040" w:type="dxa"/>
        <w:tblCellMar>
          <w:top w:w="0" w:type="dxa"/>
          <w:left w:w="0" w:type="dxa"/>
          <w:bottom w:w="0" w:type="dxa"/>
          <w:right w:w="0" w:type="dxa"/>
        </w:tblCellMar>
      </w:tblPr>
      <w:tr>
        <w:trPr>
          <w:trHeight w:val="218"/>
        </w:trPr>
        <w:tc>
          <w:tcPr>
            <w:tcW w:w="4860" w:type="dxa"/>
            <w:vAlign w:val="bottom"/>
          </w:tcPr>
          <w:p>
            <w:pPr>
              <w:jc w:val="center"/>
              <w:ind w:right="2966"/>
              <w:spacing w:after="0"/>
              <w:rPr>
                <w:sz w:val="20"/>
                <w:szCs w:val="20"/>
                <w:color w:val="auto"/>
              </w:rPr>
            </w:pPr>
            <w:r>
              <w:rPr>
                <w:rFonts w:ascii="Arial" w:cs="Arial" w:eastAsia="Arial" w:hAnsi="Arial"/>
                <w:sz w:val="18"/>
                <w:szCs w:val="18"/>
                <w:b w:val="1"/>
                <w:bCs w:val="1"/>
                <w:color w:val="auto"/>
                <w:w w:val="88"/>
              </w:rPr>
              <w:t>Delaware</w:t>
            </w:r>
          </w:p>
        </w:tc>
        <w:tc>
          <w:tcPr>
            <w:tcW w:w="4360" w:type="dxa"/>
            <w:vAlign w:val="bottom"/>
          </w:tcPr>
          <w:p>
            <w:pPr>
              <w:jc w:val="center"/>
              <w:ind w:left="2966"/>
              <w:spacing w:after="0"/>
              <w:rPr>
                <w:sz w:val="20"/>
                <w:szCs w:val="20"/>
                <w:color w:val="auto"/>
              </w:rPr>
            </w:pPr>
            <w:r>
              <w:rPr>
                <w:rFonts w:ascii="Arial" w:cs="Arial" w:eastAsia="Arial" w:hAnsi="Arial"/>
                <w:sz w:val="18"/>
                <w:szCs w:val="18"/>
                <w:b w:val="1"/>
                <w:bCs w:val="1"/>
                <w:color w:val="auto"/>
                <w:w w:val="87"/>
              </w:rPr>
              <w:t>75-0289970</w:t>
            </w:r>
          </w:p>
        </w:tc>
      </w:tr>
      <w:tr>
        <w:trPr>
          <w:trHeight w:val="149"/>
        </w:trPr>
        <w:tc>
          <w:tcPr>
            <w:tcW w:w="4860" w:type="dxa"/>
            <w:vAlign w:val="bottom"/>
          </w:tcPr>
          <w:p>
            <w:pPr>
              <w:jc w:val="center"/>
              <w:ind w:right="296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360" w:type="dxa"/>
            <w:vAlign w:val="bottom"/>
          </w:tcPr>
          <w:p>
            <w:pPr>
              <w:jc w:val="center"/>
              <w:ind w:left="29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860" w:type="dxa"/>
            <w:vAlign w:val="bottom"/>
          </w:tcPr>
          <w:p>
            <w:pPr>
              <w:jc w:val="center"/>
              <w:ind w:right="2966"/>
              <w:spacing w:after="0"/>
              <w:rPr>
                <w:sz w:val="20"/>
                <w:szCs w:val="20"/>
                <w:color w:val="auto"/>
              </w:rPr>
            </w:pPr>
            <w:r>
              <w:rPr>
                <w:rFonts w:ascii="Arial" w:cs="Arial" w:eastAsia="Arial" w:hAnsi="Arial"/>
                <w:sz w:val="14"/>
                <w:szCs w:val="14"/>
                <w:b w:val="1"/>
                <w:bCs w:val="1"/>
                <w:color w:val="auto"/>
                <w:w w:val="89"/>
              </w:rPr>
              <w:t>Incorporation or Organization)</w:t>
            </w:r>
          </w:p>
        </w:tc>
        <w:tc>
          <w:tcPr>
            <w:tcW w:w="4360" w:type="dxa"/>
            <w:vAlign w:val="bottom"/>
          </w:tcPr>
          <w:p>
            <w:pPr>
              <w:jc w:val="center"/>
              <w:ind w:left="294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479-3773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F. Hubach, Senior Vice President,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Secretary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479-3773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Bruce K. Dallas,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1600 El Camino Real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752-2000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From time to time after this Registration Statement becomes effective.</w:t>
      </w:r>
    </w:p>
    <w:p>
      <w:pPr>
        <w:spacing w:after="0" w:line="200" w:lineRule="exact"/>
        <w:rPr>
          <w:sz w:val="24"/>
          <w:szCs w:val="24"/>
          <w:color w:val="auto"/>
        </w:rPr>
      </w:pPr>
    </w:p>
    <w:p>
      <w:pPr>
        <w:ind w:right="60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4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26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5">
            <w:col w:w="1500" w:space="420"/>
            <w:col w:w="160" w:space="100"/>
            <w:col w:w="5960" w:space="720"/>
            <w:col w:w="1920" w:space="480"/>
            <w:col w:w="160"/>
          </w:cols>
          <w:pgMar w:left="240" w:top="230"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3021965</wp:posOffset>
            </wp:positionH>
            <wp:positionV relativeFrom="page">
              <wp:posOffset>269240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t>CALCULATION OF REGISTRATION FEE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040" w:type="dxa"/>
            <w:vAlign w:val="bottom"/>
            <w:tcBorders>
              <w:top w:val="single" w:sz="8" w:color="auto"/>
              <w:right w:val="single" w:sz="8" w:color="auto"/>
            </w:tcBorders>
          </w:tcPr>
          <w:p>
            <w:pPr>
              <w:spacing w:after="0"/>
              <w:rPr>
                <w:sz w:val="13"/>
                <w:szCs w:val="13"/>
                <w:color w:val="auto"/>
              </w:rPr>
            </w:pPr>
          </w:p>
        </w:tc>
        <w:tc>
          <w:tcPr>
            <w:tcW w:w="1600" w:type="dxa"/>
            <w:vAlign w:val="bottom"/>
            <w:tcBorders>
              <w:top w:val="single" w:sz="8" w:color="auto"/>
              <w:right w:val="single" w:sz="8" w:color="auto"/>
            </w:tcBorders>
          </w:tcPr>
          <w:p>
            <w:pPr>
              <w:spacing w:after="0"/>
              <w:rPr>
                <w:sz w:val="13"/>
                <w:szCs w:val="13"/>
                <w:color w:val="auto"/>
              </w:rPr>
            </w:pPr>
          </w:p>
        </w:tc>
        <w:tc>
          <w:tcPr>
            <w:tcW w:w="1600" w:type="dxa"/>
            <w:vAlign w:val="bottom"/>
            <w:tcBorders>
              <w:top w:val="single" w:sz="8" w:color="auto"/>
              <w:right w:val="single" w:sz="8" w:color="auto"/>
            </w:tcBorders>
          </w:tcPr>
          <w:p>
            <w:pPr>
              <w:jc w:val="center"/>
              <w:ind w:left="32"/>
              <w:spacing w:after="0" w:line="158" w:lineRule="exact"/>
              <w:rPr>
                <w:sz w:val="20"/>
                <w:szCs w:val="20"/>
                <w:color w:val="auto"/>
              </w:rPr>
            </w:pPr>
            <w:r>
              <w:rPr>
                <w:rFonts w:ascii="Arial" w:cs="Arial" w:eastAsia="Arial" w:hAnsi="Arial"/>
                <w:sz w:val="14"/>
                <w:szCs w:val="14"/>
                <w:b w:val="1"/>
                <w:bCs w:val="1"/>
                <w:color w:val="auto"/>
                <w:w w:val="83"/>
              </w:rPr>
              <w:t>Proposed</w:t>
            </w:r>
          </w:p>
        </w:tc>
        <w:tc>
          <w:tcPr>
            <w:tcW w:w="1600" w:type="dxa"/>
            <w:vAlign w:val="bottom"/>
            <w:tcBorders>
              <w:top w:val="single" w:sz="8" w:color="auto"/>
              <w:right w:val="single" w:sz="8" w:color="auto"/>
            </w:tcBorders>
          </w:tcPr>
          <w:p>
            <w:pPr>
              <w:jc w:val="center"/>
              <w:ind w:left="32"/>
              <w:spacing w:after="0" w:line="158" w:lineRule="exact"/>
              <w:rPr>
                <w:sz w:val="20"/>
                <w:szCs w:val="20"/>
                <w:color w:val="auto"/>
              </w:rPr>
            </w:pPr>
            <w:r>
              <w:rPr>
                <w:rFonts w:ascii="Arial" w:cs="Arial" w:eastAsia="Arial" w:hAnsi="Arial"/>
                <w:sz w:val="14"/>
                <w:szCs w:val="14"/>
                <w:b w:val="1"/>
                <w:bCs w:val="1"/>
                <w:color w:val="auto"/>
                <w:w w:val="83"/>
              </w:rPr>
              <w:t>Proposed</w:t>
            </w:r>
          </w:p>
        </w:tc>
        <w:tc>
          <w:tcPr>
            <w:tcW w:w="1560" w:type="dxa"/>
            <w:vAlign w:val="bottom"/>
            <w:tcBorders>
              <w:top w:val="single" w:sz="8" w:color="auto"/>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3"/>
              </w:rPr>
              <w:t>to be</w:t>
            </w: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0"/>
              </w:rPr>
              <w:t>Per Unit (1)</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0"/>
              </w:rPr>
              <w:t>Offering Price</w:t>
            </w:r>
          </w:p>
        </w:tc>
        <w:tc>
          <w:tcPr>
            <w:tcW w:w="156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7"/>
              </w:rPr>
              <w:t>Registration Fee</w:t>
            </w: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Preferred Stock</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Debt Securities</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Warrants</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Units</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460" w:right="440" w:hanging="452"/>
        <w:spacing w:after="0" w:line="33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indeterminate amount of securities to be offered at indeterminate prices is being registered pursuant to this registration statement. The registrant is deferring payment of the registration fee pursuant to Rule 456(b) and is omitting this information in reliance on Rule 456(b) and Rule 457(r).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145415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Company is filing this registration statement to replace its registration statement (No. 333-165045), which is expiring pursuant to Rule 415(a)(5). In accordance with Rule 415(a)(6), effectiveness of this Registration Statement will be deemed to terminate the expiring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139700</wp:posOffset>
            </wp:positionV>
            <wp:extent cx="2667000" cy="626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670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ind w:left="120"/>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Common stock</w:t>
      </w:r>
    </w:p>
    <w:p>
      <w:pPr>
        <w:spacing w:after="0" w:line="15" w:lineRule="exact"/>
        <w:rPr>
          <w:sz w:val="20"/>
          <w:szCs w:val="20"/>
          <w:color w:val="auto"/>
        </w:rPr>
      </w:pPr>
    </w:p>
    <w:p>
      <w:pPr>
        <w:ind w:left="120"/>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Preferred stock</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Warrants</w:t>
      </w:r>
    </w:p>
    <w:p>
      <w:pPr>
        <w:spacing w:after="0" w:line="1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Units</w:t>
      </w:r>
    </w:p>
    <w:p>
      <w:pPr>
        <w:spacing w:after="0" w:line="9" w:lineRule="exact"/>
        <w:rPr>
          <w:sz w:val="20"/>
          <w:szCs w:val="20"/>
          <w:color w:val="auto"/>
        </w:rPr>
      </w:pPr>
    </w:p>
    <w:p>
      <w:pPr>
        <w:sectPr>
          <w:pgSz w:w="11900" w:h="16838" w:orient="portrait"/>
          <w:cols w:equalWidth="0" w:num="2">
            <w:col w:w="5440" w:space="720"/>
            <w:col w:w="5260"/>
          </w:cols>
          <w:pgMar w:left="240" w:top="459" w:right="239" w:bottom="1440" w:gutter="0" w:footer="0" w:header="0"/>
          <w:type w:val="continuous"/>
        </w:sectPr>
      </w:pPr>
    </w:p>
    <w:p>
      <w:pPr>
        <w:ind w:left="360" w:hanging="244"/>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65"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100"/>
              <w:spacing w:after="0"/>
              <w:rPr>
                <w:sz w:val="20"/>
                <w:szCs w:val="20"/>
                <w:color w:val="auto"/>
              </w:rPr>
            </w:pPr>
            <w:r>
              <w:rPr>
                <w:rFonts w:ascii="Arial" w:cs="Arial" w:eastAsia="Arial" w:hAnsi="Arial"/>
                <w:sz w:val="18"/>
                <w:szCs w:val="18"/>
                <w:color w:val="auto"/>
              </w:rPr>
              <w:t>Maturity</w:t>
            </w:r>
          </w:p>
        </w:tc>
        <w:tc>
          <w:tcPr>
            <w:tcW w:w="1360" w:type="dxa"/>
            <w:vAlign w:val="bottom"/>
          </w:tcPr>
          <w:p>
            <w:pPr>
              <w:ind w:left="1220"/>
              <w:spacing w:after="0"/>
              <w:rPr>
                <w:sz w:val="20"/>
                <w:szCs w:val="20"/>
                <w:color w:val="auto"/>
              </w:rPr>
            </w:pPr>
            <w:r>
              <w:rPr>
                <w:rFonts w:ascii="Arial" w:cs="Arial" w:eastAsia="Arial" w:hAnsi="Arial"/>
                <w:sz w:val="18"/>
                <w:szCs w:val="18"/>
                <w:color w:val="auto"/>
              </w:rPr>
              <w:t>•</w:t>
            </w:r>
          </w:p>
        </w:tc>
        <w:tc>
          <w:tcPr>
            <w:tcW w:w="2960" w:type="dxa"/>
            <w:vAlign w:val="bottom"/>
          </w:tcPr>
          <w:p>
            <w:pPr>
              <w:ind w:left="100"/>
              <w:spacing w:after="0"/>
              <w:rPr>
                <w:sz w:val="20"/>
                <w:szCs w:val="20"/>
                <w:color w:val="auto"/>
              </w:rPr>
            </w:pPr>
            <w:r>
              <w:rPr>
                <w:rFonts w:ascii="Arial" w:cs="Arial" w:eastAsia="Arial" w:hAnsi="Arial"/>
                <w:sz w:val="18"/>
                <w:szCs w:val="18"/>
                <w:color w:val="auto"/>
              </w:rPr>
              <w:t>Redemption terms</w:t>
            </w:r>
          </w:p>
        </w:tc>
        <w:tc>
          <w:tcPr>
            <w:tcW w:w="860" w:type="dxa"/>
            <w:vAlign w:val="bottom"/>
          </w:tcPr>
          <w:p>
            <w:pPr>
              <w:ind w:left="700"/>
              <w:spacing w:after="0"/>
              <w:rPr>
                <w:sz w:val="20"/>
                <w:szCs w:val="20"/>
                <w:color w:val="auto"/>
              </w:rPr>
            </w:pPr>
            <w:r>
              <w:rPr>
                <w:rFonts w:ascii="Arial" w:cs="Arial" w:eastAsia="Arial" w:hAnsi="Arial"/>
                <w:sz w:val="18"/>
                <w:szCs w:val="18"/>
                <w:color w:val="auto"/>
              </w:rPr>
              <w:t>•</w:t>
            </w:r>
          </w:p>
        </w:tc>
        <w:tc>
          <w:tcPr>
            <w:tcW w:w="1620" w:type="dxa"/>
            <w:vAlign w:val="bottom"/>
          </w:tcPr>
          <w:p>
            <w:pPr>
              <w:ind w:left="80"/>
              <w:spacing w:after="0"/>
              <w:rPr>
                <w:sz w:val="20"/>
                <w:szCs w:val="20"/>
                <w:color w:val="auto"/>
              </w:rPr>
            </w:pPr>
            <w:r>
              <w:rPr>
                <w:rFonts w:ascii="Arial" w:cs="Arial" w:eastAsia="Arial" w:hAnsi="Arial"/>
                <w:sz w:val="18"/>
                <w:szCs w:val="18"/>
                <w:color w:val="auto"/>
                <w:w w:val="99"/>
              </w:rPr>
              <w:t>Liquidation amount</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100"/>
              <w:spacing w:after="0"/>
              <w:rPr>
                <w:sz w:val="20"/>
                <w:szCs w:val="20"/>
                <w:color w:val="auto"/>
              </w:rPr>
            </w:pPr>
            <w:r>
              <w:rPr>
                <w:rFonts w:ascii="Arial" w:cs="Arial" w:eastAsia="Arial" w:hAnsi="Arial"/>
                <w:sz w:val="18"/>
                <w:szCs w:val="18"/>
                <w:color w:val="auto"/>
              </w:rPr>
              <w:t>Interest rate</w:t>
            </w:r>
          </w:p>
        </w:tc>
        <w:tc>
          <w:tcPr>
            <w:tcW w:w="4320" w:type="dxa"/>
            <w:vAlign w:val="bottom"/>
            <w:gridSpan w:val="2"/>
          </w:tcPr>
          <w:p>
            <w:pPr>
              <w:ind w:left="1220"/>
              <w:spacing w:after="0"/>
              <w:rPr>
                <w:sz w:val="20"/>
                <w:szCs w:val="20"/>
                <w:color w:val="auto"/>
              </w:rPr>
            </w:pPr>
            <w:r>
              <w:rPr>
                <w:rFonts w:ascii="Arial" w:cs="Arial" w:eastAsia="Arial" w:hAnsi="Arial"/>
                <w:sz w:val="18"/>
                <w:szCs w:val="18"/>
                <w:color w:val="auto"/>
              </w:rPr>
              <w:t>•  Listing on a security exchange</w:t>
            </w:r>
          </w:p>
        </w:tc>
        <w:tc>
          <w:tcPr>
            <w:tcW w:w="860" w:type="dxa"/>
            <w:vAlign w:val="bottom"/>
          </w:tcPr>
          <w:p>
            <w:pPr>
              <w:ind w:left="700"/>
              <w:spacing w:after="0"/>
              <w:rPr>
                <w:sz w:val="20"/>
                <w:szCs w:val="20"/>
                <w:color w:val="auto"/>
              </w:rPr>
            </w:pPr>
            <w:r>
              <w:rPr>
                <w:rFonts w:ascii="Arial" w:cs="Arial" w:eastAsia="Arial" w:hAnsi="Arial"/>
                <w:sz w:val="18"/>
                <w:szCs w:val="18"/>
                <w:color w:val="auto"/>
              </w:rPr>
              <w:t>•</w:t>
            </w:r>
          </w:p>
        </w:tc>
        <w:tc>
          <w:tcPr>
            <w:tcW w:w="1620" w:type="dxa"/>
            <w:vAlign w:val="bottom"/>
          </w:tcPr>
          <w:p>
            <w:pPr>
              <w:ind w:left="80"/>
              <w:spacing w:after="0"/>
              <w:rPr>
                <w:sz w:val="20"/>
                <w:szCs w:val="20"/>
                <w:color w:val="auto"/>
              </w:rPr>
            </w:pPr>
            <w:r>
              <w:rPr>
                <w:rFonts w:ascii="Arial" w:cs="Arial" w:eastAsia="Arial" w:hAnsi="Arial"/>
                <w:sz w:val="18"/>
                <w:szCs w:val="18"/>
                <w:color w:val="auto"/>
                <w:w w:val="84"/>
              </w:rPr>
              <w:t>Subsidiary guarantees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100"/>
              <w:spacing w:after="0"/>
              <w:rPr>
                <w:sz w:val="20"/>
                <w:szCs w:val="20"/>
                <w:color w:val="auto"/>
              </w:rPr>
            </w:pPr>
            <w:r>
              <w:rPr>
                <w:rFonts w:ascii="Arial" w:cs="Arial" w:eastAsia="Arial" w:hAnsi="Arial"/>
                <w:sz w:val="18"/>
                <w:szCs w:val="18"/>
                <w:color w:val="auto"/>
              </w:rPr>
              <w:t>Currency of payments</w:t>
            </w:r>
          </w:p>
        </w:tc>
        <w:tc>
          <w:tcPr>
            <w:tcW w:w="4320" w:type="dxa"/>
            <w:vAlign w:val="bottom"/>
            <w:gridSpan w:val="2"/>
          </w:tcPr>
          <w:p>
            <w:pPr>
              <w:ind w:left="1220"/>
              <w:spacing w:after="0"/>
              <w:rPr>
                <w:sz w:val="20"/>
                <w:szCs w:val="20"/>
                <w:color w:val="auto"/>
              </w:rPr>
            </w:pPr>
            <w:r>
              <w:rPr>
                <w:rFonts w:ascii="Arial" w:cs="Arial" w:eastAsia="Arial" w:hAnsi="Arial"/>
                <w:sz w:val="18"/>
                <w:szCs w:val="18"/>
                <w:color w:val="auto"/>
              </w:rPr>
              <w:t>•  Amount payable at maturity</w:t>
            </w:r>
          </w:p>
        </w:tc>
        <w:tc>
          <w:tcPr>
            <w:tcW w:w="860" w:type="dxa"/>
            <w:vAlign w:val="bottom"/>
          </w:tcPr>
          <w:p>
            <w:pPr>
              <w:ind w:left="700"/>
              <w:spacing w:after="0"/>
              <w:rPr>
                <w:sz w:val="20"/>
                <w:szCs w:val="20"/>
                <w:color w:val="auto"/>
              </w:rPr>
            </w:pPr>
            <w:r>
              <w:rPr>
                <w:rFonts w:ascii="Arial" w:cs="Arial" w:eastAsia="Arial" w:hAnsi="Arial"/>
                <w:sz w:val="18"/>
                <w:szCs w:val="18"/>
                <w:color w:val="auto"/>
              </w:rPr>
              <w:t>•</w:t>
            </w:r>
          </w:p>
        </w:tc>
        <w:tc>
          <w:tcPr>
            <w:tcW w:w="1620" w:type="dxa"/>
            <w:vAlign w:val="bottom"/>
          </w:tcPr>
          <w:p>
            <w:pPr>
              <w:ind w:left="80"/>
              <w:spacing w:after="0"/>
              <w:rPr>
                <w:sz w:val="20"/>
                <w:szCs w:val="20"/>
                <w:color w:val="auto"/>
              </w:rPr>
            </w:pPr>
            <w:r>
              <w:rPr>
                <w:rFonts w:ascii="Arial" w:cs="Arial" w:eastAsia="Arial" w:hAnsi="Arial"/>
                <w:sz w:val="18"/>
                <w:szCs w:val="18"/>
                <w:color w:val="auto"/>
              </w:rPr>
              <w:t>Sinking fund terms</w:t>
            </w: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100"/>
              <w:spacing w:after="0"/>
              <w:rPr>
                <w:sz w:val="20"/>
                <w:szCs w:val="20"/>
                <w:color w:val="auto"/>
              </w:rPr>
            </w:pPr>
            <w:r>
              <w:rPr>
                <w:rFonts w:ascii="Arial" w:cs="Arial" w:eastAsia="Arial" w:hAnsi="Arial"/>
                <w:sz w:val="18"/>
                <w:szCs w:val="18"/>
                <w:color w:val="auto"/>
              </w:rPr>
              <w:t>Dividends</w:t>
            </w:r>
          </w:p>
        </w:tc>
        <w:tc>
          <w:tcPr>
            <w:tcW w:w="1360" w:type="dxa"/>
            <w:vAlign w:val="bottom"/>
          </w:tcPr>
          <w:p>
            <w:pPr>
              <w:ind w:left="1220"/>
              <w:spacing w:after="0"/>
              <w:rPr>
                <w:sz w:val="20"/>
                <w:szCs w:val="20"/>
                <w:color w:val="auto"/>
              </w:rPr>
            </w:pPr>
            <w:r>
              <w:rPr>
                <w:rFonts w:ascii="Arial" w:cs="Arial" w:eastAsia="Arial" w:hAnsi="Arial"/>
                <w:sz w:val="18"/>
                <w:szCs w:val="18"/>
                <w:color w:val="auto"/>
              </w:rPr>
              <w:t>•</w:t>
            </w:r>
          </w:p>
        </w:tc>
        <w:tc>
          <w:tcPr>
            <w:tcW w:w="2960" w:type="dxa"/>
            <w:vAlign w:val="bottom"/>
          </w:tcPr>
          <w:p>
            <w:pPr>
              <w:ind w:left="100"/>
              <w:spacing w:after="0"/>
              <w:rPr>
                <w:sz w:val="20"/>
                <w:szCs w:val="20"/>
                <w:color w:val="auto"/>
              </w:rPr>
            </w:pPr>
            <w:r>
              <w:rPr>
                <w:rFonts w:ascii="Arial" w:cs="Arial" w:eastAsia="Arial" w:hAnsi="Arial"/>
                <w:sz w:val="18"/>
                <w:szCs w:val="18"/>
                <w:color w:val="auto"/>
              </w:rPr>
              <w:t>Conversion or exchange rights</w:t>
            </w:r>
          </w:p>
        </w:tc>
        <w:tc>
          <w:tcPr>
            <w:tcW w:w="860" w:type="dxa"/>
            <w:vAlign w:val="bottom"/>
          </w:tcPr>
          <w:p>
            <w:pPr>
              <w:spacing w:after="0"/>
              <w:rPr>
                <w:sz w:val="19"/>
                <w:szCs w:val="19"/>
                <w:color w:val="auto"/>
              </w:rPr>
            </w:pPr>
          </w:p>
        </w:tc>
        <w:tc>
          <w:tcPr>
            <w:tcW w:w="1620" w:type="dxa"/>
            <w:vAlign w:val="bottom"/>
          </w:tcPr>
          <w:p>
            <w:pPr>
              <w:spacing w:after="0"/>
              <w:rPr>
                <w:sz w:val="19"/>
                <w:szCs w:val="19"/>
                <w:color w:val="auto"/>
              </w:rPr>
            </w:pPr>
          </w:p>
        </w:tc>
      </w:tr>
    </w:tbl>
    <w:p>
      <w:pPr>
        <w:spacing w:after="0" w:line="15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Common Stock is quoted on The NASDAQ Stock Market under the ticker symbol TXN. On February 21, 2013, the reported last sale price on The NASDAQ Stock Market for our Common Stock was $32.48.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0"/>
          <w:szCs w:val="20"/>
          <w:color w:val="auto"/>
        </w:rPr>
      </w:pPr>
    </w:p>
    <w:p>
      <w:pPr>
        <w:ind w:left="580" w:right="440" w:firstLine="542"/>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10 of our annual report on Form 10-K for the year ended December 31, 2012,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41910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February 22, 2013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responsible for the information contained in or incorporated by reference in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167005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160" w:type="dxa"/>
            <w:vAlign w:val="bottom"/>
            <w:gridSpan w:val="14"/>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The Company</w:t>
              </w:r>
            </w:hyperlink>
          </w:p>
        </w:tc>
        <w:tc>
          <w:tcPr>
            <w:tcW w:w="690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69"/>
        </w:trPr>
        <w:tc>
          <w:tcPr>
            <w:tcW w:w="4160" w:type="dxa"/>
            <w:vAlign w:val="bottom"/>
            <w:gridSpan w:val="14"/>
            <w:vMerge w:val="continue"/>
          </w:tcPr>
          <w:p>
            <w:pPr>
              <w:spacing w:after="0"/>
              <w:rPr>
                <w:sz w:val="14"/>
                <w:szCs w:val="14"/>
                <w:color w:val="auto"/>
              </w:rPr>
            </w:pPr>
          </w:p>
        </w:tc>
        <w:tc>
          <w:tcPr>
            <w:tcW w:w="6900" w:type="dxa"/>
            <w:vAlign w:val="bottom"/>
          </w:tcPr>
          <w:p>
            <w:pPr>
              <w:spacing w:after="0"/>
              <w:rPr>
                <w:sz w:val="14"/>
                <w:szCs w:val="14"/>
                <w:color w:val="auto"/>
              </w:rPr>
            </w:pPr>
          </w:p>
        </w:tc>
        <w:tc>
          <w:tcPr>
            <w:tcW w:w="2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Caution Concerning Forward-Looking Statements</w:t>
              </w:r>
            </w:hyperlink>
          </w:p>
        </w:tc>
        <w:tc>
          <w:tcPr>
            <w:tcW w:w="620" w:type="dxa"/>
            <w:vAlign w:val="bottom"/>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Ratios of Earnings to Fixed Charges</w:t>
              </w:r>
            </w:hyperlink>
          </w:p>
        </w:tc>
        <w:tc>
          <w:tcPr>
            <w:tcW w:w="1600" w:type="dxa"/>
            <w:vAlign w:val="bottom"/>
            <w:gridSpan w:val="3"/>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Description of Capital Stock</w:t>
              </w:r>
            </w:hyperlink>
          </w:p>
        </w:tc>
        <w:tc>
          <w:tcPr>
            <w:tcW w:w="2140" w:type="dxa"/>
            <w:vAlign w:val="bottom"/>
            <w:gridSpan w:val="5"/>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Description of Debt Securities</w:t>
              </w:r>
            </w:hyperlink>
          </w:p>
        </w:tc>
        <w:tc>
          <w:tcPr>
            <w:tcW w:w="2020" w:type="dxa"/>
            <w:vAlign w:val="bottom"/>
            <w:gridSpan w:val="4"/>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Description of Warrants</w:t>
              </w:r>
            </w:hyperlink>
          </w:p>
        </w:tc>
        <w:tc>
          <w:tcPr>
            <w:tcW w:w="2460" w:type="dxa"/>
            <w:vAlign w:val="bottom"/>
            <w:gridSpan w:val="6"/>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Description of Units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6"/>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Forms of Securities</w:t>
              </w:r>
            </w:hyperlink>
          </w:p>
        </w:tc>
        <w:tc>
          <w:tcPr>
            <w:tcW w:w="2720" w:type="dxa"/>
            <w:vAlign w:val="bottom"/>
            <w:gridSpan w:val="8"/>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Plan of Distribution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Validity of Securities</w:t>
              </w:r>
            </w:hyperlink>
          </w:p>
        </w:tc>
        <w:tc>
          <w:tcPr>
            <w:tcW w:w="2620" w:type="dxa"/>
            <w:vAlign w:val="bottom"/>
            <w:gridSpan w:val="7"/>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Experts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3743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33743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Company</w:t>
      </w:r>
    </w:p>
    <w:p>
      <w:pPr>
        <w:spacing w:after="0" w:line="96"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At Texas Instruments Incorporated (TI), we design and make semiconductors that we sell to electronics designers and manufacturers all over the world. We began operations in 1930. We are incorporated in Delaware, headquartered in Dallas, Texas, and have design, manufacturing or sales operations in more than 35 countries.</w:t>
      </w:r>
    </w:p>
    <w:p>
      <w:pPr>
        <w:spacing w:after="0" w:line="140" w:lineRule="exact"/>
        <w:rPr>
          <w:sz w:val="20"/>
          <w:szCs w:val="20"/>
          <w:color w:val="auto"/>
        </w:rPr>
      </w:pPr>
    </w:p>
    <w:p>
      <w:pPr>
        <w:ind w:left="200" w:right="400" w:firstLine="443"/>
        <w:spacing w:after="0" w:line="268" w:lineRule="auto"/>
        <w:rPr>
          <w:sz w:val="20"/>
          <w:szCs w:val="20"/>
          <w:color w:val="auto"/>
        </w:rPr>
      </w:pPr>
      <w:r>
        <w:rPr>
          <w:rFonts w:ascii="Arial" w:cs="Arial" w:eastAsia="Arial" w:hAnsi="Arial"/>
          <w:sz w:val="18"/>
          <w:szCs w:val="18"/>
          <w:color w:val="auto"/>
        </w:rPr>
        <w:t>We were the world’s fourth largest semiconductor company in 2012 as measured by revenue, according to preliminary estimates from an external source.</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Our principal executive offices are located at 12500 TI Boulevard, Dallas, Texas 75266-0199, and our telephone number is (214) 479-3773. We</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maintain a website at www.ti.com where general information about us is available. We are not incorporating the contents of the website into this prospectus.</w:t>
      </w:r>
    </w:p>
    <w:p>
      <w:pPr>
        <w:spacing w:after="0" w:line="188"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w:t>
      </w:r>
    </w:p>
    <w:p>
      <w:pPr>
        <w:spacing w:after="0" w:line="62" w:lineRule="exact"/>
        <w:rPr>
          <w:sz w:val="20"/>
          <w:szCs w:val="20"/>
          <w:color w:val="auto"/>
        </w:rPr>
      </w:pPr>
    </w:p>
    <w:p>
      <w:pPr>
        <w:ind w:left="1480" w:hanging="567"/>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 on Form 8-K filed on January 18, 2013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2012, filed on February 22, 2013.</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Manager of Investor Relations, (214) 479-3773.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information on our website is not a part of this prospectus or any prospectus supplement that we file.</w:t>
      </w: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Certain matters discussed in this prospectus or incorporated by reference into this prospectus are “forward-looking statements.” The Private Securities Litigation Reform Act of 1995 has established that these statements qualify for safe harbors from liability. Forward-looking statements may include words like we “believe,” “expect,” “anticipate,” “foresee,” “forecast,”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51" w:lineRule="exact"/>
        <w:rPr>
          <w:sz w:val="20"/>
          <w:szCs w:val="20"/>
          <w:color w:val="auto"/>
        </w:rPr>
      </w:pPr>
    </w:p>
    <w:p>
      <w:pPr>
        <w:ind w:left="900" w:right="7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0" w:lineRule="exact"/>
        <w:rPr>
          <w:rFonts w:ascii="Arial" w:cs="Arial" w:eastAsia="Arial" w:hAnsi="Arial"/>
          <w:sz w:val="18"/>
          <w:szCs w:val="18"/>
          <w:color w:val="auto"/>
        </w:rPr>
      </w:pPr>
    </w:p>
    <w:p>
      <w:pPr>
        <w:ind w:left="900" w:right="6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list is not all-inclusive because it is not possible to predict all factors. All forward-looking statements are qualified by the risks described in the documents incorporated by reference into this prospectus and any supplement to this prospectus. We have no obligation to publicly update or revise any forward-looking statements, whether as a result of new information, future events or risks. New information, future events or risks may cause the forward-looking events we discuss in this prospectus not to occur.</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840" w:firstLine="3392"/>
        <w:spacing w:after="0" w:line="520" w:lineRule="auto"/>
        <w:rPr>
          <w:sz w:val="20"/>
          <w:szCs w:val="20"/>
          <w:color w:val="auto"/>
        </w:rPr>
      </w:pPr>
      <w:r>
        <w:rPr>
          <w:rFonts w:ascii="Arial" w:cs="Arial" w:eastAsia="Arial" w:hAnsi="Arial"/>
          <w:sz w:val="16"/>
          <w:szCs w:val="16"/>
          <w:b w:val="1"/>
          <w:bCs w:val="1"/>
          <w:color w:val="auto"/>
        </w:rPr>
        <w:t xml:space="preserve">RATIOS OF EARNINGS TO FIXED CHARGES </w:t>
      </w:r>
      <w:r>
        <w:rPr>
          <w:rFonts w:ascii="Arial" w:cs="Arial" w:eastAsia="Arial" w:hAnsi="Arial"/>
          <w:sz w:val="16"/>
          <w:szCs w:val="16"/>
          <w:color w:val="auto"/>
        </w:rPr>
        <w:t>Our ratio of earnings to fixed charges was as follows for the respective periods indicated: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Fiscal 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60" w:type="dxa"/>
            <w:vAlign w:val="bottom"/>
            <w:tcBorders>
              <w:top w:val="single" w:sz="8" w:color="auto"/>
              <w:bottom w:val="single" w:sz="8" w:color="auto"/>
            </w:tcBorders>
          </w:tcPr>
          <w:p>
            <w:pPr>
              <w:jc w:val="right"/>
              <w:ind w:right="822"/>
              <w:spacing w:after="0" w:line="156"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tcBorders>
          </w:tcPr>
          <w:p>
            <w:pPr>
              <w:spacing w:after="0"/>
              <w:rPr>
                <w:sz w:val="13"/>
                <w:szCs w:val="13"/>
                <w:color w:val="auto"/>
              </w:rPr>
            </w:pPr>
          </w:p>
        </w:tc>
        <w:tc>
          <w:tcPr>
            <w:tcW w:w="2180" w:type="dxa"/>
            <w:vAlign w:val="bottom"/>
            <w:tcBorders>
              <w:top w:val="single" w:sz="8" w:color="auto"/>
              <w:bottom w:val="single" w:sz="8" w:color="auto"/>
            </w:tcBorders>
          </w:tcPr>
          <w:p>
            <w:pPr>
              <w:jc w:val="right"/>
              <w:ind w:right="882"/>
              <w:spacing w:after="0" w:line="156"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3"/>
                <w:szCs w:val="13"/>
                <w:color w:val="auto"/>
              </w:rPr>
            </w:pPr>
          </w:p>
        </w:tc>
        <w:tc>
          <w:tcPr>
            <w:tcW w:w="2280" w:type="dxa"/>
            <w:vAlign w:val="bottom"/>
            <w:tcBorders>
              <w:top w:val="single" w:sz="8" w:color="auto"/>
              <w:bottom w:val="single" w:sz="8" w:color="auto"/>
            </w:tcBorders>
          </w:tcPr>
          <w:p>
            <w:pPr>
              <w:jc w:val="right"/>
              <w:ind w:right="922"/>
              <w:spacing w:after="0" w:line="156"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3"/>
                <w:szCs w:val="13"/>
                <w:color w:val="auto"/>
              </w:rPr>
            </w:pPr>
          </w:p>
        </w:tc>
        <w:tc>
          <w:tcPr>
            <w:tcW w:w="2300" w:type="dxa"/>
            <w:vAlign w:val="bottom"/>
            <w:tcBorders>
              <w:top w:val="single" w:sz="8" w:color="auto"/>
              <w:bottom w:val="single" w:sz="8" w:color="auto"/>
            </w:tcBorders>
          </w:tcPr>
          <w:p>
            <w:pPr>
              <w:jc w:val="right"/>
              <w:ind w:right="942"/>
              <w:spacing w:after="0" w:line="156"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3"/>
                <w:szCs w:val="13"/>
                <w:color w:val="auto"/>
              </w:rPr>
            </w:pPr>
          </w:p>
        </w:tc>
        <w:tc>
          <w:tcPr>
            <w:tcW w:w="2160" w:type="dxa"/>
            <w:vAlign w:val="bottom"/>
            <w:tcBorders>
              <w:top w:val="single" w:sz="8" w:color="auto"/>
              <w:bottom w:val="single" w:sz="8" w:color="auto"/>
            </w:tcBorders>
          </w:tcPr>
          <w:p>
            <w:pPr>
              <w:jc w:val="right"/>
              <w:ind w:right="862"/>
              <w:spacing w:after="0" w:line="156" w:lineRule="exact"/>
              <w:rPr>
                <w:sz w:val="20"/>
                <w:szCs w:val="20"/>
                <w:color w:val="auto"/>
              </w:rPr>
            </w:pPr>
            <w:r>
              <w:rPr>
                <w:rFonts w:ascii="Arial" w:cs="Arial" w:eastAsia="Arial" w:hAnsi="Arial"/>
                <w:sz w:val="14"/>
                <w:szCs w:val="14"/>
                <w:b w:val="1"/>
                <w:bCs w:val="1"/>
                <w:color w:val="auto"/>
              </w:rPr>
              <w:t>2008</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0"/>
              </w:rPr>
              <w:t>20.6x</w:t>
            </w:r>
          </w:p>
        </w:tc>
        <w:tc>
          <w:tcPr>
            <w:tcW w:w="1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55.9x</w:t>
            </w: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304.8x</w:t>
            </w: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127.9x</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109.5x</w:t>
            </w:r>
          </w:p>
        </w:tc>
      </w:tr>
    </w:tbl>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equity investment gains or losses, and other miscellaneous non-operational items such as currency exchange gains or losses). Fixed charges consist of total interest on loans, interest attributable to rental and lease expense, and capitalized interest.</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As of January 31, 2013, there were 1,104,787,389 shares of common stock outstanding which were held of record by 18,036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Stock Market. The transfer agent and registrar for our common stock is Computershare Trust Company, N.A., 2 North LaSalle Street, 3</w:t>
      </w:r>
      <w:r>
        <w:rPr>
          <w:rFonts w:ascii="Arial" w:cs="Arial" w:eastAsia="Arial" w:hAnsi="Arial"/>
          <w:sz w:val="10"/>
          <w:szCs w:val="10"/>
          <w:color w:val="auto"/>
        </w:rPr>
        <w:t>rd</w:t>
      </w:r>
      <w:r>
        <w:rPr>
          <w:rFonts w:ascii="Arial" w:cs="Arial" w:eastAsia="Arial" w:hAnsi="Arial"/>
          <w:sz w:val="15"/>
          <w:szCs w:val="15"/>
          <w:color w:val="auto"/>
        </w:rPr>
        <w:t xml:space="preserve"> Floor, Chicago, Illinois 60602.</w:t>
      </w:r>
    </w:p>
    <w:p>
      <w:pPr>
        <w:spacing w:after="0" w:line="10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January 31, 2013,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announcement of the date of the meeting is first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59"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Texas Instruments and, accordingly, may discourage attempts to acquire Texas Instruments even though such a transaction may offer Texas Instruments stockholders the opportunity to sell their stock at a price above the prevailing market price.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13"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8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4"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w:t>
      </w:r>
      <w:r>
        <w:rPr>
          <w:rFonts w:ascii="Arial" w:cs="Arial" w:eastAsia="Arial" w:hAnsi="Arial"/>
          <w:sz w:val="16"/>
          <w:szCs w:val="16"/>
          <w:b w:val="1"/>
          <w:bCs w:val="1"/>
          <w:color w:val="auto"/>
        </w:rPr>
        <w:t>attributable debt</w:t>
      </w:r>
      <w:r>
        <w:rPr>
          <w:rFonts w:ascii="Arial" w:cs="Arial" w:eastAsia="Arial" w:hAnsi="Arial"/>
          <w:sz w:val="16"/>
          <w:szCs w:val="16"/>
          <w:color w:val="auto"/>
        </w:rPr>
        <w:t>” in respect of a sale and leaseback transaction means, at the time of determination, the lesser of (1)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03" w:lineRule="exact"/>
        <w:rPr>
          <w:sz w:val="20"/>
          <w:szCs w:val="20"/>
          <w:color w:val="auto"/>
        </w:rPr>
      </w:pPr>
    </w:p>
    <w:p>
      <w:pPr>
        <w:ind w:right="420" w:firstLine="456"/>
        <w:spacing w:after="0" w:line="339"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consolidated net tangible assets</w:t>
      </w:r>
      <w:r>
        <w:rPr>
          <w:rFonts w:ascii="Arial" w:cs="Arial" w:eastAsia="Arial" w:hAnsi="Arial"/>
          <w:sz w:val="16"/>
          <w:szCs w:val="16"/>
          <w:color w:val="auto"/>
        </w:rPr>
        <w:t>”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74"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funded debt</w:t>
      </w:r>
      <w:r>
        <w:rPr>
          <w:rFonts w:ascii="Arial" w:cs="Arial" w:eastAsia="Arial" w:hAnsi="Arial"/>
          <w:sz w:val="18"/>
          <w:szCs w:val="18"/>
          <w:color w:val="auto"/>
        </w:rPr>
        <w: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32"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intangible assets</w:t>
      </w:r>
      <w:r>
        <w:rPr>
          <w:rFonts w:ascii="Arial" w:cs="Arial" w:eastAsia="Arial" w:hAnsi="Arial"/>
          <w:sz w:val="16"/>
          <w:szCs w:val="16"/>
          <w:color w:val="auto"/>
        </w:rPr>
        <w:t>”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03" w:lineRule="exact"/>
        <w:rPr>
          <w:sz w:val="20"/>
          <w:szCs w:val="20"/>
          <w:color w:val="auto"/>
        </w:rPr>
      </w:pPr>
    </w:p>
    <w:p>
      <w:pPr>
        <w:jc w:val="both"/>
        <w:ind w:right="58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net rental payments</w:t>
      </w:r>
      <w:r>
        <w:rPr>
          <w:rFonts w:ascii="Arial" w:cs="Arial" w:eastAsia="Arial" w:hAnsi="Arial"/>
          <w:sz w:val="18"/>
          <w:szCs w:val="18"/>
          <w:color w:val="auto"/>
        </w:rPr>
        <w:t>”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32"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principal manufacturing property</w:t>
      </w:r>
      <w:r>
        <w:rPr>
          <w:rFonts w:ascii="Arial" w:cs="Arial" w:eastAsia="Arial" w:hAnsi="Arial"/>
          <w:sz w:val="16"/>
          <w:szCs w:val="16"/>
          <w:color w:val="auto"/>
        </w:rPr>
        <w:t>”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 certificate,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supplemental indenture, we will not issue or assume any debt for money borrowed (which, including guarantees of debt for borrowed money, we refer to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debt</w:t>
      </w:r>
      <w:r>
        <w:rPr>
          <w:rFonts w:ascii="Arial" w:cs="Arial" w:eastAsia="Arial" w:hAnsi="Arial"/>
          <w:sz w:val="16"/>
          <w:szCs w:val="16"/>
          <w:color w:val="auto"/>
        </w:rPr>
        <w:t>”), if the debt is secured by a mortgage, pledge, lien or other encumbrance (which we refer to as a “</w:t>
      </w:r>
      <w:r>
        <w:rPr>
          <w:rFonts w:ascii="Arial" w:cs="Arial" w:eastAsia="Arial" w:hAnsi="Arial"/>
          <w:sz w:val="16"/>
          <w:szCs w:val="16"/>
          <w:b w:val="1"/>
          <w:bCs w:val="1"/>
          <w:color w:val="auto"/>
        </w:rPr>
        <w:t>mortgage</w:t>
      </w:r>
      <w:r>
        <w:rPr>
          <w:rFonts w:ascii="Arial" w:cs="Arial" w:eastAsia="Arial" w:hAnsi="Arial"/>
          <w:sz w:val="16"/>
          <w:szCs w:val="16"/>
          <w:color w:val="auto"/>
        </w:rPr>
        <w:t>”) upon any principal manufacturing property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(whether such principal manufacturing property is now owned or subsequently acquired) without in any such case effectively providing that the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(together with any other debt security ranking equally with the debt securities) shall be secured equally and ratably with the debt until such time as such debt is no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longer secured by such mortgage. The foregoing restrictions shall not apply to:</w:t>
      </w:r>
    </w:p>
    <w:p>
      <w:pPr>
        <w:spacing w:after="0" w:line="84"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1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right="240" w:hanging="325"/>
        <w:spacing w:after="0" w:line="30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for the purpose of financing all or any part of the purchase price or the cost of construction of the property subject to the mortgages;</w:t>
      </w:r>
    </w:p>
    <w:p>
      <w:pPr>
        <w:spacing w:after="0" w:line="25"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are being contested in good faith by appropriate proceedings;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50"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61"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32"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certificate, or supplemental indenture, we will not enter into any lease longer than three years covering any principal manufacturing property that is sold to any other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32" w:lineRule="exact"/>
        <w:rPr>
          <w:sz w:val="20"/>
          <w:szCs w:val="20"/>
          <w:color w:val="auto"/>
        </w:rPr>
      </w:pPr>
    </w:p>
    <w:p>
      <w:pPr>
        <w:ind w:left="900" w:right="100" w:hanging="325"/>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62" w:lineRule="exact"/>
        <w:rPr>
          <w:rFonts w:ascii="Arial" w:cs="Arial" w:eastAsia="Arial" w:hAnsi="Arial"/>
          <w:sz w:val="18"/>
          <w:szCs w:val="18"/>
          <w:color w:val="auto"/>
        </w:rPr>
      </w:pPr>
    </w:p>
    <w:p>
      <w:pPr>
        <w:ind w:left="900" w:right="68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 w:lineRule="exact"/>
        <w:rPr>
          <w:rFonts w:ascii="Arial" w:cs="Arial" w:eastAsia="Arial" w:hAnsi="Arial"/>
          <w:sz w:val="16"/>
          <w:szCs w:val="16"/>
          <w:color w:val="auto"/>
        </w:rPr>
      </w:pPr>
    </w:p>
    <w:p>
      <w:pPr>
        <w:ind w:left="1460" w:hanging="547"/>
        <w:spacing w:after="0"/>
        <w:tabs>
          <w:tab w:leader="none" w:pos="14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13" w:lineRule="exact"/>
        <w:rPr>
          <w:rFonts w:ascii="Arial" w:cs="Arial" w:eastAsia="Arial" w:hAnsi="Arial"/>
          <w:sz w:val="16"/>
          <w:szCs w:val="16"/>
          <w:color w:val="auto"/>
        </w:rPr>
      </w:pPr>
    </w:p>
    <w:p>
      <w:pPr>
        <w:ind w:left="1460" w:right="220" w:hanging="547"/>
        <w:spacing w:after="0" w:line="268"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 may,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w:t>
      </w:r>
      <w:r>
        <w:rPr>
          <w:rFonts w:ascii="Arial" w:cs="Arial" w:eastAsia="Arial" w:hAnsi="Arial"/>
          <w:sz w:val="18"/>
          <w:szCs w:val="18"/>
          <w:b w:val="1"/>
          <w:bCs w:val="1"/>
          <w:color w:val="auto"/>
        </w:rPr>
        <w:t>exempted debt</w:t>
      </w:r>
      <w:r>
        <w:rPr>
          <w:rFonts w:ascii="Arial" w:cs="Arial" w:eastAsia="Arial" w:hAnsi="Arial"/>
          <w:sz w:val="18"/>
          <w:szCs w:val="18"/>
          <w:color w:val="auto"/>
        </w:rPr>
        <w:t>”) does not exceed 15% of consolidated net tangible assets.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51" w:lineRule="exact"/>
        <w:rPr>
          <w:sz w:val="20"/>
          <w:szCs w:val="20"/>
          <w:color w:val="auto"/>
        </w:rPr>
      </w:pPr>
    </w:p>
    <w:p>
      <w:pPr>
        <w:ind w:left="900" w:hanging="325"/>
        <w:spacing w:after="0" w:line="25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and validly existing under the laws of the United States of America or any jurisdiction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90" w:lineRule="exact"/>
        <w:rPr>
          <w:sz w:val="20"/>
          <w:szCs w:val="20"/>
          <w:color w:val="auto"/>
        </w:rPr>
      </w:pPr>
    </w:p>
    <w:p>
      <w:pPr>
        <w:ind w:left="900" w:right="3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90" w:lineRule="exact"/>
        <w:rPr>
          <w:sz w:val="20"/>
          <w:szCs w:val="20"/>
          <w:color w:val="auto"/>
        </w:rPr>
      </w:pPr>
    </w:p>
    <w:p>
      <w:pPr>
        <w:ind w:left="900" w:hanging="325"/>
        <w:spacing w:after="0" w:line="357" w:lineRule="auto"/>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default in the payment of principal or premium on the debt securities of such series when due and payable whether at maturity, upon acceleration, redemption, or otherwise, but, in the case of technical or administrative difficulties, only if that default continues for a period of two days;</w:t>
      </w: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13" w:lineRule="exact"/>
        <w:rPr>
          <w:rFonts w:ascii="Arial" w:cs="Arial" w:eastAsia="Arial" w:hAnsi="Arial"/>
          <w:sz w:val="16"/>
          <w:szCs w:val="16"/>
          <w:color w:val="auto"/>
        </w:rPr>
      </w:pPr>
    </w:p>
    <w:p>
      <w:pPr>
        <w:ind w:left="900" w:right="140" w:hanging="325"/>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hanging="547"/>
        <w:spacing w:after="0"/>
        <w:tabs>
          <w:tab w:leader="none" w:pos="14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1460" w:right="240" w:hanging="547"/>
        <w:spacing w:after="0" w:line="268"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and assets; or</w:t>
      </w:r>
    </w:p>
    <w:p>
      <w:pPr>
        <w:spacing w:after="0" w:line="50" w:lineRule="exact"/>
        <w:rPr>
          <w:rFonts w:ascii="Arial" w:cs="Arial" w:eastAsia="Arial" w:hAnsi="Arial"/>
          <w:sz w:val="18"/>
          <w:szCs w:val="18"/>
          <w:color w:val="auto"/>
        </w:rPr>
      </w:pPr>
    </w:p>
    <w:p>
      <w:pPr>
        <w:ind w:left="1460" w:right="60" w:hanging="547"/>
        <w:spacing w:after="0" w:line="268"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winding up or liquidation of our affairs and such decree or order shall remain unstayed and in effect for a period of 60 consecutive days;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w:t>
      </w:r>
    </w:p>
    <w:p>
      <w:pPr>
        <w:spacing w:after="0" w:line="90" w:lineRule="exact"/>
        <w:rPr>
          <w:rFonts w:ascii="Arial" w:cs="Arial" w:eastAsia="Arial" w:hAnsi="Arial"/>
          <w:sz w:val="18"/>
          <w:szCs w:val="18"/>
          <w:color w:val="auto"/>
        </w:rPr>
      </w:pPr>
    </w:p>
    <w:p>
      <w:pPr>
        <w:ind w:left="1460" w:right="240" w:hanging="547"/>
        <w:spacing w:after="0" w:line="268"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 or consent to the entry of an order for relief in an involuntary case under any such law;</w:t>
      </w:r>
    </w:p>
    <w:p>
      <w:pPr>
        <w:spacing w:after="0" w:line="50" w:lineRule="exact"/>
        <w:rPr>
          <w:rFonts w:ascii="Arial" w:cs="Arial" w:eastAsia="Arial" w:hAnsi="Arial"/>
          <w:sz w:val="18"/>
          <w:szCs w:val="18"/>
          <w:color w:val="auto"/>
        </w:rPr>
      </w:pPr>
    </w:p>
    <w:p>
      <w:pPr>
        <w:ind w:left="1460" w:right="200" w:hanging="547"/>
        <w:spacing w:after="0" w:line="268"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ours for all or substantially all of our property and assets; 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43"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indenture provides that, unless the terms of any series of debt securities provides otherwise, we may discharge our obligations with respect to an issue of debt securities and the indenture with respect to such series of debt securities if:</w:t>
      </w:r>
    </w:p>
    <w:p>
      <w:pPr>
        <w:spacing w:after="0" w:line="51" w:lineRule="exact"/>
        <w:rPr>
          <w:sz w:val="20"/>
          <w:szCs w:val="20"/>
          <w:color w:val="auto"/>
        </w:rPr>
      </w:pPr>
    </w:p>
    <w:p>
      <w:pPr>
        <w:ind w:left="900" w:right="4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or</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with certain exceptions, have been delivered to the trustee for cancellation and we have paid all sums payable by us under the indenture; or</w:t>
      </w:r>
    </w:p>
    <w:p>
      <w:pPr>
        <w:spacing w:after="0" w:line="50" w:lineRule="exact"/>
        <w:rPr>
          <w:rFonts w:ascii="Arial" w:cs="Arial" w:eastAsia="Arial" w:hAnsi="Arial"/>
          <w:sz w:val="18"/>
          <w:szCs w:val="18"/>
          <w:color w:val="auto"/>
        </w:rPr>
      </w:pPr>
    </w:p>
    <w:p>
      <w:pPr>
        <w:ind w:left="900" w:right="20" w:hanging="325"/>
        <w:spacing w:after="0" w:line="290"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after payment of all federal, state and local taxes or other charges and assessments in respect thereof payable by the trustee, to pay principal of and interest on the debt securities of such series to maturity or redemption, as the case may be, and to pay all other sums payable by us under the indenture.</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With respect to the first and second bullet points, only our obligations to compensate and indemnify the trustee and our right to recover unclaimed money held by the trustee under the indenture shall survive. With respect to the third bullet point, certain rights and obligations under the indenture (such as our obligation to maintain an office or agency in respect of such debt securities, to have moneys held for payment in trust, to register the transfer or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Thereafter, only our obligations to compensate and indemnify the trustee, and our right to recover unclaimed money held by the trustee shall survive.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Unless the terms of any series of debt securities provide otherwise, on the 121st day after the date of deposit of the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w:t>
      </w:r>
      <w:r>
        <w:rPr>
          <w:rFonts w:ascii="Arial" w:cs="Arial" w:eastAsia="Arial" w:hAnsi="Arial"/>
          <w:sz w:val="16"/>
          <w:szCs w:val="16"/>
          <w:b w:val="1"/>
          <w:bCs w:val="1"/>
          <w:color w:val="auto"/>
        </w:rPr>
        <w:t>legal defeasance</w:t>
      </w:r>
      <w:r>
        <w:rPr>
          <w:rFonts w:ascii="Arial" w:cs="Arial" w:eastAsia="Arial" w:hAnsi="Arial"/>
          <w:sz w:val="16"/>
          <w:szCs w:val="16"/>
          <w:color w:val="auto"/>
        </w:rPr>
        <w:t>”); provided that the following conditions shall have been satisfied:</w:t>
      </w:r>
    </w:p>
    <w:p>
      <w:pPr>
        <w:spacing w:after="0" w:line="26" w:lineRule="exact"/>
        <w:rPr>
          <w:sz w:val="20"/>
          <w:szCs w:val="20"/>
          <w:color w:val="auto"/>
        </w:rPr>
      </w:pPr>
    </w:p>
    <w:p>
      <w:pPr>
        <w:ind w:left="900" w:right="100" w:hanging="325"/>
        <w:spacing w:after="0" w:line="289"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37"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debt securities of such series shall have occurred and be continuing on the date of such deposit;</w:t>
      </w:r>
    </w:p>
    <w:p>
      <w:pPr>
        <w:spacing w:after="0" w:line="113"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shall have delivered to the trustee an officers’ certificate and an opinion of counsel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or a ruling by the Internal Revenue Service to the same effect;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Subsequent to the legal defeasance above, certain rights and obligations under the indenture (such as our obligation to maintain an office or agency in respect of such debt securities, to have moneys held for payment in trust, to register the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After such debt securities are no longer outstanding, only our obligations to compensate and indemnify the trustee and our right to recover unclaimed money held by the trustee shall survive.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50" w:lineRule="exact"/>
        <w:rPr>
          <w:rFonts w:ascii="Arial" w:cs="Arial" w:eastAsia="Arial" w:hAnsi="Arial"/>
          <w:sz w:val="18"/>
          <w:szCs w:val="18"/>
          <w:color w:val="auto"/>
        </w:rPr>
      </w:pPr>
    </w:p>
    <w:p>
      <w:pPr>
        <w:jc w:val="both"/>
        <w:ind w:left="900" w:right="300" w:hanging="325"/>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cure any ambiguity, defect, or inconsistency in the indenture or in any supplemental indenture; provided that such amendments or supplements shall not adversely affect the interests of the holders of the debt securities of any series in any material respect, or to conform the indenture or the debt securities to the description of debt securities of such series set forth in this prospectus or a prospectus supplement;</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 —Consolidation, Merger and Sale or Conveyance”;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50"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6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installment of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the provisions relating to the waiver of past defaults or changes or impairs the right of holders to receive payment or to institute suit for the enforcement of any payment of any debt securities of such series on or after the due date therefor;</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waives a default in the payment of principal of or interest on the debt securities;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at the option of such holder; or</w:t>
      </w:r>
    </w:p>
    <w:p>
      <w:pPr>
        <w:spacing w:after="0" w:line="5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debt security of such series affected by the modification.</w:t>
      </w:r>
    </w:p>
    <w:p>
      <w:pPr>
        <w:spacing w:after="0" w:line="8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the creation of any indebtedness represented thereby, against any incorporator, stockholder, officer,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FORMS OF SECURITIES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2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13"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7"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VALIDITY OF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securities in respect of which this prospectus is being delivered will be passed on for us by Davis Polk &amp; Wardwell LLP.</w:t>
      </w: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incorporated by reference in our Annual Report on Form 10-K for the year ended December 31, 2012, and the effectiveness of our internal control over financial reporting as of December 31, 2012, as set forth in their reports, which are incorporated by reference in this prospectus and elsewhere in the registration statement. Our financial statements and our management’s assessment of the effectiveness of internal control over financial reporting as of December 31, 2012, are incorporated by reference in reliance on Ernst &amp; Young LLP’s reports, given on their authority as experts in accounting and auditing.</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 sets forth the estimated costs and expenses payable by the Registrant in connection with the sale of the securities being registered hereby.</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to be</w:t>
            </w:r>
          </w:p>
        </w:tc>
      </w:tr>
      <w:tr>
        <w:trPr>
          <w:trHeight w:val="161"/>
        </w:trPr>
        <w:tc>
          <w:tcPr>
            <w:tcW w:w="526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Paid</w:t>
            </w:r>
          </w:p>
        </w:tc>
      </w:tr>
      <w:tr>
        <w:trPr>
          <w:trHeight w:val="210"/>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Registration fee</w:t>
            </w: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Printing</w:t>
            </w:r>
          </w:p>
        </w:tc>
        <w:tc>
          <w:tcPr>
            <w:tcW w:w="250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 (including Blue Sky fees)</w:t>
            </w:r>
          </w:p>
        </w:tc>
        <w:tc>
          <w:tcPr>
            <w:tcW w:w="250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Rating Agency fees</w:t>
            </w:r>
          </w:p>
        </w:tc>
        <w:tc>
          <w:tcPr>
            <w:tcW w:w="250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50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Miscellaneous</w:t>
            </w:r>
          </w:p>
        </w:tc>
        <w:tc>
          <w:tcPr>
            <w:tcW w:w="1700" w:type="dxa"/>
            <w:vAlign w:val="bottom"/>
          </w:tcPr>
          <w:p>
            <w:pPr>
              <w:spacing w:after="0"/>
              <w:rPr>
                <w:sz w:val="19"/>
                <w:szCs w:val="19"/>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50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r>
      <w:tr>
        <w:trPr>
          <w:trHeight w:val="20"/>
        </w:trPr>
        <w:tc>
          <w:tcPr>
            <w:tcW w:w="5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Omitted because the registration fee is being deferred pursuant to Rule 456(b).</w:t>
      </w:r>
    </w:p>
    <w:p>
      <w:pPr>
        <w:spacing w:after="0" w:line="1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These fees and expenses depend on the securities offered and the number of issuances, and accordingly cannot be estimated at this time.</w:t>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Article VI, Section II of the Registrant’s By-Laws provides for indemnification by the Registrant of its directors, officers and employees to the fullest extent permitted by the Delaware General Corporation Law.</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w:t>
      </w:r>
    </w:p>
    <w:p>
      <w:pPr>
        <w:ind w:right="80" w:firstLine="8"/>
        <w:spacing w:after="0" w:line="292" w:lineRule="auto"/>
        <w:tabs>
          <w:tab w:leader="none" w:pos="21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Article Seventh of the Restated Certificate of Incorporation provides that a director shall not be liable to the Company or its stockholders for monetary damages for breach of fiduciary duty as a director, except to the extent such exemption from liability or limitation thereof is not permitted under the General Corporation Law of the State of Delaware.</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proposed form of Underwriting Agreement filed as Exhibit 1.1 to this Registration Statement provides for indemnification of directors and officers of the Registrant by the underwriters against certain liabilities.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exhibits are filed as part of this Registration Statement: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42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Document</w:t>
            </w:r>
          </w:p>
        </w:tc>
        <w:tc>
          <w:tcPr>
            <w:tcW w:w="460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1.1</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Form of Underwriting Agreement</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91"/>
              </w:rPr>
              <w:t>Restated Certificate of Incorporation of the Registrant, dated April 18, 1985 (incorporated by reference to Exhibit 3(a) of the Registrant’s</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92"/>
              </w:rPr>
              <w:t>Certificate of Amendment to Restated Certificate of Incorporation of the Registrant, dated April 16, 1987 (incorporated by reference to</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Exhibit 3(b)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3.3</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93"/>
              </w:rPr>
              <w:t>Certificate of Amendment to Restated Certificate of Incorporation of the Registrant, dated April 21 1988 (incorporated by reference to</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Exhibit 3(c)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3.4</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92"/>
              </w:rPr>
              <w:t>Certificate of Amendment to Restated Certificate of Incorporation of the Registrant, dated April 18, 1996 (incorporated by reference to</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Exhibit 3(d)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3.5</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90"/>
              </w:rPr>
              <w:t>Certificate of Ownership merging Texas Instruments Automation Controls, Inc. into the Registrant, dated March 28, 1988 (incorporated by</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reference to Exhibit 3(e)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3.6</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90"/>
              </w:rPr>
              <w:t>Certificate of Elimination of Designations of Preferred Stock of the Registrant, dated March 18, 1994 (incorporated by reference to Exhibit</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3(f)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3.7</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88"/>
              </w:rPr>
              <w:t>Certificate of Ownership and Merger merging Tiburon Systems, Inc. into the Registrant, dated November 2, 1995 (incorporated by reference</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to Exhibit 3(g)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3.8</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88"/>
              </w:rPr>
              <w:t>Certificate of Ownership and Merger merging Tartan, Inc. into the Registrant, dated June 21, 1995 (incorporated by reference to Exhibit 3(h)</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3.9</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93"/>
              </w:rPr>
              <w:t>Certificate of Designation relating to the Registrant’s Participating Cumulative Preferred Stock, dated June 23, 1998 (incorporated by</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reference to Exhibit 3(i)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3.10</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89"/>
              </w:rPr>
              <w:t>Certificate of Elimination of Designation of Preferred Stock of the Registrant, dated June 18, 1998 (incorporated by reference to Exhibit 3(j)</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88"/>
              </w:rPr>
              <w:t>Certificate of Ownership and Merger merging Intersect Technologies, Inc. with and into the Registrant, dated July 15, 1999 (incorporated by</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reference to Exhibit 3(k)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88"/>
              </w:rPr>
              <w:t>Certificate of Ownership and Merger merging Soft Warehouse, Inc. with and into the Registrant, dated September 23, 1999 (incorporated by</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reference to Exhibit 3(l)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3.13</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89"/>
              </w:rPr>
              <w:t>Certificate of Ownership and Merger merging Silicon Systems, Inc. with and into the Registrant, dated December 17, 1999 (incorporated by</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reference to Exhibit 3(m) of the Registrant’s Annual Report on Form 10-K for the year ended December 31, 2011).</w:t>
            </w:r>
          </w:p>
        </w:tc>
      </w:tr>
    </w:tbl>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42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Document</w:t>
            </w:r>
          </w:p>
        </w:tc>
        <w:tc>
          <w:tcPr>
            <w:tcW w:w="4540" w:type="dxa"/>
            <w:vAlign w:val="bottom"/>
          </w:tcPr>
          <w:p>
            <w:pPr>
              <w:spacing w:after="0"/>
              <w:rPr>
                <w:sz w:val="14"/>
                <w:szCs w:val="14"/>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3.14</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1"/>
              </w:rPr>
              <w:t>Certificate of Amendment to Restated Certificate of Incorporation, dated April 20, 2000 (incorporated by reference to Exhibit 3(n) of the</w:t>
            </w:r>
          </w:p>
        </w:tc>
      </w:tr>
      <w:tr>
        <w:trPr>
          <w:trHeight w:val="222"/>
        </w:trPr>
        <w:tc>
          <w:tcPr>
            <w:tcW w:w="720" w:type="dxa"/>
            <w:vAlign w:val="bottom"/>
          </w:tcPr>
          <w:p>
            <w:pPr>
              <w:spacing w:after="0"/>
              <w:rPr>
                <w:sz w:val="19"/>
                <w:szCs w:val="19"/>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3.15</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4"/>
              </w:rPr>
              <w:t>Certificate of Ownership and Merger merging Power Trends, Inc. with and into the Registrant, dated May 31, 2001 (incorporated by</w:t>
            </w:r>
          </w:p>
        </w:tc>
      </w:tr>
      <w:tr>
        <w:trPr>
          <w:trHeight w:val="222"/>
        </w:trPr>
        <w:tc>
          <w:tcPr>
            <w:tcW w:w="720" w:type="dxa"/>
            <w:vAlign w:val="bottom"/>
          </w:tcPr>
          <w:p>
            <w:pPr>
              <w:spacing w:after="0"/>
              <w:rPr>
                <w:sz w:val="19"/>
                <w:szCs w:val="19"/>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reference to Exhibit 3(o)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3.16</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89"/>
              </w:rPr>
              <w:t>Certificate of Ownership and Merger merging Amati Communications Corporation with and into the Registrant, dated September 28, 2001</w:t>
            </w:r>
          </w:p>
        </w:tc>
      </w:tr>
      <w:tr>
        <w:trPr>
          <w:trHeight w:val="222"/>
        </w:trPr>
        <w:tc>
          <w:tcPr>
            <w:tcW w:w="720" w:type="dxa"/>
            <w:vAlign w:val="bottom"/>
          </w:tcPr>
          <w:p>
            <w:pPr>
              <w:spacing w:after="0"/>
              <w:rPr>
                <w:sz w:val="19"/>
                <w:szCs w:val="19"/>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4"/>
              </w:rPr>
              <w:t>(incorporated by reference to Exhibit 3(p)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3.17</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1"/>
              </w:rPr>
              <w:t>Certificate of Ownership and Merger merging Texas Instruments San Diego Incorporated with and into the Registrant, dated August 27,</w:t>
            </w:r>
          </w:p>
        </w:tc>
      </w:tr>
      <w:tr>
        <w:trPr>
          <w:trHeight w:val="222"/>
        </w:trPr>
        <w:tc>
          <w:tcPr>
            <w:tcW w:w="720" w:type="dxa"/>
            <w:vAlign w:val="bottom"/>
          </w:tcPr>
          <w:p>
            <w:pPr>
              <w:spacing w:after="0"/>
              <w:rPr>
                <w:sz w:val="19"/>
                <w:szCs w:val="19"/>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0"/>
              </w:rPr>
              <w:t>2002 (incorporated by reference to Exhibit 3(q)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3.18</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89"/>
              </w:rPr>
              <w:t>Certificate of Ownership and Merger merging Texas Instruments Burlington Incorporated with and into the Registrant, dated December 31,</w:t>
            </w:r>
          </w:p>
        </w:tc>
      </w:tr>
      <w:tr>
        <w:trPr>
          <w:trHeight w:val="222"/>
        </w:trPr>
        <w:tc>
          <w:tcPr>
            <w:tcW w:w="720" w:type="dxa"/>
            <w:vAlign w:val="bottom"/>
          </w:tcPr>
          <w:p>
            <w:pPr>
              <w:spacing w:after="0"/>
              <w:rPr>
                <w:sz w:val="19"/>
                <w:szCs w:val="19"/>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0"/>
              </w:rPr>
              <w:t>2003 (incorporated by reference to Exhibit 3(r)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3.19</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4"/>
              </w:rPr>
              <w:t>Certificate of Ownership and Merger merging Texas Instruments Automotive Sensors and Controls San Jose Inc. with and into the</w:t>
            </w:r>
          </w:p>
        </w:tc>
      </w:tr>
      <w:tr>
        <w:trPr>
          <w:trHeight w:val="216"/>
        </w:trPr>
        <w:tc>
          <w:tcPr>
            <w:tcW w:w="720" w:type="dxa"/>
            <w:vAlign w:val="bottom"/>
          </w:tcPr>
          <w:p>
            <w:pPr>
              <w:spacing w:after="0"/>
              <w:rPr>
                <w:sz w:val="18"/>
                <w:szCs w:val="18"/>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89"/>
              </w:rPr>
              <w:t>Registrant, dated October 31, 2004 (incorporated by reference to Exhibit 3(s) of the Registrant’s Annual Report on Form 10-K for the year</w:t>
            </w:r>
          </w:p>
        </w:tc>
      </w:tr>
      <w:tr>
        <w:trPr>
          <w:trHeight w:val="222"/>
        </w:trPr>
        <w:tc>
          <w:tcPr>
            <w:tcW w:w="720" w:type="dxa"/>
            <w:vAlign w:val="bottom"/>
          </w:tcPr>
          <w:p>
            <w:pPr>
              <w:spacing w:after="0"/>
              <w:rPr>
                <w:sz w:val="19"/>
                <w:szCs w:val="19"/>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3.20</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89"/>
              </w:rPr>
              <w:t>Certification of Elimination of Series B Participating Cumulative Preferred Stock (incorporated by reference to Exhibit 3 to the Registrant’s</w:t>
            </w:r>
          </w:p>
        </w:tc>
      </w:tr>
      <w:tr>
        <w:trPr>
          <w:trHeight w:val="222"/>
        </w:trPr>
        <w:tc>
          <w:tcPr>
            <w:tcW w:w="720" w:type="dxa"/>
            <w:vAlign w:val="bottom"/>
          </w:tcPr>
          <w:p>
            <w:pPr>
              <w:spacing w:after="0"/>
              <w:rPr>
                <w:sz w:val="19"/>
                <w:szCs w:val="19"/>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Current Report on Form 8-K filed June 23, 2008).</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2"/>
              </w:rPr>
              <w:t>By-Laws of the Registrant (incorporated by reference to Exhibit 3 to the Registrant’s Current Report on Form 8-K dated July 18, 2008)</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Specimen Preferred Stock Certificate*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0"/>
              </w:rPr>
              <w:t>Indenture dated as of May 23, 2011 between Texas Instruments Incorporated, a Delaware corporation, as Issuer and U.S. Bank National</w:t>
            </w:r>
          </w:p>
        </w:tc>
      </w:tr>
      <w:tr>
        <w:trPr>
          <w:trHeight w:val="216"/>
        </w:trPr>
        <w:tc>
          <w:tcPr>
            <w:tcW w:w="720" w:type="dxa"/>
            <w:vAlign w:val="bottom"/>
          </w:tcPr>
          <w:p>
            <w:pPr>
              <w:spacing w:after="0"/>
              <w:rPr>
                <w:sz w:val="18"/>
                <w:szCs w:val="18"/>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89"/>
              </w:rPr>
              <w:t>Association, a National Association, as Trustee (incorporated by reference to the Registrant’s Current Report on Form 8-K dated May 23,</w:t>
            </w:r>
          </w:p>
        </w:tc>
      </w:tr>
      <w:tr>
        <w:trPr>
          <w:trHeight w:val="222"/>
        </w:trPr>
        <w:tc>
          <w:tcPr>
            <w:tcW w:w="720" w:type="dxa"/>
            <w:vAlign w:val="bottom"/>
          </w:tcPr>
          <w:p>
            <w:pPr>
              <w:spacing w:after="0"/>
              <w:rPr>
                <w:sz w:val="19"/>
                <w:szCs w:val="19"/>
                <w:color w:val="auto"/>
              </w:rPr>
            </w:pPr>
          </w:p>
        </w:tc>
        <w:tc>
          <w:tcPr>
            <w:tcW w:w="5420" w:type="dxa"/>
            <w:vAlign w:val="bottom"/>
          </w:tcPr>
          <w:p>
            <w:pPr>
              <w:ind w:left="760"/>
              <w:spacing w:after="0"/>
              <w:rPr>
                <w:sz w:val="20"/>
                <w:szCs w:val="20"/>
                <w:color w:val="auto"/>
              </w:rPr>
            </w:pPr>
            <w:r>
              <w:rPr>
                <w:rFonts w:ascii="Arial" w:cs="Arial" w:eastAsia="Arial" w:hAnsi="Arial"/>
                <w:sz w:val="18"/>
                <w:szCs w:val="18"/>
                <w:color w:val="auto"/>
              </w:rPr>
              <w:t>2011)</w:t>
            </w:r>
          </w:p>
        </w:tc>
        <w:tc>
          <w:tcPr>
            <w:tcW w:w="62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Form of Note (included in Exhibit 4.3)</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4.5</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Form of Warrant Agreement*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4.6</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Form of Unit Agreement*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Opinion of Davis Polk &amp; Wardwell LLP</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3"/>
              </w:rPr>
              <w:t>Statement regarding computation of Consolidated Ratio of Earnings to Fixed Charges (incorporated by reference to Exhibit 12 of the</w:t>
            </w:r>
          </w:p>
        </w:tc>
      </w:tr>
      <w:tr>
        <w:trPr>
          <w:trHeight w:val="222"/>
        </w:trPr>
        <w:tc>
          <w:tcPr>
            <w:tcW w:w="720" w:type="dxa"/>
            <w:vAlign w:val="bottom"/>
          </w:tcPr>
          <w:p>
            <w:pPr>
              <w:spacing w:after="0"/>
              <w:rPr>
                <w:sz w:val="19"/>
                <w:szCs w:val="19"/>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Registrant’s Annual Report on Form 10-K for the year ended December 31, 2012)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Consent of Davis Polk &amp; Wardwell LLP (included in Exhibit 5.1)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Power of Attorney (included on the signature page of the Registration Statement)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25.1</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Statement of Eligibility on Form T-1 of U.S. Bank National Association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00"/>
          </w:cols>
          <w:pgMar w:left="24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undersigned Registrant hereby undertakes:</w:t>
      </w:r>
    </w:p>
    <w:p>
      <w:pPr>
        <w:spacing w:after="0" w:line="90" w:lineRule="exact"/>
        <w:rPr>
          <w:sz w:val="20"/>
          <w:szCs w:val="20"/>
          <w:color w:val="auto"/>
        </w:rPr>
      </w:pPr>
    </w:p>
    <w:p>
      <w:pPr>
        <w:ind w:right="620" w:firstLine="464"/>
        <w:spacing w:after="0" w:line="268"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securities registered hereby, a post-effective amendment to this registration statement:</w:t>
      </w:r>
    </w:p>
    <w:p>
      <w:pPr>
        <w:spacing w:after="0" w:line="50" w:lineRule="exact"/>
        <w:rPr>
          <w:rFonts w:ascii="Arial" w:cs="Arial" w:eastAsia="Arial" w:hAnsi="Arial"/>
          <w:sz w:val="18"/>
          <w:szCs w:val="18"/>
          <w:color w:val="auto"/>
        </w:rPr>
      </w:pPr>
    </w:p>
    <w:p>
      <w:pPr>
        <w:ind w:left="1340" w:hanging="218"/>
        <w:spacing w:after="0"/>
        <w:tabs>
          <w:tab w:leader="none" w:pos="13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700" w:right="140" w:firstLine="422"/>
        <w:spacing w:after="0" w:line="253" w:lineRule="auto"/>
        <w:tabs>
          <w:tab w:leader="none" w:pos="138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66" w:lineRule="exact"/>
        <w:rPr>
          <w:rFonts w:ascii="Arial" w:cs="Arial" w:eastAsia="Arial" w:hAnsi="Arial"/>
          <w:sz w:val="18"/>
          <w:szCs w:val="18"/>
          <w:color w:val="auto"/>
        </w:rPr>
      </w:pPr>
    </w:p>
    <w:p>
      <w:pPr>
        <w:ind w:left="700" w:right="500" w:firstLine="422"/>
        <w:spacing w:after="0" w:line="268" w:lineRule="auto"/>
        <w:tabs>
          <w:tab w:leader="none" w:pos="1436"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700"/>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(ii) and (iii) above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with or furnished to the Securities and Exchange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62" w:lineRule="exact"/>
        <w:rPr>
          <w:sz w:val="20"/>
          <w:szCs w:val="20"/>
          <w:color w:val="auto"/>
        </w:rPr>
      </w:pPr>
    </w:p>
    <w:p>
      <w:pPr>
        <w:jc w:val="both"/>
        <w:ind w:right="260" w:firstLine="464"/>
        <w:spacing w:after="0" w:line="259"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90" w:lineRule="exact"/>
        <w:rPr>
          <w:rFonts w:ascii="Arial" w:cs="Arial" w:eastAsia="Arial" w:hAnsi="Arial"/>
          <w:sz w:val="18"/>
          <w:szCs w:val="18"/>
          <w:color w:val="auto"/>
        </w:rPr>
      </w:pPr>
    </w:p>
    <w:p>
      <w:pPr>
        <w:ind w:left="920" w:right="40" w:firstLine="421"/>
        <w:spacing w:after="0" w:line="268" w:lineRule="auto"/>
        <w:tabs>
          <w:tab w:leader="none" w:pos="1627" w:val="left"/>
        </w:tabs>
        <w:numPr>
          <w:ilvl w:val="1"/>
          <w:numId w:val="2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1620" w:hanging="279"/>
        <w:spacing w:after="0"/>
        <w:tabs>
          <w:tab w:leader="none" w:pos="16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sz w:val="20"/>
          <w:szCs w:val="20"/>
          <w:color w:val="auto"/>
        </w:rPr>
      </w:pPr>
    </w:p>
    <w:p>
      <w:pPr>
        <w:ind w:left="920" w:right="40"/>
        <w:spacing w:after="0" w:line="286" w:lineRule="auto"/>
        <w:rPr>
          <w:sz w:val="20"/>
          <w:szCs w:val="20"/>
          <w:color w:val="auto"/>
        </w:rPr>
      </w:pPr>
      <w:r>
        <w:rPr>
          <w:rFonts w:ascii="Arial" w:cs="Arial" w:eastAsia="Arial" w:hAnsi="Arial"/>
          <w:sz w:val="16"/>
          <w:szCs w:val="16"/>
          <w:color w:val="auto"/>
        </w:rPr>
        <w:t xml:space="preserve">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64"/>
        <w:spacing w:after="0" w:line="268"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51" w:lineRule="exact"/>
        <w:rPr>
          <w:sz w:val="20"/>
          <w:szCs w:val="20"/>
          <w:color w:val="auto"/>
        </w:rPr>
      </w:pPr>
    </w:p>
    <w:p>
      <w:pPr>
        <w:ind w:left="700" w:right="120" w:firstLine="429"/>
        <w:spacing w:after="0" w:line="256"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2" w:lineRule="exact"/>
        <w:rPr>
          <w:sz w:val="20"/>
          <w:szCs w:val="20"/>
          <w:color w:val="auto"/>
        </w:rPr>
      </w:pPr>
    </w:p>
    <w:p>
      <w:pPr>
        <w:ind w:left="1340" w:hanging="218"/>
        <w:spacing w:after="0"/>
        <w:tabs>
          <w:tab w:leader="none" w:pos="13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700" w:right="620" w:firstLine="422"/>
        <w:spacing w:after="0" w:line="268" w:lineRule="auto"/>
        <w:tabs>
          <w:tab w:leader="none" w:pos="138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700" w:firstLine="422"/>
        <w:spacing w:after="0" w:line="268" w:lineRule="auto"/>
        <w:tabs>
          <w:tab w:leader="none" w:pos="1436"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420" w:hanging="298"/>
        <w:spacing w:after="0"/>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900" w:right="100" w:hanging="446"/>
        <w:spacing w:after="0" w:line="294"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34" w:lineRule="exact"/>
        <w:rPr>
          <w:rFonts w:ascii="Arial" w:cs="Arial" w:eastAsia="Arial" w:hAnsi="Arial"/>
          <w:sz w:val="16"/>
          <w:szCs w:val="16"/>
          <w:color w:val="auto"/>
        </w:rPr>
      </w:pPr>
    </w:p>
    <w:p>
      <w:pPr>
        <w:ind w:left="900" w:right="20" w:hanging="446"/>
        <w:spacing w:after="0" w:line="289"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Dallas, State of Texas, as of February 22, 2013.</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Senior Vice President, Chief Accounting Officer and Chief</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Financial Officer</w:t>
      </w:r>
    </w:p>
    <w:p>
      <w:pPr>
        <w:spacing w:after="0" w:line="178"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KNOW ALL MEN BY THESE PRESENTS, that each person whose signature appears below constitutes and appoints Richard K. Templeton, Kevin P. March and Joseph F. Hubach,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0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as of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18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500" w:type="dxa"/>
            <w:vAlign w:val="bottom"/>
          </w:tcPr>
          <w:p>
            <w:pPr>
              <w:spacing w:after="0"/>
              <w:rPr>
                <w:sz w:val="14"/>
                <w:szCs w:val="14"/>
                <w:color w:val="auto"/>
              </w:rPr>
            </w:pPr>
          </w:p>
        </w:tc>
      </w:tr>
      <w:tr>
        <w:trPr>
          <w:trHeight w:val="424"/>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K. Templeton</w:t>
            </w:r>
          </w:p>
        </w:tc>
        <w:tc>
          <w:tcPr>
            <w:tcW w:w="1840" w:type="dxa"/>
            <w:vAlign w:val="bottom"/>
            <w:tcBorders>
              <w:bottom w:val="single" w:sz="8" w:color="auto"/>
            </w:tcBorders>
          </w:tcPr>
          <w:p>
            <w:pPr>
              <w:spacing w:after="0"/>
              <w:rPr>
                <w:sz w:val="24"/>
                <w:szCs w:val="24"/>
                <w:color w:val="auto"/>
              </w:rPr>
            </w:pPr>
          </w:p>
        </w:tc>
        <w:tc>
          <w:tcPr>
            <w:tcW w:w="488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Chairman of the Board, Director, President</w:t>
            </w:r>
          </w:p>
        </w:tc>
        <w:tc>
          <w:tcPr>
            <w:tcW w:w="204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February 22, 2013</w:t>
            </w:r>
          </w:p>
        </w:tc>
      </w:tr>
      <w:tr>
        <w:trPr>
          <w:trHeight w:val="218"/>
        </w:trPr>
        <w:tc>
          <w:tcPr>
            <w:tcW w:w="2440" w:type="dxa"/>
            <w:vAlign w:val="bottom"/>
            <w:gridSpan w:val="2"/>
          </w:tcPr>
          <w:p>
            <w:pPr>
              <w:spacing w:after="0"/>
              <w:rPr>
                <w:sz w:val="20"/>
                <w:szCs w:val="20"/>
                <w:color w:val="auto"/>
              </w:rPr>
            </w:pPr>
            <w:r>
              <w:rPr>
                <w:rFonts w:ascii="Arial" w:cs="Arial" w:eastAsia="Arial" w:hAnsi="Arial"/>
                <w:sz w:val="18"/>
                <w:szCs w:val="18"/>
                <w:color w:val="auto"/>
              </w:rPr>
              <w:t>Richard K. Templeton</w:t>
            </w:r>
          </w:p>
        </w:tc>
        <w:tc>
          <w:tcPr>
            <w:tcW w:w="1840" w:type="dxa"/>
            <w:vAlign w:val="bottom"/>
          </w:tcPr>
          <w:p>
            <w:pPr>
              <w:spacing w:after="0"/>
              <w:rPr>
                <w:sz w:val="18"/>
                <w:szCs w:val="18"/>
                <w:color w:val="auto"/>
              </w:rPr>
            </w:pPr>
          </w:p>
        </w:tc>
        <w:tc>
          <w:tcPr>
            <w:tcW w:w="4880" w:type="dxa"/>
            <w:vAlign w:val="bottom"/>
            <w:gridSpan w:val="3"/>
          </w:tcPr>
          <w:p>
            <w:pPr>
              <w:jc w:val="center"/>
              <w:ind w:left="332"/>
              <w:spacing w:after="0" w:line="202" w:lineRule="exact"/>
              <w:rPr>
                <w:sz w:val="20"/>
                <w:szCs w:val="20"/>
                <w:color w:val="auto"/>
              </w:rPr>
            </w:pPr>
            <w:r>
              <w:rPr>
                <w:rFonts w:ascii="Arial" w:cs="Arial" w:eastAsia="Arial" w:hAnsi="Arial"/>
                <w:sz w:val="18"/>
                <w:szCs w:val="18"/>
                <w:color w:val="auto"/>
                <w:w w:val="90"/>
              </w:rPr>
              <w:t>and Chief Executive Officer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7"/>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P. March</w:t>
            </w:r>
          </w:p>
        </w:tc>
        <w:tc>
          <w:tcPr>
            <w:tcW w:w="1840" w:type="dxa"/>
            <w:vAlign w:val="bottom"/>
            <w:tcBorders>
              <w:bottom w:val="single" w:sz="8" w:color="auto"/>
            </w:tcBorders>
          </w:tcPr>
          <w:p>
            <w:pPr>
              <w:spacing w:after="0"/>
              <w:rPr>
                <w:sz w:val="24"/>
                <w:szCs w:val="24"/>
                <w:color w:val="auto"/>
              </w:rPr>
            </w:pPr>
          </w:p>
        </w:tc>
        <w:tc>
          <w:tcPr>
            <w:tcW w:w="4880" w:type="dxa"/>
            <w:vAlign w:val="bottom"/>
            <w:gridSpan w:val="3"/>
          </w:tcPr>
          <w:p>
            <w:pPr>
              <w:jc w:val="center"/>
              <w:ind w:left="332"/>
              <w:spacing w:after="0"/>
              <w:rPr>
                <w:sz w:val="20"/>
                <w:szCs w:val="20"/>
                <w:color w:val="auto"/>
              </w:rPr>
            </w:pPr>
            <w:r>
              <w:rPr>
                <w:rFonts w:ascii="Arial" w:cs="Arial" w:eastAsia="Arial" w:hAnsi="Arial"/>
                <w:sz w:val="18"/>
                <w:szCs w:val="18"/>
                <w:color w:val="auto"/>
                <w:w w:val="89"/>
              </w:rPr>
              <w:t>Senior Vice President, Chief Accounting</w:t>
            </w:r>
          </w:p>
        </w:tc>
        <w:tc>
          <w:tcPr>
            <w:tcW w:w="204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February 22, 2013</w:t>
            </w:r>
          </w:p>
        </w:tc>
      </w:tr>
      <w:tr>
        <w:trPr>
          <w:trHeight w:val="218"/>
        </w:trPr>
        <w:tc>
          <w:tcPr>
            <w:tcW w:w="2440" w:type="dxa"/>
            <w:vAlign w:val="bottom"/>
            <w:gridSpan w:val="2"/>
          </w:tcPr>
          <w:p>
            <w:pPr>
              <w:spacing w:after="0"/>
              <w:rPr>
                <w:sz w:val="20"/>
                <w:szCs w:val="20"/>
                <w:color w:val="auto"/>
              </w:rPr>
            </w:pPr>
            <w:r>
              <w:rPr>
                <w:rFonts w:ascii="Arial" w:cs="Arial" w:eastAsia="Arial" w:hAnsi="Arial"/>
                <w:sz w:val="18"/>
                <w:szCs w:val="18"/>
                <w:color w:val="auto"/>
              </w:rPr>
              <w:t>Kevin P. March</w:t>
            </w:r>
          </w:p>
        </w:tc>
        <w:tc>
          <w:tcPr>
            <w:tcW w:w="1840" w:type="dxa"/>
            <w:vAlign w:val="bottom"/>
          </w:tcPr>
          <w:p>
            <w:pPr>
              <w:spacing w:after="0"/>
              <w:rPr>
                <w:sz w:val="18"/>
                <w:szCs w:val="18"/>
                <w:color w:val="auto"/>
              </w:rPr>
            </w:pPr>
          </w:p>
        </w:tc>
        <w:tc>
          <w:tcPr>
            <w:tcW w:w="4880" w:type="dxa"/>
            <w:vAlign w:val="bottom"/>
            <w:gridSpan w:val="3"/>
          </w:tcPr>
          <w:p>
            <w:pPr>
              <w:jc w:val="center"/>
              <w:ind w:left="312"/>
              <w:spacing w:after="0" w:line="202" w:lineRule="exact"/>
              <w:rPr>
                <w:sz w:val="20"/>
                <w:szCs w:val="20"/>
                <w:color w:val="auto"/>
              </w:rPr>
            </w:pPr>
            <w:r>
              <w:rPr>
                <w:rFonts w:ascii="Arial" w:cs="Arial" w:eastAsia="Arial" w:hAnsi="Arial"/>
                <w:sz w:val="18"/>
                <w:szCs w:val="18"/>
                <w:color w:val="auto"/>
                <w:w w:val="91"/>
              </w:rPr>
              <w:t>Officer and Chief Financial Officer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Ralph W. Babb, Jr.</w:t>
            </w:r>
          </w:p>
        </w:tc>
        <w:tc>
          <w:tcPr>
            <w:tcW w:w="1840" w:type="dxa"/>
            <w:vAlign w:val="bottom"/>
            <w:tcBorders>
              <w:bottom w:val="single" w:sz="8" w:color="auto"/>
            </w:tcBorders>
          </w:tcPr>
          <w:p>
            <w:pPr>
              <w:spacing w:after="0"/>
              <w:rPr>
                <w:sz w:val="24"/>
                <w:szCs w:val="24"/>
                <w:color w:val="auto"/>
              </w:rPr>
            </w:pPr>
          </w:p>
        </w:tc>
        <w:tc>
          <w:tcPr>
            <w:tcW w:w="4880" w:type="dxa"/>
            <w:vAlign w:val="bottom"/>
            <w:gridSpan w:val="3"/>
          </w:tcPr>
          <w:p>
            <w:pPr>
              <w:jc w:val="center"/>
              <w:ind w:left="332"/>
              <w:spacing w:after="0"/>
              <w:rPr>
                <w:sz w:val="20"/>
                <w:szCs w:val="20"/>
                <w:color w:val="auto"/>
              </w:rPr>
            </w:pPr>
            <w:r>
              <w:rPr>
                <w:rFonts w:ascii="Arial" w:cs="Arial" w:eastAsia="Arial" w:hAnsi="Arial"/>
                <w:sz w:val="18"/>
                <w:szCs w:val="18"/>
                <w:color w:val="auto"/>
                <w:w w:val="91"/>
              </w:rPr>
              <w:t>Director</w:t>
            </w:r>
          </w:p>
        </w:tc>
        <w:tc>
          <w:tcPr>
            <w:tcW w:w="204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February 22, 2013</w:t>
            </w:r>
          </w:p>
        </w:tc>
      </w:tr>
      <w:tr>
        <w:trPr>
          <w:trHeight w:val="217"/>
        </w:trPr>
        <w:tc>
          <w:tcPr>
            <w:tcW w:w="2440" w:type="dxa"/>
            <w:vAlign w:val="bottom"/>
            <w:gridSpan w:val="2"/>
          </w:tcPr>
          <w:p>
            <w:pPr>
              <w:spacing w:after="0"/>
              <w:rPr>
                <w:sz w:val="20"/>
                <w:szCs w:val="20"/>
                <w:color w:val="auto"/>
              </w:rPr>
            </w:pPr>
            <w:r>
              <w:rPr>
                <w:rFonts w:ascii="Arial" w:cs="Arial" w:eastAsia="Arial" w:hAnsi="Arial"/>
                <w:sz w:val="18"/>
                <w:szCs w:val="18"/>
                <w:color w:val="auto"/>
              </w:rPr>
              <w:t>Ralph W. Babb, Jr.</w:t>
            </w:r>
          </w:p>
        </w:tc>
        <w:tc>
          <w:tcPr>
            <w:tcW w:w="1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A. Blinn</w:t>
            </w:r>
          </w:p>
        </w:tc>
        <w:tc>
          <w:tcPr>
            <w:tcW w:w="1840" w:type="dxa"/>
            <w:vAlign w:val="bottom"/>
            <w:tcBorders>
              <w:bottom w:val="single" w:sz="8" w:color="auto"/>
            </w:tcBorders>
          </w:tcPr>
          <w:p>
            <w:pPr>
              <w:spacing w:after="0"/>
              <w:rPr>
                <w:sz w:val="24"/>
                <w:szCs w:val="24"/>
                <w:color w:val="auto"/>
              </w:rPr>
            </w:pPr>
          </w:p>
        </w:tc>
        <w:tc>
          <w:tcPr>
            <w:tcW w:w="4880" w:type="dxa"/>
            <w:vAlign w:val="bottom"/>
            <w:gridSpan w:val="3"/>
          </w:tcPr>
          <w:p>
            <w:pPr>
              <w:jc w:val="center"/>
              <w:ind w:left="332"/>
              <w:spacing w:after="0"/>
              <w:rPr>
                <w:sz w:val="20"/>
                <w:szCs w:val="20"/>
                <w:color w:val="auto"/>
              </w:rPr>
            </w:pPr>
            <w:r>
              <w:rPr>
                <w:rFonts w:ascii="Arial" w:cs="Arial" w:eastAsia="Arial" w:hAnsi="Arial"/>
                <w:sz w:val="18"/>
                <w:szCs w:val="18"/>
                <w:color w:val="auto"/>
                <w:w w:val="91"/>
              </w:rPr>
              <w:t>Director</w:t>
            </w:r>
          </w:p>
        </w:tc>
        <w:tc>
          <w:tcPr>
            <w:tcW w:w="204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February 22, 2013</w:t>
            </w:r>
          </w:p>
        </w:tc>
      </w:tr>
      <w:tr>
        <w:trPr>
          <w:trHeight w:val="217"/>
        </w:trPr>
        <w:tc>
          <w:tcPr>
            <w:tcW w:w="2440" w:type="dxa"/>
            <w:vAlign w:val="bottom"/>
            <w:gridSpan w:val="2"/>
          </w:tcPr>
          <w:p>
            <w:pPr>
              <w:spacing w:after="0"/>
              <w:rPr>
                <w:sz w:val="20"/>
                <w:szCs w:val="20"/>
                <w:color w:val="auto"/>
              </w:rPr>
            </w:pPr>
            <w:r>
              <w:rPr>
                <w:rFonts w:ascii="Arial" w:cs="Arial" w:eastAsia="Arial" w:hAnsi="Arial"/>
                <w:sz w:val="18"/>
                <w:szCs w:val="18"/>
                <w:color w:val="auto"/>
              </w:rPr>
              <w:t>Mark A. Blinn</w:t>
            </w:r>
          </w:p>
        </w:tc>
        <w:tc>
          <w:tcPr>
            <w:tcW w:w="1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A. Carp</w:t>
            </w:r>
          </w:p>
        </w:tc>
        <w:tc>
          <w:tcPr>
            <w:tcW w:w="1840" w:type="dxa"/>
            <w:vAlign w:val="bottom"/>
            <w:tcBorders>
              <w:bottom w:val="single" w:sz="8" w:color="auto"/>
            </w:tcBorders>
          </w:tcPr>
          <w:p>
            <w:pPr>
              <w:spacing w:after="0"/>
              <w:rPr>
                <w:sz w:val="24"/>
                <w:szCs w:val="24"/>
                <w:color w:val="auto"/>
              </w:rPr>
            </w:pPr>
          </w:p>
        </w:tc>
        <w:tc>
          <w:tcPr>
            <w:tcW w:w="4880" w:type="dxa"/>
            <w:vAlign w:val="bottom"/>
            <w:gridSpan w:val="3"/>
          </w:tcPr>
          <w:p>
            <w:pPr>
              <w:jc w:val="center"/>
              <w:ind w:left="332"/>
              <w:spacing w:after="0"/>
              <w:rPr>
                <w:sz w:val="20"/>
                <w:szCs w:val="20"/>
                <w:color w:val="auto"/>
              </w:rPr>
            </w:pPr>
            <w:r>
              <w:rPr>
                <w:rFonts w:ascii="Arial" w:cs="Arial" w:eastAsia="Arial" w:hAnsi="Arial"/>
                <w:sz w:val="18"/>
                <w:szCs w:val="18"/>
                <w:color w:val="auto"/>
                <w:w w:val="91"/>
              </w:rPr>
              <w:t>Director</w:t>
            </w:r>
          </w:p>
        </w:tc>
        <w:tc>
          <w:tcPr>
            <w:tcW w:w="204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February 22, 2013</w:t>
            </w:r>
          </w:p>
        </w:tc>
      </w:tr>
      <w:tr>
        <w:trPr>
          <w:trHeight w:val="217"/>
        </w:trPr>
        <w:tc>
          <w:tcPr>
            <w:tcW w:w="2440" w:type="dxa"/>
            <w:vAlign w:val="bottom"/>
            <w:gridSpan w:val="2"/>
          </w:tcPr>
          <w:p>
            <w:pPr>
              <w:spacing w:after="0"/>
              <w:rPr>
                <w:sz w:val="20"/>
                <w:szCs w:val="20"/>
                <w:color w:val="auto"/>
              </w:rPr>
            </w:pPr>
            <w:r>
              <w:rPr>
                <w:rFonts w:ascii="Arial" w:cs="Arial" w:eastAsia="Arial" w:hAnsi="Arial"/>
                <w:sz w:val="18"/>
                <w:szCs w:val="18"/>
                <w:color w:val="auto"/>
              </w:rPr>
              <w:t>Daniel A. Carp</w:t>
            </w:r>
          </w:p>
        </w:tc>
        <w:tc>
          <w:tcPr>
            <w:tcW w:w="1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Carrie S. Cox</w:t>
            </w:r>
          </w:p>
        </w:tc>
        <w:tc>
          <w:tcPr>
            <w:tcW w:w="1840" w:type="dxa"/>
            <w:vAlign w:val="bottom"/>
            <w:tcBorders>
              <w:bottom w:val="single" w:sz="8" w:color="auto"/>
            </w:tcBorders>
          </w:tcPr>
          <w:p>
            <w:pPr>
              <w:spacing w:after="0"/>
              <w:rPr>
                <w:sz w:val="24"/>
                <w:szCs w:val="24"/>
                <w:color w:val="auto"/>
              </w:rPr>
            </w:pPr>
          </w:p>
        </w:tc>
        <w:tc>
          <w:tcPr>
            <w:tcW w:w="4880" w:type="dxa"/>
            <w:vAlign w:val="bottom"/>
            <w:gridSpan w:val="3"/>
          </w:tcPr>
          <w:p>
            <w:pPr>
              <w:jc w:val="center"/>
              <w:ind w:left="332"/>
              <w:spacing w:after="0"/>
              <w:rPr>
                <w:sz w:val="20"/>
                <w:szCs w:val="20"/>
                <w:color w:val="auto"/>
              </w:rPr>
            </w:pPr>
            <w:r>
              <w:rPr>
                <w:rFonts w:ascii="Arial" w:cs="Arial" w:eastAsia="Arial" w:hAnsi="Arial"/>
                <w:sz w:val="18"/>
                <w:szCs w:val="18"/>
                <w:color w:val="auto"/>
                <w:w w:val="91"/>
              </w:rPr>
              <w:t>Director</w:t>
            </w:r>
          </w:p>
        </w:tc>
        <w:tc>
          <w:tcPr>
            <w:tcW w:w="204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February 22, 2013</w:t>
            </w:r>
          </w:p>
        </w:tc>
      </w:tr>
      <w:tr>
        <w:trPr>
          <w:trHeight w:val="217"/>
        </w:trPr>
        <w:tc>
          <w:tcPr>
            <w:tcW w:w="2440" w:type="dxa"/>
            <w:vAlign w:val="bottom"/>
            <w:gridSpan w:val="2"/>
          </w:tcPr>
          <w:p>
            <w:pPr>
              <w:spacing w:after="0"/>
              <w:rPr>
                <w:sz w:val="20"/>
                <w:szCs w:val="20"/>
                <w:color w:val="auto"/>
              </w:rPr>
            </w:pPr>
            <w:r>
              <w:rPr>
                <w:rFonts w:ascii="Arial" w:cs="Arial" w:eastAsia="Arial" w:hAnsi="Arial"/>
                <w:sz w:val="18"/>
                <w:szCs w:val="18"/>
                <w:color w:val="auto"/>
              </w:rPr>
              <w:t>Carrie S. Cox</w:t>
            </w:r>
          </w:p>
        </w:tc>
        <w:tc>
          <w:tcPr>
            <w:tcW w:w="1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Pamela H. Patsley</w:t>
            </w:r>
          </w:p>
        </w:tc>
        <w:tc>
          <w:tcPr>
            <w:tcW w:w="1840" w:type="dxa"/>
            <w:vAlign w:val="bottom"/>
            <w:tcBorders>
              <w:bottom w:val="single" w:sz="8" w:color="auto"/>
            </w:tcBorders>
          </w:tcPr>
          <w:p>
            <w:pPr>
              <w:spacing w:after="0"/>
              <w:rPr>
                <w:sz w:val="24"/>
                <w:szCs w:val="24"/>
                <w:color w:val="auto"/>
              </w:rPr>
            </w:pPr>
          </w:p>
        </w:tc>
        <w:tc>
          <w:tcPr>
            <w:tcW w:w="4880" w:type="dxa"/>
            <w:vAlign w:val="bottom"/>
            <w:gridSpan w:val="3"/>
          </w:tcPr>
          <w:p>
            <w:pPr>
              <w:jc w:val="center"/>
              <w:ind w:left="332"/>
              <w:spacing w:after="0"/>
              <w:rPr>
                <w:sz w:val="20"/>
                <w:szCs w:val="20"/>
                <w:color w:val="auto"/>
              </w:rPr>
            </w:pPr>
            <w:r>
              <w:rPr>
                <w:rFonts w:ascii="Arial" w:cs="Arial" w:eastAsia="Arial" w:hAnsi="Arial"/>
                <w:sz w:val="18"/>
                <w:szCs w:val="18"/>
                <w:color w:val="auto"/>
                <w:w w:val="91"/>
              </w:rPr>
              <w:t>Director</w:t>
            </w:r>
          </w:p>
        </w:tc>
        <w:tc>
          <w:tcPr>
            <w:tcW w:w="204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February 22, 2013</w:t>
            </w:r>
          </w:p>
        </w:tc>
      </w:tr>
      <w:tr>
        <w:trPr>
          <w:trHeight w:val="217"/>
        </w:trPr>
        <w:tc>
          <w:tcPr>
            <w:tcW w:w="2440" w:type="dxa"/>
            <w:vAlign w:val="bottom"/>
            <w:gridSpan w:val="2"/>
          </w:tcPr>
          <w:p>
            <w:pPr>
              <w:spacing w:after="0"/>
              <w:rPr>
                <w:sz w:val="20"/>
                <w:szCs w:val="20"/>
                <w:color w:val="auto"/>
              </w:rPr>
            </w:pPr>
            <w:r>
              <w:rPr>
                <w:rFonts w:ascii="Arial" w:cs="Arial" w:eastAsia="Arial" w:hAnsi="Arial"/>
                <w:sz w:val="18"/>
                <w:szCs w:val="18"/>
                <w:color w:val="auto"/>
              </w:rPr>
              <w:t>Pamela H. Patsley</w:t>
            </w:r>
          </w:p>
        </w:tc>
        <w:tc>
          <w:tcPr>
            <w:tcW w:w="1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70"/>
        </w:trPr>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80" w:type="dxa"/>
            <w:vAlign w:val="bottom"/>
            <w:gridSpan w:val="3"/>
          </w:tcPr>
          <w:p>
            <w:pPr>
              <w:ind w:left="1300"/>
              <w:spacing w:after="0"/>
              <w:rPr>
                <w:sz w:val="20"/>
                <w:szCs w:val="20"/>
                <w:color w:val="auto"/>
              </w:rPr>
            </w:pPr>
            <w:r>
              <w:rPr>
                <w:rFonts w:ascii="Arial" w:cs="Arial" w:eastAsia="Arial" w:hAnsi="Arial"/>
                <w:sz w:val="18"/>
                <w:szCs w:val="18"/>
                <w:color w:val="auto"/>
              </w:rPr>
              <w:t>II-6</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18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500" w:type="dxa"/>
            <w:vAlign w:val="bottom"/>
          </w:tcPr>
          <w:p>
            <w:pPr>
              <w:spacing w:after="0"/>
              <w:rPr>
                <w:sz w:val="14"/>
                <w:szCs w:val="14"/>
                <w:color w:val="auto"/>
              </w:rPr>
            </w:pPr>
          </w:p>
        </w:tc>
      </w:tr>
      <w:tr>
        <w:trPr>
          <w:trHeight w:val="425"/>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E. Sanchez</w:t>
            </w:r>
          </w:p>
        </w:tc>
        <w:tc>
          <w:tcPr>
            <w:tcW w:w="1840" w:type="dxa"/>
            <w:vAlign w:val="bottom"/>
            <w:tcBorders>
              <w:bottom w:val="single" w:sz="8" w:color="auto"/>
            </w:tcBorders>
          </w:tcPr>
          <w:p>
            <w:pPr>
              <w:spacing w:after="0"/>
              <w:rPr>
                <w:sz w:val="24"/>
                <w:szCs w:val="24"/>
                <w:color w:val="auto"/>
              </w:rPr>
            </w:pPr>
          </w:p>
        </w:tc>
        <w:tc>
          <w:tcPr>
            <w:tcW w:w="428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Director</w:t>
            </w:r>
          </w:p>
        </w:tc>
        <w:tc>
          <w:tcPr>
            <w:tcW w:w="2640" w:type="dxa"/>
            <w:vAlign w:val="bottom"/>
            <w:gridSpan w:val="3"/>
          </w:tcPr>
          <w:p>
            <w:pPr>
              <w:jc w:val="center"/>
              <w:ind w:left="1252"/>
              <w:spacing w:after="0"/>
              <w:rPr>
                <w:sz w:val="20"/>
                <w:szCs w:val="20"/>
                <w:color w:val="auto"/>
              </w:rPr>
            </w:pPr>
            <w:r>
              <w:rPr>
                <w:rFonts w:ascii="Arial" w:cs="Arial" w:eastAsia="Arial" w:hAnsi="Arial"/>
                <w:sz w:val="18"/>
                <w:szCs w:val="18"/>
                <w:color w:val="auto"/>
                <w:w w:val="88"/>
              </w:rPr>
              <w:t>February 22, 2013</w:t>
            </w:r>
          </w:p>
        </w:tc>
      </w:tr>
      <w:tr>
        <w:trPr>
          <w:trHeight w:val="217"/>
        </w:trPr>
        <w:tc>
          <w:tcPr>
            <w:tcW w:w="2440" w:type="dxa"/>
            <w:vAlign w:val="bottom"/>
            <w:gridSpan w:val="2"/>
          </w:tcPr>
          <w:p>
            <w:pPr>
              <w:spacing w:after="0"/>
              <w:rPr>
                <w:sz w:val="20"/>
                <w:szCs w:val="20"/>
                <w:color w:val="auto"/>
              </w:rPr>
            </w:pPr>
            <w:r>
              <w:rPr>
                <w:rFonts w:ascii="Arial" w:cs="Arial" w:eastAsia="Arial" w:hAnsi="Arial"/>
                <w:sz w:val="18"/>
                <w:szCs w:val="18"/>
                <w:color w:val="auto"/>
              </w:rPr>
              <w:t>Robert E. Sanchez</w:t>
            </w:r>
          </w:p>
        </w:tc>
        <w:tc>
          <w:tcPr>
            <w:tcW w:w="1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Wayne R. Sanders</w:t>
            </w:r>
          </w:p>
        </w:tc>
        <w:tc>
          <w:tcPr>
            <w:tcW w:w="1840" w:type="dxa"/>
            <w:vAlign w:val="bottom"/>
            <w:tcBorders>
              <w:bottom w:val="single" w:sz="8" w:color="auto"/>
            </w:tcBorders>
          </w:tcPr>
          <w:p>
            <w:pPr>
              <w:spacing w:after="0"/>
              <w:rPr>
                <w:sz w:val="24"/>
                <w:szCs w:val="24"/>
                <w:color w:val="auto"/>
              </w:rPr>
            </w:pPr>
          </w:p>
        </w:tc>
        <w:tc>
          <w:tcPr>
            <w:tcW w:w="428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Director</w:t>
            </w:r>
          </w:p>
        </w:tc>
        <w:tc>
          <w:tcPr>
            <w:tcW w:w="2640" w:type="dxa"/>
            <w:vAlign w:val="bottom"/>
            <w:gridSpan w:val="3"/>
          </w:tcPr>
          <w:p>
            <w:pPr>
              <w:jc w:val="center"/>
              <w:ind w:left="1252"/>
              <w:spacing w:after="0"/>
              <w:rPr>
                <w:sz w:val="20"/>
                <w:szCs w:val="20"/>
                <w:color w:val="auto"/>
              </w:rPr>
            </w:pPr>
            <w:r>
              <w:rPr>
                <w:rFonts w:ascii="Arial" w:cs="Arial" w:eastAsia="Arial" w:hAnsi="Arial"/>
                <w:sz w:val="18"/>
                <w:szCs w:val="18"/>
                <w:color w:val="auto"/>
                <w:w w:val="88"/>
              </w:rPr>
              <w:t>February 22, 2013</w:t>
            </w:r>
          </w:p>
        </w:tc>
      </w:tr>
      <w:tr>
        <w:trPr>
          <w:trHeight w:val="217"/>
        </w:trPr>
        <w:tc>
          <w:tcPr>
            <w:tcW w:w="2440" w:type="dxa"/>
            <w:vAlign w:val="bottom"/>
            <w:gridSpan w:val="2"/>
          </w:tcPr>
          <w:p>
            <w:pPr>
              <w:spacing w:after="0"/>
              <w:rPr>
                <w:sz w:val="20"/>
                <w:szCs w:val="20"/>
                <w:color w:val="auto"/>
              </w:rPr>
            </w:pPr>
            <w:r>
              <w:rPr>
                <w:rFonts w:ascii="Arial" w:cs="Arial" w:eastAsia="Arial" w:hAnsi="Arial"/>
                <w:sz w:val="18"/>
                <w:szCs w:val="18"/>
                <w:color w:val="auto"/>
              </w:rPr>
              <w:t>Wayne R. Sanders</w:t>
            </w:r>
          </w:p>
        </w:tc>
        <w:tc>
          <w:tcPr>
            <w:tcW w:w="1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Ruth J. Simmons</w:t>
            </w:r>
          </w:p>
        </w:tc>
        <w:tc>
          <w:tcPr>
            <w:tcW w:w="1840" w:type="dxa"/>
            <w:vAlign w:val="bottom"/>
            <w:tcBorders>
              <w:bottom w:val="single" w:sz="8" w:color="auto"/>
            </w:tcBorders>
          </w:tcPr>
          <w:p>
            <w:pPr>
              <w:spacing w:after="0"/>
              <w:rPr>
                <w:sz w:val="24"/>
                <w:szCs w:val="24"/>
                <w:color w:val="auto"/>
              </w:rPr>
            </w:pPr>
          </w:p>
        </w:tc>
        <w:tc>
          <w:tcPr>
            <w:tcW w:w="428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Director</w:t>
            </w:r>
          </w:p>
        </w:tc>
        <w:tc>
          <w:tcPr>
            <w:tcW w:w="2640" w:type="dxa"/>
            <w:vAlign w:val="bottom"/>
            <w:gridSpan w:val="3"/>
          </w:tcPr>
          <w:p>
            <w:pPr>
              <w:jc w:val="center"/>
              <w:ind w:left="1252"/>
              <w:spacing w:after="0"/>
              <w:rPr>
                <w:sz w:val="20"/>
                <w:szCs w:val="20"/>
                <w:color w:val="auto"/>
              </w:rPr>
            </w:pPr>
            <w:r>
              <w:rPr>
                <w:rFonts w:ascii="Arial" w:cs="Arial" w:eastAsia="Arial" w:hAnsi="Arial"/>
                <w:sz w:val="18"/>
                <w:szCs w:val="18"/>
                <w:color w:val="auto"/>
                <w:w w:val="88"/>
              </w:rPr>
              <w:t>February 22, 2013</w:t>
            </w:r>
          </w:p>
        </w:tc>
      </w:tr>
      <w:tr>
        <w:trPr>
          <w:trHeight w:val="217"/>
        </w:trPr>
        <w:tc>
          <w:tcPr>
            <w:tcW w:w="2440" w:type="dxa"/>
            <w:vAlign w:val="bottom"/>
            <w:gridSpan w:val="2"/>
          </w:tcPr>
          <w:p>
            <w:pPr>
              <w:spacing w:after="0"/>
              <w:rPr>
                <w:sz w:val="20"/>
                <w:szCs w:val="20"/>
                <w:color w:val="auto"/>
              </w:rPr>
            </w:pPr>
            <w:r>
              <w:rPr>
                <w:rFonts w:ascii="Arial" w:cs="Arial" w:eastAsia="Arial" w:hAnsi="Arial"/>
                <w:sz w:val="18"/>
                <w:szCs w:val="18"/>
                <w:color w:val="auto"/>
              </w:rPr>
              <w:t>Ruth J. Simmons</w:t>
            </w:r>
          </w:p>
        </w:tc>
        <w:tc>
          <w:tcPr>
            <w:tcW w:w="1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Christine Todd Whitman</w:t>
            </w:r>
          </w:p>
        </w:tc>
        <w:tc>
          <w:tcPr>
            <w:tcW w:w="1840" w:type="dxa"/>
            <w:vAlign w:val="bottom"/>
            <w:tcBorders>
              <w:bottom w:val="single" w:sz="8" w:color="auto"/>
            </w:tcBorders>
          </w:tcPr>
          <w:p>
            <w:pPr>
              <w:spacing w:after="0"/>
              <w:rPr>
                <w:sz w:val="24"/>
                <w:szCs w:val="24"/>
                <w:color w:val="auto"/>
              </w:rPr>
            </w:pPr>
          </w:p>
        </w:tc>
        <w:tc>
          <w:tcPr>
            <w:tcW w:w="4280" w:type="dxa"/>
            <w:vAlign w:val="bottom"/>
            <w:gridSpan w:val="3"/>
          </w:tcPr>
          <w:p>
            <w:pPr>
              <w:jc w:val="center"/>
              <w:ind w:left="932"/>
              <w:spacing w:after="0"/>
              <w:rPr>
                <w:sz w:val="20"/>
                <w:szCs w:val="20"/>
                <w:color w:val="auto"/>
              </w:rPr>
            </w:pPr>
            <w:r>
              <w:rPr>
                <w:rFonts w:ascii="Arial" w:cs="Arial" w:eastAsia="Arial" w:hAnsi="Arial"/>
                <w:sz w:val="18"/>
                <w:szCs w:val="18"/>
                <w:color w:val="auto"/>
                <w:w w:val="91"/>
              </w:rPr>
              <w:t>Director</w:t>
            </w:r>
          </w:p>
        </w:tc>
        <w:tc>
          <w:tcPr>
            <w:tcW w:w="2640" w:type="dxa"/>
            <w:vAlign w:val="bottom"/>
            <w:gridSpan w:val="3"/>
          </w:tcPr>
          <w:p>
            <w:pPr>
              <w:jc w:val="center"/>
              <w:ind w:left="1252"/>
              <w:spacing w:after="0"/>
              <w:rPr>
                <w:sz w:val="20"/>
                <w:szCs w:val="20"/>
                <w:color w:val="auto"/>
              </w:rPr>
            </w:pPr>
            <w:r>
              <w:rPr>
                <w:rFonts w:ascii="Arial" w:cs="Arial" w:eastAsia="Arial" w:hAnsi="Arial"/>
                <w:sz w:val="18"/>
                <w:szCs w:val="18"/>
                <w:color w:val="auto"/>
                <w:w w:val="88"/>
              </w:rPr>
              <w:t>February 22, 2013</w:t>
            </w:r>
          </w:p>
        </w:tc>
      </w:tr>
      <w:tr>
        <w:trPr>
          <w:trHeight w:val="217"/>
        </w:trPr>
        <w:tc>
          <w:tcPr>
            <w:tcW w:w="2440" w:type="dxa"/>
            <w:vAlign w:val="bottom"/>
            <w:gridSpan w:val="2"/>
          </w:tcPr>
          <w:p>
            <w:pPr>
              <w:spacing w:after="0"/>
              <w:rPr>
                <w:sz w:val="20"/>
                <w:szCs w:val="20"/>
                <w:color w:val="auto"/>
              </w:rPr>
            </w:pPr>
            <w:r>
              <w:rPr>
                <w:rFonts w:ascii="Arial" w:cs="Arial" w:eastAsia="Arial" w:hAnsi="Arial"/>
                <w:sz w:val="18"/>
                <w:szCs w:val="18"/>
                <w:color w:val="auto"/>
              </w:rPr>
              <w:t>Christine Todd Whitman</w:t>
            </w:r>
          </w:p>
        </w:tc>
        <w:tc>
          <w:tcPr>
            <w:tcW w:w="1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70"/>
        </w:trPr>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80" w:type="dxa"/>
            <w:vAlign w:val="bottom"/>
            <w:gridSpan w:val="3"/>
          </w:tcPr>
          <w:p>
            <w:pPr>
              <w:ind w:left="1300"/>
              <w:spacing w:after="0"/>
              <w:rPr>
                <w:sz w:val="20"/>
                <w:szCs w:val="20"/>
                <w:color w:val="auto"/>
              </w:rPr>
            </w:pPr>
            <w:r>
              <w:rPr>
                <w:rFonts w:ascii="Arial" w:cs="Arial" w:eastAsia="Arial" w:hAnsi="Arial"/>
                <w:sz w:val="18"/>
                <w:szCs w:val="18"/>
                <w:color w:val="auto"/>
              </w:rPr>
              <w:t>II-7</w:t>
            </w: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10640" w:type="dxa"/>
            <w:vAlign w:val="bottom"/>
            <w:gridSpan w:val="3"/>
          </w:tcPr>
          <w:p>
            <w:pPr>
              <w:ind w:left="43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420" w:type="dxa"/>
            <w:vAlign w:val="bottom"/>
          </w:tcPr>
          <w:p>
            <w:pPr>
              <w:spacing w:after="0"/>
              <w:rPr>
                <w:sz w:val="24"/>
                <w:szCs w:val="2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Document</w:t>
            </w:r>
          </w:p>
        </w:tc>
        <w:tc>
          <w:tcPr>
            <w:tcW w:w="4600" w:type="dxa"/>
            <w:vAlign w:val="bottom"/>
          </w:tcPr>
          <w:p>
            <w:pPr>
              <w:spacing w:after="0"/>
              <w:rPr>
                <w:sz w:val="24"/>
                <w:szCs w:val="2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1.1</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Form of Underwriting Agreement</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91"/>
              </w:rPr>
              <w:t>Restated Certificate of Incorporation of the Registrant, dated April 18, 1985 (incorporated by reference to Exhibit 3(a) of the Registrant’s</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92"/>
              </w:rPr>
              <w:t>Certificate of Amendment to Restated Certificate of Incorporation of the Registrant, dated April 16, 1987 (incorporated by reference to</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Exhibit 3(b)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3.3</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92"/>
              </w:rPr>
              <w:t>Certificate of Amendment to Restated Certificate of Incorporation of the Registrant, dated April 21, 1988 (incorporated by reference to</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Exhibit 3(c)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3.4</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92"/>
              </w:rPr>
              <w:t>Certificate of Amendment to Restated Certificate of Incorporation of the Registrant, dated April 18, 1996 (incorporated by reference to</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Exhibit 3(d)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3.5</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90"/>
              </w:rPr>
              <w:t>Certificate of Ownership merging Texas Instruments Automation Controls, Inc. into the Registrant, dated March 28, 1988 (incorporated by</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reference to Exhibit 3(e)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3.6</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90"/>
              </w:rPr>
              <w:t>Certificate of Elimination of Designations of Preferred Stock of the Registrant, dated March 18, 1994 (incorporated by reference to Exhibit</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3(f)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3.7</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88"/>
              </w:rPr>
              <w:t>Certificate of Ownership and Merger merging Tiburon Systems, Inc. into the Registrant, dated November 2, 1995 (incorporated by reference</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to Exhibit 3(g)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3.8</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88"/>
              </w:rPr>
              <w:t>Certificate of Ownership and Merger merging Tartan, Inc. into the Registrant, dated June 21, 1995 (incorporated by reference to Exhibit 3(h)</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3.9</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93"/>
              </w:rPr>
              <w:t>Certificate of Designation relating to the Registrant’s Participating Cumulative Preferred Stock, dated June 23, 1998 (incorporated by</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reference to Exhibit 3(i)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3.10</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89"/>
              </w:rPr>
              <w:t>Certificate of Elimination of Designation of Preferred Stock of the Registrant, dated June 18, 1998 (incorporated by reference to Exhibit 3(j)</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88"/>
              </w:rPr>
              <w:t>Certificate of Ownership and Merger merging Intersect Technologies, Inc. with and into the Registrant, dated July 15, 1999 (incorporated by</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reference to Exhibit 3(k)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88"/>
              </w:rPr>
              <w:t>Certificate of Ownership and Merger merging Soft Warehouse, Inc. with and into the Registrant, dated September 23, 1999 (incorporated by</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reference to Exhibit 3(l)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3.13</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89"/>
              </w:rPr>
              <w:t>Certificate of Ownership and Merger merging Silicon Systems, Inc. with and into the Registrant, dated December 17, 1999 (incorporated by</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reference to Exhibit 3(m) of the Registrant’s Annual Report on Form 10-K for the year ended December 31, 2011).</w:t>
            </w:r>
          </w:p>
        </w:tc>
      </w:tr>
    </w:tbl>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42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Document</w:t>
            </w:r>
          </w:p>
        </w:tc>
        <w:tc>
          <w:tcPr>
            <w:tcW w:w="4540" w:type="dxa"/>
            <w:vAlign w:val="bottom"/>
          </w:tcPr>
          <w:p>
            <w:pPr>
              <w:spacing w:after="0"/>
              <w:rPr>
                <w:sz w:val="14"/>
                <w:szCs w:val="14"/>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3.14</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1"/>
              </w:rPr>
              <w:t>Certificate of Amendment to Restated Certificate of Incorporation, dated April 20, 2000 (incorporated by reference to Exhibit 3(n) of the</w:t>
            </w:r>
          </w:p>
        </w:tc>
      </w:tr>
      <w:tr>
        <w:trPr>
          <w:trHeight w:val="222"/>
        </w:trPr>
        <w:tc>
          <w:tcPr>
            <w:tcW w:w="720" w:type="dxa"/>
            <w:vAlign w:val="bottom"/>
          </w:tcPr>
          <w:p>
            <w:pPr>
              <w:spacing w:after="0"/>
              <w:rPr>
                <w:sz w:val="19"/>
                <w:szCs w:val="19"/>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3.15</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4"/>
              </w:rPr>
              <w:t>Certificate of Ownership and Merger merging Power Trends, Inc. with and into the Registrant, dated May 31, 2001 (incorporated by</w:t>
            </w:r>
          </w:p>
        </w:tc>
      </w:tr>
      <w:tr>
        <w:trPr>
          <w:trHeight w:val="222"/>
        </w:trPr>
        <w:tc>
          <w:tcPr>
            <w:tcW w:w="720" w:type="dxa"/>
            <w:vAlign w:val="bottom"/>
          </w:tcPr>
          <w:p>
            <w:pPr>
              <w:spacing w:after="0"/>
              <w:rPr>
                <w:sz w:val="19"/>
                <w:szCs w:val="19"/>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reference to Exhibit 3(o)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3.16</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89"/>
              </w:rPr>
              <w:t>Certificate of Ownership and Merger merging Amati Communications Corporation with and into the Registrant, dated September 28, 2001</w:t>
            </w:r>
          </w:p>
        </w:tc>
      </w:tr>
      <w:tr>
        <w:trPr>
          <w:trHeight w:val="222"/>
        </w:trPr>
        <w:tc>
          <w:tcPr>
            <w:tcW w:w="720" w:type="dxa"/>
            <w:vAlign w:val="bottom"/>
          </w:tcPr>
          <w:p>
            <w:pPr>
              <w:spacing w:after="0"/>
              <w:rPr>
                <w:sz w:val="19"/>
                <w:szCs w:val="19"/>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4"/>
              </w:rPr>
              <w:t>(incorporated by reference to Exhibit 3(p)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3.17</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1"/>
              </w:rPr>
              <w:t>Certificate of Ownership and Merger merging Texas Instruments San Diego Incorporated with and into the Registrant, dated August 27,</w:t>
            </w:r>
          </w:p>
        </w:tc>
      </w:tr>
      <w:tr>
        <w:trPr>
          <w:trHeight w:val="222"/>
        </w:trPr>
        <w:tc>
          <w:tcPr>
            <w:tcW w:w="720" w:type="dxa"/>
            <w:vAlign w:val="bottom"/>
          </w:tcPr>
          <w:p>
            <w:pPr>
              <w:spacing w:after="0"/>
              <w:rPr>
                <w:sz w:val="19"/>
                <w:szCs w:val="19"/>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0"/>
              </w:rPr>
              <w:t>2002 (incorporated by reference to Exhibit 3(q)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3.18</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89"/>
              </w:rPr>
              <w:t>Certificate of Ownership and Merger merging Texas Instruments Burlington Incorporated with and into the Registrant, dated December 31,</w:t>
            </w:r>
          </w:p>
        </w:tc>
      </w:tr>
      <w:tr>
        <w:trPr>
          <w:trHeight w:val="222"/>
        </w:trPr>
        <w:tc>
          <w:tcPr>
            <w:tcW w:w="720" w:type="dxa"/>
            <w:vAlign w:val="bottom"/>
          </w:tcPr>
          <w:p>
            <w:pPr>
              <w:spacing w:after="0"/>
              <w:rPr>
                <w:sz w:val="19"/>
                <w:szCs w:val="19"/>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0"/>
              </w:rPr>
              <w:t>2003 (incorporated by reference to Exhibit 3(r) of the Registrant’s Annual Report on Form 10-K for the year 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3.19</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4"/>
              </w:rPr>
              <w:t>Certificate of Ownership and Merger merging Texas Instruments Automotive Sensors and Controls San Jose Inc. with and into the</w:t>
            </w:r>
          </w:p>
        </w:tc>
      </w:tr>
      <w:tr>
        <w:trPr>
          <w:trHeight w:val="216"/>
        </w:trPr>
        <w:tc>
          <w:tcPr>
            <w:tcW w:w="720" w:type="dxa"/>
            <w:vAlign w:val="bottom"/>
          </w:tcPr>
          <w:p>
            <w:pPr>
              <w:spacing w:after="0"/>
              <w:rPr>
                <w:sz w:val="18"/>
                <w:szCs w:val="18"/>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89"/>
              </w:rPr>
              <w:t>Registrant, dated October 31, 2004 (incorporated by reference to Exhibit 3(s) of the Registrant’s Annual Report on Form 10-K for the year</w:t>
            </w:r>
          </w:p>
        </w:tc>
      </w:tr>
      <w:tr>
        <w:trPr>
          <w:trHeight w:val="222"/>
        </w:trPr>
        <w:tc>
          <w:tcPr>
            <w:tcW w:w="720" w:type="dxa"/>
            <w:vAlign w:val="bottom"/>
          </w:tcPr>
          <w:p>
            <w:pPr>
              <w:spacing w:after="0"/>
              <w:rPr>
                <w:sz w:val="19"/>
                <w:szCs w:val="19"/>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ended December 31,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3.20</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89"/>
              </w:rPr>
              <w:t>Certification of Elimination of Series B Participating Cumulative Preferred Stock (incorporated by reference to Exhibit 3 to the Registrant’s</w:t>
            </w:r>
          </w:p>
        </w:tc>
      </w:tr>
      <w:tr>
        <w:trPr>
          <w:trHeight w:val="222"/>
        </w:trPr>
        <w:tc>
          <w:tcPr>
            <w:tcW w:w="720" w:type="dxa"/>
            <w:vAlign w:val="bottom"/>
          </w:tcPr>
          <w:p>
            <w:pPr>
              <w:spacing w:after="0"/>
              <w:rPr>
                <w:sz w:val="19"/>
                <w:szCs w:val="19"/>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Current Report on Form 8-K filed June 23, 2008).</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2"/>
              </w:rPr>
              <w:t>By-Laws of the Registrant (incorporated by reference to Exhibit 3 to the Registrant’s Current Report on Form 8-K dated July 18, 2008)</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Specimen Preferred Stock Certificate*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0"/>
              </w:rPr>
              <w:t>Indenture dated as of May 23, 2011 between Texas Instruments Incorporated, a Delaware corporation, as Issuer and U.S. Bank National</w:t>
            </w:r>
          </w:p>
        </w:tc>
      </w:tr>
      <w:tr>
        <w:trPr>
          <w:trHeight w:val="216"/>
        </w:trPr>
        <w:tc>
          <w:tcPr>
            <w:tcW w:w="720" w:type="dxa"/>
            <w:vAlign w:val="bottom"/>
          </w:tcPr>
          <w:p>
            <w:pPr>
              <w:spacing w:after="0"/>
              <w:rPr>
                <w:sz w:val="18"/>
                <w:szCs w:val="18"/>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89"/>
              </w:rPr>
              <w:t>Association, a National Association, as Trustee (incorporated by reference to the Registrant’s Current Report on Form 8-K dated May 23,</w:t>
            </w:r>
          </w:p>
        </w:tc>
      </w:tr>
      <w:tr>
        <w:trPr>
          <w:trHeight w:val="222"/>
        </w:trPr>
        <w:tc>
          <w:tcPr>
            <w:tcW w:w="720" w:type="dxa"/>
            <w:vAlign w:val="bottom"/>
          </w:tcPr>
          <w:p>
            <w:pPr>
              <w:spacing w:after="0"/>
              <w:rPr>
                <w:sz w:val="19"/>
                <w:szCs w:val="19"/>
                <w:color w:val="auto"/>
              </w:rPr>
            </w:pPr>
          </w:p>
        </w:tc>
        <w:tc>
          <w:tcPr>
            <w:tcW w:w="5420" w:type="dxa"/>
            <w:vAlign w:val="bottom"/>
          </w:tcPr>
          <w:p>
            <w:pPr>
              <w:ind w:left="760"/>
              <w:spacing w:after="0"/>
              <w:rPr>
                <w:sz w:val="20"/>
                <w:szCs w:val="20"/>
                <w:color w:val="auto"/>
              </w:rPr>
            </w:pPr>
            <w:r>
              <w:rPr>
                <w:rFonts w:ascii="Arial" w:cs="Arial" w:eastAsia="Arial" w:hAnsi="Arial"/>
                <w:sz w:val="18"/>
                <w:szCs w:val="18"/>
                <w:color w:val="auto"/>
              </w:rPr>
              <w:t>2011)</w:t>
            </w:r>
          </w:p>
        </w:tc>
        <w:tc>
          <w:tcPr>
            <w:tcW w:w="62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Form of Note (included in Exhibit 4.3)</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4.5</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Form of Warrant Agreement*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4.6</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Form of Unit Agreement*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Opinion of Davis Polk &amp; Wardwell LLP</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w w:val="93"/>
              </w:rPr>
              <w:t>Statement regarding computation of Consolidated Ratio of Earnings to Fixed Charges (incorporated by reference to Exhibit 12 of the</w:t>
            </w:r>
          </w:p>
        </w:tc>
      </w:tr>
      <w:tr>
        <w:trPr>
          <w:trHeight w:val="222"/>
        </w:trPr>
        <w:tc>
          <w:tcPr>
            <w:tcW w:w="720" w:type="dxa"/>
            <w:vAlign w:val="bottom"/>
          </w:tcPr>
          <w:p>
            <w:pPr>
              <w:spacing w:after="0"/>
              <w:rPr>
                <w:sz w:val="19"/>
                <w:szCs w:val="19"/>
                <w:color w:val="auto"/>
              </w:rPr>
            </w:pP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Registrant’s Annual Report on Form 10-K for the year ended December 31, 2012)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Consent of Davis Polk &amp; Wardwell LLP (included in Exhibit 5.1)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Power of Attorney (included on the signature page of the Registration Statement)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25.1</w:t>
            </w:r>
          </w:p>
        </w:tc>
        <w:tc>
          <w:tcPr>
            <w:tcW w:w="10580" w:type="dxa"/>
            <w:vAlign w:val="bottom"/>
            <w:gridSpan w:val="3"/>
          </w:tcPr>
          <w:p>
            <w:pPr>
              <w:ind w:left="760"/>
              <w:spacing w:after="0"/>
              <w:rPr>
                <w:sz w:val="20"/>
                <w:szCs w:val="20"/>
                <w:color w:val="auto"/>
              </w:rPr>
            </w:pPr>
            <w:r>
              <w:rPr>
                <w:rFonts w:ascii="Arial" w:cs="Arial" w:eastAsia="Arial" w:hAnsi="Arial"/>
                <w:sz w:val="18"/>
                <w:szCs w:val="18"/>
                <w:color w:val="auto"/>
              </w:rPr>
              <w:t>Statement of Eligibility on Form T-1 of U.S. Bank National Association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300"/>
          </w:cols>
          <w:pgMar w:left="240" w:top="459" w:right="3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177"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6415405</wp:posOffset>
            </wp:positionH>
            <wp:positionV relativeFrom="paragraph">
              <wp:posOffset>-13970</wp:posOffset>
            </wp:positionV>
            <wp:extent cx="8362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75266-0199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(the “</w:t>
      </w:r>
      <w:r>
        <w:rPr>
          <w:rFonts w:ascii="Arial" w:cs="Arial" w:eastAsia="Arial" w:hAnsi="Arial"/>
          <w:sz w:val="16"/>
          <w:szCs w:val="16"/>
          <w:b w:val="1"/>
          <w:bCs w:val="1"/>
          <w:color w:val="auto"/>
        </w:rPr>
        <w:t>Underwriters</w:t>
      </w:r>
      <w:r>
        <w:rPr>
          <w:rFonts w:ascii="Arial" w:cs="Arial" w:eastAsia="Arial" w:hAnsi="Arial"/>
          <w:sz w:val="16"/>
          <w:szCs w:val="16"/>
          <w:color w:val="auto"/>
        </w:rPr>
        <w:t>”) understand that 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indicate number/principal amount of each type of security to be sold</w:t>
      </w:r>
      <w:r>
        <w:rPr>
          <w:rFonts w:ascii="Arial" w:cs="Arial" w:eastAsia="Arial" w:hAnsi="Arial"/>
          <w:sz w:val="16"/>
          <w:szCs w:val="16"/>
          <w:color w:val="auto"/>
        </w:rPr>
        <w:t>] (the “</w:t>
      </w:r>
      <w:r>
        <w:rPr>
          <w:rFonts w:ascii="Arial" w:cs="Arial" w:eastAsia="Arial" w:hAnsi="Arial"/>
          <w:sz w:val="16"/>
          <w:szCs w:val="16"/>
          <w:b w:val="1"/>
          <w:bCs w:val="1"/>
          <w:color w:val="auto"/>
        </w:rPr>
        <w:t>Offered Securities</w:t>
      </w:r>
      <w:r>
        <w:rPr>
          <w:rFonts w:ascii="Arial" w:cs="Arial" w:eastAsia="Arial" w:hAnsi="Arial"/>
          <w:sz w:val="16"/>
          <w:szCs w:val="16"/>
          <w:color w:val="auto"/>
        </w:rPr>
        <w:t>”) identified in Schedule I hereto, as more fully described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 of Sale Prospectus.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Include the following paragraphs if issuing Debt Securities, Warrants or Units, as applicable:</w:t>
      </w:r>
    </w:p>
    <w:p>
      <w:pPr>
        <w:spacing w:after="0" w:line="90"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[The Offered Securities will be issued pursuant to [an/the] Indenture [to be] dated as of [•] between the Company and U.S. Bank National Association, as trustee.]</w:t>
      </w:r>
    </w:p>
    <w:p>
      <w:pPr>
        <w:spacing w:after="0" w:line="45" w:lineRule="exact"/>
        <w:rPr>
          <w:sz w:val="20"/>
          <w:szCs w:val="20"/>
          <w:color w:val="auto"/>
        </w:rPr>
      </w:pPr>
    </w:p>
    <w:p>
      <w:pPr>
        <w:ind w:left="460" w:right="200"/>
        <w:spacing w:after="0" w:line="275" w:lineRule="auto"/>
        <w:rPr>
          <w:sz w:val="20"/>
          <w:szCs w:val="20"/>
          <w:color w:val="auto"/>
        </w:rPr>
      </w:pPr>
      <w:r>
        <w:rPr>
          <w:rFonts w:ascii="Arial" w:cs="Arial" w:eastAsia="Arial" w:hAnsi="Arial"/>
          <w:sz w:val="18"/>
          <w:szCs w:val="18"/>
          <w:color w:val="auto"/>
        </w:rPr>
        <w:t>[The Offered Securities will be issued pursuant to [an/the] Warrant Agreement (the “</w:t>
      </w:r>
      <w:r>
        <w:rPr>
          <w:rFonts w:ascii="Arial" w:cs="Arial" w:eastAsia="Arial" w:hAnsi="Arial"/>
          <w:sz w:val="18"/>
          <w:szCs w:val="18"/>
          <w:b w:val="1"/>
          <w:bCs w:val="1"/>
          <w:color w:val="auto"/>
        </w:rPr>
        <w:t>Warrant Agreement</w:t>
      </w:r>
      <w:r>
        <w:rPr>
          <w:rFonts w:ascii="Arial" w:cs="Arial" w:eastAsia="Arial" w:hAnsi="Arial"/>
          <w:sz w:val="18"/>
          <w:szCs w:val="18"/>
          <w:color w:val="auto"/>
        </w:rPr>
        <w:t>”) [to be] dated as of [•] between the Company and [•], as Warrant Agent.]</w:t>
      </w:r>
    </w:p>
    <w:p>
      <w:pPr>
        <w:spacing w:after="0" w:line="39" w:lineRule="exact"/>
        <w:rPr>
          <w:sz w:val="20"/>
          <w:szCs w:val="20"/>
          <w:color w:val="auto"/>
        </w:rPr>
      </w:pPr>
    </w:p>
    <w:p>
      <w:pPr>
        <w:jc w:val="both"/>
        <w:ind w:left="460" w:right="40"/>
        <w:spacing w:after="0" w:line="301" w:lineRule="auto"/>
        <w:rPr>
          <w:sz w:val="20"/>
          <w:szCs w:val="20"/>
          <w:color w:val="auto"/>
        </w:rPr>
      </w:pPr>
      <w:r>
        <w:rPr>
          <w:rFonts w:ascii="Arial" w:cs="Arial" w:eastAsia="Arial" w:hAnsi="Arial"/>
          <w:sz w:val="16"/>
          <w:szCs w:val="16"/>
          <w:color w:val="auto"/>
        </w:rPr>
        <w:t>[The Offered Securities will be issued pursuant to [an/the] Unit Agreement (the “</w:t>
      </w:r>
      <w:r>
        <w:rPr>
          <w:rFonts w:ascii="Arial" w:cs="Arial" w:eastAsia="Arial" w:hAnsi="Arial"/>
          <w:sz w:val="16"/>
          <w:szCs w:val="16"/>
          <w:b w:val="1"/>
          <w:bCs w:val="1"/>
          <w:color w:val="auto"/>
        </w:rPr>
        <w:t>Unit Agreement</w:t>
      </w:r>
      <w:r>
        <w:rPr>
          <w:rFonts w:ascii="Arial" w:cs="Arial" w:eastAsia="Arial" w:hAnsi="Arial"/>
          <w:sz w:val="16"/>
          <w:szCs w:val="16"/>
          <w:color w:val="auto"/>
        </w:rPr>
        <w:t>”) [to be] dated as of [•] among the Company, [•], as Unit Agent, and the holders from time to time of the Units. [The Debt Securities included in the Offered Securities will be issued pursuant to an Indenture dated as of [•] between the Company and U.S. Bank National Association, as trustee.] [The Warrants included in the Offered Securities will be issued pursuant to a Warrant Agreement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 dated as of [•] between the Company and [•], as Warrant Agent.]]</w:t>
      </w:r>
    </w:p>
    <w:p>
      <w:pPr>
        <w:spacing w:after="0" w:line="109"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Subject to the terms and conditions set forth herein or incorporated by reference herein, the Company agrees to sell and the Underwriters agree to purchase, severally and not jointly, at the [respective] purchase price[s] set forth in Schedule I hereto, the [number/principal amount] of the Offered Securities set forth opposite their respective names in Schedule II hereto. For purposes of this Agreement, “</w:t>
      </w:r>
      <w:r>
        <w:rPr>
          <w:rFonts w:ascii="Arial" w:cs="Arial" w:eastAsia="Arial" w:hAnsi="Arial"/>
          <w:sz w:val="15"/>
          <w:szCs w:val="15"/>
          <w:b w:val="1"/>
          <w:bCs w:val="1"/>
          <w:color w:val="auto"/>
        </w:rPr>
        <w:t>Applicable Time</w:t>
      </w:r>
      <w:r>
        <w:rPr>
          <w:rFonts w:ascii="Arial" w:cs="Arial" w:eastAsia="Arial" w:hAnsi="Arial"/>
          <w:sz w:val="15"/>
          <w:szCs w:val="15"/>
          <w:color w:val="auto"/>
        </w:rPr>
        <w:t>” means [•] [p.m.] (New York time) on the date hereof.</w:t>
      </w:r>
    </w:p>
    <w:p>
      <w:pPr>
        <w:spacing w:after="0" w:line="88"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Payment of the purchase price for the Offered Securities shall be made to the Company by Federal funds wire transfer against delivery of the Offered Securities in book-entry form to the Manager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 at 10:00 A.M. (New York time) on [•] or at such other time, not later than [•] as shall be designated by the Manager.</w:t>
      </w:r>
    </w:p>
    <w:p>
      <w:pPr>
        <w:sectPr>
          <w:pgSz w:w="11900" w:h="16838" w:orient="portrait"/>
          <w:cols w:equalWidth="0" w:num="1">
            <w:col w:w="11420"/>
          </w:cols>
          <w:pgMar w:left="240" w:top="125" w:right="239" w:bottom="1440" w:gutter="0" w:footer="0" w:header="0"/>
        </w:sectPr>
      </w:pPr>
    </w:p>
    <w:bookmarkStart w:id="34" w:name="page35"/>
    <w:bookmarkEnd w:id="34"/>
    <w:p>
      <w:pPr>
        <w:ind w:firstLine="456"/>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the provisions contained in the document entitled Texas Instruments Incorporated Underwriting Agreement Standard Provisions dated [•], 2013 (the “</w:t>
      </w:r>
      <w:r>
        <w:rPr>
          <w:rFonts w:ascii="Arial" w:cs="Arial" w:eastAsia="Arial" w:hAnsi="Arial"/>
          <w:sz w:val="16"/>
          <w:szCs w:val="16"/>
          <w:b w:val="1"/>
          <w:bCs w:val="1"/>
          <w:color w:val="auto"/>
        </w:rPr>
        <w:t>Standard Provisions</w:t>
      </w:r>
      <w:r>
        <w:rPr>
          <w:rFonts w:ascii="Arial" w:cs="Arial" w:eastAsia="Arial" w:hAnsi="Arial"/>
          <w:sz w:val="16"/>
          <w:szCs w:val="16"/>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 connection with the transactions contemplated hereby shall not be deemed to be a part of this Agreement and (iv) the term “</w:t>
      </w:r>
      <w:r>
        <w:rPr>
          <w:rFonts w:ascii="Arial" w:cs="Arial" w:eastAsia="Arial" w:hAnsi="Arial"/>
          <w:sz w:val="16"/>
          <w:szCs w:val="16"/>
          <w:b w:val="1"/>
          <w:bCs w:val="1"/>
          <w:color w:val="auto"/>
        </w:rPr>
        <w:t>Manager</w:t>
      </w:r>
      <w:r>
        <w:rPr>
          <w:rFonts w:ascii="Arial" w:cs="Arial" w:eastAsia="Arial" w:hAnsi="Arial"/>
          <w:sz w:val="16"/>
          <w:szCs w:val="16"/>
          <w:color w:val="auto"/>
        </w:rPr>
        <w:t>,” as used therein, shall, for</w:t>
      </w:r>
    </w:p>
    <w:p>
      <w:pPr>
        <w:spacing w:after="0"/>
        <w:tabs>
          <w:tab w:leader="none" w:pos="2960" w:val="left"/>
          <w:tab w:leader="none" w:pos="3840" w:val="left"/>
          <w:tab w:leader="none" w:pos="9120" w:val="left"/>
        </w:tabs>
        <w:rPr>
          <w:sz w:val="20"/>
          <w:szCs w:val="20"/>
          <w:color w:val="auto"/>
        </w:rPr>
      </w:pPr>
      <w:r>
        <w:rPr>
          <w:rFonts w:ascii="Arial" w:cs="Arial" w:eastAsia="Arial" w:hAnsi="Arial"/>
          <w:sz w:val="18"/>
          <w:szCs w:val="18"/>
          <w:color w:val="auto"/>
        </w:rPr>
        <w:t>purposes of this Agreement, mean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whose authority hereunder may be exercised by them jointly or by</w:t>
      </w:r>
      <w:r>
        <w:rPr>
          <w:sz w:val="20"/>
          <w:szCs w:val="20"/>
          <w:color w:val="auto"/>
        </w:rPr>
        <w:tab/>
      </w:r>
      <w:r>
        <w:rPr>
          <w:rFonts w:ascii="Arial" w:cs="Arial" w:eastAsia="Arial" w:hAnsi="Arial"/>
          <w:sz w:val="15"/>
          <w:szCs w:val="15"/>
          <w:color w:val="auto"/>
        </w:rPr>
        <w:t>alone].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5" w:name="page36"/>
    <w:bookmarkEnd w:id="35"/>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On behalf of themselves and the other Underwriters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named herein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written 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36" w:name="page37"/>
    <w:bookmarkEnd w:id="36"/>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TO UNDERWRITING AGREEMENT</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Number of Additional Securities: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37" w:name="page38"/>
    <w:bookmarkEnd w:id="37"/>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TO UNDERWRITING AGREEMENT</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Number of Additional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Conversion Provisions: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Provisions: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Terms: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274" w:right="1440" w:bottom="1440" w:gutter="0" w:footer="0" w:header="0"/>
        </w:sectPr>
      </w:pPr>
    </w:p>
    <w:bookmarkStart w:id="38" w:name="page39"/>
    <w:bookmarkEnd w:id="38"/>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TO UNDERWRITING AGREEMENT</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(DEBT SECURITIES)</w:t>
      </w:r>
    </w:p>
    <w:p>
      <w:pPr>
        <w:sectPr>
          <w:pgSz w:w="11900" w:h="16838" w:orient="portrait"/>
          <w:cols w:equalWidth="0" w:num="1">
            <w:col w:w="10219"/>
          </w:cols>
          <w:pgMar w:left="240" w:top="274" w:right="1440"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Subject to Overallotment Option: $</w:t>
      </w:r>
    </w:p>
    <w:p>
      <w:pPr>
        <w:spacing w:after="0" w:line="17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Purchase Price: $[</w:t>
      </w:r>
      <w:r>
        <w:rPr>
          <w:sz w:val="20"/>
          <w:szCs w:val="20"/>
          <w:color w:val="auto"/>
        </w:rPr>
        <w:tab/>
      </w:r>
      <w:r>
        <w:rPr>
          <w:rFonts w:ascii="Arial" w:cs="Arial" w:eastAsia="Arial" w:hAnsi="Arial"/>
          <w:sz w:val="16"/>
          <w:szCs w:val="16"/>
          <w:color w:val="auto"/>
        </w:rPr>
        <w:t>] per [$1,000] principal amount (plus accrued interest from [</w:t>
      </w:r>
    </w:p>
    <w:p>
      <w:pPr>
        <w:spacing w:after="0" w:line="171"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Price to the Public: $[</w:t>
      </w:r>
      <w:r>
        <w:rPr>
          <w:sz w:val="20"/>
          <w:szCs w:val="20"/>
          <w:color w:val="auto"/>
        </w:rPr>
        <w:tab/>
      </w:r>
      <w:r>
        <w:rPr>
          <w:rFonts w:ascii="Arial" w:cs="Arial" w:eastAsia="Arial" w:hAnsi="Arial"/>
          <w:sz w:val="16"/>
          <w:szCs w:val="16"/>
          <w:color w:val="auto"/>
        </w:rPr>
        <w:t>] per [$1,000] principal amount (plus accrued interest from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Provisions:</w:t>
      </w:r>
    </w:p>
    <w:p>
      <w:pPr>
        <w:spacing w:after="0" w:line="171" w:lineRule="exact"/>
        <w:rPr>
          <w:sz w:val="20"/>
          <w:szCs w:val="20"/>
          <w:color w:val="auto"/>
        </w:rPr>
      </w:pPr>
    </w:p>
    <w:p>
      <w:pPr>
        <w:spacing w:after="0"/>
        <w:tabs>
          <w:tab w:leader="none" w:pos="2120" w:val="left"/>
          <w:tab w:leader="none" w:pos="2920" w:val="left"/>
          <w:tab w:leader="none" w:pos="4440" w:val="left"/>
        </w:tabs>
        <w:rPr>
          <w:sz w:val="20"/>
          <w:szCs w:val="20"/>
          <w:color w:val="auto"/>
        </w:rPr>
      </w:pPr>
      <w:r>
        <w:rPr>
          <w:rFonts w:ascii="Arial" w:cs="Arial" w:eastAsia="Arial" w:hAnsi="Arial"/>
          <w:sz w:val="18"/>
          <w:szCs w:val="18"/>
          <w:color w:val="auto"/>
        </w:rPr>
        <w:t>Interest Payment Dates: [</w:t>
      </w:r>
      <w:r>
        <w:rPr>
          <w:sz w:val="20"/>
          <w:szCs w:val="20"/>
          <w:color w:val="auto"/>
        </w:rPr>
        <w:tab/>
      </w:r>
      <w:r>
        <w:rPr>
          <w:rFonts w:ascii="Arial" w:cs="Arial" w:eastAsia="Arial" w:hAnsi="Arial"/>
          <w:sz w:val="18"/>
          <w:szCs w:val="18"/>
          <w:color w:val="auto"/>
        </w:rPr>
        <w:t>] and [</w:t>
      </w:r>
      <w:r>
        <w:rPr>
          <w:sz w:val="20"/>
          <w:szCs w:val="20"/>
          <w:color w:val="auto"/>
        </w:rPr>
        <w:tab/>
      </w:r>
      <w:r>
        <w:rPr>
          <w:rFonts w:ascii="Arial" w:cs="Arial" w:eastAsia="Arial" w:hAnsi="Arial"/>
          <w:sz w:val="18"/>
          <w:szCs w:val="18"/>
          <w:color w:val="auto"/>
        </w:rPr>
        <w:t>], commencing [</w:t>
      </w:r>
      <w:r>
        <w:rPr>
          <w:sz w:val="20"/>
          <w:szCs w:val="20"/>
          <w:color w:val="auto"/>
        </w:rPr>
        <w:tab/>
      </w:r>
      <w:r>
        <w:rPr>
          <w:rFonts w:ascii="Arial" w:cs="Arial" w:eastAsia="Arial" w:hAnsi="Arial"/>
          <w:sz w:val="16"/>
          <w:szCs w:val="16"/>
          <w:color w:val="auto"/>
        </w:rPr>
        <w:t>] (Interest accrues from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Form and Denomination: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Ranking: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Conversion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p>
    <w:p>
      <w:pPr>
        <w:spacing w:after="0" w:line="1328" w:lineRule="exact"/>
        <w:rPr>
          <w:sz w:val="20"/>
          <w:szCs w:val="20"/>
          <w:color w:val="auto"/>
        </w:rPr>
      </w:pPr>
    </w:p>
    <w:p>
      <w:pPr>
        <w:sectPr>
          <w:pgSz w:w="11900" w:h="16838" w:orient="portrait"/>
          <w:cols w:equalWidth="0" w:num="3">
            <w:col w:w="6200" w:space="20"/>
            <w:col w:w="120" w:space="140"/>
            <w:col w:w="373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Other Terms: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219"/>
          </w:cols>
          <w:pgMar w:left="240" w:top="274" w:right="1440" w:bottom="1440" w:gutter="0" w:footer="0" w:header="0"/>
          <w:type w:val="continuous"/>
        </w:sectPr>
      </w:pPr>
    </w:p>
    <w:bookmarkStart w:id="39" w:name="page40"/>
    <w:bookmarkEnd w:id="39"/>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TO UNDERWRITING AGREEMENT</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(WARRANTS)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Designation of the Series of Warrants: [Call] [Put]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Warrant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Aggregate Number of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Warrant: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per Warrant: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Warrant Exercise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Dates upon which Warrants may be exercised: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Currency in which exercise payments shall be made: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Minimum number of Warrants exercisable by any holder on any day: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Maximum number of Warrants exercisable on any day: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Formula for determining Cash Settlement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Rate (or method of calculation):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on which Warrants are to be listed: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74"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Pr>
          <w:p>
            <w:pPr>
              <w:jc w:val="center"/>
              <w:ind w:left="1172"/>
              <w:spacing w:after="0"/>
              <w:rPr>
                <w:sz w:val="20"/>
                <w:szCs w:val="20"/>
                <w:color w:val="auto"/>
              </w:rPr>
            </w:pPr>
            <w:r>
              <w:rPr>
                <w:rFonts w:ascii="Arial" w:cs="Arial" w:eastAsia="Arial" w:hAnsi="Arial"/>
                <w:sz w:val="18"/>
                <w:szCs w:val="18"/>
                <w:b w:val="1"/>
                <w:bCs w:val="1"/>
                <w:color w:val="auto"/>
                <w:w w:val="99"/>
              </w:rPr>
              <w:t>SCHEDULE I</w:t>
            </w: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Pr>
          <w:p>
            <w:pPr>
              <w:jc w:val="center"/>
              <w:ind w:left="1172"/>
              <w:spacing w:after="0"/>
              <w:rPr>
                <w:sz w:val="20"/>
                <w:szCs w:val="20"/>
                <w:color w:val="auto"/>
              </w:rPr>
            </w:pPr>
            <w:r>
              <w:rPr>
                <w:rFonts w:ascii="Arial" w:cs="Arial" w:eastAsia="Arial" w:hAnsi="Arial"/>
                <w:sz w:val="18"/>
                <w:szCs w:val="18"/>
                <w:b w:val="1"/>
                <w:bCs w:val="1"/>
                <w:color w:val="auto"/>
                <w:w w:val="99"/>
              </w:rPr>
              <w:t>TO UNDERWRITING AGREEMENT</w:t>
            </w:r>
          </w:p>
        </w:tc>
      </w:tr>
      <w:tr>
        <w:trPr>
          <w:trHeight w:val="228"/>
        </w:trPr>
        <w:tc>
          <w:tcPr>
            <w:tcW w:w="2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180" w:type="dxa"/>
            <w:vAlign w:val="bottom"/>
          </w:tcPr>
          <w:p>
            <w:pPr>
              <w:jc w:val="center"/>
              <w:ind w:left="1152"/>
              <w:spacing w:after="0"/>
              <w:rPr>
                <w:sz w:val="20"/>
                <w:szCs w:val="20"/>
                <w:color w:val="auto"/>
              </w:rPr>
            </w:pPr>
            <w:r>
              <w:rPr>
                <w:rFonts w:ascii="Arial" w:cs="Arial" w:eastAsia="Arial" w:hAnsi="Arial"/>
                <w:sz w:val="18"/>
                <w:szCs w:val="18"/>
                <w:b w:val="1"/>
                <w:bCs w:val="1"/>
                <w:color w:val="auto"/>
                <w:w w:val="99"/>
              </w:rPr>
              <w:t>(UNITS)</w:t>
            </w:r>
          </w:p>
        </w:tc>
      </w:tr>
      <w:tr>
        <w:trPr>
          <w:trHeight w:val="378"/>
        </w:trPr>
        <w:tc>
          <w:tcPr>
            <w:tcW w:w="2860" w:type="dxa"/>
            <w:vAlign w:val="bottom"/>
          </w:tcPr>
          <w:p>
            <w:pPr>
              <w:spacing w:after="0"/>
              <w:rPr>
                <w:sz w:val="20"/>
                <w:szCs w:val="20"/>
                <w:color w:val="auto"/>
              </w:rPr>
            </w:pPr>
            <w:r>
              <w:rPr>
                <w:rFonts w:ascii="Arial" w:cs="Arial" w:eastAsia="Arial" w:hAnsi="Arial"/>
                <w:sz w:val="18"/>
                <w:szCs w:val="18"/>
                <w:color w:val="auto"/>
              </w:rPr>
              <w:t>Purchase Price per Unit:</w:t>
            </w:r>
          </w:p>
        </w:tc>
        <w:tc>
          <w:tcPr>
            <w:tcW w:w="1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78"/>
        </w:trPr>
        <w:tc>
          <w:tcPr>
            <w:tcW w:w="2860" w:type="dxa"/>
            <w:vAlign w:val="bottom"/>
          </w:tcPr>
          <w:p>
            <w:pPr>
              <w:spacing w:after="0"/>
              <w:rPr>
                <w:sz w:val="20"/>
                <w:szCs w:val="20"/>
                <w:color w:val="auto"/>
              </w:rPr>
            </w:pPr>
            <w:r>
              <w:rPr>
                <w:rFonts w:ascii="Arial" w:cs="Arial" w:eastAsia="Arial" w:hAnsi="Arial"/>
                <w:sz w:val="18"/>
                <w:szCs w:val="18"/>
                <w:color w:val="auto"/>
              </w:rPr>
              <w:t>Price to the Public per Unit:</w:t>
            </w:r>
          </w:p>
        </w:tc>
        <w:tc>
          <w:tcPr>
            <w:tcW w:w="1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40"/>
        </w:trPr>
        <w:tc>
          <w:tcPr>
            <w:tcW w:w="7180" w:type="dxa"/>
            <w:vAlign w:val="bottom"/>
            <w:gridSpan w:val="3"/>
          </w:tcPr>
          <w:p>
            <w:pPr>
              <w:spacing w:after="0"/>
              <w:rPr>
                <w:sz w:val="20"/>
                <w:szCs w:val="20"/>
                <w:color w:val="auto"/>
              </w:rPr>
            </w:pPr>
            <w:r>
              <w:rPr>
                <w:rFonts w:ascii="Arial" w:cs="Arial" w:eastAsia="Arial" w:hAnsi="Arial"/>
                <w:sz w:val="18"/>
                <w:szCs w:val="18"/>
                <w:color w:val="auto"/>
              </w:rPr>
              <w:t>Terms of Debt Securities included in Units</w:t>
            </w:r>
          </w:p>
        </w:tc>
      </w:tr>
      <w:tr>
        <w:trPr>
          <w:trHeight w:val="397"/>
        </w:trPr>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c>
          <w:tcPr>
            <w:tcW w:w="14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r>
      <w:tr>
        <w:trPr>
          <w:trHeight w:val="378"/>
        </w:trPr>
        <w:tc>
          <w:tcPr>
            <w:tcW w:w="2860" w:type="dxa"/>
            <w:vAlign w:val="bottom"/>
          </w:tcPr>
          <w:p>
            <w:pPr>
              <w:spacing w:after="0"/>
              <w:rPr>
                <w:sz w:val="20"/>
                <w:szCs w:val="20"/>
                <w:color w:val="auto"/>
              </w:rPr>
            </w:pPr>
            <w:r>
              <w:rPr>
                <w:rFonts w:ascii="Arial" w:cs="Arial" w:eastAsia="Arial" w:hAnsi="Arial"/>
                <w:sz w:val="18"/>
                <w:szCs w:val="18"/>
                <w:color w:val="auto"/>
                <w:w w:val="94"/>
              </w:rPr>
              <w:t>Principal Amount included per Unit: $[</w:t>
            </w:r>
          </w:p>
        </w:tc>
        <w:tc>
          <w:tcPr>
            <w:tcW w:w="4320" w:type="dxa"/>
            <w:vAlign w:val="bottom"/>
            <w:gridSpan w:val="2"/>
          </w:tcPr>
          <w:p>
            <w:pPr>
              <w:jc w:val="right"/>
              <w:ind w:right="3912"/>
              <w:spacing w:after="0"/>
              <w:rPr>
                <w:sz w:val="20"/>
                <w:szCs w:val="20"/>
                <w:color w:val="auto"/>
              </w:rPr>
            </w:pPr>
            <w:r>
              <w:rPr>
                <w:rFonts w:ascii="Arial" w:cs="Arial" w:eastAsia="Arial" w:hAnsi="Arial"/>
                <w:sz w:val="18"/>
                <w:szCs w:val="18"/>
                <w:color w:val="auto"/>
              </w:rPr>
              <w:t>]</w:t>
            </w:r>
          </w:p>
        </w:tc>
      </w:tr>
      <w:tr>
        <w:trPr>
          <w:trHeight w:val="378"/>
        </w:trPr>
        <w:tc>
          <w:tcPr>
            <w:tcW w:w="2860" w:type="dxa"/>
            <w:vAlign w:val="bottom"/>
          </w:tcPr>
          <w:p>
            <w:pPr>
              <w:spacing w:after="0"/>
              <w:rPr>
                <w:sz w:val="20"/>
                <w:szCs w:val="20"/>
                <w:color w:val="auto"/>
              </w:rPr>
            </w:pPr>
            <w:r>
              <w:rPr>
                <w:rFonts w:ascii="Arial" w:cs="Arial" w:eastAsia="Arial" w:hAnsi="Arial"/>
                <w:sz w:val="18"/>
                <w:szCs w:val="18"/>
                <w:color w:val="auto"/>
              </w:rPr>
              <w:t>Maturity Date:</w:t>
            </w:r>
          </w:p>
        </w:tc>
        <w:tc>
          <w:tcPr>
            <w:tcW w:w="1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78"/>
        </w:trPr>
        <w:tc>
          <w:tcPr>
            <w:tcW w:w="2860" w:type="dxa"/>
            <w:vAlign w:val="bottom"/>
          </w:tcPr>
          <w:p>
            <w:pPr>
              <w:spacing w:after="0"/>
              <w:rPr>
                <w:sz w:val="20"/>
                <w:szCs w:val="20"/>
                <w:color w:val="auto"/>
              </w:rPr>
            </w:pPr>
            <w:r>
              <w:rPr>
                <w:rFonts w:ascii="Arial" w:cs="Arial" w:eastAsia="Arial" w:hAnsi="Arial"/>
                <w:sz w:val="18"/>
                <w:szCs w:val="18"/>
                <w:color w:val="auto"/>
              </w:rPr>
              <w:t>Interest Rate:</w:t>
            </w:r>
          </w:p>
        </w:tc>
        <w:tc>
          <w:tcPr>
            <w:tcW w:w="1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78"/>
        </w:trPr>
        <w:tc>
          <w:tcPr>
            <w:tcW w:w="2860" w:type="dxa"/>
            <w:vAlign w:val="bottom"/>
          </w:tcPr>
          <w:p>
            <w:pPr>
              <w:spacing w:after="0"/>
              <w:rPr>
                <w:sz w:val="20"/>
                <w:szCs w:val="20"/>
                <w:color w:val="auto"/>
              </w:rPr>
            </w:pPr>
            <w:r>
              <w:rPr>
                <w:rFonts w:ascii="Arial" w:cs="Arial" w:eastAsia="Arial" w:hAnsi="Arial"/>
                <w:sz w:val="18"/>
                <w:szCs w:val="18"/>
                <w:color w:val="auto"/>
              </w:rPr>
              <w:t>Redemption Provisions:</w:t>
            </w:r>
          </w:p>
        </w:tc>
        <w:tc>
          <w:tcPr>
            <w:tcW w:w="1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78"/>
        </w:trPr>
        <w:tc>
          <w:tcPr>
            <w:tcW w:w="2860" w:type="dxa"/>
            <w:vAlign w:val="bottom"/>
          </w:tcPr>
          <w:p>
            <w:pPr>
              <w:spacing w:after="0"/>
              <w:rPr>
                <w:sz w:val="20"/>
                <w:szCs w:val="20"/>
                <w:color w:val="auto"/>
              </w:rPr>
            </w:pPr>
            <w:r>
              <w:rPr>
                <w:rFonts w:ascii="Arial" w:cs="Arial" w:eastAsia="Arial" w:hAnsi="Arial"/>
                <w:sz w:val="18"/>
                <w:szCs w:val="18"/>
                <w:color w:val="auto"/>
                <w:w w:val="91"/>
              </w:rPr>
              <w:t>Interest Payment Dates: [] and [</w:t>
            </w:r>
          </w:p>
        </w:tc>
        <w:tc>
          <w:tcPr>
            <w:tcW w:w="4320" w:type="dxa"/>
            <w:vAlign w:val="bottom"/>
            <w:gridSpan w:val="2"/>
          </w:tcPr>
          <w:p>
            <w:pPr>
              <w:jc w:val="right"/>
              <w:ind w:right="432"/>
              <w:spacing w:after="0"/>
              <w:rPr>
                <w:sz w:val="20"/>
                <w:szCs w:val="20"/>
                <w:color w:val="auto"/>
              </w:rPr>
            </w:pPr>
            <w:r>
              <w:rPr>
                <w:rFonts w:ascii="Arial" w:cs="Arial" w:eastAsia="Arial" w:hAnsi="Arial"/>
                <w:sz w:val="18"/>
                <w:szCs w:val="18"/>
                <w:color w:val="auto"/>
                <w:w w:val="90"/>
              </w:rPr>
              <w:t>], commencing [] (Interest accrues from [])</w:t>
            </w:r>
          </w:p>
        </w:tc>
      </w:tr>
      <w:tr>
        <w:trPr>
          <w:trHeight w:val="378"/>
        </w:trPr>
        <w:tc>
          <w:tcPr>
            <w:tcW w:w="2860" w:type="dxa"/>
            <w:vAlign w:val="bottom"/>
          </w:tcPr>
          <w:p>
            <w:pPr>
              <w:spacing w:after="0"/>
              <w:rPr>
                <w:sz w:val="20"/>
                <w:szCs w:val="20"/>
                <w:color w:val="auto"/>
              </w:rPr>
            </w:pPr>
            <w:r>
              <w:rPr>
                <w:rFonts w:ascii="Arial" w:cs="Arial" w:eastAsia="Arial" w:hAnsi="Arial"/>
                <w:sz w:val="18"/>
                <w:szCs w:val="18"/>
                <w:color w:val="auto"/>
              </w:rPr>
              <w:t>Form and Denomination:</w:t>
            </w:r>
          </w:p>
        </w:tc>
        <w:tc>
          <w:tcPr>
            <w:tcW w:w="14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Ranking: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Conversion Provisions: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Terms: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of Warrants included in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Designation of the Series of Warrants: [Call] [Put]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Warrant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Aggregate Number of Warrants per Unit: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Warrant Exercise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Dates upon which Warrants may be exercised: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Currency in which exercise payments shall be made: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Minimum number of Warrants exercisable by any holder on any day: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274" w:right="1440"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Maximum number of Warrants exercisable on any day: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Formula for determining Cash Settlement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Rate (or method of calculation):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on which Warrants are to be listed:</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280" w:right="1440" w:bottom="1440" w:gutter="0" w:footer="0" w:header="0"/>
        </w:sectPr>
      </w:pPr>
    </w:p>
    <w:bookmarkStart w:id="42" w:name="page43"/>
    <w:bookmarkEnd w:id="42"/>
    <w:tbl>
      <w:tblPr>
        <w:tblLayout w:type="fixed"/>
        <w:tblInd w:w="138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8140" w:type="dxa"/>
            <w:vAlign w:val="bottom"/>
            <w:gridSpan w:val="2"/>
          </w:tcPr>
          <w:p>
            <w:pPr>
              <w:jc w:val="center"/>
              <w:ind w:right="3212"/>
              <w:spacing w:after="0"/>
              <w:rPr>
                <w:sz w:val="20"/>
                <w:szCs w:val="20"/>
                <w:color w:val="auto"/>
              </w:rPr>
            </w:pPr>
            <w:r>
              <w:rPr>
                <w:rFonts w:ascii="Arial" w:cs="Arial" w:eastAsia="Arial" w:hAnsi="Arial"/>
                <w:sz w:val="18"/>
                <w:szCs w:val="18"/>
                <w:b w:val="1"/>
                <w:bCs w:val="1"/>
                <w:color w:val="auto"/>
                <w:w w:val="99"/>
              </w:rPr>
              <w:t>SCHEDULE II</w:t>
            </w:r>
          </w:p>
        </w:tc>
      </w:tr>
      <w:tr>
        <w:trPr>
          <w:trHeight w:val="228"/>
        </w:trPr>
        <w:tc>
          <w:tcPr>
            <w:tcW w:w="700" w:type="dxa"/>
            <w:vAlign w:val="bottom"/>
          </w:tcPr>
          <w:p>
            <w:pPr>
              <w:spacing w:after="0"/>
              <w:rPr>
                <w:sz w:val="19"/>
                <w:szCs w:val="19"/>
                <w:color w:val="auto"/>
              </w:rPr>
            </w:pPr>
          </w:p>
        </w:tc>
        <w:tc>
          <w:tcPr>
            <w:tcW w:w="8140" w:type="dxa"/>
            <w:vAlign w:val="bottom"/>
            <w:gridSpan w:val="2"/>
          </w:tcPr>
          <w:p>
            <w:pPr>
              <w:jc w:val="center"/>
              <w:ind w:right="3192"/>
              <w:spacing w:after="0"/>
              <w:rPr>
                <w:sz w:val="20"/>
                <w:szCs w:val="20"/>
                <w:color w:val="auto"/>
              </w:rPr>
            </w:pPr>
            <w:r>
              <w:rPr>
                <w:rFonts w:ascii="Arial" w:cs="Arial" w:eastAsia="Arial" w:hAnsi="Arial"/>
                <w:sz w:val="18"/>
                <w:szCs w:val="18"/>
                <w:b w:val="1"/>
                <w:bCs w:val="1"/>
                <w:color w:val="auto"/>
                <w:w w:val="99"/>
              </w:rPr>
              <w:t>TO UNDERWRITING AGREEMENT</w:t>
            </w:r>
          </w:p>
        </w:tc>
      </w:tr>
      <w:tr>
        <w:trPr>
          <w:trHeight w:val="342"/>
        </w:trPr>
        <w:tc>
          <w:tcPr>
            <w:tcW w:w="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91"/>
              </w:rPr>
              <w:t>[Number/Principal Amount of</w:t>
            </w:r>
          </w:p>
        </w:tc>
      </w:tr>
      <w:tr>
        <w:trPr>
          <w:trHeight w:val="166"/>
        </w:trPr>
        <w:tc>
          <w:tcPr>
            <w:tcW w:w="7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93"/>
              </w:rPr>
              <w:t>Underwriter</w:t>
            </w:r>
          </w:p>
        </w:tc>
        <w:tc>
          <w:tcPr>
            <w:tcW w:w="2780" w:type="dxa"/>
            <w:vAlign w:val="bottom"/>
          </w:tcPr>
          <w:p>
            <w:pPr>
              <w:spacing w:after="0"/>
              <w:rPr>
                <w:sz w:val="14"/>
                <w:szCs w:val="14"/>
                <w:color w:val="auto"/>
              </w:rPr>
            </w:pPr>
          </w:p>
        </w:tc>
        <w:tc>
          <w:tcPr>
            <w:tcW w:w="53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6"/>
              </w:rPr>
              <w:t>Offered Securities to be Purchased]</w:t>
            </w:r>
          </w:p>
        </w:tc>
      </w:tr>
      <w:tr>
        <w:trPr>
          <w:trHeight w:val="363"/>
        </w:trPr>
        <w:tc>
          <w:tcPr>
            <w:tcW w:w="700" w:type="dxa"/>
            <w:vAlign w:val="bottom"/>
          </w:tcPr>
          <w:p>
            <w:pPr>
              <w:spacing w:after="0"/>
              <w:rPr>
                <w:sz w:val="24"/>
                <w:szCs w:val="24"/>
                <w:color w:val="auto"/>
              </w:rPr>
            </w:pPr>
          </w:p>
        </w:tc>
        <w:tc>
          <w:tcPr>
            <w:tcW w:w="2780" w:type="dxa"/>
            <w:vAlign w:val="bottom"/>
          </w:tcPr>
          <w:p>
            <w:pPr>
              <w:jc w:val="center"/>
              <w:ind w:left="1992"/>
              <w:spacing w:after="0"/>
              <w:rPr>
                <w:sz w:val="20"/>
                <w:szCs w:val="20"/>
                <w:color w:val="auto"/>
              </w:rPr>
            </w:pPr>
            <w:r>
              <w:rPr>
                <w:rFonts w:ascii="Arial" w:cs="Arial" w:eastAsia="Arial" w:hAnsi="Arial"/>
                <w:sz w:val="18"/>
                <w:szCs w:val="18"/>
                <w:color w:val="auto"/>
                <w:w w:val="89"/>
              </w:rPr>
              <w:t>10</w:t>
            </w:r>
          </w:p>
        </w:tc>
        <w:tc>
          <w:tcPr>
            <w:tcW w:w="5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20"/>
          </w:cols>
          <w:pgMar w:left="14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3" w:name="page44"/>
    <w:bookmarkEnd w:id="43"/>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 UNDERWRITING AGREEMENT</w:t>
      </w:r>
    </w:p>
    <w:p>
      <w:pPr>
        <w:spacing w:after="0" w:line="165" w:lineRule="exact"/>
        <w:rPr>
          <w:sz w:val="20"/>
          <w:szCs w:val="20"/>
          <w:color w:val="auto"/>
        </w:rPr>
      </w:pPr>
    </w:p>
    <w:p>
      <w:pPr>
        <w:ind w:right="2299"/>
        <w:spacing w:after="0" w:line="430" w:lineRule="auto"/>
        <w:rPr>
          <w:sz w:val="20"/>
          <w:szCs w:val="20"/>
          <w:color w:val="auto"/>
        </w:rPr>
      </w:pPr>
      <w:r>
        <w:rPr>
          <w:rFonts w:ascii="Arial" w:cs="Arial" w:eastAsia="Arial" w:hAnsi="Arial"/>
          <w:sz w:val="18"/>
          <w:szCs w:val="18"/>
          <w:color w:val="auto"/>
        </w:rPr>
        <w:t>[Term sheet reflecting the terms on Schedule I or , if there is no term sheet, orally conveyed pricing information] [List any other free writing prospectus to be included in the Time of Sale Prospectus]</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74" w:right="1440" w:bottom="1440" w:gutter="0" w:footer="0" w:header="0"/>
        </w:sectPr>
      </w:pPr>
    </w:p>
    <w:bookmarkStart w:id="44" w:name="page45"/>
    <w:bookmarkEnd w:id="44"/>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IV</w:t>
      </w:r>
    </w:p>
    <w:p>
      <w:pPr>
        <w:spacing w:after="0" w:line="2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TO UNDERWRITING AGREEMENT</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[Insert the information provided by the Underwriter expressly for use in the offering documents pursuant to the second paragraph under Article VI of the Underwriting Agreement.]</w:t>
      </w:r>
    </w:p>
    <w:p>
      <w:pPr>
        <w:spacing w:after="0" w:line="1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40"/>
          </w:cols>
          <w:pgMar w:left="240" w:top="274" w:right="91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Underwriting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165" w:lineRule="exact"/>
        <w:rPr>
          <w:sz w:val="20"/>
          <w:szCs w:val="20"/>
          <w:color w:val="auto"/>
        </w:rPr>
      </w:pPr>
    </w:p>
    <w:p>
      <w:pPr>
        <w:ind w:left="10800"/>
        <w:spacing w:after="0"/>
        <w:rPr>
          <w:sz w:val="20"/>
          <w:szCs w:val="20"/>
          <w:color w:val="auto"/>
        </w:rPr>
      </w:pPr>
      <w:r>
        <w:rPr>
          <w:rFonts w:ascii="Arial" w:cs="Arial" w:eastAsia="Arial" w:hAnsi="Arial"/>
          <w:sz w:val="16"/>
          <w:szCs w:val="16"/>
          <w:color w:val="auto"/>
        </w:rPr>
        <w:t>[•], 2013</w:t>
      </w:r>
    </w:p>
    <w:p>
      <w:pPr>
        <w:spacing w:after="0" w:line="19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6"/>
          <w:szCs w:val="16"/>
          <w:b w:val="1"/>
          <w:bCs w:val="1"/>
          <w:color w:val="auto"/>
        </w:rPr>
        <w:t>Underwriting Agreement</w:t>
      </w:r>
      <w:r>
        <w:rPr>
          <w:rFonts w:ascii="Arial" w:cs="Arial" w:eastAsia="Arial" w:hAnsi="Arial"/>
          <w:sz w:val="16"/>
          <w:szCs w:val="16"/>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13"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From time to time in one or more offerings on terms determined at the time of sale, the Company proposes to issue and sell (a) its common stock, $1.00 par value per share (the “</w:t>
      </w:r>
      <w:r>
        <w:rPr>
          <w:rFonts w:ascii="Arial" w:cs="Arial" w:eastAsia="Arial" w:hAnsi="Arial"/>
          <w:sz w:val="15"/>
          <w:szCs w:val="15"/>
          <w:b w:val="1"/>
          <w:bCs w:val="1"/>
          <w:color w:val="auto"/>
        </w:rPr>
        <w:t>Common Stock</w:t>
      </w:r>
      <w:r>
        <w:rPr>
          <w:rFonts w:ascii="Arial" w:cs="Arial" w:eastAsia="Arial" w:hAnsi="Arial"/>
          <w:sz w:val="15"/>
          <w:szCs w:val="15"/>
          <w:color w:val="auto"/>
        </w:rPr>
        <w:t>”), (b) its preferred stock, $25.00 par value per share (the “</w:t>
      </w:r>
      <w:r>
        <w:rPr>
          <w:rFonts w:ascii="Arial" w:cs="Arial" w:eastAsia="Arial" w:hAnsi="Arial"/>
          <w:sz w:val="15"/>
          <w:szCs w:val="15"/>
          <w:b w:val="1"/>
          <w:bCs w:val="1"/>
          <w:color w:val="auto"/>
        </w:rPr>
        <w:t>Preferred Stock</w:t>
      </w:r>
      <w:r>
        <w:rPr>
          <w:rFonts w:ascii="Arial" w:cs="Arial" w:eastAsia="Arial" w:hAnsi="Arial"/>
          <w:sz w:val="15"/>
          <w:szCs w:val="15"/>
          <w:color w:val="auto"/>
        </w:rPr>
        <w:t>”), (c) certain of its debt securities (the “</w:t>
      </w:r>
      <w:r>
        <w:rPr>
          <w:rFonts w:ascii="Arial" w:cs="Arial" w:eastAsia="Arial" w:hAnsi="Arial"/>
          <w:sz w:val="15"/>
          <w:szCs w:val="15"/>
          <w:b w:val="1"/>
          <w:bCs w:val="1"/>
          <w:color w:val="auto"/>
        </w:rPr>
        <w:t>Debt</w:t>
      </w:r>
      <w:r>
        <w:rPr>
          <w:rFonts w:ascii="Arial" w:cs="Arial" w:eastAsia="Arial" w:hAnsi="Arial"/>
          <w:sz w:val="15"/>
          <w:szCs w:val="15"/>
          <w:color w:val="auto"/>
        </w:rPr>
        <w:t xml:space="preserve"> </w:t>
      </w:r>
      <w:r>
        <w:rPr>
          <w:rFonts w:ascii="Arial" w:cs="Arial" w:eastAsia="Arial" w:hAnsi="Arial"/>
          <w:sz w:val="15"/>
          <w:szCs w:val="15"/>
          <w:b w:val="1"/>
          <w:bCs w:val="1"/>
          <w:color w:val="auto"/>
        </w:rPr>
        <w:t>Securities</w:t>
      </w:r>
      <w:r>
        <w:rPr>
          <w:rFonts w:ascii="Arial" w:cs="Arial" w:eastAsia="Arial" w:hAnsi="Arial"/>
          <w:sz w:val="15"/>
          <w:szCs w:val="15"/>
          <w:color w:val="auto"/>
        </w:rPr>
        <w:t>”) issuable under an indenture (the “</w:t>
      </w:r>
      <w:r>
        <w:rPr>
          <w:rFonts w:ascii="Arial" w:cs="Arial" w:eastAsia="Arial" w:hAnsi="Arial"/>
          <w:sz w:val="15"/>
          <w:szCs w:val="15"/>
          <w:b w:val="1"/>
          <w:bCs w:val="1"/>
          <w:color w:val="auto"/>
        </w:rPr>
        <w:t>Indenture</w:t>
      </w:r>
      <w:r>
        <w:rPr>
          <w:rFonts w:ascii="Arial" w:cs="Arial" w:eastAsia="Arial" w:hAnsi="Arial"/>
          <w:sz w:val="15"/>
          <w:szCs w:val="15"/>
          <w:color w:val="auto"/>
        </w:rPr>
        <w:t>”) [to be] entered into by the Company and U.S. Bank National Association, as trustee (the “</w:t>
      </w:r>
      <w:r>
        <w:rPr>
          <w:rFonts w:ascii="Arial" w:cs="Arial" w:eastAsia="Arial" w:hAnsi="Arial"/>
          <w:sz w:val="15"/>
          <w:szCs w:val="15"/>
          <w:b w:val="1"/>
          <w:bCs w:val="1"/>
          <w:color w:val="auto"/>
        </w:rPr>
        <w:t>Trustee</w:t>
      </w:r>
      <w:r>
        <w:rPr>
          <w:rFonts w:ascii="Arial" w:cs="Arial" w:eastAsia="Arial" w:hAnsi="Arial"/>
          <w:sz w:val="15"/>
          <w:szCs w:val="15"/>
          <w:color w:val="auto"/>
        </w:rPr>
        <w:t>”),</w:t>
      </w:r>
    </w:p>
    <w:p>
      <w:pPr>
        <w:spacing w:after="0" w:line="1" w:lineRule="exact"/>
        <w:rPr>
          <w:sz w:val="20"/>
          <w:szCs w:val="20"/>
          <w:color w:val="auto"/>
        </w:rPr>
      </w:pPr>
    </w:p>
    <w:p>
      <w:pPr>
        <w:ind w:right="300" w:firstLine="8"/>
        <w:spacing w:after="0" w:line="255"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or Debt Securities (“</w:t>
      </w:r>
      <w:r>
        <w:rPr>
          <w:rFonts w:ascii="Arial" w:cs="Arial" w:eastAsia="Arial" w:hAnsi="Arial"/>
          <w:sz w:val="18"/>
          <w:szCs w:val="18"/>
          <w:b w:val="1"/>
          <w:bCs w:val="1"/>
          <w:color w:val="auto"/>
        </w:rPr>
        <w:t>Warrants</w:t>
      </w:r>
      <w:r>
        <w:rPr>
          <w:rFonts w:ascii="Arial" w:cs="Arial" w:eastAsia="Arial" w:hAnsi="Arial"/>
          <w:sz w:val="18"/>
          <w:szCs w:val="18"/>
          <w:color w:val="auto"/>
        </w:rPr>
        <w:t>”), and (e) units consisting of Common Stock, Preferred Stock, Debt Securities or Warrants or any combination thereof (“</w:t>
      </w:r>
      <w:r>
        <w:rPr>
          <w:rFonts w:ascii="Arial" w:cs="Arial" w:eastAsia="Arial" w:hAnsi="Arial"/>
          <w:sz w:val="18"/>
          <w:szCs w:val="18"/>
          <w:b w:val="1"/>
          <w:bCs w:val="1"/>
          <w:color w:val="auto"/>
        </w:rPr>
        <w:t>Units</w:t>
      </w:r>
      <w:r>
        <w:rPr>
          <w:rFonts w:ascii="Arial" w:cs="Arial" w:eastAsia="Arial" w:hAnsi="Arial"/>
          <w:sz w:val="18"/>
          <w:szCs w:val="18"/>
          <w:color w:val="auto"/>
        </w:rPr>
        <w:t>”). The Common Stock, Preferred Stock, Debt Securities, Warrants and Units are each referred to as “</w:t>
      </w:r>
      <w:r>
        <w:rPr>
          <w:rFonts w:ascii="Arial" w:cs="Arial" w:eastAsia="Arial" w:hAnsi="Arial"/>
          <w:sz w:val="18"/>
          <w:szCs w:val="18"/>
          <w:b w:val="1"/>
          <w:bCs w:val="1"/>
          <w:color w:val="auto"/>
        </w:rPr>
        <w:t>Securities</w:t>
      </w:r>
      <w:r>
        <w:rPr>
          <w:rFonts w:ascii="Arial" w:cs="Arial" w:eastAsia="Arial" w:hAnsi="Arial"/>
          <w:sz w:val="18"/>
          <w:szCs w:val="18"/>
          <w:color w:val="auto"/>
        </w:rPr>
        <w:t>” for the purposes of this Agreement.</w:t>
      </w:r>
    </w:p>
    <w:p>
      <w:pPr>
        <w:spacing w:after="0" w:line="138"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specifically relating to the Securities listed on Schedule I hereto (the “</w:t>
      </w:r>
      <w:r>
        <w:rPr>
          <w:rFonts w:ascii="Arial" w:cs="Arial" w:eastAsia="Arial" w:hAnsi="Arial"/>
          <w:sz w:val="16"/>
          <w:szCs w:val="16"/>
          <w:b w:val="1"/>
          <w:bCs w:val="1"/>
          <w:color w:val="auto"/>
        </w:rPr>
        <w:t>Offered Securities</w:t>
      </w:r>
      <w:r>
        <w:rPr>
          <w:rFonts w:ascii="Arial" w:cs="Arial" w:eastAsia="Arial" w:hAnsi="Arial"/>
          <w:sz w:val="16"/>
          <w:szCs w:val="16"/>
          <w:color w:val="auto"/>
        </w:rPr>
        <w:t>”) pursuant to Rule 424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the 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6"/>
          <w:szCs w:val="16"/>
          <w:b w:val="1"/>
          <w:bCs w:val="1"/>
          <w:color w:val="auto"/>
        </w:rPr>
        <w:t>Base Prospectus</w:t>
      </w:r>
      <w:r>
        <w:rPr>
          <w:rFonts w:ascii="Arial" w:cs="Arial" w:eastAsia="Arial" w:hAnsi="Arial"/>
          <w:sz w:val="16"/>
          <w:szCs w:val="16"/>
          <w:color w:val="auto"/>
        </w:rPr>
        <w:t>” means the prospectus included in the Registration Statement. The term “</w:t>
      </w:r>
      <w:r>
        <w:rPr>
          <w:rFonts w:ascii="Arial" w:cs="Arial" w:eastAsia="Arial" w:hAnsi="Arial"/>
          <w:sz w:val="16"/>
          <w:szCs w:val="16"/>
          <w:b w:val="1"/>
          <w:bCs w:val="1"/>
          <w:color w:val="auto"/>
        </w:rPr>
        <w:t>Prospectus</w:t>
      </w:r>
      <w:r>
        <w:rPr>
          <w:rFonts w:ascii="Arial" w:cs="Arial" w:eastAsia="Arial" w:hAnsi="Arial"/>
          <w:sz w:val="16"/>
          <w:szCs w:val="16"/>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a preliminary prospectus supplement specifically relating to the Offered Securities, together with the Base Prospectus. The term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The term “</w:t>
      </w:r>
      <w:r>
        <w:rPr>
          <w:rFonts w:ascii="Arial" w:cs="Arial" w:eastAsia="Arial" w:hAnsi="Arial"/>
          <w:sz w:val="16"/>
          <w:szCs w:val="16"/>
          <w:b w:val="1"/>
          <w:bCs w:val="1"/>
          <w:color w:val="auto"/>
        </w:rPr>
        <w:t>issuer free writing</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has the meaning set forth in Rule 433 under the Securities Act. The term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Base Prospectus and preliminary</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if any, together with any additional documents or other information identified in Schedule III to the Underwriting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46" w:name="page47"/>
    <w:bookmarkEnd w:id="4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As used herein, the term “</w:t>
      </w:r>
      <w:r>
        <w:rPr>
          <w:rFonts w:ascii="Arial" w:cs="Arial" w:eastAsia="Arial" w:hAnsi="Arial"/>
          <w:sz w:val="16"/>
          <w:szCs w:val="16"/>
          <w:b w:val="1"/>
          <w:bCs w:val="1"/>
          <w:color w:val="auto"/>
        </w:rPr>
        <w:t>Applicable Time</w:t>
      </w:r>
      <w:r>
        <w:rPr>
          <w:rFonts w:ascii="Arial" w:cs="Arial" w:eastAsia="Arial" w:hAnsi="Arial"/>
          <w:sz w:val="16"/>
          <w:szCs w:val="16"/>
          <w:color w:val="auto"/>
        </w:rPr>
        <w:t>” means the time and date set forth in the Underwriting Agreement or such other time as agreed in writing by the Company and the Manager.</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29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III.</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90" w:lineRule="exact"/>
        <w:rPr>
          <w:sz w:val="20"/>
          <w:szCs w:val="20"/>
          <w:color w:val="auto"/>
        </w:rPr>
      </w:pPr>
    </w:p>
    <w:p>
      <w:pPr>
        <w:ind w:left="460" w:right="100" w:firstLine="443"/>
        <w:spacing w:after="0" w:line="290" w:lineRule="auto"/>
        <w:tabs>
          <w:tab w:leader="none" w:pos="1137"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47" w:name="page48"/>
    <w:bookmarkEnd w:id="47"/>
    <w:p>
      <w:pPr>
        <w:ind w:left="-40" w:right="40" w:firstLine="464"/>
        <w:spacing w:after="0" w:line="268" w:lineRule="auto"/>
        <w:tabs>
          <w:tab w:leader="none" w:pos="665"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Closing Date an opinion of the general counsel of the Company (or another lawyer of the Company reasonably satisfactory to the Underwriters), dated the Closing Date, to the effect (as applicable) that:</w:t>
      </w:r>
    </w:p>
    <w:p>
      <w:pPr>
        <w:spacing w:after="0" w:line="50" w:lineRule="exact"/>
        <w:rPr>
          <w:rFonts w:ascii="Arial" w:cs="Arial" w:eastAsia="Arial" w:hAnsi="Arial"/>
          <w:sz w:val="18"/>
          <w:szCs w:val="18"/>
          <w:color w:val="auto"/>
        </w:rPr>
      </w:pPr>
    </w:p>
    <w:p>
      <w:pPr>
        <w:ind w:left="420" w:firstLine="443"/>
        <w:spacing w:after="0" w:line="268" w:lineRule="auto"/>
        <w:tabs>
          <w:tab w:leader="none" w:pos="1068"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conduct its business as presently conducted;</w:t>
      </w:r>
    </w:p>
    <w:p>
      <w:pPr>
        <w:spacing w:after="0" w:line="50" w:lineRule="exact"/>
        <w:rPr>
          <w:rFonts w:ascii="Arial" w:cs="Arial" w:eastAsia="Arial" w:hAnsi="Arial"/>
          <w:sz w:val="18"/>
          <w:szCs w:val="18"/>
          <w:color w:val="auto"/>
        </w:rPr>
      </w:pPr>
    </w:p>
    <w:p>
      <w:pPr>
        <w:jc w:val="both"/>
        <w:ind w:left="420" w:right="420" w:firstLine="443"/>
        <w:spacing w:after="0" w:line="306" w:lineRule="auto"/>
        <w:tabs>
          <w:tab w:leader="none" w:pos="1117"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Company is duly qualified to transact business and is in good standing in each other state of the United States, wherein it owns or leases material property or conducts material business, which requires such qualification, except to the extent that the failure to be so qualified or be in good standing would not have a material adverse effect on the Company and its subsidiaries, taken as a whole;</w:t>
      </w:r>
    </w:p>
    <w:p>
      <w:pPr>
        <w:spacing w:after="0" w:line="25" w:lineRule="exact"/>
        <w:rPr>
          <w:rFonts w:ascii="Arial" w:cs="Arial" w:eastAsia="Arial" w:hAnsi="Arial"/>
          <w:sz w:val="16"/>
          <w:szCs w:val="16"/>
          <w:color w:val="auto"/>
        </w:rPr>
      </w:pPr>
    </w:p>
    <w:p>
      <w:pPr>
        <w:ind w:left="1160" w:hanging="297"/>
        <w:spacing w:after="0"/>
        <w:tabs>
          <w:tab w:leader="none" w:pos="1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Time of Sale Prospectus;</w:t>
      </w:r>
    </w:p>
    <w:p>
      <w:pPr>
        <w:spacing w:after="0" w:line="90" w:lineRule="exact"/>
        <w:rPr>
          <w:rFonts w:ascii="Arial" w:cs="Arial" w:eastAsia="Arial" w:hAnsi="Arial"/>
          <w:sz w:val="18"/>
          <w:szCs w:val="18"/>
          <w:color w:val="auto"/>
        </w:rPr>
      </w:pPr>
    </w:p>
    <w:p>
      <w:pPr>
        <w:ind w:left="420" w:right="40" w:firstLine="443"/>
        <w:spacing w:after="0" w:line="268" w:lineRule="auto"/>
        <w:tabs>
          <w:tab w:leader="none" w:pos="1156"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Registration Statement is effective under the Securities Act, and, to the best of such counsel’s knowledge, no proceedings for a stop order are pending or threatened by the Commission;</w:t>
      </w:r>
    </w:p>
    <w:p>
      <w:pPr>
        <w:spacing w:after="0" w:line="50" w:lineRule="exact"/>
        <w:rPr>
          <w:rFonts w:ascii="Arial" w:cs="Arial" w:eastAsia="Arial" w:hAnsi="Arial"/>
          <w:sz w:val="18"/>
          <w:szCs w:val="18"/>
          <w:color w:val="auto"/>
        </w:rPr>
      </w:pPr>
    </w:p>
    <w:p>
      <w:pPr>
        <w:ind w:left="420" w:firstLine="443"/>
        <w:spacing w:after="0" w:line="290" w:lineRule="auto"/>
        <w:tabs>
          <w:tab w:leader="none" w:pos="1107"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as applicable, the Indenture, the Offered Securities, the Warrant Agreement and the Unit Agreement (each, a “</w:t>
      </w:r>
      <w:r>
        <w:rPr>
          <w:rFonts w:ascii="Arial" w:cs="Arial" w:eastAsia="Arial" w:hAnsi="Arial"/>
          <w:sz w:val="16"/>
          <w:szCs w:val="16"/>
          <w:b w:val="1"/>
          <w:bCs w:val="1"/>
          <w:color w:val="auto"/>
        </w:rPr>
        <w:t>Transaction Document</w:t>
      </w:r>
      <w:r>
        <w:rPr>
          <w:rFonts w:ascii="Arial" w:cs="Arial" w:eastAsia="Arial" w:hAnsi="Arial"/>
          <w:sz w:val="16"/>
          <w:szCs w:val="16"/>
          <w:color w:val="auto"/>
        </w:rPr>
        <w:t>”) will not contravene any provision of applicable law or the certificate of incorporation or by-laws of the Company or, to the knowledge of such counsel, any agreement or other instrument binding upon the Company that is filed as an exhibit to the Registration Statement or to any document incorporated by reference in the Time of Sale Prospectus, and no consent, approval or authorization of any governmental body or agency is required for the performance by the Company of its obligations under this Agreement or the applicable Transaction Documents, if any, except such as are specified and have been obtained and such as may be required by the securities or Blue Sky laws of the various states in connection with the offer and sale of the Offered Securities by the Underwriters;</w:t>
      </w:r>
    </w:p>
    <w:p>
      <w:pPr>
        <w:spacing w:after="0" w:line="37" w:lineRule="exact"/>
        <w:rPr>
          <w:rFonts w:ascii="Arial" w:cs="Arial" w:eastAsia="Arial" w:hAnsi="Arial"/>
          <w:sz w:val="16"/>
          <w:szCs w:val="16"/>
          <w:color w:val="auto"/>
        </w:rPr>
      </w:pPr>
    </w:p>
    <w:p>
      <w:pPr>
        <w:ind w:left="420" w:right="120" w:firstLine="443"/>
        <w:spacing w:after="0" w:line="323" w:lineRule="auto"/>
        <w:tabs>
          <w:tab w:leader="none" w:pos="1156" w:val="left"/>
        </w:tabs>
        <w:numPr>
          <w:ilvl w:val="1"/>
          <w:numId w:val="33"/>
        </w:numPr>
        <w:rPr>
          <w:rFonts w:ascii="Arial" w:cs="Arial" w:eastAsia="Arial" w:hAnsi="Arial"/>
          <w:sz w:val="15"/>
          <w:szCs w:val="15"/>
          <w:color w:val="auto"/>
        </w:rPr>
      </w:pPr>
      <w:r>
        <w:rPr>
          <w:rFonts w:ascii="Arial" w:cs="Arial" w:eastAsia="Arial" w:hAnsi="Arial"/>
          <w:sz w:val="15"/>
          <w:szCs w:val="15"/>
          <w:color w:val="auto"/>
        </w:rPr>
        <w:t>after due inquiry, such counsel does not know of any legal or governmental proceedings pending or threatened to which the Company or any of its subsidiaries is a party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80" w:right="259" w:bottom="1440" w:gutter="0" w:footer="0" w:header="0"/>
        </w:sectPr>
      </w:pPr>
    </w:p>
    <w:bookmarkStart w:id="48" w:name="page49"/>
    <w:bookmarkEnd w:id="48"/>
    <w:p>
      <w:pPr>
        <w:ind w:firstLine="443"/>
        <w:spacing w:after="0" w:line="284" w:lineRule="auto"/>
        <w:tabs>
          <w:tab w:leader="none" w:pos="784"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 and (B) nothing has come to the attention of such counsel that causes such counsel to believe that, insofar as relevant to the offering of the Offered Securities (1) 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 or (2) 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 or (3) 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 (4) the Prospectus (except for the financial statements and financial schedules and other financial and statistical data included therein, as to which such counsel need not express any belief) at the date of the Underwriting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49" w:name="page50"/>
    <w:bookmarkEnd w:id="49"/>
    <w:p>
      <w:pPr>
        <w:ind w:right="140" w:firstLine="443"/>
        <w:spacing w:after="0" w:line="268" w:lineRule="auto"/>
        <w:tabs>
          <w:tab w:leader="none" w:pos="677"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Manager shall have received on the Closing Date an opinion of Davis Polk &amp; Wardwell LLP, special outside counsel to the Company, dated the Closing Date, to the effect (as applicable) that:</w:t>
      </w:r>
    </w:p>
    <w:p>
      <w:pPr>
        <w:spacing w:after="0" w:line="50" w:lineRule="exact"/>
        <w:rPr>
          <w:rFonts w:ascii="Arial" w:cs="Arial" w:eastAsia="Arial" w:hAnsi="Arial"/>
          <w:sz w:val="18"/>
          <w:szCs w:val="18"/>
          <w:color w:val="auto"/>
        </w:rPr>
      </w:pPr>
    </w:p>
    <w:p>
      <w:pPr>
        <w:ind w:left="460" w:firstLine="421"/>
        <w:spacing w:after="0" w:line="259" w:lineRule="auto"/>
        <w:tabs>
          <w:tab w:leader="none" w:pos="1089"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59" w:lineRule="exact"/>
        <w:rPr>
          <w:rFonts w:ascii="Arial" w:cs="Arial" w:eastAsia="Arial" w:hAnsi="Arial"/>
          <w:sz w:val="18"/>
          <w:szCs w:val="18"/>
          <w:color w:val="auto"/>
        </w:rPr>
      </w:pPr>
    </w:p>
    <w:p>
      <w:pPr>
        <w:ind w:left="460" w:right="120" w:firstLine="421"/>
        <w:spacing w:after="0" w:line="291" w:lineRule="auto"/>
        <w:tabs>
          <w:tab w:leader="none" w:pos="1138"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Debt Securities are Offered Securities, (A) such Debt Securities have been duly authorized and, when executed and authenticated in accordance with the Indenture and delivered to and paid for by the Underwriters,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(B) the Indenture has been duly authorized, executed and delivered by the Company and is a valid and binding agreement of the Company enforceable in accordance with its terms, subject to the Enforceability Exceptions, and (C) the Indenture has been duly qualified under the Trust Indenture Act of 1939;</w:t>
      </w:r>
    </w:p>
    <w:p>
      <w:pPr>
        <w:spacing w:after="0" w:line="39" w:lineRule="exact"/>
        <w:rPr>
          <w:rFonts w:ascii="Arial" w:cs="Arial" w:eastAsia="Arial" w:hAnsi="Arial"/>
          <w:sz w:val="16"/>
          <w:szCs w:val="16"/>
          <w:color w:val="auto"/>
        </w:rPr>
      </w:pPr>
    </w:p>
    <w:p>
      <w:pPr>
        <w:ind w:left="460" w:right="100" w:firstLine="421"/>
        <w:spacing w:after="0" w:line="294" w:lineRule="auto"/>
        <w:tabs>
          <w:tab w:leader="none" w:pos="1187"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Warrants are Offered Securities, (A)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(B) the Warrant Agreement has been duly authorized, executed and delivered by, and is a valid and binding agreement of, the Company, enforceable in accordance with its terms, subject to the Enforceability Exceptions;</w:t>
      </w:r>
    </w:p>
    <w:p>
      <w:pPr>
        <w:spacing w:after="0" w:line="34" w:lineRule="exact"/>
        <w:rPr>
          <w:rFonts w:ascii="Arial" w:cs="Arial" w:eastAsia="Arial" w:hAnsi="Arial"/>
          <w:sz w:val="16"/>
          <w:szCs w:val="16"/>
          <w:color w:val="auto"/>
        </w:rPr>
      </w:pPr>
    </w:p>
    <w:p>
      <w:pPr>
        <w:ind w:left="460" w:right="100" w:firstLine="421"/>
        <w:spacing w:after="0" w:line="294" w:lineRule="auto"/>
        <w:tabs>
          <w:tab w:leader="none" w:pos="1177"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Units are Offered Securities, (A)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 (B) the Unit Agreement has been duly authorized, executed and delivered by, and is a valid and binding agreement of, the Company, enforceable in accordance with its terms, subject to the Enforceability Exceptions;</w:t>
      </w:r>
    </w:p>
    <w:p>
      <w:pPr>
        <w:spacing w:after="0" w:line="34" w:lineRule="exact"/>
        <w:rPr>
          <w:rFonts w:ascii="Arial" w:cs="Arial" w:eastAsia="Arial" w:hAnsi="Arial"/>
          <w:sz w:val="16"/>
          <w:szCs w:val="16"/>
          <w:color w:val="auto"/>
        </w:rPr>
      </w:pPr>
    </w:p>
    <w:p>
      <w:pPr>
        <w:ind w:left="1120" w:hanging="239"/>
        <w:spacing w:after="0"/>
        <w:tabs>
          <w:tab w:leader="none" w:pos="1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50" w:name="page51"/>
    <w:bookmarkEnd w:id="50"/>
    <w:p>
      <w:pPr>
        <w:ind w:firstLine="421"/>
        <w:spacing w:after="0" w:line="259" w:lineRule="auto"/>
        <w:tabs>
          <w:tab w:leader="none" w:pos="717"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Offered Securities conform in all material respects to the description thereof contained in the Time of Sale Prospectus, as then amended or supplemented, if applicable, under the captions “Description of Capital Stock,” “Description of Debt Securities,” “Description of Warrants,” and “Description of Units,” as applicable;</w:t>
      </w:r>
    </w:p>
    <w:p>
      <w:pPr>
        <w:spacing w:after="0" w:line="59" w:lineRule="exact"/>
        <w:rPr>
          <w:rFonts w:ascii="Arial" w:cs="Arial" w:eastAsia="Arial" w:hAnsi="Arial"/>
          <w:sz w:val="18"/>
          <w:szCs w:val="18"/>
          <w:color w:val="auto"/>
        </w:rPr>
      </w:pPr>
    </w:p>
    <w:p>
      <w:pPr>
        <w:ind w:right="200" w:firstLine="421"/>
        <w:spacing w:after="0" w:line="268" w:lineRule="auto"/>
        <w:tabs>
          <w:tab w:leader="none" w:pos="7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statements in the Time of Sale Prospectus under “Material U.S. Federal Income Tax Considerations” and “Underwriting” relating to legal matters fairly summarize in all material respects such legal matters;</w:t>
      </w:r>
    </w:p>
    <w:p>
      <w:pPr>
        <w:spacing w:after="0" w:line="44" w:lineRule="exact"/>
        <w:rPr>
          <w:rFonts w:ascii="Arial" w:cs="Arial" w:eastAsia="Arial" w:hAnsi="Arial"/>
          <w:sz w:val="18"/>
          <w:szCs w:val="18"/>
          <w:color w:val="auto"/>
        </w:rPr>
      </w:pPr>
    </w:p>
    <w:p>
      <w:pPr>
        <w:ind w:left="820" w:hanging="399"/>
        <w:spacing w:after="0"/>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case of Offered Securities that are convertible into or exercisable or exchangeable for other Securities (the “</w:t>
      </w:r>
      <w:r>
        <w:rPr>
          <w:rFonts w:ascii="Arial" w:cs="Arial" w:eastAsia="Arial" w:hAnsi="Arial"/>
          <w:sz w:val="16"/>
          <w:szCs w:val="16"/>
          <w:b w:val="1"/>
          <w:bCs w:val="1"/>
          <w:color w:val="auto"/>
        </w:rPr>
        <w:t>Underlying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 the Underlying Securities have been duly authorized and reserved for issuance;</w:t>
      </w:r>
    </w:p>
    <w:p>
      <w:pPr>
        <w:spacing w:after="0" w:line="84" w:lineRule="exact"/>
        <w:rPr>
          <w:sz w:val="20"/>
          <w:szCs w:val="20"/>
          <w:color w:val="auto"/>
        </w:rPr>
      </w:pPr>
    </w:p>
    <w:p>
      <w:pPr>
        <w:jc w:val="both"/>
        <w:ind w:right="20" w:firstLine="421"/>
        <w:spacing w:after="0" w:line="306" w:lineRule="auto"/>
        <w:tabs>
          <w:tab w:leader="none" w:pos="717" w:val="left"/>
        </w:tabs>
        <w:numPr>
          <w:ilvl w:val="0"/>
          <w:numId w:val="37"/>
        </w:numPr>
        <w:rPr>
          <w:rFonts w:ascii="Arial" w:cs="Arial" w:eastAsia="Arial" w:hAnsi="Arial"/>
          <w:sz w:val="16"/>
          <w:szCs w:val="16"/>
          <w:color w:val="auto"/>
        </w:rPr>
      </w:pPr>
      <w:r>
        <w:rPr>
          <w:rFonts w:ascii="Arial" w:cs="Arial" w:eastAsia="Arial" w:hAnsi="Arial"/>
          <w:sz w:val="16"/>
          <w:szCs w:val="16"/>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25" w:lineRule="exact"/>
        <w:rPr>
          <w:rFonts w:ascii="Arial" w:cs="Arial" w:eastAsia="Arial" w:hAnsi="Arial"/>
          <w:sz w:val="16"/>
          <w:szCs w:val="16"/>
          <w:color w:val="auto"/>
        </w:rPr>
      </w:pPr>
    </w:p>
    <w:p>
      <w:pPr>
        <w:ind w:right="220" w:firstLine="421"/>
        <w:spacing w:after="0" w:line="259" w:lineRule="auto"/>
        <w:tabs>
          <w:tab w:leader="none" w:pos="6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distribution of the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59" w:lineRule="exact"/>
        <w:rPr>
          <w:sz w:val="20"/>
          <w:szCs w:val="20"/>
          <w:color w:val="auto"/>
        </w:rPr>
      </w:pPr>
    </w:p>
    <w:p>
      <w:pPr>
        <w:ind w:right="20" w:firstLine="420"/>
        <w:spacing w:after="0" w:line="288" w:lineRule="auto"/>
        <w:rPr>
          <w:sz w:val="20"/>
          <w:szCs w:val="20"/>
          <w:color w:val="auto"/>
        </w:rPr>
      </w:pPr>
      <w:r>
        <w:rPr>
          <w:rFonts w:ascii="Arial" w:cs="Arial" w:eastAsia="Arial" w:hAnsi="Arial"/>
          <w:sz w:val="16"/>
          <w:szCs w:val="16"/>
          <w:color w:val="auto"/>
        </w:rPr>
        <w:t>(xi)(A) 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 and (B) nothing has come to the attention of such counsel that causes such counsel to believe that, insofar as relevant to the offering of the Offered Securities (1) 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w:t>
      </w:r>
    </w:p>
    <w:p>
      <w:pPr>
        <w:spacing w:after="0" w:line="10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00"/>
          </w:cols>
          <w:pgMar w:left="1160" w:top="280" w:right="239" w:bottom="1440" w:gutter="0" w:footer="0" w:header="0"/>
        </w:sectPr>
      </w:pPr>
    </w:p>
    <w:bookmarkStart w:id="51" w:name="page52"/>
    <w:bookmarkEnd w:id="51"/>
    <w:p>
      <w:pPr>
        <w:ind w:left="920"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belief), contained any untrue statement of a material fact or omitted to state a material fact required to be stated therein or necessary to make the statements therein not misleading or (2) 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 or (3) 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 (4) the Prospectus (except for the financial statements and financial schedules and other financial and statistical data included therein, as to which such counsel need not express any belief) at the date of the Underwriting Agreement or as amended or supplemented, if applicable, as of the Closing Date contained or contains any untrue statement of a material fact or omits to state a material fact necessary in order to make the statements therein, in the light of the circumstances under which they were made, not misleading; and</w:t>
      </w:r>
    </w:p>
    <w:p>
      <w:pPr>
        <w:spacing w:after="0" w:line="43" w:lineRule="exact"/>
        <w:rPr>
          <w:sz w:val="20"/>
          <w:szCs w:val="20"/>
          <w:color w:val="auto"/>
        </w:rPr>
      </w:pPr>
    </w:p>
    <w:p>
      <w:pPr>
        <w:ind w:left="920" w:right="160" w:firstLine="421"/>
        <w:spacing w:after="0" w:line="268" w:lineRule="auto"/>
        <w:tabs>
          <w:tab w:leader="none" w:pos="1686"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the Indenture, and the Offered Securities will not contravene any provision of applicable law.</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Manager shall have received on the Closing Date an opinion of its own counsel, in a form acceptable to the Manager, dated the Closing Date.</w:t>
      </w:r>
    </w:p>
    <w:p>
      <w:pPr>
        <w:spacing w:after="0" w:line="20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It is understood that the general counsel of the Company may rely as to all matters relating to the laws of the State of New York upon the opinion of Davis Polk &amp; Wardwell LLP.</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With respect to the matters set forth in (b)(vii) and (c)(xi)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52" w:name="page53"/>
    <w:bookmarkEnd w:id="52"/>
    <w:p>
      <w:pPr>
        <w:ind w:right="260" w:firstLine="443"/>
        <w:spacing w:after="0" w:line="256" w:lineRule="auto"/>
        <w:tabs>
          <w:tab w:leader="none" w:pos="677"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62" w:lineRule="exact"/>
        <w:rPr>
          <w:rFonts w:ascii="Arial" w:cs="Arial" w:eastAsia="Arial" w:hAnsi="Arial"/>
          <w:sz w:val="18"/>
          <w:szCs w:val="18"/>
          <w:color w:val="auto"/>
        </w:rPr>
      </w:pPr>
    </w:p>
    <w:p>
      <w:pPr>
        <w:ind w:right="80" w:firstLine="443"/>
        <w:spacing w:after="0" w:line="298" w:lineRule="auto"/>
        <w:tabs>
          <w:tab w:leader="none" w:pos="657"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used in Rule 15c3-1(c)(2)(vi)(F) under the Exchange Act, that, in the Manager’s judgment, is material and adverse.</w:t>
      </w:r>
    </w:p>
    <w:p>
      <w:pPr>
        <w:spacing w:after="0" w:line="31" w:lineRule="exact"/>
        <w:rPr>
          <w:rFonts w:ascii="Arial" w:cs="Arial" w:eastAsia="Arial" w:hAnsi="Arial"/>
          <w:sz w:val="16"/>
          <w:szCs w:val="16"/>
          <w:color w:val="auto"/>
        </w:rPr>
      </w:pPr>
    </w:p>
    <w:p>
      <w:pPr>
        <w:ind w:firstLine="443"/>
        <w:spacing w:after="0" w:line="256" w:lineRule="auto"/>
        <w:tabs>
          <w:tab w:leader="none" w:pos="68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29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90" w:lineRule="exact"/>
        <w:rPr>
          <w:sz w:val="20"/>
          <w:szCs w:val="20"/>
          <w:color w:val="auto"/>
        </w:rPr>
      </w:pPr>
    </w:p>
    <w:p>
      <w:pPr>
        <w:ind w:right="60" w:firstLine="443"/>
        <w:spacing w:after="0" w:line="306" w:lineRule="auto"/>
        <w:tabs>
          <w:tab w:leader="none" w:pos="67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25" w:lineRule="exact"/>
        <w:rPr>
          <w:rFonts w:ascii="Arial" w:cs="Arial" w:eastAsia="Arial" w:hAnsi="Arial"/>
          <w:sz w:val="16"/>
          <w:szCs w:val="16"/>
          <w:color w:val="auto"/>
        </w:rPr>
      </w:pPr>
    </w:p>
    <w:p>
      <w:pPr>
        <w:ind w:right="20" w:firstLine="443"/>
        <w:spacing w:after="0" w:line="306" w:lineRule="auto"/>
        <w:tabs>
          <w:tab w:leader="none" w:pos="687" w:val="left"/>
        </w:tabs>
        <w:numPr>
          <w:ilvl w:val="0"/>
          <w:numId w:val="41"/>
        </w:numPr>
        <w:rPr>
          <w:rFonts w:ascii="Arial" w:cs="Arial" w:eastAsia="Arial" w:hAnsi="Arial"/>
          <w:sz w:val="16"/>
          <w:szCs w:val="16"/>
          <w:color w:val="auto"/>
        </w:rPr>
      </w:pPr>
      <w:r>
        <w:rPr>
          <w:rFonts w:ascii="Arial" w:cs="Arial" w:eastAsia="Arial" w:hAnsi="Arial"/>
          <w:sz w:val="16"/>
          <w:szCs w:val="16"/>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25" w:lineRule="exact"/>
        <w:rPr>
          <w:rFonts w:ascii="Arial" w:cs="Arial" w:eastAsia="Arial" w:hAnsi="Arial"/>
          <w:sz w:val="16"/>
          <w:szCs w:val="16"/>
          <w:color w:val="auto"/>
        </w:rPr>
      </w:pPr>
    </w:p>
    <w:p>
      <w:pPr>
        <w:ind w:right="80" w:firstLine="443"/>
        <w:spacing w:after="0" w:line="268" w:lineRule="auto"/>
        <w:tabs>
          <w:tab w:leader="none" w:pos="677"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700" w:top="280" w:right="299" w:bottom="1440" w:gutter="0" w:footer="0" w:header="0"/>
        </w:sectPr>
      </w:pPr>
    </w:p>
    <w:bookmarkStart w:id="53" w:name="page54"/>
    <w:bookmarkEnd w:id="53"/>
    <w:p>
      <w:pPr>
        <w:ind w:right="260" w:firstLine="443"/>
        <w:spacing w:after="0" w:line="259" w:lineRule="auto"/>
        <w:tabs>
          <w:tab w:leader="none" w:pos="687"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59" w:lineRule="exact"/>
        <w:rPr>
          <w:rFonts w:ascii="Arial" w:cs="Arial" w:eastAsia="Arial" w:hAnsi="Arial"/>
          <w:sz w:val="18"/>
          <w:szCs w:val="18"/>
          <w:color w:val="auto"/>
        </w:rPr>
      </w:pPr>
    </w:p>
    <w:p>
      <w:pPr>
        <w:ind w:firstLine="443"/>
        <w:spacing w:after="0" w:line="288" w:lineRule="auto"/>
        <w:tabs>
          <w:tab w:leader="none" w:pos="677"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38" w:lineRule="exact"/>
        <w:rPr>
          <w:rFonts w:ascii="Arial" w:cs="Arial" w:eastAsia="Arial" w:hAnsi="Arial"/>
          <w:sz w:val="16"/>
          <w:szCs w:val="16"/>
          <w:color w:val="auto"/>
        </w:rPr>
      </w:pPr>
    </w:p>
    <w:p>
      <w:pPr>
        <w:ind w:right="80" w:firstLine="443"/>
        <w:spacing w:after="0" w:line="286" w:lineRule="auto"/>
        <w:tabs>
          <w:tab w:leader="none" w:pos="657"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46" w:lineRule="exact"/>
        <w:rPr>
          <w:rFonts w:ascii="Arial" w:cs="Arial" w:eastAsia="Arial" w:hAnsi="Arial"/>
          <w:sz w:val="16"/>
          <w:szCs w:val="16"/>
          <w:color w:val="auto"/>
        </w:rPr>
      </w:pPr>
    </w:p>
    <w:p>
      <w:pPr>
        <w:ind w:right="220" w:firstLine="443"/>
        <w:spacing w:after="0" w:line="332" w:lineRule="auto"/>
        <w:tabs>
          <w:tab w:leader="none" w:pos="68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80" w:right="259" w:bottom="1440" w:gutter="0" w:footer="0" w:header="0"/>
        </w:sectPr>
      </w:pPr>
    </w:p>
    <w:bookmarkStart w:id="54" w:name="page55"/>
    <w:bookmarkEnd w:id="54"/>
    <w:p>
      <w:pPr>
        <w:ind w:right="60" w:firstLine="443"/>
        <w:spacing w:after="0" w:line="298" w:lineRule="auto"/>
        <w:tabs>
          <w:tab w:leader="none" w:pos="687" w:val="left"/>
        </w:tabs>
        <w:numPr>
          <w:ilvl w:val="1"/>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31" w:lineRule="exact"/>
        <w:rPr>
          <w:rFonts w:ascii="Arial" w:cs="Arial" w:eastAsia="Arial" w:hAnsi="Arial"/>
          <w:sz w:val="16"/>
          <w:szCs w:val="16"/>
          <w:color w:val="auto"/>
        </w:rPr>
      </w:pPr>
    </w:p>
    <w:p>
      <w:pPr>
        <w:ind w:right="40" w:firstLine="443"/>
        <w:spacing w:after="0" w:line="305" w:lineRule="auto"/>
        <w:tabs>
          <w:tab w:leader="none" w:pos="648" w:val="left"/>
        </w:tabs>
        <w:numPr>
          <w:ilvl w:val="1"/>
          <w:numId w:val="43"/>
        </w:numPr>
        <w:rPr>
          <w:rFonts w:ascii="Arial" w:cs="Arial" w:eastAsia="Arial" w:hAnsi="Arial"/>
          <w:sz w:val="15"/>
          <w:szCs w:val="15"/>
          <w:color w:val="auto"/>
        </w:rPr>
      </w:pPr>
      <w:r>
        <w:rPr>
          <w:rFonts w:ascii="Arial" w:cs="Arial" w:eastAsia="Arial" w:hAnsi="Arial"/>
          <w:sz w:val="15"/>
          <w:szCs w:val="15"/>
          <w:color w:val="auto"/>
        </w:rPr>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w:t>
      </w:r>
    </w:p>
    <w:p>
      <w:pPr>
        <w:ind w:left="220" w:hanging="216"/>
        <w:spacing w:after="0"/>
        <w:tabs>
          <w:tab w:leader="none" w:pos="2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Offered Securities or (ii) commercial paper issued in the ordinary course of business) without the prior written consent of the Manager.</w:t>
      </w:r>
    </w:p>
    <w:p>
      <w:pPr>
        <w:spacing w:after="0" w:line="106" w:lineRule="exact"/>
        <w:rPr>
          <w:rFonts w:ascii="Arial" w:cs="Arial" w:eastAsia="Arial" w:hAnsi="Arial"/>
          <w:sz w:val="16"/>
          <w:szCs w:val="16"/>
          <w:color w:val="auto"/>
        </w:rPr>
      </w:pPr>
    </w:p>
    <w:p>
      <w:pPr>
        <w:ind w:right="100" w:firstLine="443"/>
        <w:spacing w:after="0" w:line="306" w:lineRule="auto"/>
        <w:tabs>
          <w:tab w:leader="none" w:pos="648" w:val="left"/>
        </w:tabs>
        <w:numPr>
          <w:ilvl w:val="1"/>
          <w:numId w:val="44"/>
        </w:numPr>
        <w:rPr>
          <w:rFonts w:ascii="Arial" w:cs="Arial" w:eastAsia="Arial" w:hAnsi="Arial"/>
          <w:sz w:val="16"/>
          <w:szCs w:val="16"/>
          <w:color w:val="auto"/>
        </w:rPr>
      </w:pPr>
      <w:r>
        <w:rPr>
          <w:rFonts w:ascii="Arial" w:cs="Arial" w:eastAsia="Arial" w:hAnsi="Arial"/>
          <w:sz w:val="16"/>
          <w:szCs w:val="16"/>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25" w:lineRule="exact"/>
        <w:rPr>
          <w:rFonts w:ascii="Arial" w:cs="Arial" w:eastAsia="Arial" w:hAnsi="Arial"/>
          <w:sz w:val="16"/>
          <w:szCs w:val="16"/>
          <w:color w:val="auto"/>
        </w:rPr>
      </w:pPr>
    </w:p>
    <w:p>
      <w:pPr>
        <w:ind w:firstLine="443"/>
        <w:spacing w:after="0" w:line="268" w:lineRule="auto"/>
        <w:tabs>
          <w:tab w:leader="none" w:pos="687"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50" w:lineRule="exact"/>
        <w:rPr>
          <w:rFonts w:ascii="Arial" w:cs="Arial" w:eastAsia="Arial" w:hAnsi="Arial"/>
          <w:sz w:val="18"/>
          <w:szCs w:val="18"/>
          <w:color w:val="auto"/>
        </w:rPr>
      </w:pPr>
    </w:p>
    <w:p>
      <w:pPr>
        <w:ind w:firstLine="443"/>
        <w:spacing w:after="0" w:line="286" w:lineRule="auto"/>
        <w:tabs>
          <w:tab w:leader="none" w:pos="645" w:val="left"/>
        </w:tabs>
        <w:numPr>
          <w:ilvl w:val="1"/>
          <w:numId w:val="44"/>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National Association of Securities Dealers, Inc.; and (ix) all expenses incurred by the Company in connection with any “road show” presentation to potential investors.</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80" w:right="259" w:bottom="1440" w:gutter="0" w:footer="0" w:header="0"/>
        </w:sectPr>
      </w:pPr>
    </w:p>
    <w:bookmarkStart w:id="55" w:name="page56"/>
    <w:bookmarkEnd w:id="55"/>
    <w:p>
      <w:pPr>
        <w:ind w:right="160" w:firstLine="443"/>
        <w:spacing w:after="0" w:line="294" w:lineRule="auto"/>
        <w:tabs>
          <w:tab w:leader="none" w:pos="736"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34" w:lineRule="exact"/>
        <w:rPr>
          <w:rFonts w:ascii="Arial" w:cs="Arial" w:eastAsia="Arial" w:hAnsi="Arial"/>
          <w:sz w:val="16"/>
          <w:szCs w:val="16"/>
          <w:color w:val="auto"/>
        </w:rPr>
      </w:pPr>
    </w:p>
    <w:p>
      <w:pPr>
        <w:ind w:firstLine="443"/>
        <w:spacing w:after="0" w:line="285" w:lineRule="auto"/>
        <w:tabs>
          <w:tab w:leader="none" w:pos="687" w:val="left"/>
        </w:tabs>
        <w:numPr>
          <w:ilvl w:val="0"/>
          <w:numId w:val="45"/>
        </w:numPr>
        <w:rPr>
          <w:rFonts w:ascii="Arial" w:cs="Arial" w:eastAsia="Arial" w:hAnsi="Arial"/>
          <w:sz w:val="16"/>
          <w:szCs w:val="16"/>
          <w:color w:val="auto"/>
        </w:rPr>
      </w:pPr>
      <w:r>
        <w:rPr>
          <w:rFonts w:ascii="Arial" w:cs="Arial" w:eastAsia="Arial" w:hAnsi="Arial"/>
          <w:sz w:val="16"/>
          <w:szCs w:val="16"/>
          <w:color w:val="auto"/>
        </w:rPr>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11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700" w:top="280" w:right="299" w:bottom="1440" w:gutter="0" w:footer="0" w:header="0"/>
        </w:sectPr>
      </w:pPr>
    </w:p>
    <w:bookmarkStart w:id="56" w:name="page57"/>
    <w:bookmarkEnd w:id="56"/>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90" w:lineRule="exact"/>
        <w:rPr>
          <w:sz w:val="20"/>
          <w:szCs w:val="20"/>
          <w:color w:val="auto"/>
        </w:rPr>
      </w:pPr>
    </w:p>
    <w:p>
      <w:pPr>
        <w:ind w:right="80" w:firstLine="443"/>
        <w:spacing w:after="0" w:line="298" w:lineRule="auto"/>
        <w:tabs>
          <w:tab w:leader="none" w:pos="67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31" w:lineRule="exact"/>
        <w:rPr>
          <w:rFonts w:ascii="Arial" w:cs="Arial" w:eastAsia="Arial" w:hAnsi="Arial"/>
          <w:sz w:val="16"/>
          <w:szCs w:val="16"/>
          <w:color w:val="auto"/>
        </w:rPr>
      </w:pPr>
    </w:p>
    <w:p>
      <w:pPr>
        <w:ind w:firstLine="443"/>
        <w:spacing w:after="0" w:line="284" w:lineRule="auto"/>
        <w:tabs>
          <w:tab w:leader="none" w:pos="687" w:val="left"/>
        </w:tabs>
        <w:numPr>
          <w:ilvl w:val="0"/>
          <w:numId w:val="46"/>
        </w:numPr>
        <w:rPr>
          <w:rFonts w:ascii="Arial" w:cs="Arial" w:eastAsia="Arial" w:hAnsi="Arial"/>
          <w:sz w:val="16"/>
          <w:szCs w:val="16"/>
          <w:color w:val="auto"/>
        </w:rPr>
      </w:pPr>
      <w:r>
        <w:rPr>
          <w:rFonts w:ascii="Arial" w:cs="Arial" w:eastAsia="Arial" w:hAnsi="Arial"/>
          <w:sz w:val="16"/>
          <w:szCs w:val="16"/>
          <w:color w:val="auto"/>
        </w:rPr>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700" w:top="274" w:right="259" w:bottom="1440" w:gutter="0" w:footer="0" w:header="0"/>
        </w:sectPr>
      </w:pPr>
    </w:p>
    <w:bookmarkStart w:id="57" w:name="page58"/>
    <w:bookmarkEnd w:id="57"/>
    <w:p>
      <w:pPr>
        <w:ind w:firstLine="443"/>
        <w:spacing w:after="0" w:line="289" w:lineRule="auto"/>
        <w:tabs>
          <w:tab w:leader="none" w:pos="677"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37" w:lineRule="exact"/>
        <w:rPr>
          <w:rFonts w:ascii="Arial" w:cs="Arial" w:eastAsia="Arial" w:hAnsi="Arial"/>
          <w:sz w:val="16"/>
          <w:szCs w:val="16"/>
          <w:color w:val="auto"/>
        </w:rPr>
      </w:pPr>
    </w:p>
    <w:p>
      <w:pPr>
        <w:ind w:right="120" w:firstLine="443"/>
        <w:spacing w:after="0" w:line="255" w:lineRule="auto"/>
        <w:tabs>
          <w:tab w:leader="none" w:pos="68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61" w:lineRule="exact"/>
        <w:rPr>
          <w:rFonts w:ascii="Arial" w:cs="Arial" w:eastAsia="Arial" w:hAnsi="Arial"/>
          <w:sz w:val="18"/>
          <w:szCs w:val="18"/>
          <w:color w:val="auto"/>
        </w:rPr>
      </w:pPr>
    </w:p>
    <w:p>
      <w:pPr>
        <w:jc w:val="both"/>
        <w:ind w:right="200" w:firstLine="443"/>
        <w:spacing w:after="0" w:line="259" w:lineRule="auto"/>
        <w:tabs>
          <w:tab w:leader="none" w:pos="677"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59" w:lineRule="exact"/>
        <w:rPr>
          <w:rFonts w:ascii="Arial" w:cs="Arial" w:eastAsia="Arial" w:hAnsi="Arial"/>
          <w:sz w:val="18"/>
          <w:szCs w:val="18"/>
          <w:color w:val="auto"/>
        </w:rPr>
      </w:pPr>
    </w:p>
    <w:p>
      <w:pPr>
        <w:ind w:right="60" w:firstLine="443"/>
        <w:spacing w:after="0" w:line="254" w:lineRule="auto"/>
        <w:tabs>
          <w:tab w:leader="none" w:pos="657"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700" w:top="280" w:right="259" w:bottom="1440" w:gutter="0" w:footer="0" w:header="0"/>
        </w:sectPr>
      </w:pPr>
    </w:p>
    <w:bookmarkStart w:id="58" w:name="page59"/>
    <w:bookmarkEnd w:id="58"/>
    <w:p>
      <w:pPr>
        <w:ind w:right="20" w:firstLine="443"/>
        <w:spacing w:after="0" w:line="255" w:lineRule="auto"/>
        <w:tabs>
          <w:tab w:leader="none" w:pos="687" w:val="left"/>
        </w:tabs>
        <w:numPr>
          <w:ilvl w:val="1"/>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61" w:lineRule="exact"/>
        <w:rPr>
          <w:rFonts w:ascii="Arial" w:cs="Arial" w:eastAsia="Arial" w:hAnsi="Arial"/>
          <w:sz w:val="18"/>
          <w:szCs w:val="18"/>
          <w:color w:val="auto"/>
        </w:rPr>
      </w:pPr>
    </w:p>
    <w:p>
      <w:pPr>
        <w:ind w:firstLine="443"/>
        <w:spacing w:after="0" w:line="255" w:lineRule="auto"/>
        <w:tabs>
          <w:tab w:leader="none" w:pos="687"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Units are Offered Securities, (i)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 (ii) the Unit Agreement has been duly authorized, executed and delivered by, and is a valid and binding agreement of, the Company, enforceable in accordance with its terms, subject to the Enforceability Exceptions.</w:t>
      </w:r>
    </w:p>
    <w:p>
      <w:pPr>
        <w:spacing w:after="0" w:line="61" w:lineRule="exact"/>
        <w:rPr>
          <w:rFonts w:ascii="Arial" w:cs="Arial" w:eastAsia="Arial" w:hAnsi="Arial"/>
          <w:sz w:val="18"/>
          <w:szCs w:val="18"/>
          <w:color w:val="auto"/>
        </w:rPr>
      </w:pPr>
    </w:p>
    <w:p>
      <w:pPr>
        <w:ind w:left="660" w:hanging="217"/>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right="80" w:firstLine="443"/>
        <w:spacing w:after="0" w:line="291" w:lineRule="auto"/>
        <w:tabs>
          <w:tab w:leader="none" w:pos="648"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 (2) above, for any such default or violation that would not, individually or in the aggregate, reasonably be expected to have a material adverse effect on the Company and its subsidiaries, taken as a whole.</w:t>
      </w:r>
    </w:p>
    <w:p>
      <w:pPr>
        <w:spacing w:after="0" w:line="39" w:lineRule="exact"/>
        <w:rPr>
          <w:rFonts w:ascii="Arial" w:cs="Arial" w:eastAsia="Arial" w:hAnsi="Arial"/>
          <w:sz w:val="16"/>
          <w:szCs w:val="16"/>
          <w:color w:val="auto"/>
        </w:rPr>
      </w:pPr>
    </w:p>
    <w:p>
      <w:pPr>
        <w:ind w:right="20" w:firstLine="443"/>
        <w:spacing w:after="0" w:line="305" w:lineRule="auto"/>
        <w:tabs>
          <w:tab w:leader="none" w:pos="687" w:val="left"/>
        </w:tabs>
        <w:numPr>
          <w:ilvl w:val="1"/>
          <w:numId w:val="48"/>
        </w:numPr>
        <w:rPr>
          <w:rFonts w:ascii="Arial" w:cs="Arial" w:eastAsia="Arial" w:hAnsi="Arial"/>
          <w:sz w:val="15"/>
          <w:szCs w:val="15"/>
          <w:color w:val="auto"/>
        </w:rPr>
      </w:pPr>
      <w:r>
        <w:rPr>
          <w:rFonts w:ascii="Arial" w:cs="Arial" w:eastAsia="Arial" w:hAnsi="Arial"/>
          <w:sz w:val="15"/>
          <w:szCs w:val="15"/>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w:t>
      </w:r>
    </w:p>
    <w:p>
      <w:pPr>
        <w:jc w:val="both"/>
        <w:ind w:firstLine="4"/>
        <w:spacing w:after="0" w:line="331" w:lineRule="auto"/>
        <w:tabs>
          <w:tab w:leader="none" w:pos="307"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any agreement or other instrument binding upon the Company or any of its subsidiaries, or (iv) any judgment, order or decree of any governmental body, agency or court having jurisdiction over the Company or any subsidiary of the Company except, in the case of clauses (i), (iii) and (iv) above, as would not, individually or in the aggregate, reasonably be expected to have a material adverse effect on the Company and its subsidiaries, taken as a whole.</w:t>
      </w:r>
    </w:p>
    <w:p>
      <w:pPr>
        <w:spacing w:after="0" w:line="7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700" w:top="280" w:right="279" w:bottom="1440" w:gutter="0" w:footer="0" w:header="0"/>
        </w:sectPr>
      </w:pPr>
    </w:p>
    <w:bookmarkStart w:id="59" w:name="page60"/>
    <w:bookmarkEnd w:id="59"/>
    <w:p>
      <w:pPr>
        <w:ind w:left="460" w:right="160" w:firstLine="443"/>
        <w:spacing w:after="0" w:line="259" w:lineRule="auto"/>
        <w:tabs>
          <w:tab w:leader="none" w:pos="1108"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59" w:lineRule="exact"/>
        <w:rPr>
          <w:rFonts w:ascii="Arial" w:cs="Arial" w:eastAsia="Arial" w:hAnsi="Arial"/>
          <w:sz w:val="18"/>
          <w:szCs w:val="18"/>
          <w:color w:val="auto"/>
        </w:rPr>
      </w:pPr>
    </w:p>
    <w:p>
      <w:pPr>
        <w:ind w:left="460" w:right="220" w:firstLine="443"/>
        <w:spacing w:after="0" w:line="259" w:lineRule="auto"/>
        <w:tabs>
          <w:tab w:leader="none" w:pos="119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59"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34" w:lineRule="exact"/>
        <w:rPr>
          <w:rFonts w:ascii="Arial" w:cs="Arial" w:eastAsia="Arial" w:hAnsi="Arial"/>
          <w:sz w:val="16"/>
          <w:szCs w:val="16"/>
          <w:color w:val="auto"/>
        </w:rPr>
      </w:pPr>
    </w:p>
    <w:p>
      <w:pPr>
        <w:ind w:left="460" w:right="40" w:firstLine="443"/>
        <w:spacing w:after="0" w:line="259" w:lineRule="auto"/>
        <w:tabs>
          <w:tab w:leader="none" w:pos="11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59"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w:t>
      </w:r>
    </w:p>
    <w:p>
      <w:pPr>
        <w:spacing w:after="0" w:line="177" w:lineRule="exact"/>
        <w:rPr>
          <w:sz w:val="20"/>
          <w:szCs w:val="20"/>
          <w:color w:val="auto"/>
        </w:rPr>
      </w:pPr>
    </w:p>
    <w:p>
      <w:pPr>
        <w:ind w:right="320" w:firstLine="456"/>
        <w:spacing w:after="0" w:line="288" w:lineRule="auto"/>
        <w:rPr>
          <w:sz w:val="20"/>
          <w:szCs w:val="20"/>
          <w:color w:val="auto"/>
        </w:rPr>
      </w:pPr>
      <w:r>
        <w:rPr>
          <w:rFonts w:ascii="Arial" w:cs="Arial" w:eastAsia="Arial" w:hAnsi="Arial"/>
          <w:sz w:val="16"/>
          <w:szCs w:val="16"/>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60" w:name="page61"/>
    <w:bookmarkEnd w:id="60"/>
    <w:p>
      <w:pPr>
        <w:ind w:right="3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 Time of Sale Prospectus, any issuer free writing prospectus or the Prospectus or any amendment or supplement thereto.</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61" w:name="page62"/>
    <w:bookmarkEnd w:id="61"/>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 (ii) if the allocation provided by clause (i) above is not permitted by applicable law, such proportion as is appropriate to reflect not only the relative benefits referred to in clause (i) above but also the relative fault of the Company on the one hand 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80" w:right="279" w:bottom="1440" w:gutter="0" w:footer="0" w:header="0"/>
        </w:sectPr>
      </w:pPr>
    </w:p>
    <w:bookmarkStart w:id="62" w:name="page63"/>
    <w:bookmarkEnd w:id="62"/>
    <w:p>
      <w:pPr>
        <w:ind w:left="5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VII.</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90" w:lineRule="exact"/>
        <w:rPr>
          <w:sz w:val="20"/>
          <w:szCs w:val="20"/>
          <w:color w:val="auto"/>
        </w:rPr>
      </w:pPr>
    </w:p>
    <w:p>
      <w:pPr>
        <w:ind w:left="460" w:right="160" w:firstLine="443"/>
        <w:spacing w:after="0" w:line="259" w:lineRule="auto"/>
        <w:tabs>
          <w:tab w:leader="none" w:pos="11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59" w:lineRule="exact"/>
        <w:rPr>
          <w:rFonts w:ascii="Arial" w:cs="Arial" w:eastAsia="Arial" w:hAnsi="Arial"/>
          <w:sz w:val="18"/>
          <w:szCs w:val="18"/>
          <w:color w:val="auto"/>
        </w:rPr>
      </w:pPr>
    </w:p>
    <w:p>
      <w:pPr>
        <w:ind w:left="460" w:right="40" w:firstLine="443"/>
        <w:spacing w:after="0" w:line="291" w:lineRule="auto"/>
        <w:tabs>
          <w:tab w:leader="none" w:pos="1147"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VIII.</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IX.</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2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64" w:name="page65"/>
    <w:bookmarkEnd w:id="64"/>
    <w:p>
      <w:pPr>
        <w:ind w:right="1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32" w:lineRule="exact"/>
        <w:rPr>
          <w:sz w:val="20"/>
          <w:szCs w:val="20"/>
          <w:color w:val="auto"/>
        </w:rPr>
      </w:pPr>
    </w:p>
    <w:p>
      <w:pPr>
        <w:jc w:val="center"/>
        <w:ind w:left="460" w:right="240"/>
        <w:spacing w:after="0" w:line="440"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32</w:t>
      </w:r>
    </w:p>
    <w:p>
      <w:pPr>
        <w:sectPr>
          <w:pgSz w:w="11900" w:h="16838" w:orient="portrait"/>
          <w:cols w:equalWidth="0" w:num="1">
            <w:col w:w="11320"/>
          </w:cols>
          <w:pgMar w:left="240" w:top="280"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5" w:right="239" w:bottom="1440" w:gutter="0" w:footer="0" w:header="0"/>
        </w:sectPr>
      </w:pPr>
    </w:p>
    <w:p>
      <w:pPr>
        <w:spacing w:after="0" w:line="232"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New York</w:t>
      </w:r>
    </w:p>
    <w:p>
      <w:pPr>
        <w:ind w:left="7440"/>
        <w:spacing w:after="0" w:line="226" w:lineRule="auto"/>
        <w:rPr>
          <w:sz w:val="20"/>
          <w:szCs w:val="20"/>
          <w:color w:val="auto"/>
        </w:rPr>
      </w:pPr>
      <w:r>
        <w:rPr>
          <w:rFonts w:ascii="Arial" w:cs="Arial" w:eastAsia="Arial" w:hAnsi="Arial"/>
          <w:sz w:val="14"/>
          <w:szCs w:val="14"/>
          <w:b w:val="1"/>
          <w:bCs w:val="1"/>
          <w:color w:val="auto"/>
        </w:rPr>
        <w:t>Menlo Park</w:t>
      </w:r>
    </w:p>
    <w:p>
      <w:pPr>
        <w:spacing w:after="0" w:line="1" w:lineRule="exact"/>
        <w:rPr>
          <w:sz w:val="20"/>
          <w:szCs w:val="20"/>
          <w:color w:val="auto"/>
        </w:rPr>
      </w:pPr>
    </w:p>
    <w:p>
      <w:pPr>
        <w:ind w:left="7440"/>
        <w:spacing w:after="0"/>
        <w:rPr>
          <w:sz w:val="20"/>
          <w:szCs w:val="20"/>
          <w:color w:val="auto"/>
        </w:rPr>
      </w:pPr>
      <w:r>
        <w:rPr>
          <w:rFonts w:ascii="Arial" w:cs="Arial" w:eastAsia="Arial" w:hAnsi="Arial"/>
          <w:sz w:val="12"/>
          <w:szCs w:val="12"/>
          <w:b w:val="1"/>
          <w:bCs w:val="1"/>
          <w:color w:val="auto"/>
        </w:rPr>
        <w:t>Washington DC</w:t>
      </w:r>
    </w:p>
    <w:p>
      <w:pPr>
        <w:ind w:left="7440"/>
        <w:spacing w:after="0" w:line="237" w:lineRule="auto"/>
        <w:rPr>
          <w:sz w:val="20"/>
          <w:szCs w:val="20"/>
          <w:color w:val="auto"/>
        </w:rPr>
      </w:pPr>
      <w:r>
        <w:rPr>
          <w:rFonts w:ascii="Arial" w:cs="Arial" w:eastAsia="Arial" w:hAnsi="Arial"/>
          <w:sz w:val="14"/>
          <w:szCs w:val="14"/>
          <w:b w:val="1"/>
          <w:bCs w:val="1"/>
          <w:color w:val="auto"/>
        </w:rPr>
        <w:t>São Paulo</w:t>
      </w:r>
    </w:p>
    <w:p>
      <w:pPr>
        <w:ind w:left="7440"/>
        <w:spacing w:after="0"/>
        <w:rPr>
          <w:sz w:val="20"/>
          <w:szCs w:val="20"/>
          <w:color w:val="auto"/>
        </w:rPr>
      </w:pPr>
      <w:r>
        <w:rPr>
          <w:rFonts w:ascii="Arial" w:cs="Arial" w:eastAsia="Arial" w:hAnsi="Arial"/>
          <w:sz w:val="14"/>
          <w:szCs w:val="14"/>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157605" cy="2660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57605"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Paris</w:t>
      </w:r>
    </w:p>
    <w:p>
      <w:pPr>
        <w:spacing w:after="0" w:line="226" w:lineRule="auto"/>
        <w:rPr>
          <w:sz w:val="20"/>
          <w:szCs w:val="20"/>
          <w:color w:val="auto"/>
        </w:rPr>
      </w:pPr>
      <w:r>
        <w:rPr>
          <w:rFonts w:ascii="Arial" w:cs="Arial" w:eastAsia="Arial" w:hAnsi="Arial"/>
          <w:sz w:val="14"/>
          <w:szCs w:val="14"/>
          <w:b w:val="1"/>
          <w:bCs w:val="1"/>
          <w:color w:val="auto"/>
        </w:rPr>
        <w:t>Madrid</w:t>
      </w:r>
    </w:p>
    <w:p>
      <w:pPr>
        <w:spacing w:after="0" w:line="222" w:lineRule="auto"/>
        <w:rPr>
          <w:sz w:val="20"/>
          <w:szCs w:val="20"/>
          <w:color w:val="auto"/>
        </w:rPr>
      </w:pPr>
      <w:r>
        <w:rPr>
          <w:rFonts w:ascii="Arial" w:cs="Arial" w:eastAsia="Arial" w:hAnsi="Arial"/>
          <w:sz w:val="14"/>
          <w:szCs w:val="14"/>
          <w:b w:val="1"/>
          <w:bCs w:val="1"/>
          <w:color w:val="auto"/>
        </w:rPr>
        <w:t>Tokyo</w:t>
      </w:r>
    </w:p>
    <w:p>
      <w:pPr>
        <w:spacing w:after="0" w:line="221" w:lineRule="auto"/>
        <w:rPr>
          <w:sz w:val="20"/>
          <w:szCs w:val="20"/>
          <w:color w:val="auto"/>
        </w:rPr>
      </w:pPr>
      <w:r>
        <w:rPr>
          <w:rFonts w:ascii="Arial" w:cs="Arial" w:eastAsia="Arial" w:hAnsi="Arial"/>
          <w:sz w:val="14"/>
          <w:szCs w:val="14"/>
          <w:b w:val="1"/>
          <w:bCs w:val="1"/>
          <w:color w:val="auto"/>
        </w:rPr>
        <w:t>Beijing</w:t>
      </w:r>
    </w:p>
    <w:p>
      <w:pPr>
        <w:spacing w:after="0"/>
        <w:rPr>
          <w:sz w:val="20"/>
          <w:szCs w:val="20"/>
          <w:color w:val="auto"/>
        </w:rPr>
      </w:pPr>
      <w:r>
        <w:rPr>
          <w:rFonts w:ascii="Arial" w:cs="Arial" w:eastAsia="Arial" w:hAnsi="Arial"/>
          <w:sz w:val="12"/>
          <w:szCs w:val="12"/>
          <w:b w:val="1"/>
          <w:bCs w:val="1"/>
          <w:color w:val="auto"/>
        </w:rPr>
        <w:t>Hong Kong</w:t>
      </w:r>
    </w:p>
    <w:p>
      <w:pPr>
        <w:spacing w:after="0" w:line="223" w:lineRule="exact"/>
        <w:rPr>
          <w:sz w:val="20"/>
          <w:szCs w:val="20"/>
          <w:color w:val="auto"/>
        </w:rPr>
      </w:pPr>
    </w:p>
    <w:p>
      <w:pPr>
        <w:sectPr>
          <w:pgSz w:w="11900" w:h="16838" w:orient="portrait"/>
          <w:cols w:equalWidth="0" w:num="2">
            <w:col w:w="8480" w:space="720"/>
            <w:col w:w="2220"/>
          </w:cols>
          <w:pgMar w:left="240" w:top="125" w:right="239" w:bottom="1440" w:gutter="0" w:footer="0" w:header="0"/>
          <w:type w:val="continuous"/>
        </w:sectPr>
      </w:pP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20"/>
                <w:szCs w:val="20"/>
                <w:color w:val="auto"/>
              </w:rPr>
            </w:pPr>
            <w:r>
              <w:rPr>
                <w:rFonts w:ascii="Arial" w:cs="Arial" w:eastAsia="Arial" w:hAnsi="Arial"/>
                <w:sz w:val="14"/>
                <w:szCs w:val="14"/>
                <w:color w:val="auto"/>
              </w:rPr>
              <w:t xml:space="preserve">Davis Polk &amp; Wardwell </w:t>
            </w:r>
            <w:r>
              <w:rPr>
                <w:rFonts w:ascii="Arial" w:cs="Arial" w:eastAsia="Arial" w:hAnsi="Arial"/>
                <w:sz w:val="11"/>
                <w:szCs w:val="11"/>
                <w:color w:val="auto"/>
              </w:rPr>
              <w:t>LLP</w:t>
            </w:r>
          </w:p>
        </w:tc>
        <w:tc>
          <w:tcPr>
            <w:tcW w:w="1500" w:type="dxa"/>
            <w:vAlign w:val="bottom"/>
          </w:tcPr>
          <w:p>
            <w:pPr>
              <w:ind w:left="460"/>
              <w:spacing w:after="0"/>
              <w:rPr>
                <w:sz w:val="20"/>
                <w:szCs w:val="20"/>
                <w:color w:val="auto"/>
              </w:rPr>
            </w:pPr>
            <w:r>
              <w:rPr>
                <w:rFonts w:ascii="Arial" w:cs="Arial" w:eastAsia="Arial" w:hAnsi="Arial"/>
                <w:sz w:val="14"/>
                <w:szCs w:val="14"/>
                <w:color w:val="auto"/>
                <w:w w:val="97"/>
              </w:rPr>
              <w:t>650 752 2000 tel</w:t>
            </w:r>
          </w:p>
        </w:tc>
      </w:tr>
      <w:tr>
        <w:trPr>
          <w:trHeight w:val="149"/>
        </w:trPr>
        <w:tc>
          <w:tcPr>
            <w:tcW w:w="2060" w:type="dxa"/>
            <w:vAlign w:val="bottom"/>
          </w:tcPr>
          <w:p>
            <w:pPr>
              <w:spacing w:after="0" w:line="149" w:lineRule="exact"/>
              <w:rPr>
                <w:sz w:val="20"/>
                <w:szCs w:val="20"/>
                <w:color w:val="auto"/>
              </w:rPr>
            </w:pPr>
            <w:r>
              <w:rPr>
                <w:rFonts w:ascii="Arial" w:cs="Arial" w:eastAsia="Arial" w:hAnsi="Arial"/>
                <w:sz w:val="14"/>
                <w:szCs w:val="14"/>
                <w:color w:val="auto"/>
              </w:rPr>
              <w:t>1600 El Camino Real</w:t>
            </w:r>
          </w:p>
        </w:tc>
        <w:tc>
          <w:tcPr>
            <w:tcW w:w="1500" w:type="dxa"/>
            <w:vAlign w:val="bottom"/>
          </w:tcPr>
          <w:p>
            <w:pPr>
              <w:ind w:left="460"/>
              <w:spacing w:after="0" w:line="149" w:lineRule="exact"/>
              <w:rPr>
                <w:sz w:val="20"/>
                <w:szCs w:val="20"/>
                <w:color w:val="auto"/>
              </w:rPr>
            </w:pPr>
            <w:r>
              <w:rPr>
                <w:rFonts w:ascii="Arial" w:cs="Arial" w:eastAsia="Arial" w:hAnsi="Arial"/>
                <w:sz w:val="14"/>
                <w:szCs w:val="14"/>
                <w:color w:val="auto"/>
                <w:w w:val="94"/>
              </w:rPr>
              <w:t>650 752 2111 fax</w:t>
            </w:r>
          </w:p>
        </w:tc>
      </w:tr>
      <w:tr>
        <w:trPr>
          <w:trHeight w:val="162"/>
        </w:trPr>
        <w:tc>
          <w:tcPr>
            <w:tcW w:w="2060" w:type="dxa"/>
            <w:vAlign w:val="bottom"/>
          </w:tcPr>
          <w:p>
            <w:pPr>
              <w:spacing w:after="0"/>
              <w:rPr>
                <w:sz w:val="20"/>
                <w:szCs w:val="20"/>
                <w:color w:val="auto"/>
              </w:rPr>
            </w:pPr>
            <w:r>
              <w:rPr>
                <w:rFonts w:ascii="Arial" w:cs="Arial" w:eastAsia="Arial" w:hAnsi="Arial"/>
                <w:sz w:val="14"/>
                <w:szCs w:val="14"/>
                <w:color w:val="auto"/>
              </w:rPr>
              <w:t>Menlo Park, CA 94025</w:t>
            </w:r>
          </w:p>
        </w:tc>
        <w:tc>
          <w:tcPr>
            <w:tcW w:w="1500" w:type="dxa"/>
            <w:vAlign w:val="bottom"/>
          </w:tcPr>
          <w:p>
            <w:pPr>
              <w:spacing w:after="0"/>
              <w:rPr>
                <w:sz w:val="14"/>
                <w:szCs w:val="14"/>
                <w:color w:val="auto"/>
              </w:rPr>
            </w:pPr>
          </w:p>
        </w:tc>
      </w:tr>
    </w:tbl>
    <w:p>
      <w:pPr>
        <w:spacing w:after="0" w:line="222" w:lineRule="exact"/>
        <w:rPr>
          <w:sz w:val="20"/>
          <w:szCs w:val="20"/>
          <w:color w:val="auto"/>
        </w:rPr>
      </w:pPr>
    </w:p>
    <w:p>
      <w:pPr>
        <w:ind w:left="10120"/>
        <w:spacing w:after="0"/>
        <w:rPr>
          <w:sz w:val="20"/>
          <w:szCs w:val="20"/>
          <w:color w:val="auto"/>
        </w:rPr>
      </w:pPr>
      <w:r>
        <w:rPr>
          <w:rFonts w:ascii="Arial" w:cs="Arial" w:eastAsia="Arial" w:hAnsi="Arial"/>
          <w:sz w:val="15"/>
          <w:szCs w:val="15"/>
          <w:color w:val="auto"/>
        </w:rPr>
        <w:t>February 22, 2013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75266-0199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8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is filing with the Securities and Exchange Commission a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purpose 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 shares of common stock, par value $1.00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Company; (b) shares of preferred stock, par value $25.00 per share (the “</w:t>
      </w:r>
      <w:r>
        <w:rPr>
          <w:rFonts w:ascii="Arial" w:cs="Arial" w:eastAsia="Arial" w:hAnsi="Arial"/>
          <w:sz w:val="16"/>
          <w:szCs w:val="16"/>
          <w:b w:val="1"/>
          <w:bCs w:val="1"/>
          <w:color w:val="auto"/>
        </w:rPr>
        <w:t>Preferred</w:t>
      </w:r>
      <w:r>
        <w:rPr>
          <w:rFonts w:ascii="Arial" w:cs="Arial" w:eastAsia="Arial" w:hAnsi="Arial"/>
          <w:sz w:val="16"/>
          <w:szCs w:val="16"/>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of the Company; (c) the Company’s debt securities (the “</w:t>
      </w:r>
      <w:r>
        <w:rPr>
          <w:rFonts w:ascii="Arial" w:cs="Arial" w:eastAsia="Arial" w:hAnsi="Arial"/>
          <w:sz w:val="16"/>
          <w:szCs w:val="16"/>
          <w:b w:val="1"/>
          <w:bCs w:val="1"/>
          <w:color w:val="auto"/>
        </w:rPr>
        <w:t>Debt Securities</w:t>
      </w:r>
      <w:r>
        <w:rPr>
          <w:rFonts w:ascii="Arial" w:cs="Arial" w:eastAsia="Arial" w:hAnsi="Arial"/>
          <w:sz w:val="16"/>
          <w:szCs w:val="16"/>
          <w:color w:val="auto"/>
        </w:rPr>
        <w:t>”), which may be issued pursuant to an indenture dated May 23, 2011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U.S. Bank National Association, a National Association, as trustee (the “</w:t>
      </w:r>
      <w:r>
        <w:rPr>
          <w:rFonts w:ascii="Arial" w:cs="Arial" w:eastAsia="Arial" w:hAnsi="Arial"/>
          <w:sz w:val="16"/>
          <w:szCs w:val="16"/>
          <w:b w:val="1"/>
          <w:bCs w:val="1"/>
          <w:color w:val="auto"/>
        </w:rPr>
        <w:t>Debt Trustee</w:t>
      </w:r>
      <w:r>
        <w:rPr>
          <w:rFonts w:ascii="Arial" w:cs="Arial" w:eastAsia="Arial" w:hAnsi="Arial"/>
          <w:sz w:val="16"/>
          <w:szCs w:val="16"/>
          <w:color w:val="auto"/>
        </w:rPr>
        <w:t>”) (the “</w:t>
      </w:r>
      <w:r>
        <w:rPr>
          <w:rFonts w:ascii="Arial" w:cs="Arial" w:eastAsia="Arial" w:hAnsi="Arial"/>
          <w:sz w:val="16"/>
          <w:szCs w:val="16"/>
          <w:b w:val="1"/>
          <w:bCs w:val="1"/>
          <w:color w:val="auto"/>
        </w:rPr>
        <w:t>Indenture</w:t>
      </w:r>
      <w:r>
        <w:rPr>
          <w:rFonts w:ascii="Arial" w:cs="Arial" w:eastAsia="Arial" w:hAnsi="Arial"/>
          <w:sz w:val="16"/>
          <w:szCs w:val="16"/>
          <w:color w:val="auto"/>
        </w:rPr>
        <w:t>”); (d) Warrants of the Company (the “</w:t>
      </w:r>
      <w:r>
        <w:rPr>
          <w:rFonts w:ascii="Arial" w:cs="Arial" w:eastAsia="Arial" w:hAnsi="Arial"/>
          <w:sz w:val="16"/>
          <w:szCs w:val="16"/>
          <w:b w:val="1"/>
          <w:bCs w:val="1"/>
          <w:color w:val="auto"/>
        </w:rPr>
        <w:t>Warrants</w:t>
      </w:r>
      <w:r>
        <w:rPr>
          <w:rFonts w:ascii="Arial" w:cs="Arial" w:eastAsia="Arial" w:hAnsi="Arial"/>
          <w:sz w:val="16"/>
          <w:szCs w:val="16"/>
          <w:color w:val="auto"/>
        </w:rPr>
        <w:t>”), which may be issued pursuant to a warrant agreement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 between the Company and the warrant agent to be named therein; and (e) Common Stock, Preferred Stock, Debt Securities, and Warrants or any combination thereof that may be offered in the form of units (the “</w:t>
      </w:r>
      <w:r>
        <w:rPr>
          <w:rFonts w:ascii="Arial" w:cs="Arial" w:eastAsia="Arial" w:hAnsi="Arial"/>
          <w:sz w:val="16"/>
          <w:szCs w:val="16"/>
          <w:b w:val="1"/>
          <w:bCs w:val="1"/>
          <w:color w:val="auto"/>
        </w:rPr>
        <w:t>Units</w:t>
      </w:r>
      <w:r>
        <w:rPr>
          <w:rFonts w:ascii="Arial" w:cs="Arial" w:eastAsia="Arial" w:hAnsi="Arial"/>
          <w:sz w:val="16"/>
          <w:szCs w:val="16"/>
          <w:color w:val="auto"/>
        </w:rPr>
        <w:t>”) to be issued under one or more unit agreements to be entered into among the Company, a bank or trust company, as unit agent (the “</w:t>
      </w:r>
      <w:r>
        <w:rPr>
          <w:rFonts w:ascii="Arial" w:cs="Arial" w:eastAsia="Arial" w:hAnsi="Arial"/>
          <w:sz w:val="16"/>
          <w:szCs w:val="16"/>
          <w:b w:val="1"/>
          <w:bCs w:val="1"/>
          <w:color w:val="auto"/>
        </w:rPr>
        <w:t>Unit Agent</w:t>
      </w:r>
      <w:r>
        <w:rPr>
          <w:rFonts w:ascii="Arial" w:cs="Arial" w:eastAsia="Arial" w:hAnsi="Arial"/>
          <w:sz w:val="16"/>
          <w:szCs w:val="16"/>
          <w:color w:val="auto"/>
        </w:rPr>
        <w:t>”), and the holders from time to time of the Units (each such unit agreement, a “</w:t>
      </w:r>
      <w:r>
        <w:rPr>
          <w:rFonts w:ascii="Arial" w:cs="Arial" w:eastAsia="Arial" w:hAnsi="Arial"/>
          <w:sz w:val="16"/>
          <w:szCs w:val="16"/>
          <w:b w:val="1"/>
          <w:bCs w:val="1"/>
          <w:color w:val="auto"/>
        </w:rPr>
        <w:t>Unit Agreement</w:t>
      </w:r>
      <w:r>
        <w:rPr>
          <w:rFonts w:ascii="Arial" w:cs="Arial" w:eastAsia="Arial" w:hAnsi="Arial"/>
          <w:sz w:val="16"/>
          <w:szCs w:val="16"/>
          <w:color w:val="auto"/>
        </w:rPr>
        <w:t>”).</w:t>
      </w:r>
    </w:p>
    <w:p>
      <w:pPr>
        <w:spacing w:after="0" w:line="11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32"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w:t>
      </w:r>
    </w:p>
    <w:p>
      <w:pPr>
        <w:spacing w:after="0" w:line="1" w:lineRule="exact"/>
        <w:rPr>
          <w:sz w:val="20"/>
          <w:szCs w:val="20"/>
          <w:color w:val="auto"/>
        </w:rPr>
      </w:pPr>
    </w:p>
    <w:p>
      <w:pPr>
        <w:ind w:right="20" w:firstLine="8"/>
        <w:spacing w:after="0" w:line="255" w:lineRule="auto"/>
        <w:tabs>
          <w:tab w:leader="none" w:pos="2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we advise you that, in our opinion:</w:t>
      </w:r>
    </w:p>
    <w:p>
      <w:pPr>
        <w:spacing w:after="0" w:line="90" w:lineRule="exact"/>
        <w:rPr>
          <w:sz w:val="20"/>
          <w:szCs w:val="20"/>
          <w:color w:val="auto"/>
        </w:rPr>
      </w:pPr>
    </w:p>
    <w:p>
      <w:pPr>
        <w:ind w:left="900" w:right="140" w:hanging="446"/>
        <w:spacing w:after="0" w:line="256"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When the necessary corporate action on the part of the Company has been taken to authorize the issuance and sale of such shares of Common Stock proposed to be sold by the Company, and when such shares of Common Stock are issued and delivered in accordance with the applicable underwriting or other agreement against payment therefor (in excess of par value thereof) or upon conversion or exercise of any security offered under the Registration</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tabs>
          <w:tab w:leader="none" w:pos="5900" w:val="left"/>
          <w:tab w:leader="none" w:pos="10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February 22, 2013</w:t>
      </w:r>
    </w:p>
    <w:p>
      <w:pPr>
        <w:spacing w:after="0" w:line="84" w:lineRule="exact"/>
        <w:rPr>
          <w:sz w:val="20"/>
          <w:szCs w:val="20"/>
          <w:color w:val="auto"/>
        </w:rPr>
      </w:pPr>
    </w:p>
    <w:p>
      <w:pPr>
        <w:jc w:val="both"/>
        <w:ind w:left="1500" w:right="200"/>
        <w:spacing w:after="0" w:line="258" w:lineRule="auto"/>
        <w:rPr>
          <w:sz w:val="20"/>
          <w:szCs w:val="20"/>
          <w:color w:val="auto"/>
        </w:rPr>
      </w:pPr>
      <w:r>
        <w:rPr>
          <w:rFonts w:ascii="Arial" w:cs="Arial" w:eastAsia="Arial" w:hAnsi="Arial"/>
          <w:sz w:val="18"/>
          <w:szCs w:val="18"/>
          <w:color w:val="auto"/>
        </w:rPr>
        <w:t>Statement (the “</w:t>
      </w:r>
      <w:r>
        <w:rPr>
          <w:rFonts w:ascii="Arial" w:cs="Arial" w:eastAsia="Arial" w:hAnsi="Arial"/>
          <w:sz w:val="18"/>
          <w:szCs w:val="18"/>
          <w:b w:val="1"/>
          <w:bCs w:val="1"/>
          <w:color w:val="auto"/>
        </w:rPr>
        <w:t>Offered Security</w:t>
      </w:r>
      <w:r>
        <w:rPr>
          <w:rFonts w:ascii="Arial" w:cs="Arial" w:eastAsia="Arial" w:hAnsi="Arial"/>
          <w:sz w:val="18"/>
          <w:szCs w:val="18"/>
          <w:color w:val="auto"/>
        </w:rPr>
        <w:t>”), in accordance with terms of such Offered Security or the instrument governing such Offered Security providing for such conversion or exercise as approved by the Board of Directors, for the consideration approved by the Board of Directors (which consideration is not less than the par value of the Common Stock), such shares of Common Stock will be validly issued, fully-paid and non-assessable.</w:t>
      </w:r>
    </w:p>
    <w:p>
      <w:pPr>
        <w:spacing w:after="0" w:line="61" w:lineRule="exact"/>
        <w:rPr>
          <w:sz w:val="20"/>
          <w:szCs w:val="20"/>
          <w:color w:val="auto"/>
        </w:rPr>
      </w:pPr>
    </w:p>
    <w:p>
      <w:pPr>
        <w:ind w:left="1480" w:right="180" w:hanging="567"/>
        <w:spacing w:after="0" w:line="291" w:lineRule="auto"/>
        <w:tabs>
          <w:tab w:leader="none" w:pos="1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Upon designation of the relative rights, preferences and limitations of any series of Preferred Stock by the Board of Directors of the Company and the proper filing with the Secretary of State of the State of Delaware of a Certificate of Designation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(in excess of par value thereof), such shares of Preferred Stock will be validly issued, fully paid and non-assessable.</w:t>
      </w:r>
    </w:p>
    <w:p>
      <w:pPr>
        <w:spacing w:after="0" w:line="39" w:lineRule="exact"/>
        <w:rPr>
          <w:rFonts w:ascii="Arial" w:cs="Arial" w:eastAsia="Arial" w:hAnsi="Arial"/>
          <w:sz w:val="16"/>
          <w:szCs w:val="16"/>
          <w:color w:val="auto"/>
        </w:rPr>
      </w:pPr>
    </w:p>
    <w:p>
      <w:pPr>
        <w:ind w:left="1480" w:hanging="567"/>
        <w:spacing w:after="0" w:line="290" w:lineRule="auto"/>
        <w:tabs>
          <w:tab w:leader="none" w:pos="1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Assuming the Indenture has been duly authorized, executed and delivered by the Trustee, and when any supplemental indenture to be entered into in connection with the issuance of any Debt Securities has been duly authorized, executed and delivered by the Trustee and the Company; the specific terms of a particular series of Debt Securities have been duly authorized and established in accordance with the Indenture; and such Debt Securities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37" w:lineRule="exact"/>
        <w:rPr>
          <w:rFonts w:ascii="Arial" w:cs="Arial" w:eastAsia="Arial" w:hAnsi="Arial"/>
          <w:sz w:val="16"/>
          <w:szCs w:val="16"/>
          <w:color w:val="auto"/>
        </w:rPr>
      </w:pPr>
    </w:p>
    <w:p>
      <w:pPr>
        <w:ind w:left="1480" w:right="60" w:hanging="567"/>
        <w:spacing w:after="0" w:line="291" w:lineRule="auto"/>
        <w:tabs>
          <w:tab w:leader="none" w:pos="1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39" w:lineRule="exact"/>
        <w:rPr>
          <w:rFonts w:ascii="Arial" w:cs="Arial" w:eastAsia="Arial" w:hAnsi="Arial"/>
          <w:sz w:val="16"/>
          <w:szCs w:val="16"/>
          <w:color w:val="auto"/>
        </w:rPr>
      </w:pPr>
    </w:p>
    <w:p>
      <w:pPr>
        <w:ind w:left="1480" w:right="160" w:hanging="567"/>
        <w:spacing w:after="0" w:line="291" w:lineRule="auto"/>
        <w:tabs>
          <w:tab w:leader="none" w:pos="1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connection with the opinions expressed above, we have assumed that, at or prior to the time of the delivery of any such security, (i) the Board of Directors shall have duly established the terms of such security and duly authorized the issuance and sale of such security and such authorization shall not have been modified or rescinded; (ii) the Company shall remain validly existing as a corporation in good standing under the laws of the State of Delaware; (iii) the Registration Statement shall have become effective and such effectiveness shall not have been terminated or rescinded; (iv) the Indenture and the Debt Securities shall be valid, binding and</w:t>
      </w:r>
    </w:p>
    <w:p>
      <w:pPr>
        <w:sectPr>
          <w:pgSz w:w="11900" w:h="16838" w:orient="portrait"/>
          <w:cols w:equalWidth="0" w:num="1">
            <w:col w:w="11420"/>
          </w:cols>
          <w:pgMar w:left="240" w:top="280" w:right="239" w:bottom="1440" w:gutter="0" w:footer="0" w:header="0"/>
        </w:sectPr>
      </w:pPr>
    </w:p>
    <w:bookmarkStart w:id="67" w:name="page68"/>
    <w:bookmarkEnd w:id="67"/>
    <w:p>
      <w:pPr>
        <w:spacing w:after="0"/>
        <w:tabs>
          <w:tab w:leader="none" w:pos="5900" w:val="left"/>
          <w:tab w:leader="none" w:pos="10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Texas Instruments Incorporated</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5"/>
          <w:szCs w:val="15"/>
          <w:color w:val="auto"/>
        </w:rPr>
        <w:t>February 22, 2013</w:t>
      </w:r>
    </w:p>
    <w:p>
      <w:pPr>
        <w:spacing w:after="0" w:line="1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enforceable agreements of each party thereto (other than as expressly covered above in respect of the Company); and (v) there shall not have occurred any change in law affecting the validity or enforceability of such security. We have also assumed that the execution, delivery and performance by the Company of any security whose terms are established subsequent to the date hereof (a) require no action by or in respect of, or filing with, any governmental body, agency or official and (b) do not contravene, or constitute a default under, any public policy, any provision of applicable law or regulation or any judgment, injunction, order or decree or any agreement or other instrument binding upon the Company.</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members of the Bars of the State of New York and the State of California and the foregoing opinion is limited to the laws of the State of New York and the General Corporation Law of the State of Delaware.</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“Validity of Securities” in the prospectus, which is a part of the Registration Statement. In giving this consent, we do not admit that we are in the category of persons whose consent is required under Section 7 of the Securities Act.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DAVIS POLK &amp; WARDWELL LLP</w:t>
      </w:r>
    </w:p>
    <w:p>
      <w:pPr>
        <w:sectPr>
          <w:pgSz w:w="11900" w:h="16838" w:orient="portrait"/>
          <w:cols w:equalWidth="0" w:num="1">
            <w:col w:w="11420"/>
          </w:cols>
          <w:pgMar w:left="240" w:top="2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S-3) and related Prospectus of Texas Instruments Incorporated for the registration of common stock, preferred stock, debt securities, warrants, and units and to the incorporation by reference therein of our reports dated February 22, 2013, with respect to the consolidated financial statements of Texas Instruments Incorporated and the effectiveness of internal control over financial reporting of Texas Instruments Incorporated, incorporated by reference in its Annual Report (Form 10-K) for the year ended December 31, 2012 filed with the Securities and Exchange Commission.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line="230" w:lineRule="auto"/>
        <w:rPr>
          <w:sz w:val="20"/>
          <w:szCs w:val="20"/>
          <w:color w:val="auto"/>
        </w:rPr>
      </w:pPr>
      <w:r>
        <w:rPr>
          <w:rFonts w:ascii="Arial" w:cs="Arial" w:eastAsia="Arial" w:hAnsi="Arial"/>
          <w:sz w:val="22"/>
          <w:szCs w:val="22"/>
          <w:b w:val="1"/>
          <w:bCs w:val="1"/>
          <w:color w:val="auto"/>
        </w:rPr>
        <w:t>CORPORATION DESIGNATED TO ACT AS TRUSTEE</w:t>
      </w:r>
    </w:p>
    <w:p>
      <w:pPr>
        <w:jc w:val="center"/>
        <w:spacing w:after="0" w:line="231" w:lineRule="auto"/>
        <w:rPr>
          <w:sz w:val="20"/>
          <w:szCs w:val="20"/>
          <w:color w:val="auto"/>
        </w:rPr>
      </w:pPr>
      <w:r>
        <w:rPr>
          <w:rFonts w:ascii="Arial" w:cs="Arial" w:eastAsia="Arial" w:hAnsi="Arial"/>
          <w:sz w:val="22"/>
          <w:szCs w:val="22"/>
          <w:color w:val="auto"/>
        </w:rPr>
        <w:t>Check if an Application to Determine Eligibility of</w:t>
      </w:r>
    </w:p>
    <w:p>
      <w:pPr>
        <w:jc w:val="center"/>
        <w:spacing w:after="0"/>
        <w:rPr>
          <w:sz w:val="20"/>
          <w:szCs w:val="20"/>
          <w:color w:val="auto"/>
        </w:rPr>
      </w:pPr>
      <w:r>
        <w:rPr>
          <w:rFonts w:ascii="Arial" w:cs="Arial" w:eastAsia="Arial" w:hAnsi="Arial"/>
          <w:sz w:val="22"/>
          <w:szCs w:val="22"/>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31-0841368</w:t>
            </w:r>
          </w:p>
        </w:tc>
        <w:tc>
          <w:tcPr>
            <w:tcW w:w="86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174"/>
        </w:trPr>
        <w:tc>
          <w:tcPr>
            <w:tcW w:w="4520" w:type="dxa"/>
            <w:vAlign w:val="bottom"/>
          </w:tcPr>
          <w:p>
            <w:pPr>
              <w:spacing w:after="0"/>
              <w:rPr>
                <w:sz w:val="15"/>
                <w:szCs w:val="15"/>
                <w:color w:val="auto"/>
              </w:rPr>
            </w:pPr>
          </w:p>
        </w:tc>
        <w:tc>
          <w:tcPr>
            <w:tcW w:w="32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9"/>
              </w:rPr>
              <w:t>I.R.S. Employer Identification No.</w:t>
            </w:r>
          </w:p>
        </w:tc>
        <w:tc>
          <w:tcPr>
            <w:tcW w:w="3660" w:type="dxa"/>
            <w:vAlign w:val="bottom"/>
          </w:tcPr>
          <w:p>
            <w:pPr>
              <w:spacing w:after="0"/>
              <w:rPr>
                <w:sz w:val="15"/>
                <w:szCs w:val="15"/>
                <w:color w:val="auto"/>
              </w:rPr>
            </w:pPr>
          </w:p>
        </w:tc>
      </w:tr>
      <w:tr>
        <w:trPr>
          <w:trHeight w:val="391"/>
        </w:trPr>
        <w:tc>
          <w:tcPr>
            <w:tcW w:w="776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1"/>
              </w:rPr>
              <w:t>800 Nicollet Mall</w:t>
            </w:r>
          </w:p>
        </w:tc>
        <w:tc>
          <w:tcPr>
            <w:tcW w:w="3660" w:type="dxa"/>
            <w:vAlign w:val="bottom"/>
          </w:tcPr>
          <w:p>
            <w:pPr>
              <w:spacing w:after="0"/>
              <w:rPr>
                <w:sz w:val="24"/>
                <w:szCs w:val="24"/>
                <w:color w:val="auto"/>
              </w:rPr>
            </w:pPr>
          </w:p>
        </w:tc>
      </w:tr>
      <w:tr>
        <w:trPr>
          <w:trHeight w:val="231"/>
        </w:trPr>
        <w:tc>
          <w:tcPr>
            <w:tcW w:w="776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89"/>
              </w:rPr>
              <w:t>Minneapolis, Minnesota</w:t>
            </w:r>
          </w:p>
        </w:tc>
        <w:tc>
          <w:tcPr>
            <w:tcW w:w="3660" w:type="dxa"/>
            <w:vAlign w:val="bottom"/>
          </w:tcPr>
          <w:p>
            <w:pPr>
              <w:jc w:val="center"/>
              <w:ind w:right="1784"/>
              <w:spacing w:after="0"/>
              <w:rPr>
                <w:sz w:val="20"/>
                <w:szCs w:val="20"/>
                <w:color w:val="auto"/>
              </w:rPr>
            </w:pPr>
            <w:r>
              <w:rPr>
                <w:rFonts w:ascii="Arial" w:cs="Arial" w:eastAsia="Arial" w:hAnsi="Arial"/>
                <w:sz w:val="18"/>
                <w:szCs w:val="18"/>
                <w:b w:val="1"/>
                <w:bCs w:val="1"/>
                <w:color w:val="auto"/>
                <w:w w:val="87"/>
              </w:rPr>
              <w:t>55402</w:t>
            </w:r>
          </w:p>
        </w:tc>
      </w:tr>
      <w:tr>
        <w:trPr>
          <w:trHeight w:val="174"/>
        </w:trPr>
        <w:tc>
          <w:tcPr>
            <w:tcW w:w="776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660" w:type="dxa"/>
            <w:vAlign w:val="bottom"/>
          </w:tcPr>
          <w:p>
            <w:pPr>
              <w:jc w:val="center"/>
              <w:ind w:right="1804"/>
              <w:spacing w:after="0"/>
              <w:rPr>
                <w:sz w:val="20"/>
                <w:szCs w:val="20"/>
                <w:color w:val="auto"/>
              </w:rPr>
            </w:pPr>
            <w:r>
              <w:rPr>
                <w:rFonts w:ascii="Arial" w:cs="Arial" w:eastAsia="Arial" w:hAnsi="Arial"/>
                <w:sz w:val="14"/>
                <w:szCs w:val="14"/>
                <w:b w:val="1"/>
                <w:bCs w:val="1"/>
                <w:color w:val="auto"/>
                <w:w w:val="89"/>
              </w:rPr>
              <w:t>(Zip Code)</w:t>
            </w:r>
          </w:p>
        </w:tc>
      </w:tr>
      <w:tr>
        <w:trPr>
          <w:trHeight w:val="351"/>
        </w:trPr>
        <w:tc>
          <w:tcPr>
            <w:tcW w:w="4520" w:type="dxa"/>
            <w:vAlign w:val="bottom"/>
          </w:tcPr>
          <w:p>
            <w:pPr>
              <w:spacing w:after="0"/>
              <w:rPr>
                <w:sz w:val="24"/>
                <w:szCs w:val="24"/>
                <w:color w:val="auto"/>
              </w:rPr>
            </w:pPr>
          </w:p>
        </w:tc>
        <w:tc>
          <w:tcPr>
            <w:tcW w:w="324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2"/>
              </w:rPr>
              <w:t>Mauri J. Cowen</w:t>
            </w:r>
          </w:p>
        </w:tc>
        <w:tc>
          <w:tcPr>
            <w:tcW w:w="366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324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7"/>
              </w:rPr>
              <w:t>U.S. Bank National Association</w:t>
            </w:r>
          </w:p>
        </w:tc>
        <w:tc>
          <w:tcPr>
            <w:tcW w:w="366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24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7"/>
              </w:rPr>
              <w:t>5555 San Felipe, #1150</w:t>
            </w:r>
          </w:p>
        </w:tc>
        <w:tc>
          <w:tcPr>
            <w:tcW w:w="366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24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5"/>
              </w:rPr>
              <w:t>Houston, Texas 77001</w:t>
            </w:r>
          </w:p>
        </w:tc>
        <w:tc>
          <w:tcPr>
            <w:tcW w:w="3660" w:type="dxa"/>
            <w:vAlign w:val="bottom"/>
          </w:tcPr>
          <w:p>
            <w:pPr>
              <w:spacing w:after="0"/>
              <w:rPr>
                <w:sz w:val="18"/>
                <w:szCs w:val="18"/>
                <w:color w:val="auto"/>
              </w:rPr>
            </w:pPr>
          </w:p>
        </w:tc>
      </w:tr>
      <w:tr>
        <w:trPr>
          <w:trHeight w:val="218"/>
        </w:trPr>
        <w:tc>
          <w:tcPr>
            <w:tcW w:w="69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(713) 235-9206</w:t>
            </w:r>
          </w:p>
        </w:tc>
        <w:tc>
          <w:tcPr>
            <w:tcW w:w="86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174"/>
        </w:trPr>
        <w:tc>
          <w:tcPr>
            <w:tcW w:w="7760" w:type="dxa"/>
            <w:vAlign w:val="bottom"/>
            <w:gridSpan w:val="3"/>
          </w:tcPr>
          <w:p>
            <w:pPr>
              <w:jc w:val="center"/>
              <w:ind w:left="3599"/>
              <w:spacing w:after="0"/>
              <w:rPr>
                <w:sz w:val="20"/>
                <w:szCs w:val="20"/>
                <w:color w:val="auto"/>
              </w:rPr>
            </w:pPr>
            <w:r>
              <w:rPr>
                <w:rFonts w:ascii="Arial" w:cs="Arial" w:eastAsia="Arial" w:hAnsi="Arial"/>
                <w:sz w:val="14"/>
                <w:szCs w:val="14"/>
                <w:b w:val="1"/>
                <w:bCs w:val="1"/>
                <w:color w:val="auto"/>
                <w:w w:val="85"/>
              </w:rPr>
              <w:t>(Name, address and telephone number of agent for service)</w:t>
            </w:r>
          </w:p>
        </w:tc>
        <w:tc>
          <w:tcPr>
            <w:tcW w:w="3660" w:type="dxa"/>
            <w:vAlign w:val="bottom"/>
          </w:tcPr>
          <w:p>
            <w:pPr>
              <w:spacing w:after="0"/>
              <w:rPr>
                <w:sz w:val="15"/>
                <w:szCs w:val="15"/>
                <w:color w:val="auto"/>
              </w:rPr>
            </w:pPr>
          </w:p>
        </w:tc>
      </w:tr>
      <w:tr>
        <w:trPr>
          <w:trHeight w:val="271"/>
        </w:trPr>
        <w:tc>
          <w:tcPr>
            <w:tcW w:w="45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860" w:type="dxa"/>
            <w:vAlign w:val="bottom"/>
          </w:tcPr>
          <w:p>
            <w:pPr>
              <w:spacing w:after="0"/>
              <w:rPr>
                <w:sz w:val="23"/>
                <w:szCs w:val="23"/>
                <w:color w:val="auto"/>
              </w:rPr>
            </w:pPr>
          </w:p>
        </w:tc>
        <w:tc>
          <w:tcPr>
            <w:tcW w:w="3660" w:type="dxa"/>
            <w:vAlign w:val="bottom"/>
          </w:tcPr>
          <w:p>
            <w:pPr>
              <w:spacing w:after="0"/>
              <w:rPr>
                <w:sz w:val="23"/>
                <w:szCs w:val="23"/>
                <w:color w:val="auto"/>
              </w:rPr>
            </w:pPr>
          </w:p>
        </w:tc>
      </w:tr>
      <w:tr>
        <w:trPr>
          <w:trHeight w:val="359"/>
        </w:trPr>
        <w:tc>
          <w:tcPr>
            <w:tcW w:w="7760" w:type="dxa"/>
            <w:vAlign w:val="bottom"/>
            <w:gridSpan w:val="3"/>
          </w:tcPr>
          <w:p>
            <w:pPr>
              <w:jc w:val="center"/>
              <w:ind w:left="3579"/>
              <w:spacing w:after="0"/>
              <w:rPr>
                <w:sz w:val="20"/>
                <w:szCs w:val="20"/>
                <w:color w:val="auto"/>
              </w:rPr>
            </w:pPr>
            <w:r>
              <w:rPr>
                <w:rFonts w:ascii="Arial" w:cs="Arial" w:eastAsia="Arial" w:hAnsi="Arial"/>
                <w:sz w:val="18"/>
                <w:szCs w:val="18"/>
                <w:b w:val="1"/>
                <w:bCs w:val="1"/>
                <w:color w:val="auto"/>
                <w:w w:val="97"/>
              </w:rPr>
              <w:t>TEXAS INSTRUMENTS INCORPORATED</w:t>
            </w:r>
          </w:p>
        </w:tc>
        <w:tc>
          <w:tcPr>
            <w:tcW w:w="3660" w:type="dxa"/>
            <w:vAlign w:val="bottom"/>
          </w:tcPr>
          <w:p>
            <w:pPr>
              <w:spacing w:after="0"/>
              <w:rPr>
                <w:sz w:val="24"/>
                <w:szCs w:val="24"/>
                <w:color w:val="auto"/>
              </w:rPr>
            </w:pPr>
          </w:p>
        </w:tc>
      </w:tr>
      <w:tr>
        <w:trPr>
          <w:trHeight w:val="174"/>
        </w:trPr>
        <w:tc>
          <w:tcPr>
            <w:tcW w:w="4520" w:type="dxa"/>
            <w:vAlign w:val="bottom"/>
          </w:tcPr>
          <w:p>
            <w:pPr>
              <w:spacing w:after="0"/>
              <w:rPr>
                <w:sz w:val="15"/>
                <w:szCs w:val="15"/>
                <w:color w:val="auto"/>
              </w:rPr>
            </w:pPr>
          </w:p>
        </w:tc>
        <w:tc>
          <w:tcPr>
            <w:tcW w:w="32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5"/>
              </w:rPr>
              <w:t>(Issuer with respect to the Securities)</w:t>
            </w:r>
          </w:p>
        </w:tc>
        <w:tc>
          <w:tcPr>
            <w:tcW w:w="3660" w:type="dxa"/>
            <w:vAlign w:val="bottom"/>
          </w:tcPr>
          <w:p>
            <w:pPr>
              <w:spacing w:after="0"/>
              <w:rPr>
                <w:sz w:val="15"/>
                <w:szCs w:val="15"/>
                <w:color w:val="auto"/>
              </w:rPr>
            </w:pPr>
          </w:p>
        </w:tc>
      </w:tr>
      <w:tr>
        <w:trPr>
          <w:trHeight w:val="271"/>
        </w:trPr>
        <w:tc>
          <w:tcPr>
            <w:tcW w:w="45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860" w:type="dxa"/>
            <w:vAlign w:val="bottom"/>
          </w:tcPr>
          <w:p>
            <w:pPr>
              <w:spacing w:after="0"/>
              <w:rPr>
                <w:sz w:val="23"/>
                <w:szCs w:val="23"/>
                <w:color w:val="auto"/>
              </w:rPr>
            </w:pPr>
          </w:p>
        </w:tc>
        <w:tc>
          <w:tcPr>
            <w:tcW w:w="3660" w:type="dxa"/>
            <w:vAlign w:val="bottom"/>
          </w:tcPr>
          <w:p>
            <w:pPr>
              <w:spacing w:after="0"/>
              <w:rPr>
                <w:sz w:val="23"/>
                <w:szCs w:val="23"/>
                <w:color w:val="auto"/>
              </w:rPr>
            </w:pPr>
          </w:p>
        </w:tc>
      </w:tr>
      <w:tr>
        <w:trPr>
          <w:trHeight w:val="426"/>
        </w:trPr>
        <w:tc>
          <w:tcPr>
            <w:tcW w:w="776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88"/>
              </w:rPr>
              <w:t>Delaware</w:t>
            </w:r>
          </w:p>
        </w:tc>
        <w:tc>
          <w:tcPr>
            <w:tcW w:w="3660" w:type="dxa"/>
            <w:vAlign w:val="bottom"/>
          </w:tcPr>
          <w:p>
            <w:pPr>
              <w:jc w:val="center"/>
              <w:ind w:right="1804"/>
              <w:spacing w:after="0"/>
              <w:rPr>
                <w:sz w:val="20"/>
                <w:szCs w:val="20"/>
                <w:color w:val="auto"/>
              </w:rPr>
            </w:pPr>
            <w:r>
              <w:rPr>
                <w:rFonts w:ascii="Arial" w:cs="Arial" w:eastAsia="Arial" w:hAnsi="Arial"/>
                <w:sz w:val="18"/>
                <w:szCs w:val="18"/>
                <w:b w:val="1"/>
                <w:bCs w:val="1"/>
                <w:color w:val="auto"/>
                <w:w w:val="89"/>
              </w:rPr>
              <w:t>75-0289970</w:t>
            </w:r>
          </w:p>
        </w:tc>
      </w:tr>
      <w:tr>
        <w:trPr>
          <w:trHeight w:val="149"/>
        </w:trPr>
        <w:tc>
          <w:tcPr>
            <w:tcW w:w="776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660" w:type="dxa"/>
            <w:vAlign w:val="bottom"/>
          </w:tcPr>
          <w:p>
            <w:pPr>
              <w:jc w:val="center"/>
              <w:ind w:right="18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76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88"/>
              </w:rPr>
              <w:t>incorporation or organization)</w:t>
            </w:r>
          </w:p>
        </w:tc>
        <w:tc>
          <w:tcPr>
            <w:tcW w:w="3660" w:type="dxa"/>
            <w:vAlign w:val="bottom"/>
          </w:tcPr>
          <w:p>
            <w:pPr>
              <w:jc w:val="center"/>
              <w:ind w:right="18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776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91"/>
              </w:rPr>
              <w:t>12500 TI Boulevard</w:t>
            </w:r>
          </w:p>
        </w:tc>
        <w:tc>
          <w:tcPr>
            <w:tcW w:w="3660" w:type="dxa"/>
            <w:vAlign w:val="bottom"/>
          </w:tcPr>
          <w:p>
            <w:pPr>
              <w:spacing w:after="0"/>
              <w:rPr>
                <w:sz w:val="24"/>
                <w:szCs w:val="24"/>
                <w:color w:val="auto"/>
              </w:rPr>
            </w:pPr>
          </w:p>
        </w:tc>
      </w:tr>
      <w:tr>
        <w:trPr>
          <w:trHeight w:val="216"/>
        </w:trPr>
        <w:tc>
          <w:tcPr>
            <w:tcW w:w="776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87"/>
              </w:rPr>
              <w:t>P.O. Box 660199</w:t>
            </w:r>
          </w:p>
        </w:tc>
        <w:tc>
          <w:tcPr>
            <w:tcW w:w="3660" w:type="dxa"/>
            <w:vAlign w:val="bottom"/>
          </w:tcPr>
          <w:p>
            <w:pPr>
              <w:spacing w:after="0"/>
              <w:rPr>
                <w:sz w:val="18"/>
                <w:szCs w:val="18"/>
                <w:color w:val="auto"/>
              </w:rPr>
            </w:pPr>
          </w:p>
        </w:tc>
      </w:tr>
      <w:tr>
        <w:trPr>
          <w:trHeight w:val="231"/>
        </w:trPr>
        <w:tc>
          <w:tcPr>
            <w:tcW w:w="776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85"/>
              </w:rPr>
              <w:t>Dallas, Texas</w:t>
            </w:r>
          </w:p>
        </w:tc>
        <w:tc>
          <w:tcPr>
            <w:tcW w:w="3660" w:type="dxa"/>
            <w:vAlign w:val="bottom"/>
          </w:tcPr>
          <w:p>
            <w:pPr>
              <w:jc w:val="center"/>
              <w:ind w:right="1804"/>
              <w:spacing w:after="0"/>
              <w:rPr>
                <w:sz w:val="20"/>
                <w:szCs w:val="20"/>
                <w:color w:val="auto"/>
              </w:rPr>
            </w:pPr>
            <w:r>
              <w:rPr>
                <w:rFonts w:ascii="Arial" w:cs="Arial" w:eastAsia="Arial" w:hAnsi="Arial"/>
                <w:sz w:val="18"/>
                <w:szCs w:val="18"/>
                <w:b w:val="1"/>
                <w:bCs w:val="1"/>
                <w:color w:val="auto"/>
                <w:w w:val="89"/>
              </w:rPr>
              <w:t>75266-0199</w:t>
            </w:r>
          </w:p>
        </w:tc>
      </w:tr>
      <w:tr>
        <w:trPr>
          <w:trHeight w:val="174"/>
        </w:trPr>
        <w:tc>
          <w:tcPr>
            <w:tcW w:w="776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660" w:type="dxa"/>
            <w:vAlign w:val="bottom"/>
          </w:tcPr>
          <w:p>
            <w:pPr>
              <w:jc w:val="center"/>
              <w:ind w:right="1804"/>
              <w:spacing w:after="0"/>
              <w:rPr>
                <w:sz w:val="20"/>
                <w:szCs w:val="20"/>
                <w:color w:val="auto"/>
              </w:rPr>
            </w:pPr>
            <w:r>
              <w:rPr>
                <w:rFonts w:ascii="Arial" w:cs="Arial" w:eastAsia="Arial" w:hAnsi="Arial"/>
                <w:sz w:val="14"/>
                <w:szCs w:val="14"/>
                <w:b w:val="1"/>
                <w:bCs w:val="1"/>
                <w:color w:val="auto"/>
                <w:w w:val="89"/>
              </w:rPr>
              <w:t>(Zip Code)</w:t>
            </w:r>
          </w:p>
        </w:tc>
      </w:tr>
      <w:tr>
        <w:trPr>
          <w:trHeight w:val="284"/>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359"/>
        </w:trPr>
        <w:tc>
          <w:tcPr>
            <w:tcW w:w="4520" w:type="dxa"/>
            <w:vAlign w:val="bottom"/>
          </w:tcPr>
          <w:p>
            <w:pPr>
              <w:spacing w:after="0"/>
              <w:rPr>
                <w:sz w:val="24"/>
                <w:szCs w:val="24"/>
                <w:color w:val="auto"/>
              </w:rPr>
            </w:pPr>
          </w:p>
        </w:tc>
        <w:tc>
          <w:tcPr>
            <w:tcW w:w="324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6"/>
              </w:rPr>
              <w:t>Debt Securities</w:t>
            </w:r>
          </w:p>
        </w:tc>
        <w:tc>
          <w:tcPr>
            <w:tcW w:w="3660" w:type="dxa"/>
            <w:vAlign w:val="bottom"/>
          </w:tcPr>
          <w:p>
            <w:pPr>
              <w:spacing w:after="0"/>
              <w:rPr>
                <w:sz w:val="24"/>
                <w:szCs w:val="24"/>
                <w:color w:val="auto"/>
              </w:rPr>
            </w:pPr>
          </w:p>
        </w:tc>
      </w:tr>
      <w:tr>
        <w:trPr>
          <w:trHeight w:val="174"/>
        </w:trPr>
        <w:tc>
          <w:tcPr>
            <w:tcW w:w="4520" w:type="dxa"/>
            <w:vAlign w:val="bottom"/>
          </w:tcPr>
          <w:p>
            <w:pPr>
              <w:spacing w:after="0"/>
              <w:rPr>
                <w:sz w:val="15"/>
                <w:szCs w:val="15"/>
                <w:color w:val="auto"/>
              </w:rPr>
            </w:pPr>
          </w:p>
        </w:tc>
        <w:tc>
          <w:tcPr>
            <w:tcW w:w="32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7"/>
              </w:rPr>
              <w:t>(Title of the Indenture Securities)</w:t>
            </w:r>
          </w:p>
        </w:tc>
        <w:tc>
          <w:tcPr>
            <w:tcW w:w="3660" w:type="dxa"/>
            <w:vAlign w:val="bottom"/>
          </w:tcPr>
          <w:p>
            <w:pPr>
              <w:spacing w:after="0"/>
              <w:rPr>
                <w:sz w:val="15"/>
                <w:szCs w:val="15"/>
                <w:color w:val="auto"/>
              </w:rPr>
            </w:pPr>
          </w:p>
        </w:tc>
      </w:tr>
      <w:tr>
        <w:trPr>
          <w:trHeight w:val="149"/>
        </w:trPr>
        <w:tc>
          <w:tcPr>
            <w:tcW w:w="45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66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125" w:right="23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T-1</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GENERAL INFORMATION</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Furnish the following information as to the Trustee.</w:t>
      </w:r>
    </w:p>
    <w:p>
      <w:pPr>
        <w:spacing w:after="0" w:line="96" w:lineRule="exact"/>
        <w:rPr>
          <w:sz w:val="20"/>
          <w:szCs w:val="20"/>
          <w:color w:val="auto"/>
        </w:rPr>
      </w:pPr>
    </w:p>
    <w:p>
      <w:pPr>
        <w:ind w:left="1480" w:hanging="567"/>
        <w:spacing w:after="0"/>
        <w:tabs>
          <w:tab w:leader="none" w:pos="14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80" w:right="5720" w:hanging="967"/>
        <w:spacing w:after="0" w:line="362" w:lineRule="auto"/>
        <w:tabs>
          <w:tab w:leader="none" w:pos="1472"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 xml:space="preserve">AFFILIATIONS WITH OBLIGOR. </w:t>
      </w:r>
      <w:r>
        <w:rPr>
          <w:rFonts w:ascii="Arial" w:cs="Arial" w:eastAsia="Arial" w:hAnsi="Arial"/>
          <w:sz w:val="16"/>
          <w:szCs w:val="16"/>
          <w:i w:val="1"/>
          <w:iCs w:val="1"/>
          <w:color w:val="auto"/>
        </w:rPr>
        <w:t>If the obligor is an affiliate of the Trustee, describe each such affiliation.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ind w:left="1040" w:hanging="1025"/>
        <w:spacing w:after="0" w:line="268" w:lineRule="auto"/>
        <w:tabs>
          <w:tab w:leader="none" w:pos="102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2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 xml:space="preserve">LIST OF EXHIBITS: </w:t>
      </w:r>
      <w:r>
        <w:rPr>
          <w:rFonts w:ascii="Arial" w:cs="Arial" w:eastAsia="Arial" w:hAnsi="Arial"/>
          <w:sz w:val="16"/>
          <w:szCs w:val="16"/>
          <w:i w:val="1"/>
          <w:iCs w:val="1"/>
          <w:color w:val="auto"/>
        </w:rPr>
        <w:t>List below all exhibits filed as a part of this statement of eligibility and qualification.</w:t>
      </w:r>
    </w:p>
    <w:p>
      <w:pPr>
        <w:spacing w:after="0" w:line="96" w:lineRule="exact"/>
        <w:rPr>
          <w:sz w:val="20"/>
          <w:szCs w:val="20"/>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90" w:lineRule="exact"/>
        <w:rPr>
          <w:rFonts w:ascii="Arial" w:cs="Arial" w:eastAsia="Arial" w:hAnsi="Arial"/>
          <w:sz w:val="18"/>
          <w:szCs w:val="18"/>
          <w:color w:val="auto"/>
        </w:rPr>
      </w:pPr>
    </w:p>
    <w:p>
      <w:pPr>
        <w:ind w:left="1480" w:right="180" w:hanging="567"/>
        <w:spacing w:after="0" w:line="268"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Report of Condition of the Trustee as of December 31, 2012 published pursuant to law or the requirements of its supervising or examining authority, attached as Exhibit 7.</w:t>
      </w:r>
    </w:p>
    <w:p>
      <w:pPr>
        <w:spacing w:after="0" w:line="172" w:lineRule="exact"/>
        <w:rPr>
          <w:rFonts w:ascii="Arial" w:cs="Arial" w:eastAsia="Arial" w:hAnsi="Arial"/>
          <w:sz w:val="18"/>
          <w:szCs w:val="18"/>
          <w:color w:val="auto"/>
        </w:rPr>
      </w:pPr>
    </w:p>
    <w:p>
      <w:pPr>
        <w:ind w:left="460" w:right="160" w:hanging="446"/>
        <w:spacing w:after="0" w:line="254"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S-4, Registration Number 333-166527 filed on May 5,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71" w:name="page72"/>
    <w:bookmarkEnd w:id="71"/>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Texas on the 20th of February, 2013.</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Mauri J.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Mauri J. Cowen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274" w:right="41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4922520" cy="58058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22520" cy="58058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274" w:right="1440" w:bottom="1440" w:gutter="0" w:footer="0" w:header="0"/>
          <w:type w:val="continuous"/>
        </w:sectPr>
      </w:pPr>
    </w:p>
    <w:bookmarkStart w:id="73" w:name="page74"/>
    <w:bookmarkEnd w:id="73"/>
    <w:p>
      <w:pPr>
        <w:jc w:val="center"/>
        <w:ind w:right="-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5497195" cy="7117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97195" cy="71177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274" w:right="1440" w:bottom="1440" w:gutter="0" w:footer="0" w:header="0"/>
          <w:type w:val="continuous"/>
        </w:sectPr>
      </w:pPr>
    </w:p>
    <w:bookmarkStart w:id="74" w:name="page75"/>
    <w:bookmarkEnd w:id="74"/>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6</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Mauri J.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Mauri J. Cowen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75" w:name="page76"/>
    <w:bookmarkEnd w:id="75"/>
    <w:p>
      <w:pPr>
        <w:ind w:left="41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9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U.S. Bank National Association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12/31/2012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($000’s)</w:t>
      </w:r>
    </w:p>
    <w:p>
      <w:pPr>
        <w:spacing w:after="0" w:line="21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4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12/31/2012</w:t>
            </w:r>
          </w:p>
        </w:tc>
        <w:tc>
          <w:tcPr>
            <w:tcW w:w="100" w:type="dxa"/>
            <w:vAlign w:val="bottom"/>
            <w:tcBorders>
              <w:bottom w:val="single" w:sz="8" w:color="CCEEFF"/>
            </w:tcBorders>
          </w:tcPr>
          <w:p>
            <w:pPr>
              <w:spacing w:after="0"/>
              <w:rPr>
                <w:sz w:val="14"/>
                <w:szCs w:val="14"/>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Cash and Balances Due From Depository Institutions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8,252,302</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74,022,528</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Federal Funds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74,234</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&amp; Lease Financing Receivables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219,884,343</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Fixed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5,024,268</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12,542,566</w:t>
            </w:r>
          </w:p>
        </w:tc>
        <w:tc>
          <w:tcPr>
            <w:tcW w:w="100" w:type="dxa"/>
            <w:vAlign w:val="bottom"/>
            <w:shd w:val="clear" w:color="auto" w:fill="CCEEFF"/>
          </w:tcPr>
          <w:p>
            <w:pPr>
              <w:spacing w:after="0"/>
              <w:rPr>
                <w:sz w:val="18"/>
                <w:szCs w:val="18"/>
                <w:color w:val="auto"/>
              </w:rPr>
            </w:pPr>
          </w:p>
        </w:tc>
      </w:tr>
      <w:tr>
        <w:trPr>
          <w:trHeight w:val="223"/>
        </w:trPr>
        <w:tc>
          <w:tcPr>
            <w:tcW w:w="542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25,288,375</w:t>
            </w:r>
          </w:p>
        </w:tc>
        <w:tc>
          <w:tcPr>
            <w:tcW w:w="100" w:type="dxa"/>
            <w:vAlign w:val="bottom"/>
          </w:tcPr>
          <w:p>
            <w:pPr>
              <w:spacing w:after="0"/>
              <w:rPr>
                <w:sz w:val="19"/>
                <w:szCs w:val="19"/>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345,088,616</w:t>
            </w:r>
          </w:p>
        </w:tc>
        <w:tc>
          <w:tcPr>
            <w:tcW w:w="100" w:type="dxa"/>
            <w:vAlign w:val="bottom"/>
            <w:shd w:val="clear" w:color="auto" w:fill="CCEEFF"/>
          </w:tcPr>
          <w:p>
            <w:pPr>
              <w:spacing w:after="0"/>
              <w:rPr>
                <w:sz w:val="18"/>
                <w:szCs w:val="18"/>
                <w:color w:val="auto"/>
              </w:rPr>
            </w:pPr>
          </w:p>
        </w:tc>
      </w:tr>
      <w:tr>
        <w:trPr>
          <w:trHeight w:val="323"/>
        </w:trPr>
        <w:tc>
          <w:tcPr>
            <w:tcW w:w="54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253,686,214</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Fed Funds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4,291,213</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Demand Notes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Trading Liabilities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404,237</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Borrowed Money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30,911,125</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Acceptances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Subordinated Notes and Debentures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4,736,320</w:t>
            </w:r>
          </w:p>
        </w:tc>
        <w:tc>
          <w:tcPr>
            <w:tcW w:w="100" w:type="dxa"/>
            <w:vAlign w:val="bottom"/>
            <w:shd w:val="clear" w:color="auto" w:fill="CCEEFF"/>
          </w:tcPr>
          <w:p>
            <w:pPr>
              <w:spacing w:after="0"/>
              <w:rPr>
                <w:sz w:val="18"/>
                <w:szCs w:val="18"/>
                <w:color w:val="auto"/>
              </w:rPr>
            </w:pPr>
          </w:p>
        </w:tc>
      </w:tr>
      <w:tr>
        <w:trPr>
          <w:trHeight w:val="223"/>
        </w:trPr>
        <w:tc>
          <w:tcPr>
            <w:tcW w:w="542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11,473,186</w:t>
            </w:r>
          </w:p>
        </w:tc>
        <w:tc>
          <w:tcPr>
            <w:tcW w:w="100" w:type="dxa"/>
            <w:vAlign w:val="bottom"/>
          </w:tcPr>
          <w:p>
            <w:pPr>
              <w:spacing w:after="0"/>
              <w:rPr>
                <w:sz w:val="19"/>
                <w:szCs w:val="19"/>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305,502,295</w:t>
            </w:r>
          </w:p>
        </w:tc>
        <w:tc>
          <w:tcPr>
            <w:tcW w:w="100" w:type="dxa"/>
            <w:vAlign w:val="bottom"/>
            <w:shd w:val="clear" w:color="auto" w:fill="CCEEFF"/>
          </w:tcPr>
          <w:p>
            <w:pPr>
              <w:spacing w:after="0"/>
              <w:rPr>
                <w:sz w:val="18"/>
                <w:szCs w:val="18"/>
                <w:color w:val="auto"/>
              </w:rPr>
            </w:pPr>
          </w:p>
        </w:tc>
      </w:tr>
      <w:tr>
        <w:trPr>
          <w:trHeight w:val="323"/>
        </w:trPr>
        <w:tc>
          <w:tcPr>
            <w:tcW w:w="54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and Preferred Stock</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Surplus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14,133,290</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Undivided Profits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23,981,892</w:t>
            </w:r>
          </w:p>
        </w:tc>
        <w:tc>
          <w:tcPr>
            <w:tcW w:w="100" w:type="dxa"/>
            <w:vAlign w:val="bottom"/>
            <w:shd w:val="clear" w:color="auto" w:fill="CCEEFF"/>
          </w:tcPr>
          <w:p>
            <w:pPr>
              <w:spacing w:after="0"/>
              <w:rPr>
                <w:sz w:val="18"/>
                <w:szCs w:val="18"/>
                <w:color w:val="auto"/>
              </w:rPr>
            </w:pPr>
          </w:p>
        </w:tc>
      </w:tr>
      <w:tr>
        <w:trPr>
          <w:trHeight w:val="223"/>
        </w:trPr>
        <w:tc>
          <w:tcPr>
            <w:tcW w:w="5420" w:type="dxa"/>
            <w:vAlign w:val="bottom"/>
          </w:tcPr>
          <w:p>
            <w:pPr>
              <w:ind w:left="440"/>
              <w:spacing w:after="0"/>
              <w:rPr>
                <w:sz w:val="20"/>
                <w:szCs w:val="20"/>
                <w:color w:val="auto"/>
              </w:rPr>
            </w:pPr>
            <w:r>
              <w:rPr>
                <w:rFonts w:ascii="Arial" w:cs="Arial" w:eastAsia="Arial" w:hAnsi="Arial"/>
                <w:sz w:val="18"/>
                <w:szCs w:val="18"/>
                <w:color w:val="auto"/>
              </w:rPr>
              <w:t>Minority Interest in Subsidiaries</w:t>
            </w:r>
          </w:p>
        </w:tc>
        <w:tc>
          <w:tcPr>
            <w:tcW w:w="1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1,452,939</w:t>
            </w:r>
          </w:p>
        </w:tc>
        <w:tc>
          <w:tcPr>
            <w:tcW w:w="100" w:type="dxa"/>
            <w:vAlign w:val="bottom"/>
          </w:tcPr>
          <w:p>
            <w:pPr>
              <w:spacing w:after="0"/>
              <w:rPr>
                <w:sz w:val="19"/>
                <w:szCs w:val="19"/>
                <w:color w:val="auto"/>
              </w:rPr>
            </w:pPr>
          </w:p>
        </w:tc>
      </w:tr>
      <w:tr>
        <w:trPr>
          <w:trHeight w:val="216"/>
        </w:trPr>
        <w:tc>
          <w:tcPr>
            <w:tcW w:w="54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Equity Capital</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39,586,321</w:t>
            </w:r>
          </w:p>
        </w:tc>
        <w:tc>
          <w:tcPr>
            <w:tcW w:w="100" w:type="dxa"/>
            <w:vAlign w:val="bottom"/>
            <w:shd w:val="clear" w:color="auto" w:fill="CCEEFF"/>
          </w:tcPr>
          <w:p>
            <w:pPr>
              <w:spacing w:after="0"/>
              <w:rPr>
                <w:sz w:val="18"/>
                <w:szCs w:val="18"/>
                <w:color w:val="auto"/>
              </w:rPr>
            </w:pPr>
          </w:p>
        </w:tc>
      </w:tr>
      <w:tr>
        <w:trPr>
          <w:trHeight w:val="322"/>
        </w:trPr>
        <w:tc>
          <w:tcPr>
            <w:tcW w:w="542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5"/>
              </w:rPr>
              <w:t>345,088,616</w:t>
            </w:r>
          </w:p>
        </w:tc>
        <w:tc>
          <w:tcPr>
            <w:tcW w:w="100" w:type="dxa"/>
            <w:vAlign w:val="bottom"/>
          </w:tcPr>
          <w:p>
            <w:pPr>
              <w:spacing w:after="0"/>
              <w:rPr>
                <w:sz w:val="24"/>
                <w:szCs w:val="24"/>
                <w:color w:val="auto"/>
              </w:rPr>
            </w:pPr>
          </w:p>
        </w:tc>
      </w:tr>
      <w:tr>
        <w:trPr>
          <w:trHeight w:val="365"/>
        </w:trPr>
        <w:tc>
          <w:tcPr>
            <w:tcW w:w="5420" w:type="dxa"/>
            <w:vAlign w:val="bottom"/>
          </w:tcPr>
          <w:p>
            <w:pPr>
              <w:ind w:left="3840"/>
              <w:spacing w:after="0"/>
              <w:rPr>
                <w:sz w:val="20"/>
                <w:szCs w:val="20"/>
                <w:color w:val="auto"/>
              </w:rPr>
            </w:pPr>
            <w:r>
              <w:rPr>
                <w:rFonts w:ascii="Arial" w:cs="Arial" w:eastAsia="Arial" w:hAnsi="Arial"/>
                <w:sz w:val="18"/>
                <w:szCs w:val="18"/>
                <w:color w:val="auto"/>
              </w:rPr>
              <w:t>7</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lowerLetter"/>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lvl w:ilvl="1">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lvl w:ilvl="1">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lowerRoman"/>
      <w:start w:val="1"/>
    </w:lvl>
  </w:abstractNum>
  <w:abstractNum w:abstractNumId="25">
    <w:nsid w:val="70A64E2A"/>
    <w:multiLevelType w:val="hybridMultilevel"/>
    <w:lvl w:ilvl="0">
      <w:lvlJc w:val="left"/>
      <w:lvlText w:val="(%1)"/>
      <w:numFmt w:val="decimal"/>
      <w:start w:val="1"/>
    </w:lvl>
    <w:lvl w:ilvl="1">
      <w:lvlJc w:val="left"/>
      <w:lvlText w:val="(%2)"/>
      <w:numFmt w:val="lowerRoman"/>
      <w:start w:val="1"/>
    </w:lvl>
  </w:abstractNum>
  <w:abstractNum w:abstractNumId="26">
    <w:nsid w:val="6A2342EC"/>
    <w:multiLevelType w:val="hybridMultilevel"/>
    <w:lvl w:ilvl="0">
      <w:lvlJc w:val="left"/>
      <w:lvlText w:val="(%1)"/>
      <w:numFmt w:val="decimal"/>
      <w:start w:val="2"/>
    </w:lvl>
    <w:lvl w:ilvl="1">
      <w:lvlJc w:val="left"/>
      <w:lvlText w:val="(%2)"/>
      <w:numFmt w:val="upperLetter"/>
      <w:start w:val="1"/>
    </w:lvl>
  </w:abstractNum>
  <w:abstractNum w:abstractNumId="27">
    <w:nsid w:val="2A487CB0"/>
    <w:multiLevelType w:val="hybridMultilevel"/>
    <w:lvl w:ilvl="0">
      <w:lvlJc w:val="left"/>
      <w:lvlText w:val="(%1)"/>
      <w:numFmt w:val="decimal"/>
      <w:start w:val="5"/>
    </w:lvl>
  </w:abstractNum>
  <w:abstractNum w:abstractNumId="28">
    <w:nsid w:val="1D4ED43B"/>
    <w:multiLevelType w:val="hybridMultilevel"/>
    <w:lvl w:ilvl="0">
      <w:lvlJc w:val="left"/>
      <w:lvlText w:val="%1"/>
      <w:numFmt w:val="lowerLetter"/>
      <w:start w:val="1"/>
    </w:lvl>
    <w:lvl w:ilvl="1">
      <w:lvlJc w:val="left"/>
      <w:lvlText w:val="(%2)"/>
      <w:numFmt w:val="lowerRoman"/>
      <w:start w:val="1"/>
    </w:lvl>
  </w:abstractNum>
  <w:abstractNum w:abstractNumId="29">
    <w:nsid w:val="725A06FB"/>
    <w:multiLevelType w:val="hybridMultilevel"/>
    <w:lvl w:ilvl="0">
      <w:lvlJc w:val="left"/>
      <w:lvlText w:val="(%1)"/>
      <w:numFmt w:val="lowerLetter"/>
      <w:start w:val="2"/>
    </w:lvl>
    <w:lvl w:ilvl="1">
      <w:lvlJc w:val="left"/>
      <w:lvlText w:val="%2"/>
      <w:numFmt w:val="lowerRoman"/>
      <w:start w:val="1"/>
    </w:lvl>
  </w:abstractNum>
  <w:abstractNum w:abstractNumId="30">
    <w:nsid w:val="2CD89A32"/>
    <w:multiLevelType w:val="hybridMultilevel"/>
    <w:lvl w:ilvl="0">
      <w:lvlJc w:val="left"/>
      <w:lvlText w:val="(%1)"/>
      <w:numFmt w:val="lowerLetter"/>
      <w:start w:val="4"/>
    </w:lvl>
  </w:abstractNum>
  <w:abstractNum w:abstractNumId="31">
    <w:nsid w:val="57E4CCAF"/>
    <w:multiLevelType w:val="hybridMultilevel"/>
    <w:lvl w:ilvl="0">
      <w:lvlJc w:val="left"/>
      <w:lvlText w:val="(%1)"/>
      <w:numFmt w:val="lowerLetter"/>
      <w:start w:val="1"/>
    </w:lvl>
  </w:abstractNum>
  <w:abstractNum w:abstractNumId="32">
    <w:nsid w:val="7A6D8D3C"/>
    <w:multiLevelType w:val="hybridMultilevel"/>
    <w:lvl w:ilvl="0">
      <w:lvlJc w:val="left"/>
      <w:lvlText w:val="(%1)"/>
      <w:numFmt w:val="lowerLetter"/>
      <w:start w:val="2"/>
    </w:lvl>
    <w:lvl w:ilvl="1">
      <w:lvlJc w:val="left"/>
      <w:lvlText w:val="(%2)"/>
      <w:numFmt w:val="lowerRoman"/>
      <w:start w:val="1"/>
    </w:lvl>
  </w:abstractNum>
  <w:abstractNum w:abstractNumId="33">
    <w:nsid w:val="4B588F54"/>
    <w:multiLevelType w:val="hybridMultilevel"/>
    <w:lvl w:ilvl="0">
      <w:lvlJc w:val="left"/>
      <w:lvlText w:val="(%1)"/>
      <w:numFmt w:val="lowerRoman"/>
      <w:start w:val="7"/>
    </w:lvl>
  </w:abstractNum>
  <w:abstractNum w:abstractNumId="34">
    <w:nsid w:val="542289EC"/>
    <w:multiLevelType w:val="hybridMultilevel"/>
    <w:lvl w:ilvl="0">
      <w:lvlJc w:val="left"/>
      <w:lvlText w:val="(%1)"/>
      <w:numFmt w:val="lowerLetter"/>
      <w:start w:val="3"/>
    </w:lvl>
    <w:lvl w:ilvl="1">
      <w:lvlJc w:val="left"/>
      <w:lvlText w:val="(%2)"/>
      <w:numFmt w:val="lowerRoman"/>
      <w:start w:val="1"/>
    </w:lvl>
  </w:abstractNum>
  <w:abstractNum w:abstractNumId="35">
    <w:nsid w:val="6DE91B18"/>
    <w:multiLevelType w:val="hybridMultilevel"/>
    <w:lvl w:ilvl="0">
      <w:lvlJc w:val="left"/>
      <w:lvlText w:val="(%1)"/>
      <w:numFmt w:val="lowerRoman"/>
      <w:start w:val="6"/>
    </w:lvl>
  </w:abstractNum>
  <w:abstractNum w:abstractNumId="36">
    <w:nsid w:val="38437FDB"/>
    <w:multiLevelType w:val="hybridMultilevel"/>
    <w:lvl w:ilvl="0">
      <w:lvlJc w:val="left"/>
      <w:lvlText w:val="(%1)"/>
      <w:numFmt w:val="lowerRoman"/>
      <w:start w:val="9"/>
    </w:lvl>
  </w:abstractNum>
  <w:abstractNum w:abstractNumId="37">
    <w:nsid w:val="7644A45C"/>
    <w:multiLevelType w:val="hybridMultilevel"/>
    <w:lvl w:ilvl="0">
      <w:lvlJc w:val="left"/>
      <w:lvlText w:val="%1"/>
      <w:numFmt w:val="lowerLetter"/>
      <w:start w:val="1"/>
    </w:lvl>
    <w:lvl w:ilvl="1">
      <w:lvlJc w:val="left"/>
      <w:lvlText w:val="(%2)"/>
      <w:numFmt w:val="lowerRoman"/>
      <w:start w:val="12"/>
    </w:lvl>
  </w:abstractNum>
  <w:abstractNum w:abstractNumId="38">
    <w:nsid w:val="32FFF902"/>
    <w:multiLevelType w:val="hybridMultilevel"/>
    <w:lvl w:ilvl="0">
      <w:lvlJc w:val="left"/>
      <w:lvlText w:val="(%1)"/>
      <w:numFmt w:val="lowerLetter"/>
      <w:start w:val="4"/>
    </w:lvl>
    <w:lvl w:ilvl="1">
      <w:lvlJc w:val="left"/>
      <w:lvlText w:val="%2"/>
      <w:numFmt w:val="lowerRoman"/>
      <w:start w:val="1"/>
    </w:lvl>
  </w:abstractNum>
  <w:abstractNum w:abstractNumId="39">
    <w:nsid w:val="684A481A"/>
    <w:multiLevelType w:val="hybridMultilevel"/>
    <w:lvl w:ilvl="0">
      <w:lvlJc w:val="left"/>
      <w:lvlText w:val="(%1)"/>
      <w:numFmt w:val="lowerLetter"/>
      <w:start w:val="5"/>
    </w:lvl>
  </w:abstractNum>
  <w:abstractNum w:abstractNumId="40">
    <w:nsid w:val="579478FE"/>
    <w:multiLevelType w:val="hybridMultilevel"/>
    <w:lvl w:ilvl="0">
      <w:lvlJc w:val="left"/>
      <w:lvlText w:val="(%1)"/>
      <w:numFmt w:val="lowerLetter"/>
      <w:start w:val="1"/>
    </w:lvl>
  </w:abstractNum>
  <w:abstractNum w:abstractNumId="41">
    <w:nsid w:val="749ABB43"/>
    <w:multiLevelType w:val="hybridMultilevel"/>
    <w:lvl w:ilvl="0">
      <w:lvlJc w:val="left"/>
      <w:lvlText w:val="(%1)"/>
      <w:numFmt w:val="lowerLetter"/>
      <w:start w:val="4"/>
    </w:lvl>
  </w:abstractNum>
  <w:abstractNum w:abstractNumId="42">
    <w:nsid w:val="3DC240FB"/>
    <w:multiLevelType w:val="hybridMultilevel"/>
    <w:lvl w:ilvl="0">
      <w:lvlJc w:val="left"/>
      <w:lvlText w:val="%1"/>
      <w:numFmt w:val="lowerLetter"/>
      <w:start w:val="1"/>
    </w:lvl>
    <w:lvl w:ilvl="1">
      <w:lvlJc w:val="left"/>
      <w:lvlText w:val="(%2)"/>
      <w:numFmt w:val="lowerLetter"/>
      <w:start w:val="8"/>
    </w:lvl>
  </w:abstractNum>
  <w:abstractNum w:abstractNumId="43">
    <w:nsid w:val="1BA026FA"/>
    <w:multiLevelType w:val="hybridMultilevel"/>
    <w:lvl w:ilvl="0">
      <w:lvlJc w:val="left"/>
      <w:lvlText w:val="(%1)"/>
      <w:numFmt w:val="lowerLetter"/>
      <w:start w:val="9"/>
    </w:lvl>
    <w:lvl w:ilvl="1">
      <w:lvlJc w:val="left"/>
      <w:lvlText w:val="(%2)"/>
      <w:numFmt w:val="lowerLetter"/>
      <w:start w:val="10"/>
    </w:lvl>
  </w:abstractNum>
  <w:abstractNum w:abstractNumId="44">
    <w:nsid w:val="79A1DEAA"/>
    <w:multiLevelType w:val="hybridMultilevel"/>
    <w:lvl w:ilvl="0">
      <w:lvlJc w:val="left"/>
      <w:lvlText w:val="(%1)"/>
      <w:numFmt w:val="lowerLetter"/>
      <w:start w:val="13"/>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1)"/>
      <w:numFmt w:val="lowerLetter"/>
      <w:start w:val="3"/>
    </w:lvl>
  </w:abstractNum>
  <w:abstractNum w:abstractNumId="47">
    <w:nsid w:val="70C6A529"/>
    <w:multiLevelType w:val="hybridMultilevel"/>
    <w:lvl w:ilvl="0">
      <w:lvlJc w:val="left"/>
      <w:lvlText w:val="%1"/>
      <w:numFmt w:val="lowerLetter"/>
      <w:start w:val="1"/>
    </w:lvl>
    <w:lvl w:ilvl="1">
      <w:lvlJc w:val="left"/>
      <w:lvlText w:val="(%2)"/>
      <w:numFmt w:val="lowerLetter"/>
      <w:start w:val="7"/>
    </w:lvl>
  </w:abstractNum>
  <w:abstractNum w:abstractNumId="48">
    <w:nsid w:val="520EEDD1"/>
    <w:multiLevelType w:val="hybridMultilevel"/>
    <w:lvl w:ilvl="0">
      <w:lvlJc w:val="left"/>
      <w:lvlText w:val="(%1)"/>
      <w:numFmt w:val="lowerLetter"/>
      <w:start w:val="61"/>
    </w:lvl>
    <w:lvl w:ilvl="1">
      <w:lvlJc w:val="left"/>
      <w:lvlText w:val="%2"/>
      <w:numFmt w:val="lowerLetter"/>
      <w:start w:val="1"/>
    </w:lvl>
  </w:abstractNum>
  <w:abstractNum w:abstractNumId="49">
    <w:nsid w:val="374A3FE6"/>
    <w:multiLevelType w:val="hybridMultilevel"/>
    <w:lvl w:ilvl="0">
      <w:lvlJc w:val="left"/>
      <w:lvlText w:val="(%1)"/>
      <w:numFmt w:val="lowerLetter"/>
      <w:start w:val="12"/>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lowerRoman"/>
      <w:start w:val="5"/>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2"/>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lowerLetter"/>
      <w:start w:val="2"/>
    </w:lvl>
  </w:abstractNum>
  <w:abstractNum w:abstractNumId="56">
    <w:nsid w:val="180115BE"/>
    <w:multiLevelType w:val="hybridMultilevel"/>
    <w:lvl w:ilvl="0">
      <w:lvlJc w:val="left"/>
      <w:lvlText w:val="*"/>
      <w:numFmt w:val="bullet"/>
      <w:start w:val="1"/>
    </w:lvl>
    <w:lvl w:ilvl="1">
      <w:lvlJc w:val="left"/>
      <w:lvlText w:val="%2."/>
      <w:numFmt w:val="decimal"/>
      <w:start w:val="1"/>
    </w:lvl>
  </w:abstractNum>
  <w:abstractNum w:abstractNumId="57">
    <w:nsid w:val="235BA861"/>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2019-12-05T16:52:58Z</dcterms:created>
  <dcterms:modified xsi:type="dcterms:W3CDTF">2019-12-05T16:52:58Z</dcterms:modified>
</cp:coreProperties>
</file>