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333-209678</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4"/>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rPr>
              <w:t>Max</w:t>
            </w: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50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Title of Each Class of</w:t>
            </w: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Amount to be</w:t>
            </w:r>
          </w:p>
        </w:tc>
        <w:tc>
          <w:tcPr>
            <w:tcW w:w="1600" w:type="dxa"/>
            <w:vAlign w:val="bottom"/>
            <w:tcBorders>
              <w:right w:val="single" w:sz="8" w:color="auto"/>
            </w:tcBorders>
          </w:tcPr>
          <w:p>
            <w:pPr>
              <w:jc w:val="center"/>
              <w:ind w:left="6"/>
              <w:spacing w:after="0" w:line="158" w:lineRule="exact"/>
              <w:rPr>
                <w:sz w:val="20"/>
                <w:szCs w:val="20"/>
                <w:color w:val="auto"/>
              </w:rPr>
            </w:pPr>
            <w:r>
              <w:rPr>
                <w:rFonts w:ascii="Arial" w:cs="Arial" w:eastAsia="Arial" w:hAnsi="Arial"/>
                <w:sz w:val="14"/>
                <w:szCs w:val="14"/>
                <w:b w:val="1"/>
                <w:bCs w:val="1"/>
                <w:color w:val="auto"/>
                <w:w w:val="95"/>
              </w:rPr>
              <w:t>Offering</w:t>
            </w:r>
          </w:p>
        </w:tc>
        <w:tc>
          <w:tcPr>
            <w:tcW w:w="1600" w:type="dxa"/>
            <w:vAlign w:val="bottom"/>
            <w:tcBorders>
              <w:right w:val="single" w:sz="8" w:color="auto"/>
            </w:tcBorders>
          </w:tcPr>
          <w:p>
            <w:pPr>
              <w:jc w:val="center"/>
              <w:ind w:left="4"/>
              <w:spacing w:after="0" w:line="158"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tcPr>
          <w:p>
            <w:pPr>
              <w:jc w:val="center"/>
              <w:ind w:left="19"/>
              <w:spacing w:after="0" w:line="158" w:lineRule="exact"/>
              <w:rPr>
                <w:sz w:val="20"/>
                <w:szCs w:val="20"/>
                <w:color w:val="auto"/>
              </w:rPr>
            </w:pPr>
            <w:r>
              <w:rPr>
                <w:rFonts w:ascii="Arial" w:cs="Arial" w:eastAsia="Arial" w:hAnsi="Arial"/>
                <w:sz w:val="14"/>
                <w:szCs w:val="14"/>
                <w:b w:val="1"/>
                <w:bCs w:val="1"/>
                <w:color w:val="auto"/>
                <w:w w:val="94"/>
              </w:rPr>
              <w:t>Amount of</w:t>
            </w: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5"/>
              </w:rPr>
              <w:t>Price Per Unit</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4"/>
              </w:rPr>
              <w:t>Offering Price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(1)</w:t>
            </w: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2.900% Notes due 2027</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$500,000,000</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90"/>
              </w:rPr>
              <w:t>98.843%</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90"/>
              </w:rPr>
              <w:t>$494,215,000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$61,529.77</w:t>
            </w: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$500,000,000</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90"/>
              </w:rPr>
              <w:t>$494,215,000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$61,529.77</w:t>
            </w: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4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of the Securities Act of 1933, as amended.</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February 24,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160020</wp:posOffset>
            </wp:positionV>
            <wp:extent cx="286448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$500,000,000 2.900%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247015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Texas Instruments Incorporated is offering $500,000,000 aggregate principal amount of its 2.900% Notes due 2027 (the “Notes”), which will bear interest at the rate per year as set forth above. Interest on the Notes will be payable semi-annually in arrears on May 3 and November 3 of each year, beginning on May 3, 2018.</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mature on November 3, 2027.</w:t>
      </w:r>
    </w:p>
    <w:p>
      <w:pPr>
        <w:spacing w:after="0" w:line="225"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may redeem some or all of the Notes at any time at the redemption prices indicated under the caption “Description of the Notes—Optional Redemption.”</w:t>
      </w:r>
    </w:p>
    <w:p>
      <w:pPr>
        <w:spacing w:after="0" w:line="170"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203200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1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234315</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ind w:right="320"/>
        <w:spacing w:after="0" w:line="342" w:lineRule="auto"/>
        <w:rPr>
          <w:sz w:val="20"/>
          <w:szCs w:val="20"/>
          <w:color w:val="auto"/>
        </w:rPr>
      </w:pPr>
      <w:r>
        <w:rPr>
          <w:rFonts w:ascii="Arial" w:cs="Arial" w:eastAsia="Arial" w:hAnsi="Arial"/>
          <w:sz w:val="16"/>
          <w:szCs w:val="16"/>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173355</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Per Note</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60" w:type="dxa"/>
            <w:vAlign w:val="bottom"/>
            <w:tcBorders>
              <w:bottom w:val="single" w:sz="8" w:color="CCEEFF"/>
            </w:tcBorders>
          </w:tcPr>
          <w:p>
            <w:pPr>
              <w:spacing w:after="0"/>
              <w:rPr>
                <w:sz w:val="14"/>
                <w:szCs w:val="14"/>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98.843%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494,215,000</w:t>
            </w:r>
          </w:p>
        </w:tc>
        <w:tc>
          <w:tcPr>
            <w:tcW w:w="6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Underwriting discount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0.450%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2,250,000</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98.393%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491,965,000</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on the Notes will accrue from November 3, 2017 to the date of delivery.</w:t>
      </w:r>
    </w:p>
    <w:p>
      <w:pPr>
        <w:spacing w:after="0" w:line="225"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The underwriters expect to deliver the Notes to purchasers, only in book-entry form through the facilities of The Depository Trust Company, on or about November 3, 2017, which is the sixth business day following the date of this prospectus supplement. See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187960</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Joint Book-Running Managers</w:t>
      </w:r>
    </w:p>
    <w:p>
      <w:pPr>
        <w:spacing w:after="0" w:line="232" w:lineRule="exact"/>
        <w:rPr>
          <w:sz w:val="20"/>
          <w:szCs w:val="20"/>
          <w:color w:val="auto"/>
        </w:rPr>
      </w:pPr>
    </w:p>
    <w:p>
      <w:pPr>
        <w:spacing w:after="0"/>
        <w:tabs>
          <w:tab w:leader="none" w:pos="4440" w:val="left"/>
          <w:tab w:leader="none" w:pos="10080" w:val="left"/>
        </w:tabs>
        <w:rPr>
          <w:sz w:val="20"/>
          <w:szCs w:val="20"/>
          <w:color w:val="auto"/>
        </w:rPr>
      </w:pPr>
      <w:r>
        <w:rPr>
          <w:rFonts w:ascii="Arial" w:cs="Arial" w:eastAsia="Arial" w:hAnsi="Arial"/>
          <w:sz w:val="25"/>
          <w:szCs w:val="25"/>
          <w:b w:val="1"/>
          <w:bCs w:val="1"/>
          <w:color w:val="auto"/>
        </w:rPr>
        <w:t>Barclays</w:t>
      </w:r>
      <w:r>
        <w:rPr>
          <w:sz w:val="20"/>
          <w:szCs w:val="20"/>
          <w:color w:val="auto"/>
        </w:rPr>
        <w:tab/>
      </w:r>
      <w:r>
        <w:rPr>
          <w:rFonts w:ascii="Arial" w:cs="Arial" w:eastAsia="Arial" w:hAnsi="Arial"/>
          <w:sz w:val="25"/>
          <w:szCs w:val="25"/>
          <w:b w:val="1"/>
          <w:bCs w:val="1"/>
          <w:color w:val="auto"/>
        </w:rPr>
        <w:t>BofA Merrill Lynch</w:t>
      </w:r>
      <w:r>
        <w:rPr>
          <w:sz w:val="20"/>
          <w:szCs w:val="20"/>
          <w:color w:val="auto"/>
        </w:rPr>
        <w:tab/>
      </w:r>
      <w:r>
        <w:rPr>
          <w:rFonts w:ascii="Arial" w:cs="Arial" w:eastAsia="Arial" w:hAnsi="Arial"/>
          <w:sz w:val="23"/>
          <w:szCs w:val="23"/>
          <w:b w:val="1"/>
          <w:bCs w:val="1"/>
          <w:color w:val="auto"/>
        </w:rPr>
        <w:t>J.P. Morgan</w:t>
      </w:r>
    </w:p>
    <w:p>
      <w:pPr>
        <w:spacing w:after="0" w:line="127" w:lineRule="exact"/>
        <w:rPr>
          <w:sz w:val="20"/>
          <w:szCs w:val="20"/>
          <w:color w:val="auto"/>
        </w:rPr>
      </w:pPr>
    </w:p>
    <w:p>
      <w:pPr>
        <w:spacing w:after="0"/>
        <w:tabs>
          <w:tab w:leader="none" w:pos="3560" w:val="left"/>
          <w:tab w:leader="none" w:pos="6620" w:val="left"/>
          <w:tab w:leader="none" w:pos="10740" w:val="left"/>
        </w:tabs>
        <w:rPr>
          <w:sz w:val="20"/>
          <w:szCs w:val="20"/>
          <w:color w:val="auto"/>
        </w:rPr>
      </w:pPr>
      <w:r>
        <w:rPr>
          <w:rFonts w:ascii="Arial" w:cs="Arial" w:eastAsia="Arial" w:hAnsi="Arial"/>
          <w:sz w:val="22"/>
          <w:szCs w:val="22"/>
          <w:b w:val="1"/>
          <w:bCs w:val="1"/>
          <w:color w:val="auto"/>
        </w:rPr>
        <w:t>Citigroup</w:t>
      </w:r>
      <w:r>
        <w:rPr>
          <w:sz w:val="20"/>
          <w:szCs w:val="20"/>
          <w:color w:val="auto"/>
        </w:rPr>
        <w:tab/>
      </w:r>
      <w:r>
        <w:rPr>
          <w:rFonts w:ascii="Arial" w:cs="Arial" w:eastAsia="Arial" w:hAnsi="Arial"/>
          <w:sz w:val="22"/>
          <w:szCs w:val="22"/>
          <w:b w:val="1"/>
          <w:bCs w:val="1"/>
          <w:color w:val="auto"/>
        </w:rPr>
        <w:t>Mizuho Securities</w:t>
      </w:r>
      <w:r>
        <w:rPr>
          <w:sz w:val="20"/>
          <w:szCs w:val="20"/>
          <w:color w:val="auto"/>
        </w:rPr>
        <w:tab/>
      </w:r>
      <w:r>
        <w:rPr>
          <w:rFonts w:ascii="Arial" w:cs="Arial" w:eastAsia="Arial" w:hAnsi="Arial"/>
          <w:sz w:val="22"/>
          <w:szCs w:val="22"/>
          <w:b w:val="1"/>
          <w:bCs w:val="1"/>
          <w:color w:val="auto"/>
        </w:rPr>
        <w:t>Morgan Stanley</w:t>
      </w:r>
      <w:r>
        <w:rPr>
          <w:sz w:val="20"/>
          <w:szCs w:val="20"/>
          <w:color w:val="auto"/>
        </w:rPr>
        <w:tab/>
      </w:r>
      <w:r>
        <w:rPr>
          <w:rFonts w:ascii="Arial" w:cs="Arial" w:eastAsia="Arial" w:hAnsi="Arial"/>
          <w:sz w:val="22"/>
          <w:szCs w:val="22"/>
          <w:b w:val="1"/>
          <w:bCs w:val="1"/>
          <w:color w:val="auto"/>
        </w:rPr>
        <w:t>MUFG</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Co-Managers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Bancorp</w:t>
      </w:r>
    </w:p>
    <w:p>
      <w:pPr>
        <w:spacing w:after="0" w:line="90"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The Williams Capital Group, L.P.</w:t>
      </w:r>
    </w:p>
    <w:p>
      <w:pPr>
        <w:spacing w:after="0" w:line="90" w:lineRule="exact"/>
        <w:rPr>
          <w:sz w:val="20"/>
          <w:szCs w:val="20"/>
          <w:color w:val="auto"/>
        </w:rPr>
      </w:pPr>
    </w:p>
    <w:p>
      <w:pPr>
        <w:ind w:left="7260"/>
        <w:spacing w:after="0"/>
        <w:rPr>
          <w:sz w:val="20"/>
          <w:szCs w:val="20"/>
          <w:color w:val="auto"/>
        </w:rPr>
      </w:pPr>
      <w:r>
        <w:rPr>
          <w:rFonts w:ascii="Arial" w:cs="Arial" w:eastAsia="Arial" w:hAnsi="Arial"/>
          <w:sz w:val="18"/>
          <w:szCs w:val="18"/>
          <w:b w:val="1"/>
          <w:bCs w:val="1"/>
          <w:color w:val="auto"/>
        </w:rPr>
        <w:t>BNP PARIBAS</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HSBC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240665</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October 26, 2017</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216535</wp:posOffset>
            </wp:positionV>
            <wp:extent cx="10890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20" w:type="dxa"/>
            <w:vAlign w:val="bottom"/>
            <w:gridSpan w:val="4"/>
          </w:tcPr>
          <w:p>
            <w:pPr>
              <w:jc w:val="right"/>
              <w:ind w:right="4591"/>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1"/>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31"/>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0" w:type="dxa"/>
            <w:vAlign w:val="bottom"/>
            <w:gridSpan w:val="3"/>
            <w:vMerge w:val="restart"/>
          </w:tcPr>
          <w:p>
            <w:pPr>
              <w:jc w:val="right"/>
              <w:ind w:right="4660"/>
              <w:spacing w:after="0"/>
              <w:rPr>
                <w:sz w:val="20"/>
                <w:szCs w:val="20"/>
                <w:color w:val="auto"/>
              </w:rPr>
            </w:pPr>
            <w:r>
              <w:rPr>
                <w:rFonts w:ascii="Arial" w:cs="Arial" w:eastAsia="Arial" w:hAnsi="Arial"/>
                <w:sz w:val="18"/>
                <w:szCs w:val="18"/>
                <w:b w:val="1"/>
                <w:bCs w:val="1"/>
                <w:color w:val="auto"/>
              </w:rPr>
              <w:t>Prospectus Supplement</w:t>
            </w:r>
          </w:p>
        </w:tc>
        <w:tc>
          <w:tcPr>
            <w:tcW w:w="4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40" w:type="dxa"/>
            <w:vAlign w:val="bottom"/>
            <w:gridSpan w:val="21"/>
            <w:vMerge w:val="restart"/>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Notice Regarding Forward-Looking Statements</w:t>
              </w:r>
            </w:hyperlink>
          </w:p>
        </w:tc>
        <w:tc>
          <w:tcPr>
            <w:tcW w:w="7400" w:type="dxa"/>
            <w:vAlign w:val="bottom"/>
            <w:gridSpan w:val="3"/>
            <w:vMerge w:val="continue"/>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84"/>
        </w:trPr>
        <w:tc>
          <w:tcPr>
            <w:tcW w:w="3540" w:type="dxa"/>
            <w:vAlign w:val="bottom"/>
            <w:gridSpan w:val="21"/>
            <w:vMerge w:val="continue"/>
          </w:tcPr>
          <w:p>
            <w:pPr>
              <w:spacing w:after="0"/>
              <w:rPr>
                <w:sz w:val="24"/>
                <w:szCs w:val="24"/>
                <w:color w:val="auto"/>
              </w:rPr>
            </w:pPr>
          </w:p>
        </w:tc>
        <w:tc>
          <w:tcPr>
            <w:tcW w:w="1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About this Prospectus Supplement</w:t>
              </w:r>
            </w:hyperlink>
          </w:p>
        </w:tc>
        <w:tc>
          <w:tcPr>
            <w:tcW w:w="940" w:type="dxa"/>
            <w:vAlign w:val="bottom"/>
            <w:tcBorders>
              <w:top w:val="single" w:sz="8" w:color="0000EE"/>
            </w:tcBorders>
            <w:gridSpan w:val="3"/>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S-iv</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Risk Factors</w:t>
              </w:r>
            </w:hyperlink>
          </w:p>
        </w:tc>
        <w:tc>
          <w:tcPr>
            <w:tcW w:w="2620" w:type="dxa"/>
            <w:vAlign w:val="bottom"/>
            <w:gridSpan w:val="18"/>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Use of Proceeds</w:t>
              </w:r>
            </w:hyperlink>
          </w:p>
        </w:tc>
        <w:tc>
          <w:tcPr>
            <w:tcW w:w="2360" w:type="dxa"/>
            <w:vAlign w:val="bottom"/>
            <w:gridSpan w:val="14"/>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Capitalization</w:t>
              </w:r>
            </w:hyperlink>
          </w:p>
        </w:tc>
        <w:tc>
          <w:tcPr>
            <w:tcW w:w="2520" w:type="dxa"/>
            <w:vAlign w:val="bottom"/>
            <w:gridSpan w:val="16"/>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Description of the Notes</w:t>
              </w:r>
            </w:hyperlink>
          </w:p>
        </w:tc>
        <w:tc>
          <w:tcPr>
            <w:tcW w:w="1760" w:type="dxa"/>
            <w:vAlign w:val="bottom"/>
            <w:gridSpan w:val="7"/>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Material U.S. Federal Income Tax Consequences</w:t>
              </w:r>
            </w:hyperlink>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S-22</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Underwriting</w:t>
              </w:r>
            </w:hyperlink>
          </w:p>
        </w:tc>
        <w:tc>
          <w:tcPr>
            <w:tcW w:w="2560" w:type="dxa"/>
            <w:vAlign w:val="bottom"/>
            <w:gridSpan w:val="17"/>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S-25</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Validity of Securities</w:t>
              </w:r>
            </w:hyperlink>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S-32</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Experts</w:t>
              </w:r>
            </w:hyperlink>
          </w:p>
        </w:tc>
        <w:tc>
          <w:tcPr>
            <w:tcW w:w="960" w:type="dxa"/>
            <w:vAlign w:val="bottom"/>
            <w:tcBorders>
              <w:top w:val="single" w:sz="8" w:color="0000EE"/>
            </w:tcBorders>
            <w:gridSpan w:val="10"/>
          </w:tcPr>
          <w:p>
            <w:pPr>
              <w:spacing w:after="0"/>
              <w:rPr>
                <w:sz w:val="17"/>
                <w:szCs w:val="17"/>
                <w:color w:val="auto"/>
              </w:rPr>
            </w:pPr>
          </w:p>
        </w:tc>
        <w:tc>
          <w:tcPr>
            <w:tcW w:w="2020" w:type="dxa"/>
            <w:vAlign w:val="bottom"/>
            <w:gridSpan w:val="10"/>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S-32</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Where You Can Find More Information</w:t>
              </w:r>
            </w:hyperlink>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S-32</w:t>
            </w:r>
          </w:p>
        </w:tc>
        <w:tc>
          <w:tcPr>
            <w:tcW w:w="0" w:type="dxa"/>
            <w:vAlign w:val="bottom"/>
          </w:tcPr>
          <w:p>
            <w:pPr>
              <w:spacing w:after="0"/>
              <w:rPr>
                <w:sz w:val="1"/>
                <w:szCs w:val="1"/>
                <w:color w:val="auto"/>
              </w:rPr>
            </w:pPr>
          </w:p>
        </w:tc>
      </w:tr>
      <w:tr>
        <w:trPr>
          <w:trHeight w:val="453"/>
        </w:trPr>
        <w:tc>
          <w:tcPr>
            <w:tcW w:w="5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500" w:type="dxa"/>
            <w:vAlign w:val="bottom"/>
            <w:gridSpan w:val="3"/>
          </w:tcPr>
          <w:p>
            <w:pPr>
              <w:jc w:val="right"/>
              <w:ind w:right="5491"/>
              <w:spacing w:after="0"/>
              <w:rPr>
                <w:sz w:val="20"/>
                <w:szCs w:val="20"/>
                <w:color w:val="auto"/>
              </w:rPr>
            </w:pPr>
            <w:r>
              <w:rPr>
                <w:rFonts w:ascii="Arial" w:cs="Arial" w:eastAsia="Arial" w:hAnsi="Arial"/>
                <w:sz w:val="18"/>
                <w:szCs w:val="18"/>
                <w:b w:val="1"/>
                <w:bCs w:val="1"/>
                <w:color w:val="auto"/>
                <w:w w:val="91"/>
              </w:rPr>
              <w:t>Prospectus</w:t>
            </w:r>
          </w:p>
        </w:tc>
        <w:tc>
          <w:tcPr>
            <w:tcW w:w="0" w:type="dxa"/>
            <w:vAlign w:val="bottom"/>
          </w:tcPr>
          <w:p>
            <w:pPr>
              <w:spacing w:after="0"/>
              <w:rPr>
                <w:sz w:val="1"/>
                <w:szCs w:val="1"/>
                <w:color w:val="auto"/>
              </w:rPr>
            </w:pPr>
          </w:p>
        </w:tc>
      </w:tr>
      <w:tr>
        <w:trPr>
          <w:trHeight w:val="284"/>
        </w:trPr>
        <w:tc>
          <w:tcPr>
            <w:tcW w:w="10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The Company</w:t>
              </w:r>
            </w:hyperlink>
          </w:p>
        </w:tc>
        <w:tc>
          <w:tcPr>
            <w:tcW w:w="2500" w:type="dxa"/>
            <w:vAlign w:val="bottom"/>
            <w:gridSpan w:val="15"/>
          </w:tcPr>
          <w:p>
            <w:pPr>
              <w:spacing w:after="0"/>
              <w:rPr>
                <w:sz w:val="24"/>
                <w:szCs w:val="24"/>
                <w:color w:val="auto"/>
              </w:rPr>
            </w:pPr>
          </w:p>
        </w:tc>
        <w:tc>
          <w:tcPr>
            <w:tcW w:w="782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About this Prospectus</w:t>
              </w:r>
            </w:hyperlink>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8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Where You Can Find More Information</w:t>
              </w:r>
            </w:hyperlink>
          </w:p>
        </w:tc>
        <w:tc>
          <w:tcPr>
            <w:tcW w:w="660" w:type="dxa"/>
            <w:vAlign w:val="bottom"/>
            <w:gridSpan w:val="2"/>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w w:val="93"/>
              </w:rPr>
            </w:pPr>
            <w:hyperlink w:anchor="page42">
              <w:r>
                <w:rPr>
                  <w:rFonts w:ascii="Arial" w:cs="Arial" w:eastAsia="Arial" w:hAnsi="Arial"/>
                  <w:sz w:val="18"/>
                  <w:szCs w:val="18"/>
                  <w:color w:val="0000EE"/>
                  <w:w w:val="93"/>
                </w:rPr>
                <w:t>Notice Regarding Forward-Looking Statements</w:t>
              </w:r>
            </w:hyperlink>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Use of Proceeds</w:t>
              </w:r>
            </w:hyperlink>
          </w:p>
        </w:tc>
        <w:tc>
          <w:tcPr>
            <w:tcW w:w="2260" w:type="dxa"/>
            <w:vAlign w:val="bottom"/>
            <w:tcBorders>
              <w:top w:val="single" w:sz="8" w:color="0000EE"/>
            </w:tcBorders>
            <w:gridSpan w:val="13"/>
          </w:tcPr>
          <w:p>
            <w:pPr>
              <w:spacing w:after="0"/>
              <w:rPr>
                <w:sz w:val="17"/>
                <w:szCs w:val="17"/>
                <w:color w:val="auto"/>
              </w:rPr>
            </w:pPr>
          </w:p>
        </w:tc>
        <w:tc>
          <w:tcPr>
            <w:tcW w:w="100" w:type="dxa"/>
            <w:vAlign w:val="bottom"/>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Ratios of Earnings to Fixed Charges</w:t>
              </w:r>
            </w:hyperlink>
          </w:p>
        </w:tc>
        <w:tc>
          <w:tcPr>
            <w:tcW w:w="920" w:type="dxa"/>
            <w:vAlign w:val="bottom"/>
            <w:gridSpan w:val="3"/>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Capital Stock</w:t>
              </w:r>
            </w:hyperlink>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42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78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Description of Debt Securities</w:t>
              </w:r>
            </w:hyperlink>
          </w:p>
        </w:tc>
        <w:tc>
          <w:tcPr>
            <w:tcW w:w="1340" w:type="dxa"/>
            <w:vAlign w:val="bottom"/>
            <w:gridSpan w:val="5"/>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Description of Warrants</w:t>
              </w:r>
            </w:hyperlink>
          </w:p>
        </w:tc>
        <w:tc>
          <w:tcPr>
            <w:tcW w:w="1800" w:type="dxa"/>
            <w:vAlign w:val="bottom"/>
            <w:gridSpan w:val="8"/>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Description of Units</w:t>
              </w:r>
            </w:hyperlink>
          </w:p>
        </w:tc>
        <w:tc>
          <w:tcPr>
            <w:tcW w:w="2060" w:type="dxa"/>
            <w:vAlign w:val="bottom"/>
            <w:gridSpan w:val="11"/>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Forms of Securities</w:t>
              </w:r>
            </w:hyperlink>
          </w:p>
        </w:tc>
        <w:tc>
          <w:tcPr>
            <w:tcW w:w="2120" w:type="dxa"/>
            <w:vAlign w:val="bottom"/>
            <w:gridSpan w:val="13"/>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59">
              <w:r>
                <w:rPr>
                  <w:rFonts w:ascii="Arial" w:cs="Arial" w:eastAsia="Arial" w:hAnsi="Arial"/>
                  <w:sz w:val="18"/>
                  <w:szCs w:val="18"/>
                  <w:color w:val="0000EE"/>
                  <w:w w:val="93"/>
                </w:rPr>
                <w:t>Plan of Distribution</w:t>
              </w:r>
            </w:hyperlink>
          </w:p>
        </w:tc>
        <w:tc>
          <w:tcPr>
            <w:tcW w:w="2100" w:type="dxa"/>
            <w:vAlign w:val="bottom"/>
            <w:gridSpan w:val="12"/>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Validity of Securities</w:t>
              </w:r>
            </w:hyperlink>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Experts</w:t>
              </w:r>
            </w:hyperlink>
          </w:p>
        </w:tc>
        <w:tc>
          <w:tcPr>
            <w:tcW w:w="960" w:type="dxa"/>
            <w:vAlign w:val="bottom"/>
            <w:tcBorders>
              <w:top w:val="single" w:sz="8" w:color="0000EE"/>
            </w:tcBorders>
            <w:gridSpan w:val="10"/>
          </w:tcPr>
          <w:p>
            <w:pPr>
              <w:spacing w:after="0"/>
              <w:rPr>
                <w:sz w:val="17"/>
                <w:szCs w:val="17"/>
                <w:color w:val="auto"/>
              </w:rPr>
            </w:pPr>
          </w:p>
        </w:tc>
        <w:tc>
          <w:tcPr>
            <w:tcW w:w="2020" w:type="dxa"/>
            <w:vAlign w:val="bottom"/>
            <w:gridSpan w:val="10"/>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660" w:right="400" w:hanging="206"/>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ind w:left="660" w:right="100" w:hanging="206"/>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Natural events such as severe weather, geological events or health epidemics in the locations in which we, our customers or our suppliers operate;</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Breaches or disruptions of our information technology systems or those of our customers or suppliers;</w:t>
      </w:r>
    </w:p>
    <w:p>
      <w:pPr>
        <w:spacing w:after="0" w:line="130" w:lineRule="exact"/>
        <w:rPr>
          <w:rFonts w:ascii="Arial" w:cs="Arial" w:eastAsia="Arial" w:hAnsi="Arial"/>
          <w:sz w:val="18"/>
          <w:szCs w:val="18"/>
          <w:color w:val="auto"/>
        </w:rPr>
      </w:pPr>
    </w:p>
    <w:p>
      <w:pPr>
        <w:ind w:left="660" w:right="140" w:hanging="206"/>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or the ability to obtain needed third-party foundry and assembly/test subcontract services;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142" w:lineRule="exact"/>
        <w:rPr>
          <w:rFonts w:ascii="Arial" w:cs="Arial" w:eastAsia="Arial" w:hAnsi="Arial"/>
          <w:sz w:val="17"/>
          <w:szCs w:val="17"/>
          <w:color w:val="auto"/>
        </w:rPr>
      </w:pPr>
    </w:p>
    <w:p>
      <w:pPr>
        <w:ind w:left="660" w:right="580" w:hanging="206"/>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86" w:lineRule="exact"/>
        <w:rPr>
          <w:rFonts w:ascii="Arial" w:cs="Arial" w:eastAsia="Arial" w:hAnsi="Arial"/>
          <w:sz w:val="18"/>
          <w:szCs w:val="18"/>
          <w:color w:val="auto"/>
        </w:rPr>
      </w:pPr>
    </w:p>
    <w:p>
      <w:pPr>
        <w:ind w:left="660" w:right="120" w:hanging="206"/>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660" w:right="180" w:hanging="206"/>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tax rate applicable to us as the result of changes in tax law, the jurisdictions in which profits are determined to be earned and taxed, adverse resolution of tax audits, increases in tariff rates and the ability to realize deferred tax assets;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our consigned inventory;</w:t>
      </w:r>
    </w:p>
    <w:p>
      <w:pPr>
        <w:spacing w:after="0" w:line="130" w:lineRule="exact"/>
        <w:rPr>
          <w:rFonts w:ascii="Arial" w:cs="Arial" w:eastAsia="Arial" w:hAnsi="Arial"/>
          <w:sz w:val="18"/>
          <w:szCs w:val="18"/>
          <w:color w:val="auto"/>
        </w:rPr>
      </w:pPr>
    </w:p>
    <w:p>
      <w:pPr>
        <w:ind w:left="660" w:right="600" w:hanging="206"/>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 or the loss of a significant number of distributors;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or the timing and amount of distributor and other customer inventory adjustments;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w:t>
      </w:r>
    </w:p>
    <w:p>
      <w:pPr>
        <w:spacing w:after="0" w:line="75" w:lineRule="exact"/>
        <w:rPr>
          <w:rFonts w:ascii="Arial" w:cs="Arial" w:eastAsia="Arial" w:hAnsi="Arial"/>
          <w:sz w:val="18"/>
          <w:szCs w:val="18"/>
          <w:color w:val="auto"/>
        </w:rPr>
      </w:pPr>
    </w:p>
    <w:p>
      <w:pPr>
        <w:ind w:left="660" w:right="280" w:hanging="20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or our exposure to infringement claims;</w:t>
      </w:r>
    </w:p>
    <w:p>
      <w:pPr>
        <w:spacing w:after="0" w:line="75" w:lineRule="exact"/>
        <w:rPr>
          <w:rFonts w:ascii="Arial" w:cs="Arial" w:eastAsia="Arial" w:hAnsi="Arial"/>
          <w:sz w:val="18"/>
          <w:szCs w:val="18"/>
          <w:color w:val="auto"/>
        </w:rPr>
      </w:pPr>
    </w:p>
    <w:p>
      <w:pPr>
        <w:ind w:left="660" w:right="360" w:hanging="20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our business, make strategic acquisitions or make principal and interest payments on our debt;</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skilled engineering, management and technical personnel;</w:t>
      </w:r>
    </w:p>
    <w:p>
      <w:pPr>
        <w:spacing w:after="0" w:line="130" w:lineRule="exact"/>
        <w:rPr>
          <w:rFonts w:ascii="Arial" w:cs="Arial" w:eastAsia="Arial" w:hAnsi="Arial"/>
          <w:sz w:val="18"/>
          <w:szCs w:val="18"/>
          <w:color w:val="auto"/>
        </w:rPr>
      </w:pPr>
    </w:p>
    <w:p>
      <w:pPr>
        <w:ind w:left="660" w:right="60" w:hanging="20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24, 2016. The accompanying prospectus contains a description of our debt securities and gives more general information, some of which may not apply to this offering.</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6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2045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Texas Instruments Incorporated</w:t>
      </w:r>
    </w:p>
    <w:p>
      <w:pPr>
        <w:spacing w:after="0" w:line="121"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On October 24, 2017, we announced our results of operations as of and for the three months ended September 30, 2017. A summary of these results is as follows: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Summary of 3Q17 Results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580" w:type="dxa"/>
            <w:vAlign w:val="bottom"/>
          </w:tcPr>
          <w:p>
            <w:pPr>
              <w:spacing w:after="0"/>
              <w:rPr>
                <w:sz w:val="20"/>
                <w:szCs w:val="20"/>
                <w:color w:val="auto"/>
              </w:rPr>
            </w:pPr>
            <w:r>
              <w:rPr>
                <w:rFonts w:ascii="Arial" w:cs="Arial" w:eastAsia="Arial" w:hAnsi="Arial"/>
                <w:sz w:val="14"/>
                <w:szCs w:val="14"/>
                <w:b w:val="1"/>
                <w:bCs w:val="1"/>
                <w:color w:val="auto"/>
              </w:rPr>
              <w:t>(Millions of dollars, except per-share amounts)</w:t>
            </w:r>
          </w:p>
        </w:tc>
        <w:tc>
          <w:tcPr>
            <w:tcW w:w="270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3Q17</w:t>
            </w:r>
          </w:p>
        </w:tc>
        <w:tc>
          <w:tcPr>
            <w:tcW w:w="46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8"/>
              </w:rPr>
              <w:t>3Q16</w:t>
            </w:r>
            <w:r>
              <w:rPr>
                <w:rFonts w:ascii="Arial" w:cs="Arial" w:eastAsia="Arial" w:hAnsi="Arial"/>
                <w:sz w:val="12"/>
                <w:szCs w:val="12"/>
                <w:b w:val="1"/>
                <w:bCs w:val="1"/>
                <w:color w:val="auto"/>
                <w:w w:val="98"/>
              </w:rPr>
              <w:t>(1)</w:t>
            </w:r>
          </w:p>
        </w:tc>
        <w:tc>
          <w:tcPr>
            <w:tcW w:w="6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5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27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vMerge w:val="continue"/>
            <w:shd w:val="clear" w:color="auto" w:fill="CCEEFF"/>
          </w:tcPr>
          <w:p>
            <w:pPr>
              <w:spacing w:after="0"/>
              <w:rPr>
                <w:sz w:val="18"/>
                <w:szCs w:val="18"/>
                <w:color w:val="auto"/>
              </w:rPr>
            </w:pPr>
          </w:p>
        </w:tc>
        <w:tc>
          <w:tcPr>
            <w:tcW w:w="2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4,116</w:t>
            </w: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3,675</w:t>
            </w:r>
          </w:p>
        </w:tc>
        <w:tc>
          <w:tcPr>
            <w:tcW w:w="620" w:type="dxa"/>
            <w:vAlign w:val="bottom"/>
            <w:vMerge w:val="continue"/>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Operating profit</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1,788</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1,408</w:t>
            </w:r>
            <w:r>
              <w:rPr>
                <w:rFonts w:ascii="Arial" w:cs="Arial" w:eastAsia="Arial" w:hAnsi="Arial"/>
                <w:sz w:val="15"/>
                <w:szCs w:val="15"/>
                <w:color w:val="auto"/>
                <w:w w:val="91"/>
              </w:rPr>
              <w:t>(2)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1,285</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1,018</w:t>
            </w: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1.26</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0.98</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1,722</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1,465</w:t>
            </w:r>
          </w:p>
        </w:tc>
        <w:tc>
          <w:tcPr>
            <w:tcW w:w="6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20" w:right="320" w:hanging="424"/>
        <w:spacing w:after="0" w:line="258"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amounts in the prior period have been adjusted to reflect the fourth quarter 2016 early adoption of ASU 2016-09 related to stock-based compensation.</w:t>
      </w:r>
    </w:p>
    <w:p>
      <w:pPr>
        <w:spacing w:after="0" w:line="1" w:lineRule="exact"/>
        <w:rPr>
          <w:rFonts w:ascii="Arial" w:cs="Arial" w:eastAsia="Arial" w:hAnsi="Arial"/>
          <w:sz w:val="18"/>
          <w:szCs w:val="18"/>
          <w:color w:val="auto"/>
        </w:rPr>
      </w:pPr>
    </w:p>
    <w:p>
      <w:pPr>
        <w:ind w:left="620" w:right="40" w:hanging="424"/>
        <w:spacing w:after="0" w:line="261"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amount has been adjusted to reflect our first quarter 2017 early adoption of ASU 2017-07 related to the reclassification of certain pension and other retiree benefit costs to Other income (expense), net.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3Q17 Additional Financial Information</w:t>
      </w:r>
    </w:p>
    <w:p>
      <w:pPr>
        <w:spacing w:after="0" w:line="131" w:lineRule="exact"/>
        <w:rPr>
          <w:sz w:val="20"/>
          <w:szCs w:val="20"/>
          <w:color w:val="auto"/>
        </w:rPr>
      </w:pPr>
    </w:p>
    <w:p>
      <w:pPr>
        <w:ind w:left="840" w:hanging="211"/>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Analog and Embedded Processing segments contributed 88 percent of revenue in the third quarter.</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and short-term investments were $3.4 billion at the end of the quarter.</w:t>
      </w:r>
    </w:p>
    <w:p>
      <w:pPr>
        <w:spacing w:after="0" w:line="130" w:lineRule="exact"/>
        <w:rPr>
          <w:rFonts w:ascii="Arial" w:cs="Arial" w:eastAsia="Arial" w:hAnsi="Arial"/>
          <w:sz w:val="18"/>
          <w:szCs w:val="18"/>
          <w:color w:val="auto"/>
        </w:rPr>
      </w:pPr>
    </w:p>
    <w:p>
      <w:pPr>
        <w:ind w:left="840" w:right="180" w:hanging="211"/>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flows from operating activities in the third quarter were $1.7 billion. For the trailing twelve months, cash flows from operating activities were $4.8 billion, as compared with $4.7 billion, in the year-ago trailing twelve-month period.</w:t>
      </w:r>
    </w:p>
    <w:p>
      <w:pPr>
        <w:spacing w:after="0" w:line="75" w:lineRule="exact"/>
        <w:rPr>
          <w:rFonts w:ascii="Arial" w:cs="Arial" w:eastAsia="Arial" w:hAnsi="Arial"/>
          <w:sz w:val="18"/>
          <w:szCs w:val="18"/>
          <w:color w:val="auto"/>
        </w:rPr>
      </w:pPr>
    </w:p>
    <w:p>
      <w:pPr>
        <w:ind w:left="840" w:right="80" w:hanging="211"/>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Free cash flow in the third quarter was $1.5 billion. For the trailing twelve months, free cash flow was $4.2 billion, or 29 percent of revenue, as compared with $4.1 billion, or 31 percent of revenue, in the year-ago trailing twelve-month period.</w:t>
      </w:r>
    </w:p>
    <w:p>
      <w:pPr>
        <w:spacing w:after="0" w:line="75" w:lineRule="exact"/>
        <w:rPr>
          <w:rFonts w:ascii="Arial" w:cs="Arial" w:eastAsia="Arial" w:hAnsi="Arial"/>
          <w:sz w:val="18"/>
          <w:szCs w:val="18"/>
          <w:color w:val="auto"/>
        </w:rPr>
      </w:pPr>
    </w:p>
    <w:p>
      <w:pPr>
        <w:ind w:left="840" w:right="80" w:hanging="211"/>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returned $1.1 billion in the third quarter to shareholders through dividends and stock repurchases. For the trailing twelve months, the return to shareholders totaled $4.3 billion.</w:t>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326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4326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Free cash flow is Cash flow from operations minus Capital expenditures. Free cash flow and the ratios based on it are non-GAAP financial measures. For a reconciliation of these measures to the most directly comparable measures under generally accepted accounting principles in the United States (“GAAP”), see “Non-GAAP Financial Information” below.</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3Q17 Segment Results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940" w:type="dxa"/>
            <w:vAlign w:val="bottom"/>
          </w:tcPr>
          <w:p>
            <w:pPr>
              <w:spacing w:after="0"/>
              <w:rPr>
                <w:sz w:val="20"/>
                <w:szCs w:val="20"/>
                <w:color w:val="auto"/>
              </w:rPr>
            </w:pPr>
            <w:r>
              <w:rPr>
                <w:rFonts w:ascii="Arial" w:cs="Arial" w:eastAsia="Arial" w:hAnsi="Arial"/>
                <w:sz w:val="14"/>
                <w:szCs w:val="14"/>
                <w:b w:val="1"/>
                <w:bCs w:val="1"/>
                <w:color w:val="auto"/>
              </w:rPr>
              <w:t>(Millions of dollars)</w:t>
            </w:r>
          </w:p>
        </w:tc>
        <w:tc>
          <w:tcPr>
            <w:tcW w:w="32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3Q17</w:t>
            </w:r>
          </w:p>
        </w:tc>
        <w:tc>
          <w:tcPr>
            <w:tcW w:w="460" w:type="dxa"/>
            <w:vAlign w:val="bottom"/>
          </w:tcPr>
          <w:p>
            <w:pPr>
              <w:spacing w:after="0"/>
              <w:rPr>
                <w:sz w:val="14"/>
                <w:szCs w:val="14"/>
                <w:color w:val="auto"/>
              </w:rPr>
            </w:pPr>
          </w:p>
        </w:tc>
        <w:tc>
          <w:tcPr>
            <w:tcW w:w="11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3Q16</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Change</w:t>
            </w: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Analog:</w:t>
            </w:r>
          </w:p>
        </w:tc>
        <w:tc>
          <w:tcPr>
            <w:tcW w:w="3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Revenue</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2,698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2,323</w:t>
            </w:r>
          </w:p>
        </w:tc>
        <w:tc>
          <w:tcPr>
            <w:tcW w:w="6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profit</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1,268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957</w:t>
            </w:r>
            <w:r>
              <w:rPr>
                <w:rFonts w:ascii="Arial" w:cs="Arial" w:eastAsia="Arial" w:hAnsi="Arial"/>
                <w:sz w:val="15"/>
                <w:szCs w:val="15"/>
                <w:color w:val="auto"/>
              </w:rPr>
              <w:t>(1)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Embedded Processing:</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Operating profit</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224</w:t>
            </w:r>
            <w:r>
              <w:rPr>
                <w:rFonts w:ascii="Arial" w:cs="Arial" w:eastAsia="Arial" w:hAnsi="Arial"/>
                <w:sz w:val="15"/>
                <w:szCs w:val="15"/>
                <w:color w:val="auto"/>
              </w:rPr>
              <w:t>(1)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rPr>
              <w:t>Revenue</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487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557</w:t>
            </w:r>
          </w:p>
        </w:tc>
        <w:tc>
          <w:tcPr>
            <w:tcW w:w="6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profit *</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227</w:t>
            </w:r>
            <w:r>
              <w:rPr>
                <w:rFonts w:ascii="Arial" w:cs="Arial" w:eastAsia="Arial" w:hAnsi="Arial"/>
                <w:sz w:val="15"/>
                <w:szCs w:val="15"/>
                <w:color w:val="auto"/>
              </w:rPr>
              <w:t>(1)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bl>
    <w:p>
      <w:pPr>
        <w:spacing w:after="0" w:line="175" w:lineRule="exact"/>
        <w:rPr>
          <w:sz w:val="20"/>
          <w:szCs w:val="20"/>
          <w:color w:val="auto"/>
        </w:rPr>
      </w:pPr>
    </w:p>
    <w:p>
      <w:pPr>
        <w:ind w:left="620" w:hanging="424"/>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Acquisition charges and Restructuring charges/other</w:t>
      </w:r>
    </w:p>
    <w:p>
      <w:pPr>
        <w:spacing w:after="0" w:line="23" w:lineRule="exact"/>
        <w:rPr>
          <w:sz w:val="20"/>
          <w:szCs w:val="20"/>
          <w:color w:val="auto"/>
        </w:rPr>
      </w:pPr>
    </w:p>
    <w:p>
      <w:pPr>
        <w:ind w:left="620" w:right="60" w:hanging="424"/>
        <w:spacing w:after="0" w:line="261"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amounts have been adjusted to reflect our first quarter 2017 early adoption of ASU 2017-07 related to the reclassification of certain pension and other retiree benefit costs to Other income (expense), net.</w:t>
      </w:r>
    </w:p>
    <w:p>
      <w:pPr>
        <w:spacing w:after="0" w:line="200" w:lineRule="exact"/>
        <w:rPr>
          <w:sz w:val="20"/>
          <w:szCs w:val="20"/>
          <w:color w:val="auto"/>
        </w:rPr>
      </w:pPr>
    </w:p>
    <w:p>
      <w:pPr>
        <w:spacing w:after="0" w:line="348" w:lineRule="exact"/>
        <w:rPr>
          <w:sz w:val="20"/>
          <w:szCs w:val="20"/>
          <w:color w:val="auto"/>
        </w:rPr>
      </w:pPr>
    </w:p>
    <w:p>
      <w:pPr>
        <w:jc w:val="both"/>
        <w:ind w:left="200" w:right="660" w:firstLine="441"/>
        <w:spacing w:after="0" w:line="264"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8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2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52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65214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Issuer</w:t>
            </w:r>
          </w:p>
        </w:tc>
        <w:tc>
          <w:tcPr>
            <w:tcW w:w="8240" w:type="dxa"/>
            <w:vAlign w:val="bottom"/>
          </w:tcPr>
          <w:p>
            <w:pPr>
              <w:ind w:left="1200"/>
              <w:spacing w:after="0"/>
              <w:rPr>
                <w:sz w:val="20"/>
                <w:szCs w:val="20"/>
                <w:color w:val="auto"/>
              </w:rPr>
            </w:pPr>
            <w:r>
              <w:rPr>
                <w:rFonts w:ascii="Arial" w:cs="Arial" w:eastAsia="Arial" w:hAnsi="Arial"/>
                <w:sz w:val="18"/>
                <w:szCs w:val="18"/>
                <w:color w:val="auto"/>
              </w:rPr>
              <w:t>Texas Instruments Incorporated.</w:t>
            </w:r>
          </w:p>
        </w:tc>
      </w:tr>
      <w:tr>
        <w:trPr>
          <w:trHeight w:val="473"/>
        </w:trPr>
        <w:tc>
          <w:tcPr>
            <w:tcW w:w="318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8240" w:type="dxa"/>
            <w:vAlign w:val="bottom"/>
          </w:tcPr>
          <w:p>
            <w:pPr>
              <w:ind w:left="1200"/>
              <w:spacing w:after="0"/>
              <w:rPr>
                <w:sz w:val="20"/>
                <w:szCs w:val="20"/>
                <w:color w:val="auto"/>
              </w:rPr>
            </w:pPr>
            <w:r>
              <w:rPr>
                <w:rFonts w:ascii="Arial" w:cs="Arial" w:eastAsia="Arial" w:hAnsi="Arial"/>
                <w:sz w:val="18"/>
                <w:szCs w:val="18"/>
                <w:color w:val="auto"/>
              </w:rPr>
              <w:t>$500,000,000 aggregate principal amount of 2.900% Notes due 2027.</w:t>
            </w:r>
          </w:p>
        </w:tc>
      </w:tr>
      <w:tr>
        <w:trPr>
          <w:trHeight w:val="473"/>
        </w:trPr>
        <w:tc>
          <w:tcPr>
            <w:tcW w:w="3180" w:type="dxa"/>
            <w:vAlign w:val="bottom"/>
          </w:tcPr>
          <w:p>
            <w:pPr>
              <w:ind w:left="200"/>
              <w:spacing w:after="0"/>
              <w:rPr>
                <w:sz w:val="20"/>
                <w:szCs w:val="20"/>
                <w:color w:val="auto"/>
              </w:rPr>
            </w:pPr>
            <w:r>
              <w:rPr>
                <w:rFonts w:ascii="Arial" w:cs="Arial" w:eastAsia="Arial" w:hAnsi="Arial"/>
                <w:sz w:val="18"/>
                <w:szCs w:val="18"/>
                <w:color w:val="auto"/>
              </w:rPr>
              <w:t>Maturity Date</w:t>
            </w:r>
          </w:p>
        </w:tc>
        <w:tc>
          <w:tcPr>
            <w:tcW w:w="8240" w:type="dxa"/>
            <w:vAlign w:val="bottom"/>
          </w:tcPr>
          <w:p>
            <w:pPr>
              <w:ind w:left="1200"/>
              <w:spacing w:after="0"/>
              <w:rPr>
                <w:sz w:val="20"/>
                <w:szCs w:val="20"/>
                <w:color w:val="auto"/>
              </w:rPr>
            </w:pPr>
            <w:r>
              <w:rPr>
                <w:rFonts w:ascii="Arial" w:cs="Arial" w:eastAsia="Arial" w:hAnsi="Arial"/>
                <w:sz w:val="18"/>
                <w:szCs w:val="18"/>
                <w:color w:val="auto"/>
              </w:rPr>
              <w:t>November 3, 2027.</w:t>
            </w:r>
          </w:p>
        </w:tc>
      </w:tr>
      <w:tr>
        <w:trPr>
          <w:trHeight w:val="473"/>
        </w:trPr>
        <w:tc>
          <w:tcPr>
            <w:tcW w:w="3180" w:type="dxa"/>
            <w:vAlign w:val="bottom"/>
          </w:tcPr>
          <w:p>
            <w:pPr>
              <w:ind w:left="200"/>
              <w:spacing w:after="0"/>
              <w:rPr>
                <w:sz w:val="20"/>
                <w:szCs w:val="20"/>
                <w:color w:val="auto"/>
              </w:rPr>
            </w:pPr>
            <w:r>
              <w:rPr>
                <w:rFonts w:ascii="Arial" w:cs="Arial" w:eastAsia="Arial" w:hAnsi="Arial"/>
                <w:sz w:val="18"/>
                <w:szCs w:val="18"/>
                <w:color w:val="auto"/>
              </w:rPr>
              <w:t>Original Issue Date</w:t>
            </w:r>
          </w:p>
        </w:tc>
        <w:tc>
          <w:tcPr>
            <w:tcW w:w="8240" w:type="dxa"/>
            <w:vAlign w:val="bottom"/>
          </w:tcPr>
          <w:p>
            <w:pPr>
              <w:ind w:left="1200"/>
              <w:spacing w:after="0"/>
              <w:rPr>
                <w:sz w:val="20"/>
                <w:szCs w:val="20"/>
                <w:color w:val="auto"/>
              </w:rPr>
            </w:pPr>
            <w:r>
              <w:rPr>
                <w:rFonts w:ascii="Arial" w:cs="Arial" w:eastAsia="Arial" w:hAnsi="Arial"/>
                <w:sz w:val="18"/>
                <w:szCs w:val="18"/>
                <w:color w:val="auto"/>
              </w:rPr>
              <w:t>November 3, 2017.</w:t>
            </w:r>
          </w:p>
        </w:tc>
      </w:tr>
      <w:tr>
        <w:trPr>
          <w:trHeight w:val="473"/>
        </w:trPr>
        <w:tc>
          <w:tcPr>
            <w:tcW w:w="318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8240" w:type="dxa"/>
            <w:vAlign w:val="bottom"/>
          </w:tcPr>
          <w:p>
            <w:pPr>
              <w:ind w:left="1200"/>
              <w:spacing w:after="0"/>
              <w:rPr>
                <w:sz w:val="20"/>
                <w:szCs w:val="20"/>
                <w:color w:val="auto"/>
              </w:rPr>
            </w:pPr>
            <w:r>
              <w:rPr>
                <w:rFonts w:ascii="Arial" w:cs="Arial" w:eastAsia="Arial" w:hAnsi="Arial"/>
                <w:sz w:val="18"/>
                <w:szCs w:val="18"/>
                <w:color w:val="auto"/>
              </w:rPr>
              <w:t>Fixed rate of 2.900%.</w:t>
            </w:r>
          </w:p>
        </w:tc>
      </w:tr>
      <w:tr>
        <w:trPr>
          <w:trHeight w:val="473"/>
        </w:trPr>
        <w:tc>
          <w:tcPr>
            <w:tcW w:w="318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8240" w:type="dxa"/>
            <w:vAlign w:val="bottom"/>
          </w:tcPr>
          <w:p>
            <w:pPr>
              <w:ind w:left="1200"/>
              <w:spacing w:after="0"/>
              <w:rPr>
                <w:sz w:val="20"/>
                <w:szCs w:val="20"/>
                <w:color w:val="auto"/>
              </w:rPr>
            </w:pPr>
            <w:r>
              <w:rPr>
                <w:rFonts w:ascii="Arial" w:cs="Arial" w:eastAsia="Arial" w:hAnsi="Arial"/>
                <w:sz w:val="18"/>
                <w:szCs w:val="18"/>
                <w:color w:val="auto"/>
              </w:rPr>
              <w:t>Each May 3 and November 3, beginning on May 3, 2018, and on the maturity date.</w:t>
            </w:r>
          </w:p>
        </w:tc>
      </w:tr>
      <w:tr>
        <w:trPr>
          <w:trHeight w:val="458"/>
        </w:trPr>
        <w:tc>
          <w:tcPr>
            <w:tcW w:w="3180" w:type="dxa"/>
            <w:vAlign w:val="bottom"/>
          </w:tcPr>
          <w:p>
            <w:pPr>
              <w:ind w:left="200"/>
              <w:spacing w:after="0"/>
              <w:rPr>
                <w:sz w:val="20"/>
                <w:szCs w:val="20"/>
                <w:color w:val="auto"/>
              </w:rPr>
            </w:pPr>
            <w:r>
              <w:rPr>
                <w:rFonts w:ascii="Arial" w:cs="Arial" w:eastAsia="Arial" w:hAnsi="Arial"/>
                <w:sz w:val="18"/>
                <w:szCs w:val="18"/>
                <w:color w:val="auto"/>
              </w:rPr>
              <w:t>Ranking</w:t>
            </w:r>
          </w:p>
        </w:tc>
        <w:tc>
          <w:tcPr>
            <w:tcW w:w="8240" w:type="dxa"/>
            <w:vAlign w:val="bottom"/>
          </w:tcPr>
          <w:p>
            <w:pPr>
              <w:ind w:left="1200"/>
              <w:spacing w:after="0"/>
              <w:rPr>
                <w:sz w:val="20"/>
                <w:szCs w:val="20"/>
                <w:color w:val="auto"/>
              </w:rPr>
            </w:pPr>
            <w:r>
              <w:rPr>
                <w:rFonts w:ascii="Arial" w:cs="Arial" w:eastAsia="Arial" w:hAnsi="Arial"/>
                <w:sz w:val="18"/>
                <w:szCs w:val="18"/>
                <w:color w:val="auto"/>
                <w:w w:val="94"/>
              </w:rPr>
              <w:t>The Notes will be the senior unsecured obligations of Texas Instruments Incorporated and will</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rPr>
              <w:t>rank equally with all of its existing and future senior indebtedness from time to time</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rPr>
              <w:t>outstanding. All existing and future liabilities of subsidiaries of Texas Instruments</w:t>
            </w:r>
          </w:p>
        </w:tc>
      </w:tr>
      <w:tr>
        <w:trPr>
          <w:trHeight w:val="230"/>
        </w:trPr>
        <w:tc>
          <w:tcPr>
            <w:tcW w:w="3180" w:type="dxa"/>
            <w:vAlign w:val="bottom"/>
          </w:tcPr>
          <w:p>
            <w:pPr>
              <w:spacing w:after="0"/>
              <w:rPr>
                <w:sz w:val="20"/>
                <w:szCs w:val="20"/>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rPr>
              <w:t>Incorporated will be effectively senior to the Notes.</w:t>
            </w:r>
          </w:p>
        </w:tc>
      </w:tr>
      <w:tr>
        <w:trPr>
          <w:trHeight w:val="445"/>
        </w:trPr>
        <w:tc>
          <w:tcPr>
            <w:tcW w:w="3180" w:type="dxa"/>
            <w:vAlign w:val="bottom"/>
          </w:tcPr>
          <w:p>
            <w:pPr>
              <w:spacing w:after="0"/>
              <w:rPr>
                <w:sz w:val="24"/>
                <w:szCs w:val="24"/>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rPr>
              <w:t>As of June 30, 2017, Texas Instruments Incorporated had approximately $3.6 billion of</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rPr>
              <w:t>outstanding indebtedness. As of June 30, 2017, Texas Instruments had approximately</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w w:val="97"/>
              </w:rPr>
              <w:t>$5.7 billion of total liabilities on a consolidated basis. Of this amount, subsidiaries of Texas</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rPr>
              <w:t>Instruments Incorporated had approximately $1.1 billion of liabilities (including trade</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rPr>
              <w:t>payables and excluding intercompany debt) to which the Notes will be effectively</w:t>
            </w:r>
          </w:p>
        </w:tc>
      </w:tr>
      <w:tr>
        <w:trPr>
          <w:trHeight w:val="230"/>
        </w:trPr>
        <w:tc>
          <w:tcPr>
            <w:tcW w:w="3180" w:type="dxa"/>
            <w:vAlign w:val="bottom"/>
          </w:tcPr>
          <w:p>
            <w:pPr>
              <w:spacing w:after="0"/>
              <w:rPr>
                <w:sz w:val="20"/>
                <w:szCs w:val="20"/>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rPr>
              <w:t>subordinated.</w:t>
            </w:r>
          </w:p>
        </w:tc>
      </w:tr>
      <w:tr>
        <w:trPr>
          <w:trHeight w:val="445"/>
        </w:trPr>
        <w:tc>
          <w:tcPr>
            <w:tcW w:w="3180" w:type="dxa"/>
            <w:vAlign w:val="bottom"/>
          </w:tcPr>
          <w:p>
            <w:pPr>
              <w:ind w:left="200"/>
              <w:spacing w:after="0"/>
              <w:rPr>
                <w:sz w:val="20"/>
                <w:szCs w:val="20"/>
                <w:color w:val="auto"/>
              </w:rPr>
            </w:pPr>
            <w:r>
              <w:rPr>
                <w:rFonts w:ascii="Arial" w:cs="Arial" w:eastAsia="Arial" w:hAnsi="Arial"/>
                <w:sz w:val="18"/>
                <w:szCs w:val="18"/>
                <w:color w:val="auto"/>
              </w:rPr>
              <w:t>Form and Denomination</w:t>
            </w:r>
          </w:p>
        </w:tc>
        <w:tc>
          <w:tcPr>
            <w:tcW w:w="8240" w:type="dxa"/>
            <w:vAlign w:val="bottom"/>
          </w:tcPr>
          <w:p>
            <w:pPr>
              <w:ind w:left="1200"/>
              <w:spacing w:after="0"/>
              <w:rPr>
                <w:sz w:val="20"/>
                <w:szCs w:val="20"/>
                <w:color w:val="auto"/>
              </w:rPr>
            </w:pPr>
            <w:r>
              <w:rPr>
                <w:rFonts w:ascii="Arial" w:cs="Arial" w:eastAsia="Arial" w:hAnsi="Arial"/>
                <w:sz w:val="18"/>
                <w:szCs w:val="18"/>
                <w:color w:val="auto"/>
                <w:w w:val="96"/>
              </w:rPr>
              <w:t>The Notes will be issued in the form of one or more fully registered global securities, without</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w w:val="96"/>
              </w:rPr>
              <w:t>coupons, in denominations of $2,000 in principal amount and integral multiples of $1,000 in</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w w:val="97"/>
              </w:rPr>
              <w:t>excess thereof. These global notes will be deposited with the trustee as custodian for, and</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w w:val="93"/>
              </w:rPr>
              <w:t>registered in the name of, a nominee of The Depository Trust Company, or DTC. Except in the</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w w:val="96"/>
              </w:rPr>
              <w:t>limited circumstances described under “Description of the Notes—Book-Entry; Delivery and</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w w:val="95"/>
              </w:rPr>
              <w:t>Form; Global Note,” Notes in certificated form will not be issued or exchanged for interests in</w:t>
            </w:r>
          </w:p>
        </w:tc>
      </w:tr>
      <w:tr>
        <w:trPr>
          <w:trHeight w:val="230"/>
        </w:trPr>
        <w:tc>
          <w:tcPr>
            <w:tcW w:w="3180" w:type="dxa"/>
            <w:vAlign w:val="bottom"/>
          </w:tcPr>
          <w:p>
            <w:pPr>
              <w:spacing w:after="0"/>
              <w:rPr>
                <w:sz w:val="20"/>
                <w:szCs w:val="20"/>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rPr>
              <w:t>global securities.</w:t>
            </w:r>
          </w:p>
        </w:tc>
      </w:tr>
      <w:tr>
        <w:trPr>
          <w:trHeight w:val="459"/>
        </w:trPr>
        <w:tc>
          <w:tcPr>
            <w:tcW w:w="318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8240" w:type="dxa"/>
            <w:vAlign w:val="bottom"/>
          </w:tcPr>
          <w:p>
            <w:pPr>
              <w:ind w:left="1200"/>
              <w:spacing w:after="0"/>
              <w:rPr>
                <w:sz w:val="20"/>
                <w:szCs w:val="20"/>
                <w:color w:val="auto"/>
              </w:rPr>
            </w:pPr>
            <w:r>
              <w:rPr>
                <w:rFonts w:ascii="Arial" w:cs="Arial" w:eastAsia="Arial" w:hAnsi="Arial"/>
                <w:sz w:val="18"/>
                <w:szCs w:val="18"/>
                <w:color w:val="auto"/>
              </w:rPr>
              <w:t>The internal laws of the State of New York.</w:t>
            </w:r>
          </w:p>
        </w:tc>
      </w:tr>
      <w:tr>
        <w:trPr>
          <w:trHeight w:val="458"/>
        </w:trPr>
        <w:tc>
          <w:tcPr>
            <w:tcW w:w="318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8240" w:type="dxa"/>
            <w:vAlign w:val="bottom"/>
          </w:tcPr>
          <w:p>
            <w:pPr>
              <w:ind w:left="1200"/>
              <w:spacing w:after="0"/>
              <w:rPr>
                <w:sz w:val="20"/>
                <w:szCs w:val="20"/>
                <w:color w:val="auto"/>
              </w:rPr>
            </w:pPr>
            <w:r>
              <w:rPr>
                <w:rFonts w:ascii="Arial" w:cs="Arial" w:eastAsia="Arial" w:hAnsi="Arial"/>
                <w:sz w:val="18"/>
                <w:szCs w:val="18"/>
                <w:color w:val="auto"/>
                <w:w w:val="93"/>
              </w:rPr>
              <w:t>We expect to use the net proceeds of this offering for general corporate purposes. See “Use of</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w w:val="94"/>
              </w:rPr>
              <w:t>Proceeds.” In connection with the issuance of the Notes, we may enter into interest rate swap</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w w:val="96"/>
              </w:rPr>
              <w:t>agreements with financial institutions, which may include one or more of the underwriters or</w:t>
            </w:r>
          </w:p>
        </w:tc>
      </w:tr>
      <w:tr>
        <w:trPr>
          <w:trHeight w:val="230"/>
        </w:trPr>
        <w:tc>
          <w:tcPr>
            <w:tcW w:w="3180" w:type="dxa"/>
            <w:vAlign w:val="bottom"/>
          </w:tcPr>
          <w:p>
            <w:pPr>
              <w:spacing w:after="0"/>
              <w:rPr>
                <w:sz w:val="20"/>
                <w:szCs w:val="20"/>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rPr>
              <w:t>their affiliates.</w:t>
            </w:r>
          </w:p>
        </w:tc>
      </w:tr>
      <w:tr>
        <w:trPr>
          <w:trHeight w:val="159"/>
        </w:trPr>
        <w:tc>
          <w:tcPr>
            <w:tcW w:w="3180" w:type="dxa"/>
            <w:vAlign w:val="bottom"/>
            <w:tcBorders>
              <w:bottom w:val="single" w:sz="8" w:color="auto"/>
            </w:tcBorders>
          </w:tcPr>
          <w:p>
            <w:pPr>
              <w:spacing w:after="0"/>
              <w:rPr>
                <w:sz w:val="13"/>
                <w:szCs w:val="13"/>
                <w:color w:val="auto"/>
              </w:rPr>
            </w:pPr>
          </w:p>
        </w:tc>
        <w:tc>
          <w:tcPr>
            <w:tcW w:w="8240" w:type="dxa"/>
            <w:vAlign w:val="bottom"/>
            <w:tcBorders>
              <w:bottom w:val="single" w:sz="8" w:color="auto"/>
            </w:tcBorders>
          </w:tcPr>
          <w:p>
            <w:pPr>
              <w:spacing w:after="0"/>
              <w:rPr>
                <w:sz w:val="13"/>
                <w:szCs w:val="13"/>
                <w:color w:val="auto"/>
              </w:rPr>
            </w:pPr>
          </w:p>
        </w:tc>
      </w:tr>
      <w:tr>
        <w:trPr>
          <w:trHeight w:val="361"/>
        </w:trPr>
        <w:tc>
          <w:tcPr>
            <w:tcW w:w="3180" w:type="dxa"/>
            <w:vAlign w:val="bottom"/>
          </w:tcPr>
          <w:p>
            <w:pPr>
              <w:spacing w:after="0"/>
              <w:rPr>
                <w:sz w:val="24"/>
                <w:szCs w:val="24"/>
                <w:color w:val="auto"/>
              </w:rPr>
            </w:pPr>
          </w:p>
        </w:tc>
        <w:tc>
          <w:tcPr>
            <w:tcW w:w="8240" w:type="dxa"/>
            <w:vAlign w:val="bottom"/>
          </w:tcPr>
          <w:p>
            <w:pPr>
              <w:ind w:left="24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06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Further Issuances</w:t>
            </w:r>
          </w:p>
        </w:tc>
        <w:tc>
          <w:tcPr>
            <w:tcW w:w="8360" w:type="dxa"/>
            <w:vAlign w:val="bottom"/>
            <w:tcBorders>
              <w:top w:val="single" w:sz="8" w:color="auto"/>
              <w:right w:val="single" w:sz="8" w:color="auto"/>
            </w:tcBorders>
          </w:tcPr>
          <w:p>
            <w:pPr>
              <w:ind w:left="1320"/>
              <w:spacing w:after="0"/>
              <w:rPr>
                <w:sz w:val="20"/>
                <w:szCs w:val="20"/>
                <w:color w:val="auto"/>
              </w:rPr>
            </w:pPr>
            <w:r>
              <w:rPr>
                <w:rFonts w:ascii="Arial" w:cs="Arial" w:eastAsia="Arial" w:hAnsi="Arial"/>
                <w:sz w:val="18"/>
                <w:szCs w:val="18"/>
                <w:color w:val="auto"/>
                <w:w w:val="92"/>
              </w:rPr>
              <w:t>Texas Instruments Incorporated may create and issue further notes ranking equally and ratably</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3"/>
              </w:rPr>
              <w:t>with the Notes offered by this prospectus supplement in all respects, so that such further notes</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will be consolidated and form a single series with the Notes offered by this prospectus</w:t>
            </w:r>
          </w:p>
        </w:tc>
      </w:tr>
      <w:tr>
        <w:trPr>
          <w:trHeight w:val="230"/>
        </w:trPr>
        <w:tc>
          <w:tcPr>
            <w:tcW w:w="30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supplement.</w:t>
            </w:r>
          </w:p>
        </w:tc>
      </w:tr>
      <w:tr>
        <w:trPr>
          <w:trHeight w:val="459"/>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Sinking Fund</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None.</w:t>
            </w:r>
          </w:p>
        </w:tc>
      </w:tr>
      <w:tr>
        <w:trPr>
          <w:trHeight w:val="458"/>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Texas Instruments Incorporated may redeem some or all of the Notes at any time at the</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redemption prices indicated under the heading “Description of the Notes—Optional</w:t>
            </w:r>
          </w:p>
        </w:tc>
      </w:tr>
      <w:tr>
        <w:trPr>
          <w:trHeight w:val="230"/>
        </w:trPr>
        <w:tc>
          <w:tcPr>
            <w:tcW w:w="30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Redemption.”</w:t>
            </w:r>
          </w:p>
        </w:tc>
      </w:tr>
      <w:tr>
        <w:trPr>
          <w:trHeight w:val="445"/>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2"/>
              </w:rPr>
              <w:t>The Notes are a new issue of securities with no established trading market. We do not intend to</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6"/>
              </w:rPr>
              <w:t>apply for listing of the Notes on any securities exchange. The underwriters have advised us</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6"/>
              </w:rPr>
              <w:t>that they intend to make a market in the Notes, but they are not obligated to do so and may</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6"/>
              </w:rPr>
              <w:t>discontinue market-making at any time without notice. See “Underwriting” in this prospectus</w:t>
            </w:r>
          </w:p>
        </w:tc>
      </w:tr>
      <w:tr>
        <w:trPr>
          <w:trHeight w:val="230"/>
        </w:trPr>
        <w:tc>
          <w:tcPr>
            <w:tcW w:w="30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supplement for more information about possible market-making by the underwriters.</w:t>
            </w:r>
          </w:p>
        </w:tc>
      </w:tr>
      <w:tr>
        <w:trPr>
          <w:trHeight w:val="459"/>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Trustee</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U.S. Bank National Association.</w:t>
            </w:r>
          </w:p>
        </w:tc>
      </w:tr>
      <w:tr>
        <w:trPr>
          <w:trHeight w:val="458"/>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8"/>
              </w:rPr>
              <w:t>You should carefully consider all of the information in this prospectus supplement and the</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4"/>
              </w:rPr>
              <w:t>accompanying prospectus and the documents incorporated herein by reference. In particular,</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you should evaluate the information set forth under “Notice Regarding Forward-Looking</w:t>
            </w:r>
          </w:p>
        </w:tc>
      </w:tr>
      <w:tr>
        <w:trPr>
          <w:trHeight w:val="230"/>
        </w:trPr>
        <w:tc>
          <w:tcPr>
            <w:tcW w:w="30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Statements” and “Risk Factors” before deciding whether to invest in the Notes.</w:t>
            </w:r>
          </w:p>
        </w:tc>
      </w:tr>
      <w:tr>
        <w:trPr>
          <w:trHeight w:val="159"/>
        </w:trPr>
        <w:tc>
          <w:tcPr>
            <w:tcW w:w="3060" w:type="dxa"/>
            <w:vAlign w:val="bottom"/>
            <w:tcBorders>
              <w:left w:val="single" w:sz="8" w:color="auto"/>
              <w:bottom w:val="single" w:sz="8" w:color="auto"/>
            </w:tcBorders>
          </w:tcPr>
          <w:p>
            <w:pPr>
              <w:spacing w:after="0"/>
              <w:rPr>
                <w:sz w:val="13"/>
                <w:szCs w:val="13"/>
                <w:color w:val="auto"/>
              </w:rPr>
            </w:pPr>
          </w:p>
        </w:tc>
        <w:tc>
          <w:tcPr>
            <w:tcW w:w="8360" w:type="dxa"/>
            <w:vAlign w:val="bottom"/>
            <w:tcBorders>
              <w:bottom w:val="single" w:sz="8" w:color="auto"/>
              <w:right w:val="single" w:sz="8" w:color="auto"/>
            </w:tcBorders>
          </w:tcPr>
          <w:p>
            <w:pPr>
              <w:spacing w:after="0"/>
              <w:rPr>
                <w:sz w:val="13"/>
                <w:szCs w:val="13"/>
                <w:color w:val="auto"/>
              </w:rPr>
            </w:pPr>
          </w:p>
        </w:tc>
      </w:tr>
      <w:tr>
        <w:trPr>
          <w:trHeight w:val="361"/>
        </w:trPr>
        <w:tc>
          <w:tcPr>
            <w:tcW w:w="3060" w:type="dxa"/>
            <w:vAlign w:val="bottom"/>
          </w:tcPr>
          <w:p>
            <w:pPr>
              <w:spacing w:after="0"/>
              <w:rPr>
                <w:sz w:val="24"/>
                <w:szCs w:val="24"/>
                <w:color w:val="auto"/>
              </w:rPr>
            </w:pPr>
          </w:p>
        </w:tc>
        <w:tc>
          <w:tcPr>
            <w:tcW w:w="8360" w:type="dxa"/>
            <w:vAlign w:val="bottom"/>
          </w:tcPr>
          <w:p>
            <w:pPr>
              <w:ind w:left="252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556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59556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Historical Financial Information</w:t>
      </w:r>
    </w:p>
    <w:p>
      <w:pPr>
        <w:spacing w:after="0" w:line="121"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The following tables set forth our summary historical financial information. The summary historical financial information for the years ended December 31, 2016, 2015 and 2014 and as of December 31, 2016 and 2015 has been derived from our audited consolidated financial statements included or incorporated by reference into this prospectus supplement and the accompanying prospectus. The summary historical financial information for the six months ended June 30, 2017 and 2016 and as of June 30, 2017 has been derived from our unaudited consolidated financial statements included or incorporated by reference into this prospectus supplement and the accompanying prospectus. Our unaudited consolidated financial statements have been prepared on a basis consistent with our audited consolidated financial statements; however, they may not be indicative of our results for the full year.</w:t>
      </w:r>
    </w:p>
    <w:p>
      <w:pPr>
        <w:spacing w:after="0" w:line="189" w:lineRule="exact"/>
        <w:rPr>
          <w:sz w:val="20"/>
          <w:szCs w:val="20"/>
          <w:color w:val="auto"/>
        </w:rPr>
      </w:pPr>
    </w:p>
    <w:p>
      <w:pPr>
        <w:ind w:left="200" w:right="560" w:firstLine="441"/>
        <w:spacing w:after="0" w:line="259" w:lineRule="auto"/>
        <w:rPr>
          <w:sz w:val="20"/>
          <w:szCs w:val="20"/>
          <w:color w:val="auto"/>
        </w:rPr>
      </w:pPr>
      <w:r>
        <w:rPr>
          <w:rFonts w:ascii="Arial" w:cs="Arial" w:eastAsia="Arial" w:hAnsi="Arial"/>
          <w:sz w:val="18"/>
          <w:szCs w:val="18"/>
          <w:color w:val="auto"/>
        </w:rPr>
        <w:t>Various factors will have an effect on our financial condition and results of operations. You should read the summary historical financial information in conjunction with the information under “Risk Factors,” “Capitalization” and “Management’s Discussion and Analysis of Financial Condition and Results of Operations” and our consolidated financial statements and the related notes, all included elsewhere or incorporated by reference into this prospectus supplement and the accompanying prospectus.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10"/>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000" w:type="dxa"/>
            <w:vAlign w:val="bottom"/>
            <w:gridSpan w:val="3"/>
            <w:vMerge w:val="continue"/>
          </w:tcPr>
          <w:p>
            <w:pPr>
              <w:spacing w:after="0"/>
              <w:rPr>
                <w:sz w:val="12"/>
                <w:szCs w:val="12"/>
                <w:color w:val="auto"/>
              </w:rPr>
            </w:pPr>
          </w:p>
        </w:tc>
        <w:tc>
          <w:tcPr>
            <w:tcW w:w="2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13,370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13,045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2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Acquisition charges</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charges/other</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6000" w:type="dxa"/>
            <w:vAlign w:val="bottom"/>
            <w:gridSpan w:val="3"/>
          </w:tcPr>
          <w:p>
            <w:pPr>
              <w:spacing w:after="0"/>
              <w:rPr>
                <w:sz w:val="20"/>
                <w:szCs w:val="20"/>
                <w:color w:val="auto"/>
              </w:rPr>
            </w:pPr>
            <w:r>
              <w:rPr>
                <w:rFonts w:ascii="Arial" w:cs="Arial" w:eastAsia="Arial" w:hAnsi="Arial"/>
                <w:sz w:val="18"/>
                <w:szCs w:val="18"/>
                <w:color w:val="auto"/>
              </w:rPr>
              <w:t>Operating profit</w:t>
            </w:r>
          </w:p>
        </w:tc>
        <w:tc>
          <w:tcPr>
            <w:tcW w:w="2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Interest and debt expense</w:t>
            </w:r>
          </w:p>
        </w:tc>
        <w:tc>
          <w:tcPr>
            <w:tcW w:w="2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spacing w:after="0"/>
              <w:rPr>
                <w:sz w:val="20"/>
                <w:szCs w:val="20"/>
                <w:color w:val="auto"/>
              </w:rPr>
            </w:pPr>
            <w:r>
              <w:rPr>
                <w:rFonts w:ascii="Arial" w:cs="Arial" w:eastAsia="Arial" w:hAnsi="Arial"/>
                <w:sz w:val="18"/>
                <w:szCs w:val="18"/>
                <w:color w:val="auto"/>
              </w:rPr>
              <w:t>Earnings per common share:</w:t>
            </w:r>
          </w:p>
        </w:tc>
        <w:tc>
          <w:tcPr>
            <w:tcW w:w="2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gridSpan w:val="3"/>
            <w:vMerge w:val="continue"/>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gridSpan w:val="2"/>
            <w:vMerge w:val="restart"/>
          </w:tcPr>
          <w:p>
            <w:pPr>
              <w:ind w:left="340"/>
              <w:spacing w:after="0"/>
              <w:rPr>
                <w:sz w:val="20"/>
                <w:szCs w:val="20"/>
                <w:color w:val="auto"/>
              </w:rPr>
            </w:pPr>
            <w:r>
              <w:rPr>
                <w:rFonts w:ascii="Arial" w:cs="Arial" w:eastAsia="Arial" w:hAnsi="Arial"/>
                <w:sz w:val="18"/>
                <w:szCs w:val="18"/>
                <w:color w:val="auto"/>
              </w:rPr>
              <w:t>Diluted</w:t>
            </w:r>
          </w:p>
        </w:tc>
        <w:tc>
          <w:tcPr>
            <w:tcW w:w="2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vMerge w:val="continue"/>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2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9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As of the beginning of the quarter ended March 31, 2017, we reflected the early adoption of ASU 2017-07 related to the classification of certain pension and other retiree benefits. ASU 2017-07 is required to be retrospectively applied to historical financial periods, and we expect to reflect the adoption in our annual report on Form 10-K for the period ended December 31, 2017. In connection with this adoption, we will reclassify certain expenses currently impacting Operating profit to Other income (expense), net in the amounts of</w:t>
      </w: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372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53727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$56 million, $48 million and $56 million for the 2016, 2015 and 2014 periods reflected above, respectively. The table below represents these line items on an as adjusted basis: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2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(As Adjusted)</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vMerge w:val="continue"/>
          </w:tcPr>
          <w:p>
            <w:pPr>
              <w:spacing w:after="0"/>
              <w:rPr>
                <w:sz w:val="12"/>
                <w:szCs w:val="12"/>
                <w:color w:val="auto"/>
              </w:rPr>
            </w:pPr>
          </w:p>
        </w:tc>
        <w:tc>
          <w:tcPr>
            <w:tcW w:w="27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56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920" w:type="dxa"/>
            <w:vAlign w:val="bottom"/>
            <w:gridSpan w:val="2"/>
            <w:shd w:val="clear" w:color="auto" w:fill="CCEEFF"/>
          </w:tcPr>
          <w:p>
            <w:pPr>
              <w:ind w:left="27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5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920" w:type="dxa"/>
            <w:vAlign w:val="bottom"/>
            <w:gridSpan w:val="2"/>
          </w:tcPr>
          <w:p>
            <w:pPr>
              <w:ind w:left="27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155</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(16)</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reclassification will not impact Revenue, Net income, Earnings per common share or Cash flows from operating activities.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6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2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right="79"/>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gridSpan w:val="3"/>
            <w:vMerge w:val="continue"/>
          </w:tcPr>
          <w:p>
            <w:pPr>
              <w:spacing w:after="0"/>
              <w:rPr>
                <w:sz w:val="12"/>
                <w:szCs w:val="12"/>
                <w:color w:val="auto"/>
              </w:rPr>
            </w:pPr>
          </w:p>
        </w:tc>
        <w:tc>
          <w:tcPr>
            <w:tcW w:w="27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86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2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Acquisition charges</w:t>
            </w: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charges/other</w:t>
            </w:r>
          </w:p>
        </w:tc>
        <w:tc>
          <w:tcPr>
            <w:tcW w:w="2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gridSpan w:val="3"/>
          </w:tcPr>
          <w:p>
            <w:pPr>
              <w:spacing w:after="0"/>
              <w:rPr>
                <w:sz w:val="20"/>
                <w:szCs w:val="20"/>
                <w:color w:val="auto"/>
              </w:rPr>
            </w:pPr>
            <w:r>
              <w:rPr>
                <w:rFonts w:ascii="Arial" w:cs="Arial" w:eastAsia="Arial" w:hAnsi="Arial"/>
                <w:sz w:val="18"/>
                <w:szCs w:val="18"/>
                <w:color w:val="auto"/>
              </w:rPr>
              <w:t>Operating profit</w:t>
            </w:r>
          </w:p>
        </w:tc>
        <w:tc>
          <w:tcPr>
            <w:tcW w:w="2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2,732</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Interest and debt expense</w:t>
            </w:r>
          </w:p>
        </w:tc>
        <w:tc>
          <w:tcPr>
            <w:tcW w:w="2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86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8"/>
                <w:szCs w:val="18"/>
                <w:color w:val="auto"/>
              </w:rPr>
              <w:t>Earnings per common share:</w:t>
            </w:r>
          </w:p>
        </w:tc>
        <w:tc>
          <w:tcPr>
            <w:tcW w:w="2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3"/>
            <w:vMerge w:val="continue"/>
          </w:tcPr>
          <w:p>
            <w:pPr>
              <w:spacing w:after="0"/>
              <w:rPr>
                <w:sz w:val="18"/>
                <w:szCs w:val="18"/>
                <w:color w:val="auto"/>
              </w:rPr>
            </w:pP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86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gridSpan w:val="2"/>
            <w:vMerge w:val="restart"/>
          </w:tcPr>
          <w:p>
            <w:pPr>
              <w:ind w:left="340"/>
              <w:spacing w:after="0"/>
              <w:rPr>
                <w:sz w:val="20"/>
                <w:szCs w:val="20"/>
                <w:color w:val="auto"/>
              </w:rPr>
            </w:pPr>
            <w:r>
              <w:rPr>
                <w:rFonts w:ascii="Arial" w:cs="Arial" w:eastAsia="Arial" w:hAnsi="Arial"/>
                <w:sz w:val="18"/>
                <w:szCs w:val="18"/>
                <w:color w:val="auto"/>
              </w:rPr>
              <w:t>Diluted</w:t>
            </w:r>
          </w:p>
        </w:tc>
        <w:tc>
          <w:tcPr>
            <w:tcW w:w="2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2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1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Certain amounts for the six months ended June 30, 2016 have been adjusted to reflect our first quarter 2017 early adoption of ASU 2017-07 related to the reclassification of certain pension and other retiree benefit costs to Other income (expense), net.</w:t>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0674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60674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24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June 30,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040" w:type="dxa"/>
            <w:vAlign w:val="bottom"/>
            <w:tcBorders>
              <w:bottom w:val="single" w:sz="8" w:color="CCEEFF"/>
            </w:tcBorders>
            <w:vMerge w:val="continue"/>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2,984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3,490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Inventories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1,947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1,790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2,514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2,512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Acquisition-related intangibles, net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1,105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1,264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16,438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16,431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0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Long-term debt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3,084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2,978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10,708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10,473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16,438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16,431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Information</w:t>
      </w:r>
    </w:p>
    <w:p>
      <w:pPr>
        <w:spacing w:after="0" w:line="121"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This prospectus supplement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1"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Reconciliation to the most directly comparable GAAP-based measures is provided in the table below. Certain amounts for the twelve months ended September 30, 2016 have been adjusted to reflect the following: (1) the fourth-quarter 2016 early adoption of ASU 2016-09 related to stock-based compensation, and (2) the first-quarter 2017 early adoption of ASU 2017-07 related to the reclassification of certain pension and other retiree benefit costs to Other income (expense), net.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00" w:type="dxa"/>
            <w:vAlign w:val="bottom"/>
          </w:tcPr>
          <w:p>
            <w:pPr>
              <w:spacing w:after="0"/>
              <w:rPr>
                <w:sz w:val="3"/>
                <w:szCs w:val="3"/>
                <w:color w:val="auto"/>
              </w:rPr>
            </w:pPr>
          </w:p>
        </w:tc>
        <w:tc>
          <w:tcPr>
            <w:tcW w:w="48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w:t>
            </w:r>
          </w:p>
        </w:tc>
        <w:tc>
          <w:tcPr>
            <w:tcW w:w="300" w:type="dxa"/>
            <w:vAlign w:val="bottom"/>
          </w:tcPr>
          <w:p>
            <w:pPr>
              <w:spacing w:after="0"/>
              <w:rPr>
                <w:sz w:val="3"/>
                <w:szCs w:val="3"/>
                <w:color w:val="auto"/>
              </w:rPr>
            </w:pPr>
          </w:p>
        </w:tc>
        <w:tc>
          <w:tcPr>
            <w:tcW w:w="1820" w:type="dxa"/>
            <w:vAlign w:val="bottom"/>
            <w:gridSpan w:val="7"/>
            <w:vMerge w:val="restart"/>
          </w:tcPr>
          <w:p>
            <w:pPr>
              <w:jc w:val="right"/>
              <w:ind w:right="380"/>
              <w:spacing w:after="0"/>
              <w:rPr>
                <w:sz w:val="20"/>
                <w:szCs w:val="20"/>
                <w:color w:val="auto"/>
              </w:rPr>
            </w:pPr>
            <w:r>
              <w:rPr>
                <w:rFonts w:ascii="Arial" w:cs="Arial" w:eastAsia="Arial" w:hAnsi="Arial"/>
                <w:sz w:val="14"/>
                <w:szCs w:val="14"/>
                <w:b w:val="1"/>
                <w:bCs w:val="1"/>
                <w:color w:val="auto"/>
                <w:w w:val="96"/>
              </w:rPr>
              <w:t>Twelve Months Ended</w:t>
            </w: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300" w:type="dxa"/>
            <w:vAlign w:val="bottom"/>
            <w:tcBorders>
              <w:left w:val="single" w:sz="8" w:color="auto"/>
            </w:tcBorders>
          </w:tcPr>
          <w:p>
            <w:pPr>
              <w:spacing w:after="0"/>
              <w:rPr>
                <w:sz w:val="10"/>
                <w:szCs w:val="10"/>
                <w:color w:val="auto"/>
              </w:rPr>
            </w:pPr>
          </w:p>
        </w:tc>
        <w:tc>
          <w:tcPr>
            <w:tcW w:w="1820" w:type="dxa"/>
            <w:vAlign w:val="bottom"/>
            <w:gridSpan w:val="7"/>
            <w:vMerge w:val="continue"/>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0" w:type="dxa"/>
            <w:vAlign w:val="bottom"/>
          </w:tcPr>
          <w:p>
            <w:pPr>
              <w:spacing w:after="0"/>
              <w:rPr>
                <w:sz w:val="7"/>
                <w:szCs w:val="7"/>
                <w:color w:val="auto"/>
              </w:rPr>
            </w:pPr>
          </w:p>
        </w:tc>
        <w:tc>
          <w:tcPr>
            <w:tcW w:w="484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2"/>
            <w:vMerge w:val="restart"/>
          </w:tcPr>
          <w:p>
            <w:pPr>
              <w:jc w:val="right"/>
              <w:ind w:right="520"/>
              <w:spacing w:after="0" w:line="149" w:lineRule="exact"/>
              <w:rPr>
                <w:sz w:val="20"/>
                <w:szCs w:val="20"/>
                <w:color w:val="auto"/>
              </w:rPr>
            </w:pPr>
            <w:r>
              <w:rPr>
                <w:rFonts w:ascii="Arial" w:cs="Arial" w:eastAsia="Arial" w:hAnsi="Arial"/>
                <w:sz w:val="14"/>
                <w:szCs w:val="14"/>
                <w:b w:val="1"/>
                <w:bCs w:val="1"/>
                <w:color w:val="auto"/>
              </w:rPr>
              <w:t>Ended</w:t>
            </w:r>
          </w:p>
        </w:tc>
        <w:tc>
          <w:tcPr>
            <w:tcW w:w="300" w:type="dxa"/>
            <w:vAlign w:val="bottom"/>
            <w:tcBorders>
              <w:left w:val="single" w:sz="8" w:color="auto"/>
            </w:tcBorders>
          </w:tcPr>
          <w:p>
            <w:pPr>
              <w:spacing w:after="0"/>
              <w:rPr>
                <w:sz w:val="7"/>
                <w:szCs w:val="7"/>
                <w:color w:val="auto"/>
              </w:rPr>
            </w:pPr>
          </w:p>
        </w:tc>
        <w:tc>
          <w:tcPr>
            <w:tcW w:w="1820" w:type="dxa"/>
            <w:vAlign w:val="bottom"/>
            <w:gridSpan w:val="7"/>
            <w:vMerge w:val="continue"/>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0" w:type="dxa"/>
            <w:vAlign w:val="bottom"/>
          </w:tcPr>
          <w:p>
            <w:pPr>
              <w:spacing w:after="0"/>
              <w:rPr>
                <w:sz w:val="5"/>
                <w:szCs w:val="5"/>
                <w:color w:val="auto"/>
              </w:rPr>
            </w:pPr>
          </w:p>
        </w:tc>
        <w:tc>
          <w:tcPr>
            <w:tcW w:w="48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gridSpan w:val="6"/>
            <w:vMerge w:val="restart"/>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1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30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gridSpan w:val="6"/>
            <w:vMerge w:val="continue"/>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5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(Millions of dollars, except percentages)</w:t>
            </w:r>
          </w:p>
        </w:tc>
        <w:tc>
          <w:tcPr>
            <w:tcW w:w="224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2"/>
                <w:szCs w:val="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line="20" w:lineRule="exact"/>
              <w:rPr>
                <w:sz w:val="1"/>
                <w:szCs w:val="1"/>
                <w:color w:val="auto"/>
              </w:rPr>
            </w:pPr>
          </w:p>
        </w:tc>
      </w:tr>
      <w:tr>
        <w:trPr>
          <w:trHeight w:val="171"/>
        </w:trPr>
        <w:tc>
          <w:tcPr>
            <w:tcW w:w="5040" w:type="dxa"/>
            <w:vAlign w:val="bottom"/>
            <w:gridSpan w:val="2"/>
            <w:vMerge w:val="continue"/>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7"/>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30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flows from operations (GAAP)</w:t>
            </w:r>
          </w:p>
        </w:tc>
        <w:tc>
          <w:tcPr>
            <w:tcW w:w="22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tcBorders>
              <w:left w:val="single" w:sz="8" w:color="auto"/>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840" w:type="dxa"/>
            <w:vAlign w:val="bottom"/>
            <w:vMerge w:val="continue"/>
            <w:shd w:val="clear" w:color="auto" w:fill="CCEEFF"/>
          </w:tcPr>
          <w:p>
            <w:pPr>
              <w:spacing w:after="0"/>
              <w:rPr>
                <w:sz w:val="18"/>
                <w:szCs w:val="18"/>
                <w:color w:val="auto"/>
              </w:rPr>
            </w:pPr>
          </w:p>
        </w:tc>
        <w:tc>
          <w:tcPr>
            <w:tcW w:w="2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280" w:type="dxa"/>
            <w:vAlign w:val="bottom"/>
            <w:shd w:val="clear" w:color="auto" w:fill="CCEEFF"/>
          </w:tcPr>
          <w:p>
            <w:pPr>
              <w:spacing w:after="0"/>
              <w:rPr>
                <w:sz w:val="18"/>
                <w:szCs w:val="18"/>
                <w:color w:val="auto"/>
              </w:rPr>
            </w:pPr>
          </w:p>
        </w:tc>
        <w:tc>
          <w:tcPr>
            <w:tcW w:w="300" w:type="dxa"/>
            <w:vAlign w:val="bottom"/>
            <w:tcBorders>
              <w:left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24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Capital expenditures</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(186)</w:t>
            </w:r>
          </w:p>
        </w:tc>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(574)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(585)</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(non-GAAP)</w:t>
            </w:r>
          </w:p>
        </w:tc>
        <w:tc>
          <w:tcPr>
            <w:tcW w:w="240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280" w:type="dxa"/>
            <w:vAlign w:val="bottom"/>
            <w:shd w:val="clear" w:color="auto" w:fill="CCEEFF"/>
          </w:tcPr>
          <w:p>
            <w:pPr>
              <w:spacing w:after="0"/>
              <w:rPr>
                <w:sz w:val="18"/>
                <w:szCs w:val="18"/>
                <w:color w:val="auto"/>
              </w:rPr>
            </w:pPr>
          </w:p>
        </w:tc>
        <w:tc>
          <w:tcPr>
            <w:tcW w:w="40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ind w:left="200"/>
              <w:spacing w:after="0"/>
              <w:rPr>
                <w:sz w:val="20"/>
                <w:szCs w:val="20"/>
                <w:color w:val="auto"/>
              </w:rPr>
            </w:pPr>
            <w:r>
              <w:rPr>
                <w:rFonts w:ascii="Arial" w:cs="Arial" w:eastAsia="Arial" w:hAnsi="Arial"/>
                <w:sz w:val="18"/>
                <w:szCs w:val="18"/>
                <w:color w:val="auto"/>
              </w:rPr>
              <w:t>Revenue</w:t>
            </w:r>
          </w:p>
        </w:tc>
        <w:tc>
          <w:tcPr>
            <w:tcW w:w="2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left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14,625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13,145</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operations as a percent of revenue (GAAP)</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Free cash flow as a percent of revenue (non-GAAP)</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484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2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400" w:type="dxa"/>
            <w:vAlign w:val="bottom"/>
            <w:gridSpan w:val="2"/>
          </w:tcPr>
          <w:p>
            <w:pPr>
              <w:ind w:left="540"/>
              <w:spacing w:after="0"/>
              <w:rPr>
                <w:sz w:val="20"/>
                <w:szCs w:val="20"/>
                <w:color w:val="auto"/>
              </w:rPr>
            </w:pPr>
            <w:r>
              <w:rPr>
                <w:rFonts w:ascii="Arial" w:cs="Arial" w:eastAsia="Arial" w:hAnsi="Arial"/>
                <w:sz w:val="18"/>
                <w:szCs w:val="18"/>
                <w:color w:val="auto"/>
              </w:rPr>
              <w:t>S-7</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753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17538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Ratio of Earnings to Fixed Charges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35"/>
        </w:trPr>
        <w:tc>
          <w:tcPr>
            <w:tcW w:w="7560" w:type="dxa"/>
            <w:vAlign w:val="bottom"/>
          </w:tcPr>
          <w:p>
            <w:pPr>
              <w:spacing w:after="0"/>
              <w:rPr>
                <w:sz w:val="3"/>
                <w:szCs w:val="3"/>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20" w:type="dxa"/>
            <w:vAlign w:val="bottom"/>
          </w:tcPr>
          <w:p>
            <w:pPr>
              <w:spacing w:after="0"/>
              <w:rPr>
                <w:sz w:val="3"/>
                <w:szCs w:val="3"/>
                <w:color w:val="auto"/>
              </w:rPr>
            </w:pPr>
          </w:p>
        </w:tc>
        <w:tc>
          <w:tcPr>
            <w:tcW w:w="260" w:type="dxa"/>
            <w:vAlign w:val="bottom"/>
            <w:vMerge w:val="restart"/>
          </w:tcPr>
          <w:p>
            <w:pPr>
              <w:spacing w:after="0"/>
              <w:rPr>
                <w:sz w:val="3"/>
                <w:szCs w:val="3"/>
                <w:color w:val="auto"/>
              </w:rPr>
            </w:pPr>
          </w:p>
        </w:tc>
        <w:tc>
          <w:tcPr>
            <w:tcW w:w="18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w w:val="99"/>
              </w:rPr>
              <w:t>Year Ended December 31,</w:t>
            </w:r>
          </w:p>
        </w:tc>
        <w:tc>
          <w:tcPr>
            <w:tcW w:w="0" w:type="dxa"/>
            <w:vAlign w:val="bottom"/>
          </w:tcPr>
          <w:p>
            <w:pPr>
              <w:spacing w:after="0" w:line="20" w:lineRule="exact"/>
              <w:rPr>
                <w:sz w:val="1"/>
                <w:szCs w:val="1"/>
                <w:color w:val="auto"/>
              </w:rPr>
            </w:pPr>
          </w:p>
        </w:tc>
      </w:tr>
      <w:tr>
        <w:trPr>
          <w:trHeight w:val="126"/>
        </w:trPr>
        <w:tc>
          <w:tcPr>
            <w:tcW w:w="756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60" w:type="dxa"/>
            <w:vAlign w:val="bottom"/>
            <w:vMerge w:val="continue"/>
          </w:tcPr>
          <w:p>
            <w:pPr>
              <w:spacing w:after="0"/>
              <w:rPr>
                <w:sz w:val="10"/>
                <w:szCs w:val="10"/>
                <w:color w:val="auto"/>
              </w:rPr>
            </w:pPr>
          </w:p>
        </w:tc>
        <w:tc>
          <w:tcPr>
            <w:tcW w:w="18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5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shd w:val="clear" w:color="auto" w:fill="000000"/>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6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26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2015</w:t>
            </w:r>
          </w:p>
        </w:tc>
        <w:tc>
          <w:tcPr>
            <w:tcW w:w="64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56.4×</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hereby incorporate by reference risk factors in Item 1A of our Annual Report on Form 10-K for the year ended December 31, 2016.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 active trading market for the Notes may not develop.</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There is currently no public market for the Notes, and we do not currently plan to list the Notes on any national securities exchange. In addition, the liquidity of any trading market in the Notes, and the market price quoted for the Notes, may be adversely affected by changes in the overall market for these Notes, prevailing interest rates, ratings assigned to the Notes, time remaining to the maturity of the Notes, outstanding amount of the Notes, the market for similar securities, prospects for other companies in our industry and changes in our consolidated financial condition, results of operations or prospects. A liquid trading market in the Notes may not develop, which could decrease the amounts you would otherwise receive upon a sale or disposition of the Notes.</w:t>
      </w:r>
    </w:p>
    <w:p>
      <w:pPr>
        <w:spacing w:after="0" w:line="266" w:lineRule="exact"/>
        <w:rPr>
          <w:sz w:val="20"/>
          <w:szCs w:val="20"/>
          <w:color w:val="auto"/>
        </w:rPr>
      </w:pPr>
    </w:p>
    <w:p>
      <w:pPr>
        <w:ind w:left="240" w:right="60"/>
        <w:spacing w:after="0" w:line="264"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73"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4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June 30, 2017, we had approximately $5.7 billion of total liabilities on a consolidated basis. Of this amount, subsidiaries of Texas Instruments Incorporated had approximately $1.1 billion of liabilities (including trade payables and excluding intercompany debt) to which the Notes will be effectively subordinated.</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274" w:lineRule="exact"/>
        <w:rPr>
          <w:sz w:val="20"/>
          <w:szCs w:val="20"/>
          <w:color w:val="auto"/>
        </w:rPr>
      </w:pPr>
    </w:p>
    <w:p>
      <w:pPr>
        <w:ind w:left="240" w:right="40"/>
        <w:spacing w:after="0" w:line="259" w:lineRule="auto"/>
        <w:rPr>
          <w:sz w:val="20"/>
          <w:szCs w:val="20"/>
          <w:color w:val="auto"/>
        </w:rPr>
      </w:pPr>
      <w:r>
        <w:rPr>
          <w:rFonts w:ascii="Arial" w:cs="Arial" w:eastAsia="Arial" w:hAnsi="Arial"/>
          <w:sz w:val="18"/>
          <w:szCs w:val="18"/>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7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11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On an as adjusted basis after giving effect to this offering, as of June 30, 2017, Texas Instruments Incorporated would have had approximately $3.58 billion of total long-term indebtedness (including the Notes), all of which would have been unsecured and unsubordinated.</w:t>
      </w:r>
    </w:p>
    <w:p>
      <w:pPr>
        <w:spacing w:after="0" w:line="14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87"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Texas Instruments Incorporated will have additional cash requirements in order to support the payment of interest on its outstanding indebtedness;</w:t>
      </w:r>
    </w:p>
    <w:p>
      <w:pPr>
        <w:spacing w:after="0" w:line="153" w:lineRule="exact"/>
        <w:rPr>
          <w:rFonts w:ascii="Arial" w:cs="Arial" w:eastAsia="Arial" w:hAnsi="Arial"/>
          <w:sz w:val="16"/>
          <w:szCs w:val="16"/>
          <w:color w:val="auto"/>
        </w:rPr>
      </w:pPr>
    </w:p>
    <w:p>
      <w:pPr>
        <w:ind w:left="660" w:hanging="206"/>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its ability to obtain additional financing for working capital, capital expenditures, general corporate and other purposes may be limited.</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 If Texas Instruments Incorporated is unable to generate sufficient cash flow from operations in the future to service its debt, it may be required, among other things:</w:t>
      </w:r>
    </w:p>
    <w:p>
      <w:pPr>
        <w:spacing w:after="0" w:line="92"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seek additional financing in the debt or equity markets;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 and marketability of the Notes.</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 or marketability of the Notes. In addition, any decline in the ratings of the Notes may make it more difficult for us to raise capital on acceptable terms.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anticipate that we will receive net proceeds of approximately $491 million from this offering after underwriting discounts and other estimated expenses. We expect to use the net proceeds of this offering for general corporate purposes. Initially we intend to invest the net proceeds of this offering in certificates of deposit, United States government securities and certain other interest-bearing securities.</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40"/>
          </w:cols>
          <w:pgMar w:left="240" w:top="459" w:right="5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following table sets forth a summary of our consolidated cash, cash equivalents and short-term investments and our capitalization on an actual and as adjusted basis as of June 30, 2017. Our consolidated capitalization, as adjusted, gives effect to the issuance of the Notes offered by this prospectus supplement as if the offering had occurred on June 30, 2017. This table should be read in conjunction with our consolidated financial statements and the related notes incorporated by reference into this prospectus supplement and the accompanying prospectus.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As of June 30, 2017</w:t>
            </w:r>
          </w:p>
        </w:tc>
        <w:tc>
          <w:tcPr>
            <w:tcW w:w="0" w:type="dxa"/>
            <w:vAlign w:val="bottom"/>
          </w:tcPr>
          <w:p>
            <w:pPr>
              <w:spacing w:after="0"/>
              <w:rPr>
                <w:sz w:val="1"/>
                <w:szCs w:val="1"/>
                <w:color w:val="auto"/>
              </w:rPr>
            </w:pPr>
          </w:p>
        </w:tc>
      </w:tr>
      <w:tr>
        <w:trPr>
          <w:trHeight w:val="142"/>
        </w:trPr>
        <w:tc>
          <w:tcPr>
            <w:tcW w:w="9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Borders>
              <w:top w:val="single" w:sz="8" w:color="auto"/>
            </w:tcBorders>
            <w:gridSpan w:val="4"/>
          </w:tcPr>
          <w:p>
            <w:pPr>
              <w:jc w:val="right"/>
              <w:ind w:right="560"/>
              <w:spacing w:after="0" w:line="142" w:lineRule="exact"/>
              <w:rPr>
                <w:sz w:val="20"/>
                <w:szCs w:val="20"/>
                <w:color w:val="auto"/>
              </w:rPr>
            </w:pPr>
            <w:r>
              <w:rPr>
                <w:rFonts w:ascii="Arial" w:cs="Arial" w:eastAsia="Arial" w:hAnsi="Arial"/>
                <w:sz w:val="14"/>
                <w:szCs w:val="14"/>
                <w:b w:val="1"/>
                <w:bCs w:val="1"/>
                <w:color w:val="auto"/>
                <w:w w:val="93"/>
              </w:rPr>
              <w:t>Historical</w:t>
            </w: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2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Notes offered hereby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23"/>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Other long-term debt</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3,084</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23"/>
        </w:trPr>
        <w:tc>
          <w:tcPr>
            <w:tcW w:w="92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Preferred stock, $25 par value. Authorized—10,000,000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2"/>
          </w:tcPr>
          <w:p>
            <w:pPr>
              <w:ind w:left="720"/>
              <w:spacing w:after="0"/>
              <w:rPr>
                <w:sz w:val="20"/>
                <w:szCs w:val="20"/>
                <w:color w:val="auto"/>
              </w:rPr>
            </w:pPr>
            <w:r>
              <w:rPr>
                <w:rFonts w:ascii="Arial" w:cs="Arial" w:eastAsia="Arial" w:hAnsi="Arial"/>
                <w:sz w:val="18"/>
                <w:szCs w:val="18"/>
                <w:color w:val="auto"/>
              </w:rPr>
              <w:t>Participating cumulative preferred. None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Common stock, $1 par value. Authorized—2,400,000,000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2"/>
          </w:tcPr>
          <w:p>
            <w:pPr>
              <w:ind w:left="720"/>
              <w:spacing w:after="0"/>
              <w:rPr>
                <w:sz w:val="20"/>
                <w:szCs w:val="20"/>
                <w:color w:val="auto"/>
              </w:rPr>
            </w:pPr>
            <w:r>
              <w:rPr>
                <w:rFonts w:ascii="Arial" w:cs="Arial" w:eastAsia="Arial" w:hAnsi="Arial"/>
                <w:sz w:val="18"/>
                <w:szCs w:val="18"/>
                <w:color w:val="auto"/>
              </w:rPr>
              <w:t>Shares issued—1,740,815,939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1,741</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1,683</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34,149</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34,149</w:t>
            </w: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Treasury common stock at cost (749,098,850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9"/>
              </w:rPr>
              <w:t>(26,345)</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(26,345)</w:t>
            </w:r>
          </w:p>
        </w:tc>
        <w:tc>
          <w:tcPr>
            <w:tcW w:w="0" w:type="dxa"/>
            <w:vAlign w:val="bottom"/>
          </w:tcPr>
          <w:p>
            <w:pPr>
              <w:spacing w:after="0"/>
              <w:rPr>
                <w:sz w:val="1"/>
                <w:szCs w:val="1"/>
                <w:color w:val="auto"/>
              </w:rPr>
            </w:pPr>
          </w:p>
        </w:tc>
      </w:tr>
      <w:tr>
        <w:trPr>
          <w:trHeight w:val="223"/>
        </w:trPr>
        <w:tc>
          <w:tcPr>
            <w:tcW w:w="922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income (loss), net of taxes (AOCI)</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3"/>
          </w:tcPr>
          <w:p>
            <w:pPr>
              <w:jc w:val="right"/>
              <w:ind w:right="480"/>
              <w:spacing w:after="0"/>
              <w:rPr>
                <w:sz w:val="20"/>
                <w:szCs w:val="20"/>
                <w:color w:val="auto"/>
              </w:rPr>
            </w:pPr>
            <w:r>
              <w:rPr>
                <w:rFonts w:ascii="Arial" w:cs="Arial" w:eastAsia="Arial" w:hAnsi="Arial"/>
                <w:sz w:val="18"/>
                <w:szCs w:val="18"/>
                <w:color w:val="auto"/>
              </w:rPr>
              <w:t>(520)</w:t>
            </w:r>
          </w:p>
        </w:tc>
        <w:tc>
          <w:tcPr>
            <w:tcW w:w="2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10,708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20" w:type="dxa"/>
            <w:vAlign w:val="bottom"/>
            <w:gridSpan w:val="2"/>
          </w:tcPr>
          <w:p>
            <w:pPr>
              <w:ind w:left="1080"/>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13,792</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8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Notes offered hereby are shown at the amount of the public offering price less offering expenses (including underwriting discounts).</w:t>
      </w:r>
    </w:p>
    <w:p>
      <w:pPr>
        <w:spacing w:after="0" w:line="23" w:lineRule="exact"/>
        <w:rPr>
          <w:rFonts w:ascii="Arial" w:cs="Arial" w:eastAsia="Arial" w:hAnsi="Arial"/>
          <w:sz w:val="18"/>
          <w:szCs w:val="18"/>
          <w:color w:val="auto"/>
        </w:rPr>
      </w:pPr>
    </w:p>
    <w:p>
      <w:pPr>
        <w:ind w:left="460" w:right="58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$3.6 billion of our existing outstanding notes less net unamortized discount and debt issuance costs of $17 million, less $499 million representing the current portion of long-term debt.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current report on Form 8-K filed by TI on May 23, 2011.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$500,000,000 aggregate principal amount of 2.900% Notes due 2027 (the “Notes”) offered hereby will mature on November 3, 2027. The Notes will be issued in book-entry form only, in denominations of $2,000 and multiples of $1,000 thereafter. Interest on the Notes will accrue from November 3, 2017 at the rate per annum shown on the cover of this prospectus supplement. Interest on the Notes will be payable semi-annually on May 3 and November 3, commencing on May 3, 2018 to the persons in whose names the Notes are registered at the close of business on the preceding April 17 or October 17, as the case may be. Interest on the Notes will be paid to but excluding the relevant interest payment date. Interest on the Notes will be calculated on the basis of a 360-day year comprised of twelve 30-day months.</w:t>
      </w:r>
    </w:p>
    <w:p>
      <w:pPr>
        <w:spacing w:after="0" w:line="193"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Notes will be issued under the indenture dated May 23,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June 30, 2017, Texas Instruments Incorporated had approximately $3.6 billion of outstanding indebtedness. As of June 30, 2017, we had approximately $5.7 billion of total liabilities on a consolidated basis. Of this amount, subsidiaries of Texas Instruments Incorporated had approximately $1.1 billion of liabilities (including trade payables and excluding intercompany debt) to which the Notes will be effectively subordinated.</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an as adjusted basis after giving effect to this offering, as of June 30, 2017:</w:t>
      </w:r>
    </w:p>
    <w:p>
      <w:pPr>
        <w:spacing w:after="0" w:line="131" w:lineRule="exact"/>
        <w:rPr>
          <w:sz w:val="20"/>
          <w:szCs w:val="20"/>
          <w:color w:val="auto"/>
        </w:rPr>
      </w:pPr>
    </w:p>
    <w:p>
      <w:pPr>
        <w:ind w:left="660" w:right="400" w:hanging="206"/>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Texas Instruments Incorporated would have had approximately $3.58 billion of total long-term indebtedness (including the Notes), all of which would constitute senior and unsubordinated indebtedness;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Texas Instruments Incorporated would have had approximately $6.22 billion of total liabilities on a consolidated basis;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Texas Instruments Incorporated would not have had any secured indebtedness to which the Notes would have been effectively subordinated; and</w:t>
      </w:r>
    </w:p>
    <w:p>
      <w:pPr>
        <w:spacing w:after="0" w:line="153" w:lineRule="exact"/>
        <w:rPr>
          <w:rFonts w:ascii="Arial" w:cs="Arial" w:eastAsia="Arial" w:hAnsi="Arial"/>
          <w:sz w:val="16"/>
          <w:szCs w:val="16"/>
          <w:color w:val="auto"/>
        </w:rPr>
      </w:pPr>
    </w:p>
    <w:p>
      <w:pPr>
        <w:ind w:left="660" w:right="500" w:hanging="206"/>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Texas Instruments Incorporated’s subsidiaries would have had approximately $1.1 billion of liabilities (including trade payables but excluding intercompany debt) to which the Notes would have been structurally subordinated.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Notes</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Texas Instruments Incorporated may, without the consent of the holders, increase the principal amount of Notes by issuing additional Notes in the future on the same terms and conditions, except for any differences in the issue price and interest accrued prior to the issue date of the additional Notes. The additional Notes will have the same CUSIP number as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additional Notes that are not fungible with the Notes for U.S. federal income tax purposes will be issued under a separate CUSIP number.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Texas Instruments Incorporated also may, without the consent of the holders, issue other series of debt securities under the indenture in the future on terms and conditions different from the series of Notes offered hereby.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Prior to August 3, 2027 (the date that is three months prior to the maturity date of the Notes), the Notes will be redeemable, in whole or in part at any time, or from time to time, at Texas Instruments Incorporated’s option, at a “make-whole premium” redemption price calculated by Texas Instruments Incorporated equal to the greater of:</w:t>
      </w:r>
    </w:p>
    <w:p>
      <w:pPr>
        <w:spacing w:after="0" w:line="73" w:lineRule="exact"/>
        <w:rPr>
          <w:sz w:val="20"/>
          <w:szCs w:val="20"/>
          <w:color w:val="auto"/>
        </w:rPr>
      </w:pPr>
    </w:p>
    <w:p>
      <w:pPr>
        <w:ind w:left="820" w:hanging="35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225" w:lineRule="exact"/>
        <w:rPr>
          <w:rFonts w:ascii="Arial" w:cs="Arial" w:eastAsia="Arial" w:hAnsi="Arial"/>
          <w:sz w:val="18"/>
          <w:szCs w:val="18"/>
          <w:color w:val="auto"/>
        </w:rPr>
      </w:pPr>
    </w:p>
    <w:p>
      <w:pPr>
        <w:ind w:right="120" w:firstLine="464"/>
        <w:spacing w:after="0" w:line="259" w:lineRule="auto"/>
        <w:tabs>
          <w:tab w:leader="none" w:pos="8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sum of the present values of the principal amount of such Notes and the scheduled payments of interest thereon (not including any portion of such payments of interest accrued as of the date of redemption) from the date of redemption to August 3, 2027 (the date that is three months prior to the maturity date of the Notes), in each case discounted to the date of redemption on a semi-annual basis (assuming a 360-day year consisting of twelve 30-day months) at the Treasury Rate (as defined below), plus 10 basis points;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At any time on or after August 3, 2027 (the date that is three months prior to the maturity date of the Notes), the Notes will be redeemable, in whole or in part at any time and from time to time, at Texas Instruments Incorporated’s option at a redemption price equal to 100% of the principal amount of the Notes to be redeemed plus accrued interest thereon to the date of redemption.</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discussion of an Optional Redemption, the following definitions are applicable:</w:t>
      </w:r>
    </w:p>
    <w:p>
      <w:pPr>
        <w:spacing w:after="0" w:line="11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8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“Comparable Treasury Price”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“Quotation Agent” means the Reference Treasury Dealer appointed by Texas Instruments Incorporated.</w:t>
      </w:r>
    </w:p>
    <w:p>
      <w:pPr>
        <w:spacing w:after="0" w:line="22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“Reference Treasury Dealer” means (i) Barclays Capital Inc., J.P. Morgan Securities LLC and Merrill Lynch, Pierce, Fenner &amp; Smith Incorporated (or their respective affiliates that are Primary Treasury Dealers) and their respective successors; provided, however, that if any of the foregoing shall cease to be a primary U.S. Government securities dealer in New York City (a “Primary Treasury Dealer”), Texas Instruments Incorporated will substitute therefor another Primary Treasury Dealer, and (ii) any other Primary Treasury Dealer selected by Texas Instruments Incorporated.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Notice of any redemption will be mailed at least 30 days but not more than 60 days before the redemption date to each holder of the Notes to be redeemed. Unless Texas Instruments Incorporated defaults in payment of the redemption price, on and after the redemption date, interest will cease to accrue on the Notes or portions thereof called for redemption. If less than all of the Notes are to be redeemed, the Notes to be redeemed shall be selected by lot by The Depository Trust Company, in the case of Notes represented by a global note, or by the trustee by a method the trustee deems to be fair and appropriate, in the case of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Sinking Fund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entitled to any sinking fund.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the Notes is defined under the indenture as being:</w:t>
      </w:r>
    </w:p>
    <w:p>
      <w:pPr>
        <w:spacing w:after="0" w:line="131" w:lineRule="exact"/>
        <w:rPr>
          <w:sz w:val="20"/>
          <w:szCs w:val="20"/>
          <w:color w:val="auto"/>
        </w:rPr>
      </w:pPr>
    </w:p>
    <w:p>
      <w:pPr>
        <w:ind w:left="660" w:right="160" w:hanging="206"/>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Texas Instruments Incorporated’s default in the payment of principal on the Notes when due and payable whether at maturity, upon redemption, by declaration or otherwise, but, in the case of technical or administrative difficulties, only if that default continues for a period of two days;</w:t>
      </w:r>
    </w:p>
    <w:p>
      <w:pPr>
        <w:spacing w:after="0" w:line="29" w:lineRule="exact"/>
        <w:rPr>
          <w:rFonts w:ascii="Arial" w:cs="Arial" w:eastAsia="Arial" w:hAnsi="Arial"/>
          <w:sz w:val="16"/>
          <w:szCs w:val="16"/>
          <w:color w:val="auto"/>
        </w:rPr>
      </w:pPr>
    </w:p>
    <w:p>
      <w:pPr>
        <w:ind w:left="660" w:right="200" w:hanging="206"/>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Texas Instruments Incorporated’s default in the payment of interest on the Notes when due and payable, if that default continues for a period of 30 days;</w:t>
      </w:r>
    </w:p>
    <w:p>
      <w:pPr>
        <w:spacing w:after="0" w:line="75" w:lineRule="exact"/>
        <w:rPr>
          <w:rFonts w:ascii="Arial" w:cs="Arial" w:eastAsia="Arial" w:hAnsi="Arial"/>
          <w:sz w:val="18"/>
          <w:szCs w:val="18"/>
          <w:color w:val="auto"/>
        </w:rPr>
      </w:pPr>
    </w:p>
    <w:p>
      <w:pPr>
        <w:jc w:val="both"/>
        <w:ind w:left="660" w:right="80" w:hanging="206"/>
        <w:spacing w:after="0" w:line="30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Texas Instruments Incorporated’s default in the performance of or breach of any of its other covenants or agreements in the indenture applicable to the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the Notes and any other series of debt securities affected thereby then outstanding;</w:t>
      </w:r>
    </w:p>
    <w:p>
      <w:pPr>
        <w:spacing w:after="0" w:line="59" w:lineRule="exact"/>
        <w:rPr>
          <w:rFonts w:ascii="Arial" w:cs="Arial" w:eastAsia="Arial" w:hAnsi="Arial"/>
          <w:sz w:val="16"/>
          <w:szCs w:val="16"/>
          <w:color w:val="auto"/>
        </w:rPr>
      </w:pPr>
    </w:p>
    <w:p>
      <w:pPr>
        <w:ind w:left="900" w:hanging="325"/>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460" w:right="220" w:hanging="547"/>
        <w:spacing w:after="0" w:line="277" w:lineRule="auto"/>
        <w:tabs>
          <w:tab w:leader="none" w:pos="14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relief in respect of Texas Instruments Incorporated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Texas Instruments Incorporated or for all or substantially all of its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winding up or liquidation of Texas Instruments Incorporated’s affairs,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Texas Instruments Incorporated:</w:t>
      </w:r>
    </w:p>
    <w:p>
      <w:pPr>
        <w:spacing w:after="0" w:line="130" w:lineRule="exact"/>
        <w:rPr>
          <w:rFonts w:ascii="Arial" w:cs="Arial" w:eastAsia="Arial" w:hAnsi="Arial"/>
          <w:sz w:val="18"/>
          <w:szCs w:val="18"/>
          <w:color w:val="auto"/>
        </w:rPr>
      </w:pPr>
    </w:p>
    <w:p>
      <w:pPr>
        <w:jc w:val="center"/>
        <w:ind w:left="5540" w:right="1200" w:hanging="4627"/>
        <w:spacing w:after="0" w:line="449" w:lineRule="auto"/>
        <w:tabs>
          <w:tab w:leader="none" w:pos="1463"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 S-16</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consents to the entry of an order for relief in an involuntary case under any such law,</w:t>
      </w:r>
    </w:p>
    <w:p>
      <w:pPr>
        <w:spacing w:after="0" w:line="130" w:lineRule="exact"/>
        <w:rPr>
          <w:rFonts w:ascii="Arial" w:cs="Arial" w:eastAsia="Arial" w:hAnsi="Arial"/>
          <w:sz w:val="18"/>
          <w:szCs w:val="18"/>
          <w:color w:val="auto"/>
        </w:rPr>
      </w:pPr>
    </w:p>
    <w:p>
      <w:pPr>
        <w:ind w:left="1460" w:right="120" w:hanging="547"/>
        <w:spacing w:after="0" w:line="277" w:lineRule="auto"/>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for all or substantially all of its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default by Texas Instruments Incorporated under any other debt, including any other series of debt securities under the indenture, is not a default with respect to the Notes.</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If an event of default other than an event of default specified in the last two bullet points above occurs with respect to the Notes and is continuing under the indenture, then, and in each and every such case, either the trustee or the holders of not less than 25% in aggregate principal amount of the Notes then outstanding under the indenture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54"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a declaration of acceleration, the principal amount of and accrued interest, if any, on such debt securities shall be immediately due and payable.</w:t>
      </w:r>
    </w:p>
    <w:p>
      <w:pPr>
        <w:spacing w:after="0" w:line="24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8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holders of at least a majority in aggregate principal amount of the Notes may direct the time, method, and place of conducting any proceeding for any remedy available to the trustee or exercising any trust or power conferred on the trustee with respect to the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A holder may not pursue any remedy with respect to the indenture or the Notes unless:</w:t>
      </w:r>
    </w:p>
    <w:p>
      <w:pPr>
        <w:spacing w:after="0" w:line="99"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660" w:right="160" w:hanging="206"/>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Notes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660" w:right="20" w:hanging="206"/>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Notes do not give the trustee a direction that is inconsistent with the request.</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1"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Notes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93"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7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Upon the issuance of a registered global note, the depositary will credit, on its book-entry registration and transfer system, the participants’ accounts with the respective principal or face amounts of the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So long as the depositary, or its nominee, is the registered owner of a registered global note, that depositary or its nominee, as the case may be, will be considered the sole owner or holder of the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5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6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8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6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available in the relevant Euroclear or Clearstream cash account only as of the business day following settlement in DTC.</w:t>
      </w:r>
    </w:p>
    <w:p>
      <w:pPr>
        <w:spacing w:after="0" w:line="22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8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7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 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shall no longer be represented by a global note and will issue Notes in definitive form in exchange for such global note pursuant to the procedure described above.</w:t>
      </w:r>
    </w:p>
    <w:p>
      <w:pPr>
        <w:spacing w:after="0" w:line="16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 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6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8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as well as information regarding Euroclear and Clearstream, has been obtained from sources that Texas Instruments Incorporated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Notices to holders of the Notes will be made by first class mail, postage prepaid, to the addresses that appear on the security register of the Notes.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maintain ordinary banking relationships with the trustee and its affiliates and in the future may enter into additional such relationships. The trustee is a lender under our credit facility and an affiliate of the trustee is an underwriter of this offering.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following are the material U.S. federal income tax consequences of owning and disposing of Notes purchased in this offering at the “issue price,” which we assume will be the applicable public offering price indicated on the cover of this prospectus supplement, and held as capital assets for U.S. federal income tax purposes.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you in light of your particular circumstances, including alternative minimum tax consequences and differing tax consequences applicable to you if you are, for instance:</w:t>
      </w:r>
    </w:p>
    <w:p>
      <w:pPr>
        <w:spacing w:after="0" w:line="76"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dealer or trader in securities;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summary is based on the Internal Revenue Code of 1986, as amended to the date hereof, administrative pronouncements, judicial decisions and final, temporary and proposed Treasury Regulations, changes to any of which subsequent to the date of this prospectus supplement may affect the tax consequences described herein. This summary does not discuss any aspect of state, local, or non-U.S. taxation, any federal taxes other than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This section applies to you if you are a U.S. Holder. You are a U.S. Holder if for U.S. federal income tax purposes you are a beneficial owner of a Note and are:</w:t>
      </w:r>
    </w:p>
    <w:p>
      <w:pPr>
        <w:spacing w:after="0" w:line="76" w:lineRule="exact"/>
        <w:rPr>
          <w:sz w:val="20"/>
          <w:szCs w:val="20"/>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Stated interest on a Note will be taxable to you as ordinary interest income at the time it accrues or is received, in accordance with your method of accounting for U.S. federal income tax purposes.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the Note has been held for more than one year. Long-term capital gains recognized by non-corporate U.S. Holders are subject to reduced tax rates. The deductibility of capital losses is subject to limitations.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section applies to you if are a Non-U.S. Holder. You are a Non-U.S. Holder if for U.S. federal income tax purposes you are a beneficial owner of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and are:</w:t>
      </w:r>
    </w:p>
    <w:p>
      <w:pPr>
        <w:spacing w:after="0" w:line="116"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2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117"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Subject to the discussion below under “—Backup Withholding and Information Reporting” and “FATCA Legislation,” payments of principal and interest on the Notes to you will not be subject to U.S. federal income or withholding tax, provided that, in the case of interest,</w:t>
      </w:r>
    </w:p>
    <w:p>
      <w:pPr>
        <w:spacing w:after="0" w:line="52"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you do not own, actually or constructively, ten percent or more of the total combined voting power of all classes of our stock entitled to vote;</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130" w:lineRule="exact"/>
        <w:rPr>
          <w:rFonts w:ascii="Arial" w:cs="Arial" w:eastAsia="Arial" w:hAnsi="Arial"/>
          <w:sz w:val="18"/>
          <w:szCs w:val="18"/>
          <w:color w:val="auto"/>
        </w:rPr>
      </w:pPr>
    </w:p>
    <w:p>
      <w:pPr>
        <w:ind w:left="660" w:hanging="206"/>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51" w:lineRule="exact"/>
        <w:rPr>
          <w:rFonts w:ascii="Arial" w:cs="Arial" w:eastAsia="Arial" w:hAnsi="Arial"/>
          <w:sz w:val="17"/>
          <w:szCs w:val="17"/>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is not effectively connected with your conduct of a trade or business in the United States as described below.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discussion below under “—Backup Withholding and Information Reporting” and “FATCA Legislation,”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11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The amount of any backup withholding from a payment to you will be allowed as a credit against your U.S. federal income tax liability and may entitle you to a refund, provided that the required information is timely furnished to the IRS.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Legislation</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Provisions commonly referred to as “FATCA” impose withholding of 30% on payments of interest on the Notes and (for dispositions after December 31, 2018) of proceeds of sales or redemptions of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Barclays Capital Inc., J.P. Morgan Securities LLC and Merrill Lynch, Pierce, Fenner &amp; Smith Incorporated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Principal Amount of</w:t>
            </w:r>
          </w:p>
        </w:tc>
        <w:tc>
          <w:tcPr>
            <w:tcW w:w="0" w:type="dxa"/>
            <w:vAlign w:val="bottom"/>
          </w:tcPr>
          <w:p>
            <w:pPr>
              <w:spacing w:after="0"/>
              <w:rPr>
                <w:sz w:val="1"/>
                <w:szCs w:val="1"/>
                <w:color w:val="auto"/>
              </w:rPr>
            </w:pPr>
          </w:p>
        </w:tc>
      </w:tr>
      <w:tr>
        <w:trPr>
          <w:trHeight w:val="171"/>
        </w:trPr>
        <w:tc>
          <w:tcPr>
            <w:tcW w:w="101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3"/>
          </w:tcPr>
          <w:p>
            <w:pPr>
              <w:ind w:left="220"/>
              <w:spacing w:after="0"/>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210"/>
        </w:trPr>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Barclays</w:t>
            </w:r>
          </w:p>
        </w:tc>
        <w:tc>
          <w:tcPr>
            <w:tcW w:w="9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Inc.</w:t>
            </w: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95,000,000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80" w:type="dxa"/>
            <w:vAlign w:val="bottom"/>
            <w:shd w:val="clear" w:color="auto" w:fill="CCEEFF"/>
          </w:tcPr>
          <w:p>
            <w:pPr>
              <w:spacing w:after="0"/>
              <w:rPr>
                <w:sz w:val="21"/>
                <w:szCs w:val="21"/>
                <w:color w:val="auto"/>
              </w:rPr>
            </w:pPr>
          </w:p>
        </w:tc>
        <w:tc>
          <w:tcPr>
            <w:tcW w:w="9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Incorporated</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95,000,000</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500,000,000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2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 0.300% per Note. Any such securities dealers may resell any Notes purchased from the underwriters to certain other brokers or dealers at a discount from the initial public offering price not to exceed 0.250% per Note. If all the Notes are not sold at the initial offering price, the underwriters may change the offering price and the other selling terms.</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89" w:lineRule="exact"/>
        <w:rPr>
          <w:sz w:val="20"/>
          <w:szCs w:val="20"/>
          <w:color w:val="auto"/>
        </w:rPr>
      </w:pPr>
    </w:p>
    <w:p>
      <w:pPr>
        <w:ind w:left="10360"/>
        <w:spacing w:after="0"/>
        <w:rPr>
          <w:sz w:val="20"/>
          <w:szCs w:val="20"/>
          <w:color w:val="auto"/>
        </w:rPr>
      </w:pPr>
      <w:r>
        <w:rPr>
          <w:rFonts w:ascii="Arial" w:cs="Arial" w:eastAsia="Arial" w:hAnsi="Arial"/>
          <w:sz w:val="14"/>
          <w:szCs w:val="14"/>
          <w:b w:val="1"/>
          <w:bCs w:val="1"/>
          <w:color w:val="auto"/>
        </w:rPr>
        <w:t>Paid by Texas</w:t>
      </w:r>
    </w:p>
    <w:p>
      <w:pPr>
        <w:ind w:left="10420"/>
        <w:spacing w:after="0" w:line="226" w:lineRule="auto"/>
        <w:rPr>
          <w:sz w:val="20"/>
          <w:szCs w:val="20"/>
          <w:color w:val="auto"/>
        </w:rPr>
      </w:pPr>
      <w:r>
        <w:rPr>
          <w:rFonts w:ascii="Arial" w:cs="Arial" w:eastAsia="Arial" w:hAnsi="Arial"/>
          <w:sz w:val="14"/>
          <w:szCs w:val="14"/>
          <w:b w:val="1"/>
          <w:bCs w:val="1"/>
          <w:color w:val="auto"/>
        </w:rPr>
        <w:t>Instruments</w:t>
      </w:r>
    </w:p>
    <w:p>
      <w:pPr>
        <w:ind w:left="10380"/>
        <w:spacing w:after="0" w:line="232" w:lineRule="auto"/>
        <w:rPr>
          <w:sz w:val="20"/>
          <w:szCs w:val="20"/>
          <w:color w:val="auto"/>
        </w:rPr>
      </w:pPr>
      <w:r>
        <w:rPr>
          <w:rFonts w:ascii="Arial" w:cs="Arial" w:eastAsia="Arial" w:hAnsi="Arial"/>
          <w:sz w:val="14"/>
          <w:szCs w:val="14"/>
          <w:b w:val="1"/>
          <w:bCs w:val="1"/>
          <w:color w:val="auto"/>
        </w:rPr>
        <w:t>Incorporated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Per Note</w:t>
            </w: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360" w:type="dxa"/>
            <w:vAlign w:val="bottom"/>
            <w:vMerge w:val="continue"/>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0.450%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total expenses for this offering will be approximately $3 million, including underwriting discounts.</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76" w:lineRule="exact"/>
        <w:rPr>
          <w:sz w:val="20"/>
          <w:szCs w:val="20"/>
          <w:color w:val="auto"/>
        </w:rPr>
      </w:pPr>
    </w:p>
    <w:p>
      <w:pPr>
        <w:jc w:val="center"/>
        <w:ind w:left="5540" w:right="200" w:hanging="5086"/>
        <w:spacing w:after="0" w:line="449" w:lineRule="auto"/>
        <w:tabs>
          <w:tab w:leader="none" w:pos="666"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the Notes than they are required to purchase in this offering. S-25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Covering transactions involve purchases of the Notes in the open market after the distribution has been completed in order to cover short positions.</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71"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expect to deliver the Notes against payment for the Notes on or about the date specified in the last paragraph of the cover page of this prospectus supplement, which will be the sixth business day following the date of the pricing of the Notes. Under Rule 15c6-1 of the Exchange Act, trades in the secondary market generally are required to settle in two business days, unless the parties to a trade expressly agree otherwise. Accordingly, purchasers who wish to trade Notes prior to the second business day before the delivery of the Notes hereunder will be required, by virtue of the fact that the Notes initially will settle in T+6, to specify alternative settlement arrangements to prevent a failed settlement.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 In addition, an affiliate of one of the underwriters is the trustee for the Notes and our other debt securities outstanding under the indenture.</w:t>
      </w:r>
    </w:p>
    <w:p>
      <w:pPr>
        <w:spacing w:after="0" w:line="17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relation to each member state of the European Economic Area (each, a relevant member state), with effect from and including the date on which the Prospectus Directive is implemented in that relevant member state (the relevant implementation date), an offer of the Notes described in this prospectus supplement may not be made to the public in that relevant member state other than:</w:t>
      </w:r>
    </w:p>
    <w:p>
      <w:pPr>
        <w:spacing w:after="0" w:line="87"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660" w:right="520" w:hanging="206"/>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provided that no such offer of securities shall require us or any underwriter to publish a prospectus pursuant to Article 3 of the Prospectus Directive or supplement a prospectus pursuant to Article 16 of the Prospectus Directive.</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(as amended, including by Directive 2010/73/EU) and includes any relevant implementing measure in each relevant member state.</w:t>
      </w:r>
    </w:p>
    <w:p>
      <w:pPr>
        <w:spacing w:after="0" w:line="188"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sellers of the Notes have not authorized and do not authorize the making of any offer of Notes through any financial intermediary on their behalf, other than offers made by the underwriters with a view to the final placement of the Notes as contemplated in this prospectus supplement. Accordingly, no purchaser of the Notes, other than the underwriters, is authorized to make any further offer of the Notes on behalf of the sellers or the underwriters.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supplement and the accompanying prospectus are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183"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 xml:space="preserve">Canadian investors are advised that this document has been prepared in reliance on section 3A.3 of National Instrument 33-105 </w:t>
      </w:r>
      <w:r>
        <w:rPr>
          <w:rFonts w:ascii="Arial" w:cs="Arial" w:eastAsia="Arial" w:hAnsi="Arial"/>
          <w:sz w:val="18"/>
          <w:szCs w:val="18"/>
          <w:b w:val="1"/>
          <w:bCs w:val="1"/>
          <w:i w:val="1"/>
          <w:iCs w:val="1"/>
          <w:color w:val="auto"/>
        </w:rPr>
        <w:t>Underwriting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Conflicts </w:t>
      </w:r>
      <w:r>
        <w:rPr>
          <w:rFonts w:ascii="Arial" w:cs="Arial" w:eastAsia="Arial" w:hAnsi="Arial"/>
          <w:sz w:val="18"/>
          <w:szCs w:val="18"/>
          <w:b w:val="1"/>
          <w:bCs w:val="1"/>
          <w:color w:val="auto"/>
        </w:rPr>
        <w:t>(“NI 33-105”). Pursuant to section 3A.3 of NI 33-105, this document is exempt from the requirement to provide investors with certain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conflicts of interest disclosure pertaining to “connected issuer” and/or “related issuer” relationships as would otherwise be required pursuant to subsection 2.1(1) of NI 33-105.</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The offer and sale of the Notes in Canada is being made on a private placement basis only and is exempt from the requirement to prepare and file a prospectus under applicable Canadian securities laws. Any resale of Notes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Each Canadian investor who purchases the Notes will be deemed to have represented to the issuer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(“NI 45-106”) or, in Ontario, as such term is defined in section 73.3(1) of the </w:t>
      </w:r>
      <w:r>
        <w:rPr>
          <w:rFonts w:ascii="Arial" w:cs="Arial" w:eastAsia="Arial" w:hAnsi="Arial"/>
          <w:sz w:val="18"/>
          <w:szCs w:val="18"/>
          <w:i w:val="1"/>
          <w:iCs w:val="1"/>
          <w:color w:val="auto"/>
        </w:rPr>
        <w:t>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 </w:t>
      </w:r>
      <w:r>
        <w:rPr>
          <w:rFonts w:ascii="Arial" w:cs="Arial" w:eastAsia="Arial" w:hAnsi="Arial"/>
          <w:sz w:val="18"/>
          <w:szCs w:val="18"/>
          <w:color w:val="auto"/>
        </w:rPr>
        <w:t>(Ontario); and (iii) is a “permitted client” as such term is defined in section 1.1 of National Instrument 31-103</w:t>
      </w:r>
      <w:r>
        <w:rPr>
          <w:rFonts w:ascii="Arial" w:cs="Arial" w:eastAsia="Arial" w:hAnsi="Arial"/>
          <w:sz w:val="18"/>
          <w:szCs w:val="18"/>
          <w:i w:val="1"/>
          <w:iCs w:val="1"/>
          <w:color w:val="auto"/>
        </w:rPr>
        <w:t xml:space="preserve"> Registration Requirements, Exemptions and Ongoing Registrant Obligations</w:t>
      </w:r>
      <w:r>
        <w:rPr>
          <w:rFonts w:ascii="Arial" w:cs="Arial" w:eastAsia="Arial" w:hAnsi="Arial"/>
          <w:sz w:val="18"/>
          <w:szCs w:val="18"/>
          <w:color w:val="auto"/>
        </w:rPr>
        <w:t>.</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11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w:t>
      </w:r>
      <w:r>
        <w:rPr>
          <w:rFonts w:ascii="Arial" w:cs="Arial" w:eastAsia="Arial" w:hAnsi="Arial"/>
          <w:sz w:val="16"/>
          <w:szCs w:val="16"/>
          <w:i w:val="1"/>
          <w:iCs w:val="1"/>
          <w:color w:val="auto"/>
        </w:rPr>
        <w:t>Ontario Prospectus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Registration Exemptions </w:t>
      </w:r>
      <w:r>
        <w:rPr>
          <w:rFonts w:ascii="Arial" w:cs="Arial" w:eastAsia="Arial" w:hAnsi="Arial"/>
          <w:sz w:val="16"/>
          <w:szCs w:val="16"/>
          <w:color w:val="auto"/>
        </w:rPr>
        <w:t>and in Multilateral Instrument 45-107</w:t>
      </w:r>
      <w:r>
        <w:rPr>
          <w:rFonts w:ascii="Arial" w:cs="Arial" w:eastAsia="Arial" w:hAnsi="Arial"/>
          <w:sz w:val="16"/>
          <w:szCs w:val="16"/>
          <w:i w:val="1"/>
          <w:iCs w:val="1"/>
          <w:color w:val="auto"/>
        </w:rPr>
        <w:t xml:space="preserve"> Listing Representation and Statutory Rights of Action Disclosure Exemptions</w:t>
      </w:r>
      <w:r>
        <w:rPr>
          <w:rFonts w:ascii="Arial" w:cs="Arial" w:eastAsia="Arial" w:hAnsi="Arial"/>
          <w:sz w:val="16"/>
          <w:szCs w:val="16"/>
          <w:color w:val="auto"/>
        </w:rPr>
        <w:t>, as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Upon receipt of this document, each Canadian investor hereby confirms that it has expressly requested that all documents evidencing or relating in any way to the sale of the Notes described herein (including for greater certainty any purchase confirmation or any notice) be drawn up in the English language only. </w:t>
      </w:r>
      <w:r>
        <w:rPr>
          <w:rFonts w:ascii="Arial" w:cs="Arial" w:eastAsia="Arial" w:hAnsi="Arial"/>
          <w:sz w:val="18"/>
          <w:szCs w:val="18"/>
          <w:i w:val="1"/>
          <w:iCs w:val="1"/>
          <w:color w:val="auto"/>
        </w:rPr>
        <w:t>Par la réception de ce document, chaque investisseur canadien confirme par les présentes qu’il a expressément exigé que tous les documents faisant foi</w:t>
      </w:r>
      <w:r>
        <w:rPr>
          <w:rFonts w:ascii="Arial" w:cs="Arial" w:eastAsia="Arial" w:hAnsi="Arial"/>
          <w:sz w:val="18"/>
          <w:szCs w:val="18"/>
          <w:color w:val="auto"/>
        </w:rPr>
        <w:t xml:space="preserve"> </w:t>
      </w:r>
      <w:r>
        <w:rPr>
          <w:rFonts w:ascii="Arial" w:cs="Arial" w:eastAsia="Arial" w:hAnsi="Arial"/>
          <w:sz w:val="18"/>
          <w:szCs w:val="18"/>
          <w:i w:val="1"/>
          <w:iCs w:val="1"/>
          <w:color w:val="auto"/>
        </w:rPr>
        <w:t>ou se rapportant de quelque manière que ce soit à la vente des valeurs mobilières décrites aux présentes (incluant, pour plus de certitude, toute confirmation d’achat ou tout avis) soient rédigés en anglais seulement.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 xml:space="preserve">Neither this prospectus supplement nor any other offering material relating to the Notes described in this prospectus supplement has been submitted to the clearance procedures of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xml:space="preserve"> or of the competent authority of another member state of the European Economic Area and notified to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xml:space="preserve"> The Notes have not been offered or sold and will not be offered or sold, directly or indirectly, to the public in France. Neither this prospectus supplement nor any other offering material relating to the Notes has been or will be:</w:t>
      </w:r>
    </w:p>
    <w:p>
      <w:pPr>
        <w:spacing w:after="0" w:line="77"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660" w:right="340" w:hanging="206"/>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660" w:right="40" w:hanging="206"/>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in a transaction that, in accordance with article L.411-2-II-1° -or-2° -or 3° of the French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 xml:space="preserve"> and article 211-2 of the General Regulations (</w:t>
      </w:r>
      <w:r>
        <w:rPr>
          <w:rFonts w:ascii="Arial" w:cs="Arial" w:eastAsia="Arial" w:hAnsi="Arial"/>
          <w:sz w:val="17"/>
          <w:szCs w:val="17"/>
          <w:i w:val="1"/>
          <w:iCs w:val="1"/>
          <w:color w:val="auto"/>
        </w:rPr>
        <w:t>Règlement Général</w:t>
      </w:r>
      <w:r>
        <w:rPr>
          <w:rFonts w:ascii="Arial" w:cs="Arial" w:eastAsia="Arial" w:hAnsi="Arial"/>
          <w:sz w:val="17"/>
          <w:szCs w:val="17"/>
          <w:color w:val="auto"/>
        </w:rPr>
        <w:t xml:space="preserve">) of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does not constitute a public offer (</w:t>
      </w:r>
      <w:r>
        <w:rPr>
          <w:rFonts w:ascii="Arial" w:cs="Arial" w:eastAsia="Arial" w:hAnsi="Arial"/>
          <w:sz w:val="17"/>
          <w:szCs w:val="17"/>
          <w:i w:val="1"/>
          <w:iCs w:val="1"/>
          <w:color w:val="auto"/>
        </w:rPr>
        <w:t>appel public à l’épargne</w:t>
      </w:r>
      <w:r>
        <w:rPr>
          <w:rFonts w:ascii="Arial" w:cs="Arial" w:eastAsia="Arial" w:hAnsi="Arial"/>
          <w:sz w:val="17"/>
          <w:szCs w:val="17"/>
          <w:color w:val="auto"/>
        </w:rPr>
        <w:t>).</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660" w:right="220" w:hanging="206"/>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660" w:right="240" w:hanging="206"/>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29" w:lineRule="exact"/>
        <w:rPr>
          <w:sz w:val="20"/>
          <w:szCs w:val="20"/>
          <w:color w:val="auto"/>
        </w:rPr>
      </w:pPr>
    </w:p>
    <w:p>
      <w:pPr>
        <w:ind w:left="660" w:right="220" w:hanging="206"/>
        <w:spacing w:after="0" w:line="25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or</w:t>
      </w:r>
    </w:p>
    <w:p>
      <w:pPr>
        <w:spacing w:after="0" w:line="9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This prospectus supplement and the accompanying prospectus do not constitute an issue prospectus pursuant to Article 652a or Article 1156 of the Swiss Code of Obligations and the Notes will not be listed on the SIX Swiss Exchange. Therefore, this prospectus supplement and the accompanying prospectus may not comply with the disclosure standards of the listing rules (including any additional listing rules or prospectus schemes) of the SIX Swiss Exchange.</w:t>
      </w:r>
    </w:p>
    <w:p>
      <w:pPr>
        <w:spacing w:after="0" w:line="187"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the offering of the Notes, including, but not limited to, this prospectus supplement and the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accompanying prospectus. The Notes may be made available for purchase outside Taiwan by investors residing in Taiwan (either directly or through properly licensed Taiwan intermediaries acting on behalf of such investors), but may not be issued, offered or sold in Taiwan.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Each purchaser of the Notes that is (1) an employee benefit plan subject to Title I of the Employee Retirement Income Security Act of 1974, as amended (“ERISA”), (2) a plan or account subject to Section 4975 of the Internal Revenue Code of 1986, as amended (the “Code”), or (3) an entity deemed to hold “plan assets” of any such employee benefit plan, plan or account, by acceptance of a Note, will be deemed to have represented and warranted that a fiduciary acting on its behalf is causing it to purchase the Notes and that such fiduciary:</w:t>
      </w:r>
    </w:p>
    <w:p>
      <w:pPr>
        <w:spacing w:after="0" w:line="92" w:lineRule="exact"/>
        <w:rPr>
          <w:sz w:val="20"/>
          <w:szCs w:val="20"/>
          <w:color w:val="auto"/>
        </w:rPr>
      </w:pPr>
    </w:p>
    <w:p>
      <w:pPr>
        <w:ind w:left="900" w:right="100" w:hanging="446"/>
        <w:spacing w:after="0" w:line="34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Is a bank, an insurance carrier, a registered investment adviser, a registered broker-dealer or an independent fiduciary with at least $50 million of assets under management or control as specified in 29 CFR Section 2510.3-21(c)(1)(i) (excluding an IRA owner if the purchaser is an IRA);</w:t>
      </w:r>
    </w:p>
    <w:p>
      <w:pPr>
        <w:spacing w:after="0" w:line="29"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 independent (for purposes of 29 CFR Section 2510.3-21(c)(1)) of the issuer, each underwriter and their respective affiliates (the “Transaction Parties”);</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 capable of evaluating investment risks independently, both in general and with regard to particular transactions and investment strategies, including the purchaser’s transactions with the Transaction Parties hereunder;</w:t>
      </w:r>
    </w:p>
    <w:p>
      <w:pPr>
        <w:spacing w:after="0" w:line="75" w:lineRule="exact"/>
        <w:rPr>
          <w:rFonts w:ascii="Arial" w:cs="Arial" w:eastAsia="Arial" w:hAnsi="Arial"/>
          <w:sz w:val="18"/>
          <w:szCs w:val="18"/>
          <w:color w:val="auto"/>
        </w:rPr>
      </w:pPr>
    </w:p>
    <w:p>
      <w:pPr>
        <w:ind w:left="900" w:right="280" w:hanging="446"/>
        <w:spacing w:after="0" w:line="34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Has been advised that none of the Transaction Parties has undertaken or will undertake to provide impartial investment advice, or has given or will give advice in a fiduciary capacity, in connection with the purchaser’s transactions with the Transaction Parties contemplated hereby;</w:t>
      </w:r>
    </w:p>
    <w:p>
      <w:pPr>
        <w:spacing w:after="0" w:line="29" w:lineRule="exact"/>
        <w:rPr>
          <w:rFonts w:ascii="Arial" w:cs="Arial" w:eastAsia="Arial" w:hAnsi="Arial"/>
          <w:sz w:val="16"/>
          <w:szCs w:val="16"/>
          <w:color w:val="auto"/>
        </w:rPr>
      </w:pPr>
    </w:p>
    <w:p>
      <w:pPr>
        <w:ind w:left="900" w:right="80" w:hanging="446"/>
        <w:spacing w:after="0" w:line="34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Is a “fiduciary” under Section 3(21)(a) of ERISA or Section 4975(e)(3) of the Code, or both, as applicable, with respect to, and is responsible for exercising independent judgment in evaluating, the purchaser’s transactions with the Transaction Parties contemplated hereby; and</w:t>
      </w:r>
    </w:p>
    <w:p>
      <w:pPr>
        <w:spacing w:after="0" w:line="29" w:lineRule="exact"/>
        <w:rPr>
          <w:rFonts w:ascii="Arial" w:cs="Arial" w:eastAsia="Arial" w:hAnsi="Arial"/>
          <w:sz w:val="16"/>
          <w:szCs w:val="16"/>
          <w:color w:val="auto"/>
        </w:rPr>
      </w:pPr>
    </w:p>
    <w:p>
      <w:pPr>
        <w:ind w:left="900" w:hanging="446"/>
        <w:spacing w:after="0" w:line="273"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Understands and acknowledges the existence and nature of the underwriting discounts, commissions and fees, and any other related fees, compensation arrangements or financial interests described in this prospectus supplement; and understands, acknowledges and agrees that no such fee or other compensation is a fee or other compensation for the provision of investment advice, and that none of the Transaction Parties, nor any of their respective directors, officers, members, partners, employees, principals or agents has received or will receive a fee or other compensation from the purchaser or such fiduciary for the provision of investment advice (rather than other services) in connection with the purchaser’s transactions with the Transaction Parties contemplated hereby.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2016, and the effectiveness of our internal control over financial reporting as of December 31, 2016, as set forth in their reports, which are incorporated by reference herein. Our financial statements and our management’s assessment of the effectiveness of internal control over financial reporting as of December 31, 2016, are incorporated by reference in reliance on Ernst &amp; Young LLP’s reports, given on their authority as experts in accounting and auditing.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5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Annual Report on Form 10-K for the year ended December 31, 2016, filed on February 23, 2017, the sections of the Definitive Proxy Statement on Schedule 14A for the 2017 annual meeting of stockholders, filed on March 6, 2017 and incorporated by reference in the Annual Report on Form 10-K for the year ended December 31, 2016, the Quarterly Reports on Form 10-Q for the quarters ended March 31, 2017 and June 30, 2017, filed on May 3, 2017 and August 3, 2017, respectively, the Current Reports on Form</w:t>
      </w:r>
    </w:p>
    <w:p>
      <w:pPr>
        <w:spacing w:after="0" w:line="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8-K filed on January 19, 2017 (the portion filed under Item 5.02), January 24, 2017 (the portion filed under Item 5.02), April 26, 2017, May 4, 2017, July 20, 2017 (the portion filed under Item 5.02) and September 22, 2017 and all documents subsequently filed with the SEC pursuant to Section 13(a), 13(c), 14, or 15(d) of the Exchange Act (other than those documents or the portions of those documents furnished, including pursuant to Items 2.02 or 7.01 of any Current Report on Form 8-K) prior to the termination of the offering under this prospectus supplement.</w:t>
      </w:r>
    </w:p>
    <w:p>
      <w:pPr>
        <w:spacing w:after="0" w:line="190"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172085</wp:posOffset>
            </wp:positionV>
            <wp:extent cx="2864485" cy="660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420"/>
          </w:cols>
          <w:pgMar w:left="240" w:top="459" w:right="2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Warrants</w:t>
      </w:r>
    </w:p>
    <w:p>
      <w:pPr>
        <w:spacing w:after="0" w:line="151" w:lineRule="exact"/>
        <w:rPr>
          <w:sz w:val="20"/>
          <w:szCs w:val="20"/>
          <w:color w:val="auto"/>
        </w:rPr>
      </w:pPr>
    </w:p>
    <w:p>
      <w:pPr>
        <w:sectPr>
          <w:pgSz w:w="11900" w:h="16838" w:orient="portrait"/>
          <w:cols w:equalWidth="0" w:num="4">
            <w:col w:w="80" w:space="300"/>
            <w:col w:w="4720" w:space="720"/>
            <w:col w:w="80" w:space="300"/>
            <w:col w:w="522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Units</w:t>
      </w:r>
    </w:p>
    <w:p>
      <w:pPr>
        <w:spacing w:after="0" w:line="128" w:lineRule="exact"/>
        <w:rPr>
          <w:sz w:val="20"/>
          <w:szCs w:val="20"/>
          <w:color w:val="auto"/>
        </w:rPr>
      </w:pPr>
    </w:p>
    <w:p>
      <w:pPr>
        <w:sectPr>
          <w:pgSz w:w="11900" w:h="16838" w:orient="portrait"/>
          <w:cols w:equalWidth="0" w:num="4">
            <w:col w:w="80" w:space="300"/>
            <w:col w:w="4720" w:space="720"/>
            <w:col w:w="80" w:space="300"/>
            <w:col w:w="5220"/>
          </w:cols>
          <w:pgMar w:left="240" w:top="459" w:right="239" w:bottom="1440" w:gutter="0" w:footer="0" w:header="0"/>
          <w:type w:val="continuous"/>
        </w:sectPr>
      </w:pPr>
    </w:p>
    <w:p>
      <w:pPr>
        <w:ind w:left="380" w:hanging="372"/>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60"/>
              <w:spacing w:after="0"/>
              <w:rPr>
                <w:sz w:val="20"/>
                <w:szCs w:val="20"/>
                <w:color w:val="auto"/>
              </w:rPr>
            </w:pPr>
            <w:r>
              <w:rPr>
                <w:rFonts w:ascii="Arial" w:cs="Arial" w:eastAsia="Arial" w:hAnsi="Arial"/>
                <w:sz w:val="18"/>
                <w:szCs w:val="18"/>
                <w:color w:val="auto"/>
              </w:rPr>
              <w:t>Maturity</w:t>
            </w: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rPr>
              <w:t>Redemption terms</w:t>
            </w:r>
          </w:p>
        </w:tc>
        <w:tc>
          <w:tcPr>
            <w:tcW w:w="1120" w:type="dxa"/>
            <w:vAlign w:val="bottom"/>
          </w:tcPr>
          <w:p>
            <w:pPr>
              <w:ind w:left="900"/>
              <w:spacing w:after="0"/>
              <w:rPr>
                <w:sz w:val="20"/>
                <w:szCs w:val="20"/>
                <w:color w:val="auto"/>
              </w:rPr>
            </w:pPr>
            <w:r>
              <w:rPr>
                <w:rFonts w:ascii="Arial" w:cs="Arial" w:eastAsia="Arial" w:hAnsi="Arial"/>
                <w:sz w:val="18"/>
                <w:szCs w:val="18"/>
                <w:color w:val="auto"/>
              </w:rPr>
              <w:t>•</w:t>
            </w:r>
          </w:p>
        </w:tc>
        <w:tc>
          <w:tcPr>
            <w:tcW w:w="1760" w:type="dxa"/>
            <w:vAlign w:val="bottom"/>
          </w:tcPr>
          <w:p>
            <w:pPr>
              <w:ind w:left="160"/>
              <w:spacing w:after="0"/>
              <w:rPr>
                <w:sz w:val="20"/>
                <w:szCs w:val="20"/>
                <w:color w:val="auto"/>
              </w:rPr>
            </w:pPr>
            <w:r>
              <w:rPr>
                <w:rFonts w:ascii="Arial" w:cs="Arial" w:eastAsia="Arial" w:hAnsi="Arial"/>
                <w:sz w:val="18"/>
                <w:szCs w:val="18"/>
                <w:color w:val="auto"/>
              </w:rPr>
              <w:t>Liquidation amount</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60"/>
              <w:spacing w:after="0"/>
              <w:rPr>
                <w:sz w:val="20"/>
                <w:szCs w:val="20"/>
                <w:color w:val="auto"/>
              </w:rPr>
            </w:pPr>
            <w:r>
              <w:rPr>
                <w:rFonts w:ascii="Arial" w:cs="Arial" w:eastAsia="Arial" w:hAnsi="Arial"/>
                <w:sz w:val="18"/>
                <w:szCs w:val="18"/>
                <w:color w:val="auto"/>
              </w:rPr>
              <w:t>Interest rate</w:t>
            </w: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rPr>
              <w:t>Listing on a security exchange</w:t>
            </w:r>
          </w:p>
        </w:tc>
        <w:tc>
          <w:tcPr>
            <w:tcW w:w="1120" w:type="dxa"/>
            <w:vAlign w:val="bottom"/>
          </w:tcPr>
          <w:p>
            <w:pPr>
              <w:ind w:left="900"/>
              <w:spacing w:after="0"/>
              <w:rPr>
                <w:sz w:val="20"/>
                <w:szCs w:val="20"/>
                <w:color w:val="auto"/>
              </w:rPr>
            </w:pPr>
            <w:r>
              <w:rPr>
                <w:rFonts w:ascii="Arial" w:cs="Arial" w:eastAsia="Arial" w:hAnsi="Arial"/>
                <w:sz w:val="18"/>
                <w:szCs w:val="18"/>
                <w:color w:val="auto"/>
              </w:rPr>
              <w:t>•</w:t>
            </w:r>
          </w:p>
        </w:tc>
        <w:tc>
          <w:tcPr>
            <w:tcW w:w="1760" w:type="dxa"/>
            <w:vAlign w:val="bottom"/>
          </w:tcPr>
          <w:p>
            <w:pPr>
              <w:ind w:left="160"/>
              <w:spacing w:after="0"/>
              <w:rPr>
                <w:sz w:val="20"/>
                <w:szCs w:val="20"/>
                <w:color w:val="auto"/>
              </w:rPr>
            </w:pPr>
            <w:r>
              <w:rPr>
                <w:rFonts w:ascii="Arial" w:cs="Arial" w:eastAsia="Arial" w:hAnsi="Arial"/>
                <w:sz w:val="18"/>
                <w:szCs w:val="18"/>
                <w:color w:val="auto"/>
                <w:w w:val="88"/>
              </w:rPr>
              <w:t>Subsidiary guarantees</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60"/>
              <w:spacing w:after="0"/>
              <w:rPr>
                <w:sz w:val="20"/>
                <w:szCs w:val="20"/>
                <w:color w:val="auto"/>
              </w:rPr>
            </w:pPr>
            <w:r>
              <w:rPr>
                <w:rFonts w:ascii="Arial" w:cs="Arial" w:eastAsia="Arial" w:hAnsi="Arial"/>
                <w:sz w:val="18"/>
                <w:szCs w:val="18"/>
                <w:color w:val="auto"/>
              </w:rPr>
              <w:t>Currency of payments</w:t>
            </w: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rPr>
              <w:t>Amount payable at maturity</w:t>
            </w:r>
          </w:p>
        </w:tc>
        <w:tc>
          <w:tcPr>
            <w:tcW w:w="1120" w:type="dxa"/>
            <w:vAlign w:val="bottom"/>
          </w:tcPr>
          <w:p>
            <w:pPr>
              <w:ind w:left="900"/>
              <w:spacing w:after="0"/>
              <w:rPr>
                <w:sz w:val="20"/>
                <w:szCs w:val="20"/>
                <w:color w:val="auto"/>
              </w:rPr>
            </w:pPr>
            <w:r>
              <w:rPr>
                <w:rFonts w:ascii="Arial" w:cs="Arial" w:eastAsia="Arial" w:hAnsi="Arial"/>
                <w:sz w:val="18"/>
                <w:szCs w:val="18"/>
                <w:color w:val="auto"/>
              </w:rPr>
              <w:t>•</w:t>
            </w:r>
          </w:p>
        </w:tc>
        <w:tc>
          <w:tcPr>
            <w:tcW w:w="1760" w:type="dxa"/>
            <w:vAlign w:val="bottom"/>
          </w:tcPr>
          <w:p>
            <w:pPr>
              <w:ind w:left="160"/>
              <w:spacing w:after="0"/>
              <w:rPr>
                <w:sz w:val="20"/>
                <w:szCs w:val="20"/>
                <w:color w:val="auto"/>
              </w:rPr>
            </w:pPr>
            <w:r>
              <w:rPr>
                <w:rFonts w:ascii="Arial" w:cs="Arial" w:eastAsia="Arial" w:hAnsi="Arial"/>
                <w:sz w:val="18"/>
                <w:szCs w:val="18"/>
                <w:color w:val="auto"/>
              </w:rPr>
              <w:t>Sinking fund terms</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1740" w:type="dxa"/>
            <w:vAlign w:val="bottom"/>
          </w:tcPr>
          <w:p>
            <w:pPr>
              <w:ind w:left="1520"/>
              <w:spacing w:after="0"/>
              <w:rPr>
                <w:sz w:val="20"/>
                <w:szCs w:val="20"/>
                <w:color w:val="auto"/>
              </w:rPr>
            </w:pPr>
            <w:r>
              <w:rPr>
                <w:rFonts w:ascii="Arial" w:cs="Arial" w:eastAsia="Arial" w:hAnsi="Arial"/>
                <w:sz w:val="18"/>
                <w:szCs w:val="18"/>
                <w:color w:val="auto"/>
              </w:rPr>
              <w:t>•</w:t>
            </w:r>
          </w:p>
        </w:tc>
        <w:tc>
          <w:tcPr>
            <w:tcW w:w="3280" w:type="dxa"/>
            <w:vAlign w:val="bottom"/>
          </w:tcPr>
          <w:p>
            <w:pPr>
              <w:ind w:left="160"/>
              <w:spacing w:after="0"/>
              <w:rPr>
                <w:sz w:val="20"/>
                <w:szCs w:val="20"/>
                <w:color w:val="auto"/>
              </w:rPr>
            </w:pPr>
            <w:r>
              <w:rPr>
                <w:rFonts w:ascii="Arial" w:cs="Arial" w:eastAsia="Arial" w:hAnsi="Arial"/>
                <w:sz w:val="18"/>
                <w:szCs w:val="18"/>
                <w:color w:val="auto"/>
              </w:rPr>
              <w:t>Conversion or exchange rights</w:t>
            </w:r>
          </w:p>
        </w:tc>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20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common stock is quoted on The NASDAQ Global Select Market under the ticker symbol TXN. On February 23, 2016, the reported last sale price on The NASDAQ Global Select Market for our common stock was $52.24.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360" w:firstLine="456"/>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9 of our Annual Report on Form 10-K for the year ended December 31, 2015,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161925</wp:posOffset>
            </wp:positionV>
            <wp:extent cx="15176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68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February 24, 2016</w:t>
      </w:r>
    </w:p>
    <w:p>
      <w:pPr>
        <w:sectPr>
          <w:pgSz w:w="11900" w:h="16838" w:orient="portrait"/>
          <w:cols w:equalWidth="0" w:num="1">
            <w:col w:w="11420"/>
          </w:cols>
          <w:pgMar w:left="240" w:top="459"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208280</wp:posOffset>
            </wp:positionV>
            <wp:extent cx="15176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80" w:type="dxa"/>
            <w:vAlign w:val="bottom"/>
            <w:gridSpan w:val="3"/>
          </w:tcPr>
          <w:p>
            <w:pPr>
              <w:jc w:val="right"/>
              <w:ind w:right="47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040" w:type="dxa"/>
            <w:vAlign w:val="bottom"/>
            <w:gridSpan w:val="2"/>
            <w:vMerge w:val="restart"/>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The Company</w:t>
              </w:r>
            </w:hyperlink>
          </w:p>
        </w:tc>
        <w:tc>
          <w:tcPr>
            <w:tcW w:w="3060" w:type="dxa"/>
            <w:vAlign w:val="bottom"/>
            <w:gridSpan w:val="12"/>
            <w:vMerge w:val="restart"/>
          </w:tcPr>
          <w:p>
            <w:pPr>
              <w:spacing w:after="0"/>
              <w:rPr>
                <w:sz w:val="24"/>
                <w:szCs w:val="24"/>
                <w:color w:val="auto"/>
              </w:rPr>
            </w:pPr>
          </w:p>
        </w:tc>
        <w:tc>
          <w:tcPr>
            <w:tcW w:w="69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61"/>
        </w:trPr>
        <w:tc>
          <w:tcPr>
            <w:tcW w:w="1040" w:type="dxa"/>
            <w:vAlign w:val="bottom"/>
            <w:tcBorders>
              <w:bottom w:val="single" w:sz="8" w:color="0000EE"/>
            </w:tcBorders>
            <w:gridSpan w:val="2"/>
            <w:vMerge w:val="continue"/>
          </w:tcPr>
          <w:p>
            <w:pPr>
              <w:spacing w:after="0"/>
              <w:rPr>
                <w:sz w:val="13"/>
                <w:szCs w:val="13"/>
                <w:color w:val="auto"/>
              </w:rPr>
            </w:pPr>
          </w:p>
        </w:tc>
        <w:tc>
          <w:tcPr>
            <w:tcW w:w="3060" w:type="dxa"/>
            <w:vAlign w:val="bottom"/>
            <w:gridSpan w:val="12"/>
            <w:vMerge w:val="continue"/>
          </w:tcPr>
          <w:p>
            <w:pPr>
              <w:spacing w:after="0"/>
              <w:rPr>
                <w:sz w:val="13"/>
                <w:szCs w:val="13"/>
                <w:color w:val="auto"/>
              </w:rPr>
            </w:pPr>
          </w:p>
        </w:tc>
        <w:tc>
          <w:tcPr>
            <w:tcW w:w="698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100" w:type="dxa"/>
            <w:vAlign w:val="bottom"/>
            <w:gridSpan w:val="1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About this Prospectus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Where You Can Find More Information</w:t>
              </w:r>
            </w:hyperlink>
          </w:p>
        </w:tc>
        <w:tc>
          <w:tcPr>
            <w:tcW w:w="1220" w:type="dxa"/>
            <w:vAlign w:val="bottom"/>
            <w:gridSpan w:val="2"/>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Notice Regarding Forward-Looking Statements</w:t>
              </w:r>
            </w:hyperlink>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Use of Proceeds</w:t>
              </w:r>
            </w:hyperlink>
          </w:p>
        </w:tc>
        <w:tc>
          <w:tcPr>
            <w:tcW w:w="2260" w:type="dxa"/>
            <w:vAlign w:val="bottom"/>
            <w:tcBorders>
              <w:top w:val="single" w:sz="8" w:color="0000EE"/>
            </w:tcBorders>
            <w:gridSpan w:val="10"/>
          </w:tcPr>
          <w:p>
            <w:pPr>
              <w:spacing w:after="0"/>
              <w:rPr>
                <w:sz w:val="17"/>
                <w:szCs w:val="17"/>
                <w:color w:val="auto"/>
              </w:rPr>
            </w:pPr>
          </w:p>
        </w:tc>
        <w:tc>
          <w:tcPr>
            <w:tcW w:w="660" w:type="dxa"/>
            <w:vAlign w:val="bottom"/>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Ratios of Earnings to Fixed Charges</w:t>
              </w:r>
            </w:hyperlink>
          </w:p>
        </w:tc>
        <w:tc>
          <w:tcPr>
            <w:tcW w:w="1480" w:type="dxa"/>
            <w:vAlign w:val="bottom"/>
            <w:gridSpan w:val="3"/>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Capital Stock</w:t>
              </w:r>
            </w:hyperlink>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Description of Debt Securities</w:t>
              </w:r>
            </w:hyperlink>
          </w:p>
        </w:tc>
        <w:tc>
          <w:tcPr>
            <w:tcW w:w="1900" w:type="dxa"/>
            <w:vAlign w:val="bottom"/>
            <w:gridSpan w:val="4"/>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Description of Warrants</w:t>
              </w:r>
            </w:hyperlink>
          </w:p>
        </w:tc>
        <w:tc>
          <w:tcPr>
            <w:tcW w:w="2360" w:type="dxa"/>
            <w:vAlign w:val="bottom"/>
            <w:gridSpan w:val="6"/>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Description of Units</w:t>
              </w:r>
            </w:hyperlink>
          </w:p>
        </w:tc>
        <w:tc>
          <w:tcPr>
            <w:tcW w:w="2620" w:type="dxa"/>
            <w:vAlign w:val="bottom"/>
            <w:gridSpan w:val="8"/>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Forms of Securities</w:t>
              </w:r>
            </w:hyperlink>
          </w:p>
        </w:tc>
        <w:tc>
          <w:tcPr>
            <w:tcW w:w="2680" w:type="dxa"/>
            <w:vAlign w:val="bottom"/>
            <w:gridSpan w:val="10"/>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59">
              <w:r>
                <w:rPr>
                  <w:rFonts w:ascii="Arial" w:cs="Arial" w:eastAsia="Arial" w:hAnsi="Arial"/>
                  <w:sz w:val="18"/>
                  <w:szCs w:val="18"/>
                  <w:color w:val="0000EE"/>
                  <w:w w:val="93"/>
                </w:rPr>
                <w:t>Plan of Distribution</w:t>
              </w:r>
            </w:hyperlink>
          </w:p>
        </w:tc>
        <w:tc>
          <w:tcPr>
            <w:tcW w:w="2660" w:type="dxa"/>
            <w:vAlign w:val="bottom"/>
            <w:gridSpan w:val="9"/>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Validity of Securities</w:t>
              </w:r>
            </w:hyperlink>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Experts</w:t>
              </w:r>
            </w:hyperlink>
          </w:p>
        </w:tc>
        <w:tc>
          <w:tcPr>
            <w:tcW w:w="1020" w:type="dxa"/>
            <w:vAlign w:val="bottom"/>
            <w:tcBorders>
              <w:top w:val="single" w:sz="8" w:color="0000EE"/>
            </w:tcBorders>
            <w:gridSpan w:val="6"/>
          </w:tcPr>
          <w:p>
            <w:pPr>
              <w:spacing w:after="0"/>
              <w:rPr>
                <w:sz w:val="17"/>
                <w:szCs w:val="17"/>
                <w:color w:val="auto"/>
              </w:rPr>
            </w:pPr>
          </w:p>
        </w:tc>
        <w:tc>
          <w:tcPr>
            <w:tcW w:w="2520" w:type="dxa"/>
            <w:vAlign w:val="bottom"/>
            <w:gridSpan w:val="7"/>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4086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34086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124" w:lineRule="exact"/>
        <w:rPr>
          <w:sz w:val="20"/>
          <w:szCs w:val="20"/>
          <w:color w:val="auto"/>
        </w:rPr>
      </w:pPr>
    </w:p>
    <w:p>
      <w:pPr>
        <w:jc w:val="both"/>
        <w:ind w:left="200" w:right="640" w:firstLine="441"/>
        <w:spacing w:after="0" w:line="264"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5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Form 10-K for the year ended December 31, 2015, filed on February 24, 2016, and all documents subsequently filed with the SEC pursuant to Section 13(a), 13(c), 14, or 15(d) of the Securities Exchange Act of 1934, as amended (the “Exchange Act”) prior to the termination of the offering under this prospectus.</w:t>
      </w:r>
    </w:p>
    <w:p>
      <w:pPr>
        <w:spacing w:after="0" w:line="173"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You may request a copy of these filings at no cost, by writing or telephoning us at: 12500 TI Boulevard, P.O. Box 660199, Dallas, Texas 75266-0199, Attention: Manager of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3"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53"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jc w:val="both"/>
        <w:ind w:left="900" w:right="120" w:hanging="446"/>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health conditions, possible disruptions in transportation, communications and information technology networks and fluctuations in foreign currency exchange rates;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Natural events such as health epidemics, severe weather and earthquakes in the locations in which we, our customers or our suppliers operate;</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Breaches of our information technology systems or those of our customers or suppliers;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5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obtain needed licenses from third parties, expiration of license agreements between us and our patent licensees, and market conditions reducing royalty payments to us;</w:t>
      </w:r>
    </w:p>
    <w:p>
      <w:pPr>
        <w:spacing w:after="0" w:line="75" w:lineRule="exact"/>
        <w:rPr>
          <w:rFonts w:ascii="Arial" w:cs="Arial" w:eastAsia="Arial" w:hAnsi="Arial"/>
          <w:sz w:val="18"/>
          <w:szCs w:val="18"/>
          <w:color w:val="auto"/>
        </w:rPr>
      </w:pPr>
    </w:p>
    <w:p>
      <w:pPr>
        <w:ind w:left="900" w:right="60" w:hanging="446"/>
        <w:spacing w:after="0" w:line="34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we are or may become subject, or actions of enforcement authorities, that restrict our ability to manufacture our products or operate our business, or subject us to fines, penalties, or other legal liability;</w:t>
      </w:r>
    </w:p>
    <w:p>
      <w:pPr>
        <w:spacing w:after="0" w:line="29" w:lineRule="exact"/>
        <w:rPr>
          <w:rFonts w:ascii="Arial" w:cs="Arial" w:eastAsia="Arial" w:hAnsi="Arial"/>
          <w:sz w:val="16"/>
          <w:szCs w:val="16"/>
          <w:color w:val="auto"/>
        </w:rPr>
      </w:pPr>
    </w:p>
    <w:p>
      <w:pPr>
        <w:ind w:left="900" w:right="38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tax rate applicable to us as the result of changes in tax law, the jurisdictions in which profits are determined to be earned and taxed, adverse resolution of tax audits and the ability to realize deferred tax assets;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our consigned inventory;</w:t>
      </w:r>
    </w:p>
    <w:p>
      <w:pPr>
        <w:spacing w:after="0" w:line="130" w:lineRule="exact"/>
        <w:rPr>
          <w:rFonts w:ascii="Arial" w:cs="Arial" w:eastAsia="Arial" w:hAnsi="Arial"/>
          <w:sz w:val="18"/>
          <w:szCs w:val="18"/>
          <w:color w:val="auto"/>
        </w:rPr>
      </w:pPr>
    </w:p>
    <w:p>
      <w:pPr>
        <w:ind w:left="900" w:right="140" w:hanging="446"/>
        <w:spacing w:after="0" w:line="308"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Instability in the global credit and financial markets that affects our ability to fund our daily operations, invest in our business, make strategic acquisitions, repurchase outstanding shares of our common stock, or make principal and interest payments on our debt;</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and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9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r>
      <w:tr>
        <w:trPr>
          <w:trHeight w:val="210"/>
        </w:trPr>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43.2x</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37.2x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27.3x</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20.6x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55.9x</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have no preferred shares outstanding and have paid no preferred dividends to date; therefore, our ratios of earnings to combined fixed charges and preferred dividends are the same as our ratios of earnings to fixed charges.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As of January 31, 2016, there were 1,008,975,790 shares of common stock outstanding which were held of record by 15,458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2 North LaSalle Street, Chicago, Illinois 60602.</w:t>
      </w:r>
    </w:p>
    <w:p>
      <w:pPr>
        <w:spacing w:after="0" w:line="17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January 31, 2016,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public announcement of the date of the meeting is first made.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7"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75"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14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71" w:lineRule="exact"/>
        <w:rPr>
          <w:sz w:val="20"/>
          <w:szCs w:val="20"/>
          <w:color w:val="auto"/>
        </w:rPr>
      </w:pPr>
    </w:p>
    <w:p>
      <w:pPr>
        <w:jc w:val="both"/>
        <w:ind w:right="80" w:firstLine="456"/>
        <w:spacing w:after="0" w:line="342" w:lineRule="auto"/>
        <w:rPr>
          <w:sz w:val="20"/>
          <w:szCs w:val="20"/>
          <w:color w:val="auto"/>
        </w:rPr>
      </w:pPr>
      <w:r>
        <w:rPr>
          <w:rFonts w:ascii="Arial" w:cs="Arial" w:eastAsia="Arial" w:hAnsi="Arial"/>
          <w:sz w:val="16"/>
          <w:szCs w:val="16"/>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960" w:firstLine="456"/>
        <w:spacing w:after="0" w:line="277"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7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should look in the prospectus supplement for any additional or different terms of the debt securities being offered, including the following terms:</w:t>
      </w:r>
    </w:p>
    <w:p>
      <w:pPr>
        <w:spacing w:after="0" w:line="154"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30" w:lineRule="exact"/>
        <w:rPr>
          <w:rFonts w:ascii="Arial" w:cs="Arial" w:eastAsia="Arial" w:hAnsi="Arial"/>
          <w:sz w:val="18"/>
          <w:szCs w:val="18"/>
          <w:color w:val="auto"/>
        </w:rPr>
      </w:pPr>
    </w:p>
    <w:p>
      <w:pPr>
        <w:ind w:left="900" w:right="320" w:hanging="446"/>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75"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130"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66"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Debt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Certain Definitions</w:t>
      </w:r>
      <w:r>
        <w:rPr>
          <w:rFonts w:ascii="Arial" w:cs="Arial" w:eastAsia="Arial" w:hAnsi="Arial"/>
          <w:sz w:val="17"/>
          <w:szCs w:val="17"/>
          <w:color w:val="auto"/>
        </w:rPr>
        <w:t>. The term “attributable debt” in respect of a sale and leaseback transaction means, at the time of determination, the lesser of (1)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71"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2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8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54"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4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Restrictions on Liens</w:t>
      </w:r>
      <w:r>
        <w:rPr>
          <w:rFonts w:ascii="Arial" w:cs="Arial" w:eastAsia="Arial" w:hAnsi="Arial"/>
          <w:sz w:val="18"/>
          <w:szCs w:val="18"/>
          <w:color w:val="auto"/>
        </w:rPr>
        <w:t>. The indenture provides that, unless as may otherwise be indicated by resolution of our board of directors, officers’ certificate, or</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indenture, we will not issue or assume any debt for money borrowed (which, including guarantees of debt for borrowed money, we refer to as “debt”), if the debt is secured by a mortgage, pledge, lien or other encumbrance (which we refer to as a “mortgage”) upon any principal manufacturing property (whether such principal manufacturing property is now owned or subsequently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87"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mortgages on property existing at the time of or within 120 days after acquisition of the property and certain purchase money mortgages;</w:t>
      </w:r>
    </w:p>
    <w:p>
      <w:pPr>
        <w:spacing w:after="0" w:line="142" w:lineRule="exact"/>
        <w:rPr>
          <w:rFonts w:ascii="Arial" w:cs="Arial" w:eastAsia="Arial" w:hAnsi="Arial"/>
          <w:sz w:val="17"/>
          <w:szCs w:val="17"/>
          <w:color w:val="auto"/>
        </w:rPr>
      </w:pPr>
    </w:p>
    <w:p>
      <w:pPr>
        <w:ind w:left="900" w:right="24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75"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92"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we are contesting in good faith by appropriate proceedings;</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75" w:lineRule="exact"/>
        <w:rPr>
          <w:rFonts w:ascii="Arial" w:cs="Arial" w:eastAsia="Arial" w:hAnsi="Arial"/>
          <w:sz w:val="18"/>
          <w:szCs w:val="18"/>
          <w:color w:val="auto"/>
        </w:rPr>
      </w:pPr>
    </w:p>
    <w:p>
      <w:pPr>
        <w:ind w:left="900" w:right="40" w:hanging="446"/>
        <w:spacing w:after="0" w:line="25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93"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7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i w:val="1"/>
          <w:iCs w:val="1"/>
          <w:color w:val="auto"/>
        </w:rPr>
        <w:t>Restrictions on Sale and Leaseback Transactions</w:t>
      </w:r>
      <w:r>
        <w:rPr>
          <w:rFonts w:ascii="Arial" w:cs="Arial" w:eastAsia="Arial" w:hAnsi="Arial"/>
          <w:sz w:val="17"/>
          <w:szCs w:val="17"/>
          <w:color w:val="auto"/>
        </w:rPr>
        <w:t>. The indenture provides that, unless as may otherwise be indicated by resolution of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77" w:lineRule="exact"/>
        <w:rPr>
          <w:sz w:val="20"/>
          <w:szCs w:val="20"/>
          <w:color w:val="auto"/>
        </w:rPr>
      </w:pPr>
    </w:p>
    <w:p>
      <w:pPr>
        <w:ind w:left="900" w:right="14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92" w:lineRule="exact"/>
        <w:rPr>
          <w:rFonts w:ascii="Arial" w:cs="Arial" w:eastAsia="Arial" w:hAnsi="Arial"/>
          <w:sz w:val="18"/>
          <w:szCs w:val="18"/>
          <w:color w:val="auto"/>
        </w:rPr>
      </w:pPr>
    </w:p>
    <w:p>
      <w:pPr>
        <w:ind w:left="900" w:right="400" w:hanging="446"/>
        <w:spacing w:after="0" w:line="34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proceeds of such sale and leaseback transaction and we elect to designate such amount as a credit against such transaction, or</w:t>
      </w:r>
    </w:p>
    <w:p>
      <w:pPr>
        <w:spacing w:after="0" w:line="142" w:lineRule="exact"/>
        <w:rPr>
          <w:rFonts w:ascii="Arial" w:cs="Arial" w:eastAsia="Arial" w:hAnsi="Arial"/>
          <w:sz w:val="17"/>
          <w:szCs w:val="17"/>
          <w:color w:val="auto"/>
        </w:rPr>
      </w:pPr>
    </w:p>
    <w:p>
      <w:pPr>
        <w:ind w:left="1460" w:right="260" w:hanging="547"/>
        <w:spacing w:after="0" w:line="277" w:lineRule="auto"/>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120" w:hanging="446"/>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8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Exempted Debt</w:t>
      </w:r>
      <w:r>
        <w:rPr>
          <w:rFonts w:ascii="Arial" w:cs="Arial" w:eastAsia="Arial" w:hAnsi="Arial"/>
          <w:sz w:val="18"/>
          <w:szCs w:val="18"/>
          <w:color w:val="auto"/>
        </w:rPr>
        <w:t>. The indenture provides that, notwithstanding the restrictions on mortgages and sale and leaseback transactions described above, we</w:t>
      </w:r>
      <w:r>
        <w:rPr>
          <w:rFonts w:ascii="Arial" w:cs="Arial" w:eastAsia="Arial" w:hAnsi="Arial"/>
          <w:sz w:val="18"/>
          <w:szCs w:val="18"/>
          <w:i w:val="1"/>
          <w:iCs w:val="1"/>
          <w:color w:val="auto"/>
        </w:rPr>
        <w:t xml:space="preserve"> </w:t>
      </w:r>
      <w:r>
        <w:rPr>
          <w:rFonts w:ascii="Arial" w:cs="Arial" w:eastAsia="Arial" w:hAnsi="Arial"/>
          <w:sz w:val="18"/>
          <w:szCs w:val="18"/>
          <w:color w:val="auto"/>
        </w:rPr>
        <w:t>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9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Consolidation, Merger and Sale or Conveyance</w:t>
      </w:r>
      <w:r>
        <w:rPr>
          <w:rFonts w:ascii="Arial" w:cs="Arial" w:eastAsia="Arial" w:hAnsi="Arial"/>
          <w:sz w:val="18"/>
          <w:szCs w:val="18"/>
          <w:color w:val="auto"/>
        </w:rPr>
        <w:t>. We may not consolidate with, merge with or into, or sell, or convey (including by way of lease) all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our assets to any person or permit any person to merge with or into us unless:</w:t>
      </w:r>
    </w:p>
    <w:p>
      <w:pPr>
        <w:spacing w:after="0" w:line="76" w:lineRule="exact"/>
        <w:rPr>
          <w:sz w:val="20"/>
          <w:szCs w:val="20"/>
          <w:color w:val="auto"/>
        </w:rPr>
      </w:pPr>
    </w:p>
    <w:p>
      <w:pPr>
        <w:ind w:left="900" w:hanging="446"/>
        <w:spacing w:after="0" w:line="255"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98"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30"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131" w:lineRule="exact"/>
        <w:rPr>
          <w:sz w:val="20"/>
          <w:szCs w:val="20"/>
          <w:color w:val="auto"/>
        </w:rPr>
      </w:pPr>
    </w:p>
    <w:p>
      <w:pPr>
        <w:ind w:left="900" w:right="4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131" w:lineRule="exact"/>
        <w:rPr>
          <w:sz w:val="20"/>
          <w:szCs w:val="20"/>
          <w:color w:val="auto"/>
        </w:rPr>
      </w:pPr>
    </w:p>
    <w:p>
      <w:pPr>
        <w:ind w:left="900" w:right="440" w:hanging="446"/>
        <w:spacing w:after="0" w:line="34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default in the payment of interest on any debt securities of such series when due and payable, if that default continues for a period of 30 days;</w:t>
      </w:r>
    </w:p>
    <w:p>
      <w:pPr>
        <w:spacing w:after="0" w:line="153"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relief in respect of us in an involuntary case under any applicable bankruptcy, insolvency, or other similar law now or hereafter in effect;</w:t>
      </w:r>
    </w:p>
    <w:p>
      <w:pPr>
        <w:spacing w:after="0" w:line="153" w:lineRule="exact"/>
        <w:rPr>
          <w:rFonts w:ascii="Arial" w:cs="Arial" w:eastAsia="Arial" w:hAnsi="Arial"/>
          <w:sz w:val="16"/>
          <w:szCs w:val="16"/>
          <w:color w:val="auto"/>
        </w:rPr>
      </w:pPr>
    </w:p>
    <w:p>
      <w:pPr>
        <w:ind w:left="1460" w:right="40" w:hanging="547"/>
        <w:spacing w:after="0" w:line="277" w:lineRule="auto"/>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winding up or liquidation of our affairs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consent to the entry of an order for relief in an involuntary case under any such law;</w:t>
      </w:r>
    </w:p>
    <w:p>
      <w:pPr>
        <w:spacing w:after="0" w:line="130"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us for all or substantially all of our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225"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8"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8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73"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84"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1"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76" w:lineRule="exact"/>
        <w:rPr>
          <w:sz w:val="20"/>
          <w:szCs w:val="20"/>
          <w:color w:val="auto"/>
        </w:rPr>
      </w:pPr>
    </w:p>
    <w:p>
      <w:pPr>
        <w:ind w:left="900" w:right="22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and we have paid all sums payable by us under the indenture; or</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300"/>
        <w:spacing w:after="0" w:line="264" w:lineRule="auto"/>
        <w:rPr>
          <w:sz w:val="20"/>
          <w:szCs w:val="20"/>
          <w:color w:val="auto"/>
        </w:rPr>
      </w:pPr>
      <w:r>
        <w:rPr>
          <w:rFonts w:ascii="Arial" w:cs="Arial" w:eastAsia="Arial" w:hAnsi="Arial"/>
          <w:sz w:val="18"/>
          <w:szCs w:val="18"/>
          <w:color w:val="auto"/>
        </w:rPr>
        <w:t>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92" w:lineRule="exact"/>
        <w:rPr>
          <w:sz w:val="20"/>
          <w:szCs w:val="20"/>
          <w:color w:val="auto"/>
        </w:rPr>
      </w:pPr>
    </w:p>
    <w:p>
      <w:pPr>
        <w:ind w:left="900" w:hanging="446"/>
        <w:spacing w:after="0" w:line="290"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71" w:lineRule="exact"/>
        <w:rPr>
          <w:rFonts w:ascii="Arial" w:cs="Arial" w:eastAsia="Arial" w:hAnsi="Arial"/>
          <w:sz w:val="16"/>
          <w:szCs w:val="16"/>
          <w:color w:val="auto"/>
        </w:rPr>
      </w:pPr>
    </w:p>
    <w:p>
      <w:pPr>
        <w:ind w:left="900" w:right="12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or instrument to which we are a party or by which we are bound;</w:t>
      </w:r>
    </w:p>
    <w:p>
      <w:pPr>
        <w:spacing w:after="0" w:line="75"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93"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or Conveyance”;</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75" w:lineRule="exact"/>
        <w:rPr>
          <w:rFonts w:ascii="Arial" w:cs="Arial" w:eastAsia="Arial" w:hAnsi="Arial"/>
          <w:sz w:val="18"/>
          <w:szCs w:val="18"/>
          <w:color w:val="auto"/>
        </w:rPr>
      </w:pPr>
    </w:p>
    <w:p>
      <w:pPr>
        <w:ind w:left="900" w:right="180" w:hanging="446"/>
        <w:spacing w:after="0" w:line="34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92"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extends the stated maturity of the principal of, or the time of payment of any installment of interest on, any debt securities of such series;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reduces the principal amount of, or interest on, any debt securities of such series;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interest on, any debt securities of such series;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impairs the right of holders to institute suit for the enforcement of any payment of any debt securities of such series;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75" w:lineRule="exact"/>
        <w:rPr>
          <w:rFonts w:ascii="Arial" w:cs="Arial" w:eastAsia="Arial" w:hAnsi="Arial"/>
          <w:sz w:val="18"/>
          <w:szCs w:val="18"/>
          <w:color w:val="auto"/>
        </w:rPr>
      </w:pPr>
    </w:p>
    <w:p>
      <w:pPr>
        <w:ind w:left="900" w:right="380" w:hanging="446"/>
        <w:spacing w:after="0" w:line="342"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waives a default in respect of a covenant or provision which cannot be modified or amended without the consent of each affected holder.</w:t>
      </w:r>
    </w:p>
    <w:p>
      <w:pPr>
        <w:spacing w:after="0" w:line="23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securities based on the value, rate or price of one or more specified commodities, currencies, securities or indices, or any combination of the</w:t>
      </w:r>
    </w:p>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i w:val="1"/>
          <w:iCs w:val="1"/>
          <w:color w:val="auto"/>
        </w:rPr>
        <w:t>Registered Global Securities</w:t>
      </w:r>
      <w:r>
        <w:rPr>
          <w:rFonts w:ascii="Arial" w:cs="Arial" w:eastAsia="Arial" w:hAnsi="Arial"/>
          <w:sz w:val="17"/>
          <w:szCs w:val="17"/>
          <w:color w:val="auto"/>
        </w:rPr>
        <w:t>. We may issue the registered debt securities, warrants and units in the form of one or more fully registered global</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6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or selling security holders may sell the securities being offered hereby in the following manner or any manner specified in a prospectus supplement:</w:t>
      </w:r>
    </w:p>
    <w:p>
      <w:pPr>
        <w:spacing w:after="0" w:line="154"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54"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73"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dealer may then resell such securities to the public at varying prices to be determined by such dealer at the time of resale.</w:t>
      </w:r>
    </w:p>
    <w:p>
      <w:pPr>
        <w:spacing w:after="0" w:line="21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8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6"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Ernst &amp; Young LLP, independent registered public accounting firm, has audited our consolidated financial statements included in our Annual Report on Form 10-K for the year ended December 31, 2015, and the effectiveness of our internal control over financial reporting as of December 31, 2015, as set forth in their reports, which are incorporated by reference into this prospectus and elsewhere in the registration statement. Our financial statements and our management’s assessment of the effectiveness of internal control over financial reporting as of December 31, 2015, are incorporated by reference in reliance on Ernst &amp; Young LLP’s reports, given on their authority as experts in accounting and auditing.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788670</wp:posOffset>
            </wp:positionV>
            <wp:extent cx="2864485" cy="660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$500,000,000 2.900%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1126490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SUPPLEMENT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October 26,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274955</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Joint Book-Running Managers</w:t>
      </w:r>
    </w:p>
    <w:p>
      <w:pPr>
        <w:sectPr>
          <w:pgSz w:w="11900" w:h="16838" w:orient="portrait"/>
          <w:cols w:equalWidth="0" w:num="1">
            <w:col w:w="11420"/>
          </w:cols>
          <w:pgMar w:left="240" w:top="459" w:right="239" w:bottom="1440" w:gutter="0" w:footer="0" w:header="0"/>
        </w:sect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Barclays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BofA Merrill Lynch</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J.P. Morgan</w:t>
      </w:r>
    </w:p>
    <w:p>
      <w:pPr>
        <w:spacing w:after="0" w:line="150" w:lineRule="exact"/>
        <w:rPr>
          <w:sz w:val="20"/>
          <w:szCs w:val="20"/>
          <w:color w:val="auto"/>
        </w:rPr>
      </w:pPr>
    </w:p>
    <w:p>
      <w:pPr>
        <w:sectPr>
          <w:pgSz w:w="11900" w:h="16838" w:orient="portrait"/>
          <w:cols w:equalWidth="0" w:num="3">
            <w:col w:w="4060" w:space="720"/>
            <w:col w:w="4600" w:space="720"/>
            <w:col w:w="1320"/>
          </w:cols>
          <w:pgMar w:left="240" w:top="459" w:right="2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Citigroup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Mizuho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Morgan Stanley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MUFG</w:t>
      </w:r>
    </w:p>
    <w:p>
      <w:pPr>
        <w:spacing w:after="0" w:line="200" w:lineRule="exact"/>
        <w:rPr>
          <w:sz w:val="20"/>
          <w:szCs w:val="20"/>
          <w:color w:val="auto"/>
        </w:rPr>
      </w:pPr>
    </w:p>
    <w:p>
      <w:pPr>
        <w:sectPr>
          <w:pgSz w:w="11900" w:h="16838" w:orient="portrait"/>
          <w:cols w:equalWidth="0" w:num="4">
            <w:col w:w="2860" w:space="720"/>
            <w:col w:w="2340" w:space="720"/>
            <w:col w:w="3400" w:space="720"/>
            <w:col w:w="660"/>
          </w:cols>
          <w:pgMar w:left="240" w:top="459" w:right="239" w:bottom="1440" w:gutter="0" w:footer="0" w:header="0"/>
          <w:type w:val="continuous"/>
        </w:sectPr>
      </w:pP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Co-Managers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Bancorp</w:t>
      </w:r>
    </w:p>
    <w:p>
      <w:pPr>
        <w:spacing w:after="0" w:line="90"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The Williams Capital Group, L.P.</w:t>
      </w:r>
    </w:p>
    <w:p>
      <w:pPr>
        <w:spacing w:after="0" w:line="90" w:lineRule="exact"/>
        <w:rPr>
          <w:sz w:val="20"/>
          <w:szCs w:val="20"/>
          <w:color w:val="auto"/>
        </w:rPr>
      </w:pPr>
    </w:p>
    <w:p>
      <w:pPr>
        <w:ind w:left="7260"/>
        <w:spacing w:after="0"/>
        <w:rPr>
          <w:sz w:val="20"/>
          <w:szCs w:val="20"/>
          <w:color w:val="auto"/>
        </w:rPr>
      </w:pPr>
      <w:r>
        <w:rPr>
          <w:rFonts w:ascii="Arial" w:cs="Arial" w:eastAsia="Arial" w:hAnsi="Arial"/>
          <w:sz w:val="18"/>
          <w:szCs w:val="18"/>
          <w:b w:val="1"/>
          <w:bCs w:val="1"/>
          <w:color w:val="auto"/>
        </w:rPr>
        <w:t>BNP PARIBAS</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HSBC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85725</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755015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814705</wp:posOffset>
            </wp:positionV>
            <wp:extent cx="724662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1)"/>
      <w:numFmt w:val="lowerRoman"/>
      <w:start w:val="1"/>
    </w:lvl>
  </w:abstractNum>
  <w:abstractNum w:abstractNumId="12">
    <w:nsid w:val="737B8DDC"/>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13">
    <w:nsid w:val="6CEAF087"/>
    <w:multiLevelType w:val="hybridMultilevel"/>
    <w:lvl w:ilvl="0">
      <w:lvlJc w:val="left"/>
      <w:lvlText w:val="•"/>
      <w:numFmt w:val="bullet"/>
      <w:start w:val="1"/>
    </w:lvl>
    <w:lvl w:ilvl="1">
      <w:lvlJc w:val="left"/>
      <w:lvlText w:val="(%2)"/>
      <w:numFmt w:val="decimal"/>
      <w:start w:val="1"/>
    </w:lvl>
  </w:abstractNum>
  <w:abstractNum w:abstractNumId="14">
    <w:nsid w:val="22221A70"/>
    <w:multiLevelType w:val="hybridMultilevel"/>
    <w:lvl w:ilvl="0">
      <w:lvlJc w:val="left"/>
      <w:lvlText w:val="(%1)"/>
      <w:numFmt w:val="decimal"/>
      <w:start w:val="2"/>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lowerRoman"/>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lvl w:ilvl="1">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lvl w:ilvl="1">
      <w:lvlJc w:val="left"/>
      <w:lvlText w:val="•"/>
      <w:numFmt w:val="bullet"/>
      <w:start w:val="1"/>
    </w:lvl>
  </w:abstractNum>
  <w:abstractNum w:abstractNumId="42">
    <w:nsid w:val="542289EC"/>
    <w:multiLevelType w:val="hybridMultilevel"/>
    <w:lvl w:ilvl="0">
      <w:lvlJc w:val="left"/>
      <w:lvlText w:val="•"/>
      <w:numFmt w:val="bullet"/>
      <w:start w:val="1"/>
    </w:lvl>
    <w:lvl w:ilvl="1">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2019-12-05T07:32:35Z</dcterms:created>
  <dcterms:modified xsi:type="dcterms:W3CDTF">2019-12-05T07:32:35Z</dcterms:modified>
</cp:coreProperties>
</file>