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$600 Million of Notes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May 4, 2017, Texas Instruments Incorporated (“Texas Instruments”) consummated the issuance and sale of $300,000,000 aggregate principal amount of its 2.750% Notes due 2021 and $300,000,000 aggregate principal amount of its 2.625% Notes due 2024 (together, the “Notes”), pursuant to an underwriting agreement filed herewith as Exhibit 1.1 dated April 27, 2017 among Texas Instruments and Citigroup Global Markets Inc., Morgan Stanley &amp; Co. LLC and MUFG Securities Americas Inc., as representatives of the several underwriters named therein. The Notes will be issued pursuant to an Indenture dated as of May 23, 2011 (the “Indenture”) between Texas Instruments and U.S. Bank National Association, as trustee, and an Officers’ Certificate issued pursuant thereto. The 2.750% Notes due March 12, 2021, are a further issuance of, and form a single series with, the $250,000,000 aggregate principal amount of the existing 2.750% Notes due 2021 issued by Texas Instruments on March 12, 2014.</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24, 2016 (Reg. No. 333-209678), including the prospectus contained therein (the “Registration Statement”), and a related preliminary prospectus supplement dated April 27, 2017 and a prospectus supplement dated April 27, 2017.</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60" w:type="dxa"/>
            <w:vAlign w:val="bottom"/>
            <w:gridSpan w:val="3"/>
          </w:tcPr>
          <w:p>
            <w:pPr>
              <w:ind w:left="4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w w:val="98"/>
              </w:rPr>
              <w:t>(d) Exhibits.</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73"/>
        </w:trPr>
        <w:tc>
          <w:tcPr>
            <w:tcW w:w="9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67"/>
        </w:trPr>
        <w:tc>
          <w:tcPr>
            <w:tcW w:w="440" w:type="dxa"/>
            <w:vAlign w:val="bottom"/>
          </w:tcPr>
          <w:p>
            <w:pPr>
              <w:jc w:val="right"/>
              <w:ind w:right="34"/>
              <w:spacing w:after="0"/>
              <w:rPr>
                <w:sz w:val="20"/>
                <w:szCs w:val="20"/>
                <w:color w:val="auto"/>
              </w:rPr>
            </w:pPr>
            <w:r>
              <w:rPr>
                <w:rFonts w:ascii="Arial" w:cs="Arial" w:eastAsia="Arial" w:hAnsi="Arial"/>
                <w:sz w:val="14"/>
                <w:szCs w:val="14"/>
                <w:color w:val="auto"/>
              </w:rPr>
              <w:t>No.</w:t>
            </w:r>
          </w:p>
        </w:tc>
        <w:tc>
          <w:tcPr>
            <w:tcW w:w="5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06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03"/>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960" w:type="dxa"/>
            <w:vAlign w:val="bottom"/>
            <w:gridSpan w:val="3"/>
          </w:tcPr>
          <w:p>
            <w:pPr>
              <w:ind w:left="40"/>
              <w:spacing w:after="0"/>
              <w:rPr>
                <w:sz w:val="20"/>
                <w:szCs w:val="20"/>
                <w:color w:val="auto"/>
              </w:rPr>
            </w:pPr>
            <w:r>
              <w:rPr>
                <w:rFonts w:ascii="Arial" w:cs="Arial" w:eastAsia="Arial" w:hAnsi="Arial"/>
                <w:sz w:val="18"/>
                <w:szCs w:val="18"/>
                <w:color w:val="auto"/>
                <w:w w:val="92"/>
              </w:rPr>
              <w:t>Underwriting Agreement, dated April 27, 2017, among the Company and Citigroup Global Markets Inc., Morgan Stanley &amp; Co. LLC and</w:t>
            </w: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60" w:type="dxa"/>
            <w:vAlign w:val="bottom"/>
            <w:gridSpan w:val="3"/>
          </w:tcPr>
          <w:p>
            <w:pPr>
              <w:ind w:left="40"/>
              <w:spacing w:after="0"/>
              <w:rPr>
                <w:sz w:val="20"/>
                <w:szCs w:val="20"/>
                <w:color w:val="auto"/>
              </w:rPr>
            </w:pPr>
            <w:r>
              <w:rPr>
                <w:rFonts w:ascii="Arial" w:cs="Arial" w:eastAsia="Arial" w:hAnsi="Arial"/>
                <w:sz w:val="18"/>
                <w:szCs w:val="18"/>
                <w:color w:val="auto"/>
              </w:rPr>
              <w:t>MUFG Securities Americas Inc., as representatives of the several underwriters named in Schedule II therein</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60" w:type="dxa"/>
            <w:vAlign w:val="bottom"/>
            <w:gridSpan w:val="3"/>
          </w:tcPr>
          <w:p>
            <w:pPr>
              <w:ind w:left="40"/>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60" w:type="dxa"/>
            <w:vAlign w:val="bottom"/>
            <w:gridSpan w:val="3"/>
          </w:tcPr>
          <w:p>
            <w:pPr>
              <w:ind w:left="4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9960" w:type="dxa"/>
            <w:vAlign w:val="bottom"/>
            <w:gridSpan w:val="3"/>
          </w:tcPr>
          <w:p>
            <w:pPr>
              <w:ind w:left="40"/>
              <w:spacing w:after="0"/>
              <w:rPr>
                <w:sz w:val="20"/>
                <w:szCs w:val="20"/>
                <w:color w:val="auto"/>
              </w:rPr>
            </w:pPr>
            <w:r>
              <w:rPr>
                <w:rFonts w:ascii="Arial" w:cs="Arial" w:eastAsia="Arial" w:hAnsi="Arial"/>
                <w:sz w:val="18"/>
                <w:szCs w:val="18"/>
                <w:color w:val="auto"/>
              </w:rPr>
              <w:t>Consent of Davis Polk &amp; Wardwell LLP (contained in Exhibit 5.1)</w:t>
            </w:r>
          </w:p>
        </w:tc>
      </w:tr>
      <w:tr>
        <w:trPr>
          <w:trHeight w:val="365"/>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tcPr>
          <w:p>
            <w:pPr>
              <w:ind w:left="470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240" w:top="27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7"/>
          <w:szCs w:val="17"/>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27,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$300,000,000 principal amount of the 2.750% Notes due 2021 (the “</w:t>
      </w:r>
      <w:r>
        <w:rPr>
          <w:rFonts w:ascii="Arial" w:cs="Arial" w:eastAsia="Arial" w:hAnsi="Arial"/>
          <w:sz w:val="16"/>
          <w:szCs w:val="16"/>
          <w:b w:val="1"/>
          <w:bCs w:val="1"/>
          <w:color w:val="auto"/>
        </w:rPr>
        <w:t>2021 Note</w:t>
      </w:r>
      <w:r>
        <w:rPr>
          <w:rFonts w:ascii="Arial" w:cs="Arial" w:eastAsia="Arial" w:hAnsi="Arial"/>
          <w:sz w:val="16"/>
          <w:szCs w:val="16"/>
          <w:color w:val="auto"/>
        </w:rPr>
        <w:t>s”) and $300,000,000 principal amount of the 2.625% Notes due 2024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2024 Notes</w:t>
      </w:r>
      <w:r>
        <w:rPr>
          <w:rFonts w:ascii="Arial" w:cs="Arial" w:eastAsia="Arial" w:hAnsi="Arial"/>
          <w:sz w:val="17"/>
          <w:szCs w:val="17"/>
          <w:color w:val="auto"/>
        </w:rPr>
        <w:t>” and, together with the 2021 Notes, the “</w:t>
      </w:r>
      <w:r>
        <w:rPr>
          <w:rFonts w:ascii="Arial" w:cs="Arial" w:eastAsia="Arial" w:hAnsi="Arial"/>
          <w:sz w:val="17"/>
          <w:szCs w:val="17"/>
          <w:b w:val="1"/>
          <w:bCs w:val="1"/>
          <w:color w:val="auto"/>
        </w:rPr>
        <w:t>Offered Securities</w:t>
      </w:r>
      <w:r>
        <w:rPr>
          <w:rFonts w:ascii="Arial" w:cs="Arial" w:eastAsia="Arial" w:hAnsi="Arial"/>
          <w:sz w:val="17"/>
          <w:szCs w:val="17"/>
          <w:color w:val="auto"/>
        </w:rPr>
        <w:t>”) identified in Schedule I hereto, as more fully described in the Time of Sale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Prospectus. The Offered Securities will be issued pursuant to an Indenture dated as of May 23, 2011, between the Company and U.S. Bank 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trustee. The 2021 Notes will be a further issuance of and form a single series with the existing 2.750% Notes due 2021 issued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March 12, 2014. The 2021 Notes offered hereby will have the same terms (other than issue date, price to public and initial interest payment date) and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vote together as a single class, with the same CUSIP number as, and be fungible with, the existing 2.750% Notes due 2021.</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applicable series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3:45 P.M. (New York time) on the date hereof.</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4, 2017, or at such other time, not later than May 11, 2017, as shall be designated by the Manager.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the provisions contained in the document entitled Texas Instruments Incorporated Underwriting Agreement Standard Provisions dated February 24, 2016 (the “</w:t>
      </w:r>
      <w:r>
        <w:rPr>
          <w:rFonts w:ascii="Arial" w:cs="Arial" w:eastAsia="Arial" w:hAnsi="Arial"/>
          <w:sz w:val="18"/>
          <w:szCs w:val="18"/>
          <w:b w:val="1"/>
          <w:bCs w:val="1"/>
          <w:color w:val="auto"/>
        </w:rPr>
        <w:t>Standard Provisions</w:t>
      </w:r>
      <w:r>
        <w:rPr>
          <w:rFonts w:ascii="Arial" w:cs="Arial" w:eastAsia="Arial" w:hAnsi="Arial"/>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w:t>
      </w:r>
    </w:p>
    <w:p>
      <w:pPr>
        <w:sectPr>
          <w:pgSz w:w="11900" w:h="16838" w:orient="portrait"/>
          <w:cols w:equalWidth="0" w:num="1">
            <w:col w:w="11420"/>
          </w:cols>
          <w:pgMar w:left="240" w:top="121" w:right="23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Citigroup Global Markets Inc., Morgan Stanley &amp; Co. LLC and MUFG Securities Americas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and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320"/>
          </w:cols>
          <w:pgMar w:left="240" w:top="274" w:right="339" w:bottom="1440" w:gutter="0" w:footer="0" w:header="0"/>
        </w:sectPr>
      </w:pPr>
    </w:p>
    <w:bookmarkStart w:id="6" w:name="page7"/>
    <w:bookmarkEnd w:id="6"/>
    <w:p>
      <w:pPr>
        <w:ind w:right="2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Yurij Slyz</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MUFG Securities Americas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Richard Testa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Alan C. Boyd</w:t>
      </w:r>
    </w:p>
    <w:p>
      <w:pPr>
        <w:spacing w:after="0" w:line="9"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80" w:type="dxa"/>
            <w:vAlign w:val="bottom"/>
            <w:gridSpan w:val="2"/>
          </w:tcPr>
          <w:p>
            <w:pPr>
              <w:jc w:val="center"/>
              <w:ind w:right="484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3200" w:type="dxa"/>
            <w:vAlign w:val="bottom"/>
          </w:tcPr>
          <w:p>
            <w:pPr>
              <w:spacing w:after="0"/>
              <w:rPr>
                <w:sz w:val="20"/>
                <w:szCs w:val="20"/>
                <w:color w:val="auto"/>
              </w:rPr>
            </w:pPr>
          </w:p>
        </w:tc>
        <w:tc>
          <w:tcPr>
            <w:tcW w:w="822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rPr>
              <w:t>TO UNDERWRITING AGREEMENT</w:t>
            </w:r>
          </w:p>
        </w:tc>
      </w:tr>
      <w:tr>
        <w:trPr>
          <w:trHeight w:val="432"/>
        </w:trPr>
        <w:tc>
          <w:tcPr>
            <w:tcW w:w="3200" w:type="dxa"/>
            <w:vAlign w:val="bottom"/>
          </w:tcPr>
          <w:p>
            <w:pPr>
              <w:spacing w:after="0"/>
              <w:rPr>
                <w:sz w:val="24"/>
                <w:szCs w:val="24"/>
                <w:color w:val="auto"/>
              </w:rPr>
            </w:pPr>
          </w:p>
        </w:tc>
        <w:tc>
          <w:tcPr>
            <w:tcW w:w="822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58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750%</w:t>
            </w:r>
            <w:r>
              <w:rPr>
                <w:rFonts w:ascii="Arial" w:cs="Arial" w:eastAsia="Arial" w:hAnsi="Arial"/>
                <w:sz w:val="18"/>
                <w:szCs w:val="18"/>
                <w:color w:val="auto"/>
                <w:w w:val="90"/>
              </w:rPr>
              <w:t xml:space="preserve"> Notes due 2021</w:t>
            </w:r>
          </w:p>
        </w:tc>
        <w:tc>
          <w:tcPr>
            <w:tcW w:w="4840" w:type="dxa"/>
            <w:vAlign w:val="bottom"/>
          </w:tcPr>
          <w:p>
            <w:pPr>
              <w:spacing w:after="0"/>
              <w:rPr>
                <w:sz w:val="24"/>
                <w:szCs w:val="24"/>
                <w:color w:val="auto"/>
              </w:rPr>
            </w:pPr>
          </w:p>
        </w:tc>
      </w:tr>
      <w:tr>
        <w:trPr>
          <w:trHeight w:val="480"/>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rPr>
              <w:t>Texas Instruments Incorporated (“TI”)</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Principal Amount:</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1"/>
              </w:rPr>
              <w:t>$300,000,000. The 2.750% Notes due 2021 offered hereby will be a further issuance of and form</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4"/>
              </w:rPr>
              <w:t>a single series with the existing 2.750% Notes due 2021 issued by TI on March 12, 2014. The</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3"/>
              </w:rPr>
              <w:t>2021 Notes offered hereby will have the same terms (other than issue date, price to public and</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8"/>
              </w:rPr>
              <w:t>initial interest payment date) and will vote together as a single class, with the same CUSIP</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3"/>
              </w:rPr>
              <w:t>number as, and be fungible with, the existing 2.750% Notes due 2021. Upon completion of this</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4"/>
              </w:rPr>
              <w:t>offering, TI will have $550 million aggregate principal amount outstanding of its 2.750% Notes</w:t>
            </w:r>
          </w:p>
        </w:tc>
      </w:tr>
      <w:tr>
        <w:trPr>
          <w:trHeight w:val="230"/>
        </w:trPr>
        <w:tc>
          <w:tcPr>
            <w:tcW w:w="3200" w:type="dxa"/>
            <w:vAlign w:val="bottom"/>
          </w:tcPr>
          <w:p>
            <w:pPr>
              <w:spacing w:after="0"/>
              <w:rPr>
                <w:sz w:val="20"/>
                <w:szCs w:val="20"/>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rPr>
              <w:t>due 2021.</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Maturity:</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rPr>
              <w:t>March 12, 2021</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Coupon:</w:t>
            </w:r>
          </w:p>
        </w:tc>
        <w:tc>
          <w:tcPr>
            <w:tcW w:w="3380" w:type="dxa"/>
            <w:vAlign w:val="bottom"/>
            <w:gridSpan w:val="2"/>
          </w:tcPr>
          <w:p>
            <w:pPr>
              <w:ind w:left="1160"/>
              <w:spacing w:after="0"/>
              <w:rPr>
                <w:sz w:val="20"/>
                <w:szCs w:val="20"/>
                <w:color w:val="auto"/>
              </w:rPr>
            </w:pPr>
            <w:r>
              <w:rPr>
                <w:rFonts w:ascii="Arial" w:cs="Arial" w:eastAsia="Arial" w:hAnsi="Arial"/>
                <w:sz w:val="18"/>
                <w:szCs w:val="18"/>
                <w:color w:val="auto"/>
              </w:rPr>
              <w:t>2.750%</w:t>
            </w:r>
          </w:p>
        </w:tc>
        <w:tc>
          <w:tcPr>
            <w:tcW w:w="484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Price to Public:</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2"/>
              </w:rPr>
              <w:t>102.279% of principal amount, plus accrued interest from March 12, 2017 to the date of delivery</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0"/>
              </w:rPr>
              <w:t>March 12 and September 12 beginning on September 12, 2017, and on the maturity date (interest</w:t>
            </w:r>
          </w:p>
        </w:tc>
      </w:tr>
      <w:tr>
        <w:trPr>
          <w:trHeight w:val="230"/>
        </w:trPr>
        <w:tc>
          <w:tcPr>
            <w:tcW w:w="3200" w:type="dxa"/>
            <w:vAlign w:val="bottom"/>
          </w:tcPr>
          <w:p>
            <w:pPr>
              <w:spacing w:after="0"/>
              <w:rPr>
                <w:sz w:val="20"/>
                <w:szCs w:val="20"/>
                <w:color w:val="auto"/>
              </w:rPr>
            </w:pP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rPr>
              <w:t>on the 2.750% Notes due 2021 offered hereby will accrue from March 12, 2017)</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Day Count Convention:</w:t>
            </w:r>
          </w:p>
        </w:tc>
        <w:tc>
          <w:tcPr>
            <w:tcW w:w="3380" w:type="dxa"/>
            <w:vAlign w:val="bottom"/>
            <w:gridSpan w:val="2"/>
          </w:tcPr>
          <w:p>
            <w:pPr>
              <w:ind w:left="1160"/>
              <w:spacing w:after="0"/>
              <w:rPr>
                <w:sz w:val="20"/>
                <w:szCs w:val="20"/>
                <w:color w:val="auto"/>
              </w:rPr>
            </w:pPr>
            <w:r>
              <w:rPr>
                <w:rFonts w:ascii="Arial" w:cs="Arial" w:eastAsia="Arial" w:hAnsi="Arial"/>
                <w:sz w:val="18"/>
                <w:szCs w:val="18"/>
                <w:color w:val="auto"/>
              </w:rPr>
              <w:t>30/360</w:t>
            </w:r>
          </w:p>
        </w:tc>
        <w:tc>
          <w:tcPr>
            <w:tcW w:w="4840" w:type="dxa"/>
            <w:vAlign w:val="bottom"/>
          </w:tcPr>
          <w:p>
            <w:pPr>
              <w:spacing w:after="0"/>
              <w:rPr>
                <w:sz w:val="24"/>
                <w:szCs w:val="24"/>
                <w:color w:val="auto"/>
              </w:rPr>
            </w:pP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8220" w:type="dxa"/>
            <w:vAlign w:val="bottom"/>
            <w:gridSpan w:val="3"/>
          </w:tcPr>
          <w:p>
            <w:pPr>
              <w:ind w:left="1160"/>
              <w:spacing w:after="0"/>
              <w:rPr>
                <w:sz w:val="20"/>
                <w:szCs w:val="20"/>
                <w:color w:val="auto"/>
              </w:rPr>
            </w:pPr>
            <w:r>
              <w:rPr>
                <w:rFonts w:ascii="Arial" w:cs="Arial" w:eastAsia="Arial" w:hAnsi="Arial"/>
                <w:sz w:val="18"/>
                <w:szCs w:val="18"/>
                <w:color w:val="auto"/>
                <w:w w:val="90"/>
              </w:rPr>
              <w:t>$305,937,000, plus accrued interest from March 12, 2017 to the date of delivery (in the amount of</w:t>
            </w:r>
          </w:p>
        </w:tc>
      </w:tr>
      <w:tr>
        <w:trPr>
          <w:trHeight w:val="230"/>
        </w:trPr>
        <w:tc>
          <w:tcPr>
            <w:tcW w:w="3200" w:type="dxa"/>
            <w:vAlign w:val="bottom"/>
          </w:tcPr>
          <w:p>
            <w:pPr>
              <w:spacing w:after="0"/>
              <w:rPr>
                <w:sz w:val="20"/>
                <w:szCs w:val="20"/>
                <w:color w:val="auto"/>
              </w:rPr>
            </w:pPr>
          </w:p>
        </w:tc>
        <w:tc>
          <w:tcPr>
            <w:tcW w:w="3380" w:type="dxa"/>
            <w:vAlign w:val="bottom"/>
            <w:gridSpan w:val="2"/>
          </w:tcPr>
          <w:p>
            <w:pPr>
              <w:ind w:left="1160"/>
              <w:spacing w:after="0"/>
              <w:rPr>
                <w:sz w:val="20"/>
                <w:szCs w:val="20"/>
                <w:color w:val="auto"/>
              </w:rPr>
            </w:pPr>
            <w:r>
              <w:rPr>
                <w:rFonts w:ascii="Arial" w:cs="Arial" w:eastAsia="Arial" w:hAnsi="Arial"/>
                <w:sz w:val="18"/>
                <w:szCs w:val="18"/>
                <w:color w:val="auto"/>
              </w:rPr>
              <w:t>$1,191,666.67)</w:t>
            </w:r>
          </w:p>
        </w:tc>
        <w:tc>
          <w:tcPr>
            <w:tcW w:w="4840" w:type="dxa"/>
            <w:vAlign w:val="bottom"/>
          </w:tcPr>
          <w:p>
            <w:pPr>
              <w:spacing w:after="0"/>
              <w:rPr>
                <w:sz w:val="20"/>
                <w:szCs w:val="20"/>
                <w:color w:val="auto"/>
              </w:rPr>
            </w:pPr>
          </w:p>
        </w:tc>
      </w:tr>
      <w:tr>
        <w:trPr>
          <w:trHeight w:val="365"/>
        </w:trPr>
        <w:tc>
          <w:tcPr>
            <w:tcW w:w="3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580" w:type="dxa"/>
            <w:vAlign w:val="bottom"/>
            <w:gridSpan w:val="2"/>
          </w:tcPr>
          <w:p>
            <w:pPr>
              <w:jc w:val="center"/>
              <w:ind w:right="4840"/>
              <w:spacing w:after="0"/>
              <w:rPr>
                <w:sz w:val="20"/>
                <w:szCs w:val="20"/>
                <w:color w:val="auto"/>
              </w:rPr>
            </w:pPr>
            <w:r>
              <w:rPr>
                <w:rFonts w:ascii="Arial" w:cs="Arial" w:eastAsia="Arial" w:hAnsi="Arial"/>
                <w:sz w:val="18"/>
                <w:szCs w:val="18"/>
                <w:color w:val="auto"/>
              </w:rPr>
              <w:t>I-1</w:t>
            </w:r>
          </w:p>
        </w:tc>
      </w:tr>
    </w:tbl>
    <w:p>
      <w:pPr>
        <w:jc w:val="center"/>
        <w:ind w:right="484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1.875% due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-215900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30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100-08+; 1.818%</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any time before February 12, 2021 (one month before the maturity date) at the greater of 100% of the principal amount of the notes being redeemed or discounted present value at the rate of Treasury plus 12.5 basis points</w:t>
      </w:r>
    </w:p>
    <w:p>
      <w:pPr>
        <w:spacing w:after="0" w:line="73" w:lineRule="exact"/>
        <w:rPr>
          <w:sz w:val="20"/>
          <w:szCs w:val="20"/>
          <w:color w:val="auto"/>
        </w:rPr>
      </w:pPr>
    </w:p>
    <w:p>
      <w:pPr>
        <w:sectPr>
          <w:pgSz w:w="11900" w:h="16838" w:orient="portrait"/>
          <w:cols w:equalWidth="0" w:num="2">
            <w:col w:w="3640" w:space="720"/>
            <w:col w:w="7000"/>
          </w:cols>
          <w:pgMar w:left="240" w:top="274" w:right="299" w:bottom="1440" w:gutter="0" w:footer="0" w:header="0"/>
        </w:sectPr>
      </w:pPr>
    </w:p>
    <w:p>
      <w:pPr>
        <w:spacing w:after="0"/>
        <w:tabs>
          <w:tab w:leader="none" w:pos="4340" w:val="left"/>
        </w:tabs>
        <w:rPr>
          <w:sz w:val="20"/>
          <w:szCs w:val="20"/>
          <w:color w:val="auto"/>
        </w:rPr>
      </w:pPr>
      <w:r>
        <w:rPr>
          <w:rFonts w:ascii="Arial" w:cs="Arial" w:eastAsia="Arial" w:hAnsi="Arial"/>
          <w:sz w:val="18"/>
          <w:szCs w:val="18"/>
          <w:color w:val="auto"/>
        </w:rPr>
        <w:t>Par Call:</w:t>
      </w:r>
      <w:r>
        <w:rPr>
          <w:sz w:val="20"/>
          <w:szCs w:val="20"/>
          <w:color w:val="auto"/>
        </w:rPr>
        <w:tab/>
      </w:r>
      <w:r>
        <w:rPr>
          <w:rFonts w:ascii="Arial" w:cs="Arial" w:eastAsia="Arial" w:hAnsi="Arial"/>
          <w:sz w:val="16"/>
          <w:szCs w:val="16"/>
          <w:color w:val="auto"/>
        </w:rPr>
        <w:t>At any time on or after February 12, 2021 (one month before the maturity date) at 100% of the</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principal amount of notes being redeemed</w:t>
      </w:r>
    </w:p>
    <w:p>
      <w:pPr>
        <w:spacing w:after="0" w:line="103"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7"/>
          <w:szCs w:val="17"/>
          <w:color w:val="auto"/>
        </w:rPr>
        <w:t>April 27, 2017</w:t>
      </w:r>
    </w:p>
    <w:p>
      <w:pPr>
        <w:spacing w:after="0" w:line="11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May 4, 2017 (T+5)</w:t>
      </w:r>
    </w:p>
    <w:p>
      <w:pPr>
        <w:spacing w:after="0" w:line="11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Denominations:</w:t>
      </w:r>
      <w:r>
        <w:rPr>
          <w:sz w:val="20"/>
          <w:szCs w:val="20"/>
          <w:color w:val="auto"/>
        </w:rPr>
        <w:tab/>
      </w: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CUSIP/ISIN:</w:t>
      </w:r>
      <w:r>
        <w:rPr>
          <w:sz w:val="20"/>
          <w:szCs w:val="20"/>
          <w:color w:val="auto"/>
        </w:rPr>
        <w:tab/>
      </w:r>
      <w:r>
        <w:rPr>
          <w:rFonts w:ascii="Arial" w:cs="Arial" w:eastAsia="Arial" w:hAnsi="Arial"/>
          <w:sz w:val="18"/>
          <w:szCs w:val="18"/>
          <w:color w:val="auto"/>
        </w:rPr>
        <w:t>882508 AY0 / US882508AY08</w:t>
      </w:r>
    </w:p>
    <w:p>
      <w:pPr>
        <w:spacing w:after="0" w:line="11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Ratings:*</w:t>
      </w:r>
      <w:r>
        <w:rPr>
          <w:sz w:val="20"/>
          <w:szCs w:val="20"/>
          <w:color w:val="auto"/>
        </w:rPr>
        <w:tab/>
      </w:r>
      <w:r>
        <w:rPr>
          <w:rFonts w:ascii="Arial" w:cs="Arial" w:eastAsia="Arial" w:hAnsi="Arial"/>
          <w:sz w:val="18"/>
          <w:szCs w:val="18"/>
          <w:color w:val="auto"/>
        </w:rPr>
        <w:t>[Intentionally Omitted]</w:t>
      </w:r>
    </w:p>
    <w:p>
      <w:pPr>
        <w:spacing w:after="0" w:line="11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Citigroup Global Markets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MUFG Securities Americas Inc.</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Mizuho Securities USA LLC</w:t>
      </w:r>
    </w:p>
    <w:p>
      <w:pPr>
        <w:spacing w:after="0" w:line="116"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U.S. Bancorp Investments,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HSBC Securities (USA) LLC</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360"/>
          </w:cols>
          <w:pgMar w:left="240" w:top="274" w:right="299" w:bottom="1440" w:gutter="0" w:footer="0" w:header="0"/>
          <w:type w:val="continuous"/>
        </w:sectPr>
      </w:pPr>
    </w:p>
    <w:bookmarkStart w:id="10" w:name="page11"/>
    <w:bookmarkEnd w:id="10"/>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8"/>
          <w:szCs w:val="18"/>
          <w:u w:val="single" w:color="auto"/>
          <w:color w:val="auto"/>
        </w:rPr>
        <w:t>2.625%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-215900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2.625%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99.231%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beginning on November 15, 2017,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$296,493,000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2.125% due March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2.746%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100-06; 2.096%</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before March 15, 2024 (2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March 15, 2024 (2 months before the maturity date), in each case discounted to the date of redemption on a semi-annual basis at the rate of Treasury plus 10 basis points</w:t>
      </w:r>
    </w:p>
    <w:p>
      <w:pPr>
        <w:spacing w:after="0" w:line="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any time on or after March 15, 2024 (2 months before the maturity date) at 100% of the principal amount of notes being redeemed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27, 2017</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I-3</w:t>
      </w:r>
    </w:p>
    <w:p>
      <w:pPr>
        <w:sectPr>
          <w:pgSz w:w="11900" w:h="16838" w:orient="portrait"/>
          <w:cols w:equalWidth="0" w:num="2">
            <w:col w:w="3640" w:space="720"/>
            <w:col w:w="704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4, 2017 (T+5)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-201295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640" w:space="720"/>
            <w:col w:w="5900"/>
          </w:cols>
          <w:pgMar w:left="240" w:top="274" w:right="1399" w:bottom="1440" w:gutter="0" w:footer="0" w:header="0"/>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640" w:space="720"/>
            <w:col w:w="5900"/>
          </w:cols>
          <w:pgMar w:left="240" w:top="274" w:right="139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882508 BB9 / US882508BB95</w:t>
      </w:r>
    </w:p>
    <w:p>
      <w:pPr>
        <w:spacing w:after="0" w:line="140" w:lineRule="exact"/>
        <w:rPr>
          <w:sz w:val="20"/>
          <w:szCs w:val="20"/>
          <w:color w:val="auto"/>
        </w:rPr>
      </w:pPr>
    </w:p>
    <w:p>
      <w:pPr>
        <w:sectPr>
          <w:pgSz w:w="11900" w:h="16838" w:orient="portrait"/>
          <w:cols w:equalWidth="0" w:num="2">
            <w:col w:w="3640" w:space="720"/>
            <w:col w:w="5900"/>
          </w:cols>
          <w:pgMar w:left="240" w:top="274" w:right="139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[Intentionally Omitted]</w:t>
      </w:r>
    </w:p>
    <w:p>
      <w:pPr>
        <w:spacing w:after="0" w:line="129" w:lineRule="exact"/>
        <w:rPr>
          <w:sz w:val="20"/>
          <w:szCs w:val="20"/>
          <w:color w:val="auto"/>
        </w:rPr>
      </w:pPr>
    </w:p>
    <w:p>
      <w:pPr>
        <w:sectPr>
          <w:pgSz w:w="11900" w:h="16838" w:orient="portrait"/>
          <w:cols w:equalWidth="0" w:num="2">
            <w:col w:w="3640" w:space="720"/>
            <w:col w:w="5900"/>
          </w:cols>
          <w:pgMar w:left="240" w:top="274" w:right="139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Citigroup Global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139" w:lineRule="exact"/>
        <w:rPr>
          <w:sz w:val="20"/>
          <w:szCs w:val="20"/>
          <w:color w:val="auto"/>
        </w:rPr>
      </w:pPr>
    </w:p>
    <w:p>
      <w:pPr>
        <w:sectPr>
          <w:pgSz w:w="11900" w:h="16838" w:orient="portrait"/>
          <w:cols w:equalWidth="0" w:num="2">
            <w:col w:w="3640" w:space="720"/>
            <w:col w:w="5900"/>
          </w:cols>
          <w:pgMar w:left="240" w:top="274" w:right="1399" w:bottom="1440" w:gutter="0" w:footer="0" w:header="0"/>
          <w:type w:val="continuous"/>
        </w:sectPr>
      </w:pPr>
    </w:p>
    <w:p>
      <w:pPr>
        <w:ind w:left="436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Mizuho Securities USA LLC</w:t>
      </w:r>
    </w:p>
    <w:p>
      <w:pPr>
        <w:sectPr>
          <w:pgSz w:w="11900" w:h="16838" w:orient="portrait"/>
          <w:cols w:equalWidth="0" w:num="1">
            <w:col w:w="10260"/>
          </w:cols>
          <w:pgMar w:left="240" w:top="274" w:right="139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U.S. Bancorp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LLC</w:t>
      </w:r>
    </w:p>
    <w:p>
      <w:pPr>
        <w:spacing w:after="0" w:line="200" w:lineRule="exact"/>
        <w:rPr>
          <w:sz w:val="20"/>
          <w:szCs w:val="20"/>
          <w:color w:val="auto"/>
        </w:rPr>
      </w:pPr>
    </w:p>
    <w:p>
      <w:pPr>
        <w:sectPr>
          <w:pgSz w:w="11900" w:h="16838" w:orient="portrait"/>
          <w:cols w:equalWidth="0" w:num="2">
            <w:col w:w="3640" w:space="720"/>
            <w:col w:w="5900"/>
          </w:cols>
          <w:pgMar w:left="240" w:top="274" w:right="1399" w:bottom="1440" w:gutter="0" w:footer="0" w:header="0"/>
          <w:type w:val="continuous"/>
        </w:sectPr>
      </w:pPr>
    </w:p>
    <w:p>
      <w:pPr>
        <w:spacing w:after="0" w:line="47" w:lineRule="exact"/>
        <w:rPr>
          <w:sz w:val="20"/>
          <w:szCs w:val="20"/>
          <w:color w:val="auto"/>
        </w:rPr>
      </w:pPr>
    </w:p>
    <w:p>
      <w:pPr>
        <w:ind w:left="5600" w:hanging="5592"/>
        <w:spacing w:after="0" w:line="454" w:lineRule="auto"/>
        <w:tabs>
          <w:tab w:leader="none" w:pos="21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I-4</w:t>
      </w:r>
    </w:p>
    <w:p>
      <w:pPr>
        <w:sectPr>
          <w:pgSz w:w="11900" w:h="16838" w:orient="portrait"/>
          <w:cols w:equalWidth="0" w:num="1">
            <w:col w:w="10260"/>
          </w:cols>
          <w:pgMar w:left="240" w:top="274" w:right="1399" w:bottom="1440" w:gutter="0" w:footer="0" w:header="0"/>
          <w:type w:val="continuous"/>
        </w:sectPr>
      </w:pPr>
    </w:p>
    <w:bookmarkStart w:id="12" w:name="page13"/>
    <w:bookmarkEnd w:id="12"/>
    <w:p>
      <w:pPr>
        <w:jc w:val="both"/>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therefore on or about May 4, 2017,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Morgan Stanley &amp; Co. LLC at (866) 718-1649 or MUFG Securities Americas Inc. at (877) 649-6848.</w:t>
      </w:r>
    </w:p>
    <w:p>
      <w:pPr>
        <w:spacing w:after="0" w:line="15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380"/>
          </w:cols>
          <w:pgMar w:left="240" w:top="27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color w:val="auto"/>
              </w:rPr>
              <w:t>Underwriter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color w:val="auto"/>
                <w:w w:val="90"/>
              </w:rPr>
              <w:t>2.750% Notes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2.625% Notes</w:t>
            </w:r>
          </w:p>
        </w:tc>
        <w:tc>
          <w:tcPr>
            <w:tcW w:w="0" w:type="dxa"/>
            <w:vAlign w:val="bottom"/>
          </w:tcPr>
          <w:p>
            <w:pPr>
              <w:spacing w:after="0"/>
              <w:rPr>
                <w:sz w:val="1"/>
                <w:szCs w:val="1"/>
                <w:color w:val="auto"/>
              </w:rPr>
            </w:pPr>
          </w:p>
        </w:tc>
      </w:tr>
      <w:tr>
        <w:trPr>
          <w:trHeight w:val="154"/>
        </w:trPr>
        <w:tc>
          <w:tcPr>
            <w:tcW w:w="6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153"/>
              <w:spacing w:after="0" w:line="154" w:lineRule="exact"/>
              <w:rPr>
                <w:sz w:val="20"/>
                <w:szCs w:val="20"/>
                <w:color w:val="auto"/>
              </w:rPr>
            </w:pPr>
            <w:r>
              <w:rPr>
                <w:rFonts w:ascii="Arial" w:cs="Arial" w:eastAsia="Arial" w:hAnsi="Arial"/>
                <w:sz w:val="14"/>
                <w:szCs w:val="14"/>
                <w:color w:val="auto"/>
              </w:rPr>
              <w:t>due 2021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2"/>
              </w:rPr>
              <w:t>due 2024</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57,000,000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57,000,000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5440" w:type="dxa"/>
            <w:vAlign w:val="bottom"/>
          </w:tcPr>
          <w:p>
            <w:pPr>
              <w:ind w:left="280"/>
              <w:spacing w:after="0"/>
              <w:rPr>
                <w:sz w:val="20"/>
                <w:szCs w:val="20"/>
                <w:color w:val="auto"/>
              </w:rPr>
            </w:pPr>
            <w:r>
              <w:rPr>
                <w:rFonts w:ascii="Arial" w:cs="Arial" w:eastAsia="Arial" w:hAnsi="Arial"/>
                <w:sz w:val="18"/>
                <w:szCs w:val="18"/>
                <w:color w:val="auto"/>
              </w:rPr>
              <w:t>Incorporated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15,000,000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LLC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300,000,000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270" w:right="1440" w:bottom="1440" w:gutter="0" w:footer="0" w:header="0"/>
        </w:sectPr>
      </w:pPr>
    </w:p>
    <w:bookmarkStart w:id="14" w:name="page15"/>
    <w:bookmarkEnd w:id="14"/>
    <w:p>
      <w:pPr>
        <w:jc w:val="center"/>
        <w:ind w:righ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759"/>
          </w:cols>
          <w:pgMar w:left="700" w:top="270" w:right="1440" w:bottom="1440" w:gutter="0" w:footer="0" w:header="0"/>
        </w:sectPr>
      </w:pPr>
    </w:p>
    <w:bookmarkStart w:id="15" w:name="page16"/>
    <w:bookmarkEnd w:id="15"/>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820" w:firstLine="443"/>
        <w:spacing w:after="0" w:line="277"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43"/>
        <w:spacing w:after="0" w:line="277"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820"/>
          </w:cols>
          <w:pgMar w:left="700" w:top="270" w:right="3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2016</w:t>
      </w:r>
    </w:p>
    <w:p>
      <w:pPr>
        <w:spacing w:after="0" w:line="24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and preliminary prospectus, if any, together with any additional documents or other information identified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III to the Underwriting Agreement. As used herein, the terms “Registration Statement,” “Base Prospectus,” “Prospectus,” “preliminary prospectus” and “Time of Sale Prospectus” shall include in each case the documents, if any, incorporated by reference therein. The terms “supplement,”</w:t>
      </w:r>
    </w:p>
    <w:p>
      <w:pPr>
        <w:sectPr>
          <w:pgSz w:w="11900" w:h="16838" w:orient="portrait"/>
          <w:cols w:equalWidth="0" w:num="1">
            <w:col w:w="11420"/>
          </w:cols>
          <w:pgMar w:left="240" w:top="270" w:right="239" w:bottom="1440" w:gutter="0" w:footer="0" w:header="0"/>
        </w:sectPr>
      </w:pPr>
    </w:p>
    <w:bookmarkStart w:id="17" w:name="page18"/>
    <w:bookmarkEnd w:id="17"/>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As used herein, the term “</w:t>
      </w:r>
      <w:r>
        <w:rPr>
          <w:rFonts w:ascii="Arial" w:cs="Arial" w:eastAsia="Arial" w:hAnsi="Arial"/>
          <w:sz w:val="18"/>
          <w:szCs w:val="18"/>
          <w:b w:val="1"/>
          <w:bCs w:val="1"/>
          <w:color w:val="auto"/>
        </w:rPr>
        <w:t>Applicable Time</w:t>
      </w:r>
      <w:r>
        <w:rPr>
          <w:rFonts w:ascii="Arial" w:cs="Arial" w:eastAsia="Arial" w:hAnsi="Arial"/>
          <w:sz w:val="18"/>
          <w:szCs w:val="18"/>
          <w:color w:val="auto"/>
        </w:rPr>
        <w:t>” means the time and date set forth in the Underwriting Agreement or such other time as agreed in writing by the Company and the Manager.</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181"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920" w:firstLine="840"/>
        <w:spacing w:after="0" w:line="271" w:lineRule="auto"/>
        <w:rPr>
          <w:sz w:val="20"/>
          <w:szCs w:val="20"/>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7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The Manager shall have received on the Closing Date an opinion of the general counsel of the Company (or another lawyer of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 reasonably satisfactory to the Underwriters), dated the Closing Date, to the effect (as applicable) that:</w:t>
      </w:r>
    </w:p>
    <w:p>
      <w:pPr>
        <w:spacing w:after="0" w:line="103" w:lineRule="exact"/>
        <w:rPr>
          <w:sz w:val="20"/>
          <w:szCs w:val="20"/>
          <w:color w:val="auto"/>
        </w:rPr>
      </w:pPr>
    </w:p>
    <w:p>
      <w:pPr>
        <w:ind w:left="1500" w:right="80" w:firstLine="794"/>
        <w:spacing w:after="0" w:line="277" w:lineRule="auto"/>
        <w:rPr>
          <w:sz w:val="20"/>
          <w:szCs w:val="20"/>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 w:name="page19"/>
    <w:bookmarkEnd w:id="18"/>
    <w:p>
      <w:pPr>
        <w:ind w:left="300" w:right="100" w:firstLine="79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39" w:lineRule="exact"/>
        <w:rPr>
          <w:sz w:val="20"/>
          <w:szCs w:val="20"/>
          <w:color w:val="auto"/>
        </w:rPr>
      </w:pPr>
    </w:p>
    <w:p>
      <w:pPr>
        <w:ind w:left="300" w:right="220" w:firstLine="794"/>
        <w:spacing w:after="0" w:line="277" w:lineRule="auto"/>
        <w:rPr>
          <w:sz w:val="20"/>
          <w:szCs w:val="20"/>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sz w:val="20"/>
          <w:szCs w:val="20"/>
          <w:color w:val="auto"/>
        </w:rPr>
      </w:pPr>
    </w:p>
    <w:p>
      <w:pPr>
        <w:ind w:left="300" w:right="60" w:firstLine="794"/>
        <w:spacing w:after="0" w:line="264" w:lineRule="auto"/>
        <w:rPr>
          <w:sz w:val="20"/>
          <w:szCs w:val="20"/>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sz w:val="20"/>
          <w:szCs w:val="20"/>
          <w:color w:val="auto"/>
        </w:rPr>
      </w:pPr>
    </w:p>
    <w:p>
      <w:pPr>
        <w:ind w:left="740" w:right="100" w:firstLine="757"/>
        <w:spacing w:after="0" w:line="259" w:lineRule="auto"/>
        <w:rPr>
          <w:sz w:val="20"/>
          <w:szCs w:val="20"/>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9" w:lineRule="exact"/>
        <w:rPr>
          <w:sz w:val="20"/>
          <w:szCs w:val="20"/>
          <w:color w:val="auto"/>
        </w:rPr>
      </w:pPr>
    </w:p>
    <w:p>
      <w:pPr>
        <w:ind w:left="300" w:right="160" w:firstLine="794"/>
        <w:spacing w:after="0" w:line="279" w:lineRule="auto"/>
        <w:rPr>
          <w:sz w:val="20"/>
          <w:szCs w:val="20"/>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63" w:lineRule="exact"/>
        <w:rPr>
          <w:sz w:val="20"/>
          <w:szCs w:val="20"/>
          <w:color w:val="auto"/>
        </w:rPr>
      </w:pPr>
    </w:p>
    <w:p>
      <w:pPr>
        <w:ind w:left="300" w:firstLine="794"/>
        <w:spacing w:after="0" w:line="297" w:lineRule="auto"/>
        <w:rPr>
          <w:sz w:val="20"/>
          <w:szCs w:val="20"/>
          <w:color w:val="auto"/>
        </w:rPr>
      </w:pPr>
      <w:r>
        <w:rPr>
          <w:rFonts w:ascii="Arial" w:cs="Arial" w:eastAsia="Arial" w:hAnsi="Arial"/>
          <w:sz w:val="16"/>
          <w:szCs w:val="16"/>
          <w:color w:val="auto"/>
        </w:rPr>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274" w:right="279" w:bottom="1440" w:gutter="0" w:footer="0" w:header="0"/>
        </w:sectPr>
      </w:pPr>
    </w:p>
    <w:bookmarkStart w:id="19" w:name="page20"/>
    <w:bookmarkEnd w:id="19"/>
    <w:p>
      <w:pPr>
        <w:ind w:left="300" w:right="20" w:firstLine="79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80" w:lineRule="exact"/>
        <w:rPr>
          <w:sz w:val="20"/>
          <w:szCs w:val="20"/>
          <w:color w:val="auto"/>
        </w:rPr>
      </w:pPr>
    </w:p>
    <w:p>
      <w:pPr>
        <w:ind w:left="300" w:right="180" w:firstLine="794"/>
        <w:spacing w:after="0" w:line="277" w:lineRule="auto"/>
        <w:rPr>
          <w:sz w:val="20"/>
          <w:szCs w:val="20"/>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sz w:val="20"/>
          <w:szCs w:val="20"/>
          <w:color w:val="auto"/>
        </w:rPr>
      </w:pPr>
    </w:p>
    <w:p>
      <w:pPr>
        <w:ind w:left="740" w:firstLine="757"/>
        <w:spacing w:after="0" w:line="255" w:lineRule="auto"/>
        <w:rPr>
          <w:sz w:val="20"/>
          <w:szCs w:val="20"/>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Registration Statement or any amendment thereto (except for the financial statements and financial schedules and</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other financial and statistical data included therein and except for that part of the Registration Statement that constitutes the</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Form T-1, as to which such counsel need not express any belief) as of the date of this Agreement contained any untrue statement of</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 material fact or omitted to state a material fact required to be stated therein or necessary to make the statements therein not</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misleading;</w:t>
      </w:r>
    </w:p>
    <w:p>
      <w:pPr>
        <w:spacing w:after="0" w:line="103" w:lineRule="exact"/>
        <w:rPr>
          <w:sz w:val="20"/>
          <w:szCs w:val="20"/>
          <w:color w:val="auto"/>
        </w:rPr>
      </w:pPr>
    </w:p>
    <w:p>
      <w:pPr>
        <w:ind w:left="740" w:right="100" w:firstLine="757"/>
        <w:spacing w:after="0" w:line="259" w:lineRule="auto"/>
        <w:rPr>
          <w:sz w:val="20"/>
          <w:szCs w:val="20"/>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9" w:lineRule="exact"/>
        <w:rPr>
          <w:sz w:val="20"/>
          <w:szCs w:val="20"/>
          <w:color w:val="auto"/>
        </w:rPr>
      </w:pPr>
    </w:p>
    <w:p>
      <w:pPr>
        <w:ind w:left="740" w:right="40" w:firstLine="757"/>
        <w:spacing w:after="0" w:line="302" w:lineRule="auto"/>
        <w:rPr>
          <w:sz w:val="20"/>
          <w:szCs w:val="20"/>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1440" w:top="274" w:right="259" w:bottom="1440" w:gutter="0" w:footer="0" w:header="0"/>
        </w:sectPr>
      </w:pPr>
    </w:p>
    <w:bookmarkStart w:id="20" w:name="page21"/>
    <w:bookmarkEnd w:id="20"/>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dated the Closing Date, to the effect (as applicable) that:</w:t>
      </w:r>
    </w:p>
    <w:p>
      <w:pPr>
        <w:spacing w:after="0" w:line="103" w:lineRule="exact"/>
        <w:rPr>
          <w:sz w:val="20"/>
          <w:szCs w:val="20"/>
          <w:color w:val="auto"/>
        </w:rPr>
      </w:pPr>
    </w:p>
    <w:p>
      <w:pPr>
        <w:ind w:left="580" w:firstLine="794"/>
        <w:spacing w:after="0" w:line="264" w:lineRule="auto"/>
        <w:rPr>
          <w:sz w:val="20"/>
          <w:szCs w:val="20"/>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If Debt Securities are Offered Securities:</w:t>
      </w:r>
    </w:p>
    <w:p>
      <w:pPr>
        <w:spacing w:after="0" w:line="117" w:lineRule="exact"/>
        <w:rPr>
          <w:sz w:val="20"/>
          <w:szCs w:val="20"/>
          <w:color w:val="auto"/>
        </w:rPr>
      </w:pPr>
    </w:p>
    <w:p>
      <w:pPr>
        <w:ind w:left="1020" w:right="20" w:firstLine="757"/>
        <w:spacing w:after="0" w:line="272" w:lineRule="auto"/>
        <w:rPr>
          <w:sz w:val="20"/>
          <w:szCs w:val="20"/>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70" w:lineRule="exact"/>
        <w:rPr>
          <w:sz w:val="20"/>
          <w:szCs w:val="20"/>
          <w:color w:val="auto"/>
        </w:rPr>
      </w:pPr>
    </w:p>
    <w:p>
      <w:pPr>
        <w:ind w:left="1020" w:firstLine="757"/>
        <w:spacing w:after="0" w:line="277" w:lineRule="auto"/>
        <w:rPr>
          <w:sz w:val="20"/>
          <w:szCs w:val="20"/>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6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Indenture has been duly qualified under the Trust Indenture Act of 1939.</w:t>
      </w:r>
    </w:p>
    <w:p>
      <w:pPr>
        <w:spacing w:after="0" w:line="11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If Warrants are Offered Securities:</w:t>
      </w:r>
    </w:p>
    <w:p>
      <w:pPr>
        <w:spacing w:after="0" w:line="117" w:lineRule="exact"/>
        <w:rPr>
          <w:sz w:val="20"/>
          <w:szCs w:val="20"/>
          <w:color w:val="auto"/>
        </w:rPr>
      </w:pPr>
    </w:p>
    <w:p>
      <w:pPr>
        <w:ind w:left="1020" w:right="300" w:firstLine="757"/>
        <w:spacing w:after="0" w:line="259" w:lineRule="auto"/>
        <w:rPr>
          <w:sz w:val="20"/>
          <w:szCs w:val="20"/>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9" w:lineRule="exact"/>
        <w:rPr>
          <w:sz w:val="20"/>
          <w:szCs w:val="20"/>
          <w:color w:val="auto"/>
        </w:rPr>
      </w:pPr>
    </w:p>
    <w:p>
      <w:pPr>
        <w:ind w:left="1020" w:right="200" w:firstLine="757"/>
        <w:spacing w:after="0" w:line="277" w:lineRule="auto"/>
        <w:rPr>
          <w:sz w:val="20"/>
          <w:szCs w:val="20"/>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74" w:right="279" w:bottom="1440" w:gutter="0" w:footer="0" w:header="0"/>
        </w:sectPr>
      </w:pPr>
    </w:p>
    <w:bookmarkStart w:id="21" w:name="page22"/>
    <w:bookmarkEnd w:id="21"/>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Units are Offered Securities:</w:t>
      </w:r>
    </w:p>
    <w:p>
      <w:pPr>
        <w:spacing w:after="0" w:line="117" w:lineRule="exact"/>
        <w:rPr>
          <w:sz w:val="20"/>
          <w:szCs w:val="20"/>
          <w:color w:val="auto"/>
        </w:rPr>
      </w:pPr>
    </w:p>
    <w:p>
      <w:pPr>
        <w:ind w:left="740" w:firstLine="757"/>
        <w:spacing w:after="0" w:line="259" w:lineRule="auto"/>
        <w:rPr>
          <w:sz w:val="20"/>
          <w:szCs w:val="20"/>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9" w:lineRule="exact"/>
        <w:rPr>
          <w:sz w:val="20"/>
          <w:szCs w:val="20"/>
          <w:color w:val="auto"/>
        </w:rPr>
      </w:pPr>
    </w:p>
    <w:p>
      <w:pPr>
        <w:ind w:left="740" w:right="240" w:firstLine="757"/>
        <w:spacing w:after="0" w:line="277" w:lineRule="auto"/>
        <w:rPr>
          <w:sz w:val="20"/>
          <w:szCs w:val="20"/>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Agreement has been duly authorized, executed and delivered by the Company.</w:t>
      </w:r>
    </w:p>
    <w:p>
      <w:pPr>
        <w:spacing w:after="0" w:line="117" w:lineRule="exact"/>
        <w:rPr>
          <w:sz w:val="20"/>
          <w:szCs w:val="20"/>
          <w:color w:val="auto"/>
        </w:rPr>
      </w:pPr>
    </w:p>
    <w:p>
      <w:pPr>
        <w:ind w:left="300" w:right="80" w:firstLine="794"/>
        <w:spacing w:after="0" w:line="264" w:lineRule="auto"/>
        <w:rPr>
          <w:sz w:val="20"/>
          <w:szCs w:val="20"/>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sz w:val="20"/>
          <w:szCs w:val="20"/>
          <w:color w:val="auto"/>
        </w:rPr>
      </w:pPr>
    </w:p>
    <w:p>
      <w:pPr>
        <w:ind w:left="300" w:right="120" w:firstLine="794"/>
        <w:spacing w:after="0" w:line="308" w:lineRule="auto"/>
        <w:rPr>
          <w:sz w:val="20"/>
          <w:szCs w:val="20"/>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34" w:lineRule="exact"/>
        <w:rPr>
          <w:sz w:val="20"/>
          <w:szCs w:val="20"/>
          <w:color w:val="auto"/>
        </w:rPr>
      </w:pPr>
    </w:p>
    <w:p>
      <w:pPr>
        <w:ind w:left="300" w:right="40" w:firstLine="794"/>
        <w:spacing w:after="0" w:line="282" w:lineRule="auto"/>
        <w:rPr>
          <w:sz w:val="20"/>
          <w:szCs w:val="20"/>
          <w:color w:val="auto"/>
        </w:rPr>
      </w:pPr>
      <w:r>
        <w:rPr>
          <w:rFonts w:ascii="Arial" w:cs="Arial" w:eastAsia="Arial" w:hAnsi="Arial"/>
          <w:sz w:val="18"/>
          <w:szCs w:val="18"/>
          <w:color w:val="auto"/>
        </w:rPr>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8" w:lineRule="exact"/>
        <w:rPr>
          <w:sz w:val="20"/>
          <w:szCs w:val="20"/>
          <w:color w:val="auto"/>
        </w:rPr>
      </w:pPr>
    </w:p>
    <w:p>
      <w:pPr>
        <w:jc w:val="both"/>
        <w:ind w:left="300" w:firstLine="794"/>
        <w:spacing w:after="0" w:line="312" w:lineRule="auto"/>
        <w:rPr>
          <w:sz w:val="20"/>
          <w:szCs w:val="20"/>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9" w:lineRule="exact"/>
        <w:rPr>
          <w:sz w:val="20"/>
          <w:szCs w:val="20"/>
          <w:color w:val="auto"/>
        </w:rPr>
      </w:pPr>
    </w:p>
    <w:p>
      <w:pPr>
        <w:ind w:left="300" w:right="80" w:firstLine="794"/>
        <w:spacing w:after="0" w:line="312" w:lineRule="auto"/>
        <w:rPr>
          <w:sz w:val="20"/>
          <w:szCs w:val="20"/>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74" w:right="239" w:bottom="1440" w:gutter="0" w:footer="0" w:header="0"/>
        </w:sectPr>
      </w:pPr>
    </w:p>
    <w:bookmarkStart w:id="22" w:name="page23"/>
    <w:bookmarkEnd w:id="22"/>
    <w:p>
      <w:pPr>
        <w:ind w:left="580" w:firstLine="794"/>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46" w:lineRule="exact"/>
        <w:rPr>
          <w:sz w:val="20"/>
          <w:szCs w:val="20"/>
          <w:color w:val="auto"/>
        </w:rPr>
      </w:pPr>
    </w:p>
    <w:p>
      <w:pPr>
        <w:ind w:left="580" w:right="140" w:firstLine="794"/>
        <w:spacing w:after="0" w:line="277" w:lineRule="auto"/>
        <w:rPr>
          <w:sz w:val="20"/>
          <w:szCs w:val="20"/>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sz w:val="20"/>
          <w:szCs w:val="20"/>
          <w:color w:val="auto"/>
        </w:rPr>
      </w:pPr>
    </w:p>
    <w:p>
      <w:pPr>
        <w:ind w:left="1020" w:right="100" w:firstLine="757"/>
        <w:spacing w:after="0" w:line="293" w:lineRule="auto"/>
        <w:rPr>
          <w:sz w:val="20"/>
          <w:szCs w:val="20"/>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57" w:lineRule="exact"/>
        <w:rPr>
          <w:sz w:val="20"/>
          <w:szCs w:val="20"/>
          <w:color w:val="auto"/>
        </w:rPr>
      </w:pPr>
    </w:p>
    <w:p>
      <w:pPr>
        <w:ind w:left="1020" w:right="60" w:firstLine="757"/>
        <w:spacing w:after="0" w:line="259" w:lineRule="auto"/>
        <w:rPr>
          <w:sz w:val="20"/>
          <w:szCs w:val="20"/>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9" w:lineRule="exact"/>
        <w:rPr>
          <w:sz w:val="20"/>
          <w:szCs w:val="20"/>
          <w:color w:val="auto"/>
        </w:rPr>
      </w:pPr>
    </w:p>
    <w:p>
      <w:pPr>
        <w:ind w:left="1020" w:right="100" w:firstLine="757"/>
        <w:spacing w:after="0" w:line="257" w:lineRule="auto"/>
        <w:rPr>
          <w:sz w:val="20"/>
          <w:szCs w:val="20"/>
          <w:color w:val="auto"/>
        </w:rPr>
      </w:pPr>
      <w:r>
        <w:rPr>
          <w:rFonts w:ascii="Arial" w:cs="Arial" w:eastAsia="Arial" w:hAnsi="Arial"/>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80" w:lineRule="exact"/>
        <w:rPr>
          <w:sz w:val="20"/>
          <w:szCs w:val="20"/>
          <w:color w:val="auto"/>
        </w:rPr>
      </w:pPr>
    </w:p>
    <w:p>
      <w:pPr>
        <w:ind w:left="580" w:right="200" w:firstLine="794"/>
        <w:spacing w:after="0" w:line="277" w:lineRule="auto"/>
        <w:rPr>
          <w:sz w:val="20"/>
          <w:szCs w:val="20"/>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sz w:val="20"/>
          <w:szCs w:val="20"/>
          <w:color w:val="auto"/>
        </w:rPr>
      </w:pPr>
    </w:p>
    <w:p>
      <w:pPr>
        <w:ind w:right="140" w:firstLine="840"/>
        <w:spacing w:after="0" w:line="277" w:lineRule="auto"/>
        <w:rPr>
          <w:sz w:val="20"/>
          <w:szCs w:val="20"/>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40"/>
          </w:cols>
          <w:pgMar w:left="1160" w:top="274" w:right="299" w:bottom="1440" w:gutter="0" w:footer="0" w:header="0"/>
        </w:sectPr>
      </w:pPr>
    </w:p>
    <w:bookmarkStart w:id="23" w:name="page24"/>
    <w:bookmarkEnd w:id="23"/>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jc w:val="both"/>
        <w:ind w:right="140" w:firstLine="913"/>
        <w:spacing w:after="0" w:line="302" w:lineRule="auto"/>
        <w:rPr>
          <w:sz w:val="20"/>
          <w:szCs w:val="20"/>
          <w:color w:val="auto"/>
        </w:rPr>
      </w:pPr>
      <w:r>
        <w:rPr>
          <w:rFonts w:ascii="Arial" w:cs="Arial" w:eastAsia="Arial" w:hAnsi="Arial"/>
          <w:sz w:val="16"/>
          <w:szCs w:val="16"/>
          <w:color w:val="auto"/>
        </w:rPr>
        <w:t>With respect to the matters set forth in 0, 0, 0 and 0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920" w:right="120" w:firstLine="840"/>
        <w:spacing w:after="0" w:line="279" w:lineRule="auto"/>
        <w:rPr>
          <w:sz w:val="20"/>
          <w:szCs w:val="20"/>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3" w:lineRule="exact"/>
        <w:rPr>
          <w:sz w:val="20"/>
          <w:szCs w:val="20"/>
          <w:color w:val="auto"/>
        </w:rPr>
      </w:pPr>
    </w:p>
    <w:p>
      <w:pPr>
        <w:ind w:left="920" w:firstLine="840"/>
        <w:spacing w:after="0" w:line="302" w:lineRule="auto"/>
        <w:rPr>
          <w:sz w:val="20"/>
          <w:szCs w:val="20"/>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6" w:lineRule="exact"/>
        <w:rPr>
          <w:sz w:val="20"/>
          <w:szCs w:val="20"/>
          <w:color w:val="auto"/>
        </w:rPr>
      </w:pPr>
    </w:p>
    <w:p>
      <w:pPr>
        <w:ind w:left="920" w:right="40" w:firstLine="840"/>
        <w:spacing w:after="0" w:line="279" w:lineRule="auto"/>
        <w:rPr>
          <w:sz w:val="20"/>
          <w:szCs w:val="20"/>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jc w:val="both"/>
        <w:ind w:left="920" w:right="20" w:firstLine="840"/>
        <w:spacing w:after="0" w:line="312" w:lineRule="auto"/>
        <w:rPr>
          <w:sz w:val="20"/>
          <w:szCs w:val="20"/>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0 below, as many copies of the Time of Sale Prospectus, the Prospectus, any documents incorporated by reference therein and any supplements and amendments thereto as the Manager may reasonably request.</w:t>
      </w:r>
    </w:p>
    <w:p>
      <w:pPr>
        <w:spacing w:after="0" w:line="39" w:lineRule="exact"/>
        <w:rPr>
          <w:sz w:val="20"/>
          <w:szCs w:val="20"/>
          <w:color w:val="auto"/>
        </w:rPr>
      </w:pPr>
    </w:p>
    <w:p>
      <w:pPr>
        <w:ind w:left="920" w:right="380" w:firstLine="840"/>
        <w:spacing w:after="0" w:line="308" w:lineRule="auto"/>
        <w:rPr>
          <w:sz w:val="20"/>
          <w:szCs w:val="20"/>
          <w:color w:val="auto"/>
        </w:rPr>
      </w:pPr>
      <w:r>
        <w:rPr>
          <w:rFonts w:ascii="Arial" w:cs="Arial" w:eastAsia="Arial" w:hAnsi="Arial"/>
          <w:sz w:val="17"/>
          <w:szCs w:val="17"/>
          <w:color w:val="auto"/>
        </w:rPr>
        <w:t>Before amending or supplementing the Registration Statement, the Time of Sale Prospectus or the Prospectus with respect to the Offered Securities, to furnish the Manager a copy of each such proposed amendment or supplement and not to file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proposed amendment or supplement to which the Manager reasonably objects unless, in the Company’s good faith judgment, the Company is required by law or regulation to make such filing.</w:t>
      </w:r>
    </w:p>
    <w:p>
      <w:pPr>
        <w:spacing w:after="0" w:line="62" w:lineRule="exact"/>
        <w:rPr>
          <w:sz w:val="20"/>
          <w:szCs w:val="20"/>
          <w:color w:val="auto"/>
        </w:rPr>
      </w:pPr>
    </w:p>
    <w:p>
      <w:pPr>
        <w:ind w:right="300" w:firstLine="840"/>
        <w:spacing w:after="0" w:line="277" w:lineRule="auto"/>
        <w:rPr>
          <w:sz w:val="20"/>
          <w:szCs w:val="20"/>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sz w:val="20"/>
          <w:szCs w:val="20"/>
          <w:color w:val="auto"/>
        </w:rPr>
      </w:pPr>
    </w:p>
    <w:p>
      <w:pPr>
        <w:ind w:right="100" w:firstLine="840"/>
        <w:spacing w:after="0" w:line="264" w:lineRule="auto"/>
        <w:rPr>
          <w:sz w:val="20"/>
          <w:szCs w:val="20"/>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sz w:val="20"/>
          <w:szCs w:val="20"/>
          <w:color w:val="auto"/>
        </w:rPr>
      </w:pPr>
    </w:p>
    <w:p>
      <w:pPr>
        <w:ind w:right="40" w:firstLine="840"/>
        <w:spacing w:after="0" w:line="270" w:lineRule="auto"/>
        <w:rPr>
          <w:sz w:val="20"/>
          <w:szCs w:val="20"/>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70" w:lineRule="exact"/>
        <w:rPr>
          <w:sz w:val="20"/>
          <w:szCs w:val="20"/>
          <w:color w:val="auto"/>
        </w:rPr>
      </w:pPr>
    </w:p>
    <w:p>
      <w:pPr>
        <w:ind w:firstLine="840"/>
        <w:spacing w:after="0" w:line="269" w:lineRule="auto"/>
        <w:rPr>
          <w:sz w:val="20"/>
          <w:szCs w:val="20"/>
          <w:color w:val="auto"/>
        </w:rPr>
      </w:pPr>
      <w:r>
        <w:rPr>
          <w:rFonts w:ascii="Arial" w:cs="Arial" w:eastAsia="Arial" w:hAnsi="Arial"/>
          <w:sz w:val="17"/>
          <w:szCs w:val="17"/>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1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1160" w:top="274" w:right="279" w:bottom="1440" w:gutter="0" w:footer="0" w:header="0"/>
        </w:sectPr>
      </w:pPr>
    </w:p>
    <w:bookmarkStart w:id="25" w:name="page26"/>
    <w:bookmarkEnd w:id="25"/>
    <w:p>
      <w:pPr>
        <w:ind w:right="240" w:firstLine="8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6" w:lineRule="exact"/>
        <w:rPr>
          <w:sz w:val="20"/>
          <w:szCs w:val="20"/>
          <w:color w:val="auto"/>
        </w:rPr>
      </w:pPr>
    </w:p>
    <w:p>
      <w:pPr>
        <w:ind w:right="120" w:firstLine="840"/>
        <w:spacing w:after="0" w:line="302" w:lineRule="auto"/>
        <w:rPr>
          <w:sz w:val="20"/>
          <w:szCs w:val="20"/>
          <w:color w:val="auto"/>
        </w:rPr>
      </w:pPr>
      <w:r>
        <w:rPr>
          <w:rFonts w:ascii="Arial" w:cs="Arial" w:eastAsia="Arial" w:hAnsi="Arial"/>
          <w:sz w:val="16"/>
          <w:szCs w:val="16"/>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46" w:lineRule="exact"/>
        <w:rPr>
          <w:sz w:val="20"/>
          <w:szCs w:val="20"/>
          <w:color w:val="auto"/>
        </w:rPr>
      </w:pPr>
    </w:p>
    <w:p>
      <w:pPr>
        <w:ind w:right="40" w:firstLine="840"/>
        <w:spacing w:after="0" w:line="259" w:lineRule="auto"/>
        <w:rPr>
          <w:sz w:val="20"/>
          <w:szCs w:val="20"/>
          <w:color w:val="auto"/>
        </w:rPr>
      </w:pPr>
      <w:r>
        <w:rPr>
          <w:rFonts w:ascii="Arial" w:cs="Arial" w:eastAsia="Arial" w:hAnsi="Arial"/>
          <w:sz w:val="18"/>
          <w:szCs w:val="18"/>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iii. the Offered Securities or iv. commercial paper issued in the ordinary course of business) without the prior written consent of the Manager.</w:t>
      </w:r>
    </w:p>
    <w:p>
      <w:pPr>
        <w:spacing w:after="0" w:line="79" w:lineRule="exact"/>
        <w:rPr>
          <w:sz w:val="20"/>
          <w:szCs w:val="20"/>
          <w:color w:val="auto"/>
        </w:rPr>
      </w:pPr>
    </w:p>
    <w:p>
      <w:pPr>
        <w:ind w:right="160" w:firstLine="840"/>
        <w:spacing w:after="0" w:line="259" w:lineRule="auto"/>
        <w:rPr>
          <w:sz w:val="20"/>
          <w:szCs w:val="20"/>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9" w:lineRule="exact"/>
        <w:rPr>
          <w:sz w:val="20"/>
          <w:szCs w:val="20"/>
          <w:color w:val="auto"/>
        </w:rPr>
      </w:pPr>
    </w:p>
    <w:p>
      <w:pPr>
        <w:ind w:right="260" w:firstLine="840"/>
        <w:spacing w:after="0" w:line="277" w:lineRule="auto"/>
        <w:rPr>
          <w:sz w:val="20"/>
          <w:szCs w:val="20"/>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sz w:val="20"/>
          <w:szCs w:val="20"/>
          <w:color w:val="auto"/>
        </w:rPr>
      </w:pPr>
    </w:p>
    <w:p>
      <w:pPr>
        <w:ind w:firstLine="840"/>
        <w:spacing w:after="0" w:line="283" w:lineRule="auto"/>
        <w:rPr>
          <w:sz w:val="20"/>
          <w:szCs w:val="20"/>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w:t>
      </w:r>
    </w:p>
    <w:p>
      <w:pPr>
        <w:spacing w:after="0" w:line="7" w:lineRule="exact"/>
        <w:rPr>
          <w:sz w:val="20"/>
          <w:szCs w:val="20"/>
          <w:color w:val="auto"/>
        </w:rPr>
      </w:pPr>
    </w:p>
    <w:p>
      <w:pPr>
        <w:ind w:left="4700" w:right="4560" w:hanging="4699"/>
        <w:spacing w:after="0" w:line="433" w:lineRule="auto"/>
        <w:tabs>
          <w:tab w:leader="none" w:pos="299"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fees charged by rating agencies for rating the Securities; (vii) the fees and 11</w:t>
      </w:r>
    </w:p>
    <w:p>
      <w:pPr>
        <w:sectPr>
          <w:pgSz w:w="11900" w:h="16838" w:orient="portrait"/>
          <w:cols w:equalWidth="0" w:num="1">
            <w:col w:w="10480"/>
          </w:cols>
          <w:pgMar w:left="1160" w:top="274" w:right="259" w:bottom="1440" w:gutter="0" w:footer="0" w:header="0"/>
        </w:sectPr>
      </w:pPr>
    </w:p>
    <w:bookmarkStart w:id="26" w:name="page27"/>
    <w:bookmarkEnd w:id="26"/>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57" w:lineRule="exact"/>
        <w:rPr>
          <w:sz w:val="20"/>
          <w:szCs w:val="20"/>
          <w:color w:val="auto"/>
        </w:rPr>
      </w:pPr>
    </w:p>
    <w:p>
      <w:pPr>
        <w:ind w:right="360" w:firstLine="840"/>
        <w:spacing w:after="0" w:line="297"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50" w:lineRule="exact"/>
        <w:rPr>
          <w:sz w:val="20"/>
          <w:szCs w:val="20"/>
          <w:color w:val="auto"/>
        </w:rPr>
      </w:pPr>
    </w:p>
    <w:p>
      <w:pPr>
        <w:ind w:firstLine="840"/>
        <w:spacing w:after="0" w:line="267" w:lineRule="auto"/>
        <w:rPr>
          <w:sz w:val="20"/>
          <w:szCs w:val="20"/>
          <w:color w:val="auto"/>
        </w:rPr>
      </w:pPr>
      <w:r>
        <w:rPr>
          <w:rFonts w:ascii="Arial" w:cs="Arial" w:eastAsia="Arial" w:hAnsi="Arial"/>
          <w:sz w:val="17"/>
          <w:szCs w:val="17"/>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116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warrants to each Underwriter as of the date of the Underwriting Agreement that:</w:t>
      </w:r>
    </w:p>
    <w:p>
      <w:pPr>
        <w:spacing w:after="0" w:line="117" w:lineRule="exact"/>
        <w:rPr>
          <w:sz w:val="20"/>
          <w:szCs w:val="20"/>
          <w:color w:val="auto"/>
        </w:rPr>
      </w:pPr>
    </w:p>
    <w:p>
      <w:pPr>
        <w:ind w:right="60" w:firstLine="840"/>
        <w:spacing w:after="0" w:line="257" w:lineRule="auto"/>
        <w:rPr>
          <w:sz w:val="20"/>
          <w:szCs w:val="20"/>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0" w:lineRule="exact"/>
        <w:rPr>
          <w:sz w:val="20"/>
          <w:szCs w:val="20"/>
          <w:color w:val="auto"/>
        </w:rPr>
      </w:pPr>
    </w:p>
    <w:p>
      <w:pPr>
        <w:ind w:firstLine="840"/>
        <w:spacing w:after="0" w:line="285" w:lineRule="auto"/>
        <w:rPr>
          <w:sz w:val="20"/>
          <w:szCs w:val="20"/>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v.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vi. the Registration Statement as of the date hereof does not contain any untrue statement of a material fact or omit to state a material fact required to be stated therein or necessary to make the statements therein not misleading, vii. the Registration Statement and the Prospectus comply, and as amended or supplemented, if applicable, will comply in all material respects with the Securities Act and the applicable rules and regulations of the Commission thereunder, viii.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ix.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x.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1. statements or omissions in the Registration Statement, the Time of Sale Prospectus or the Prospectus based upon information relating to any Underwriter furnished to the Company in writing by such Underwriter through the Manager expressly for use therein or 2. that part of the Registration Statement that constitutes the Statement of Eligibility (Form T-1) under the Trust Indenture Act of the Trustee.</w:t>
      </w:r>
    </w:p>
    <w:p>
      <w:pPr>
        <w:spacing w:after="0" w:line="279" w:lineRule="exact"/>
        <w:rPr>
          <w:sz w:val="20"/>
          <w:szCs w:val="20"/>
          <w:color w:val="auto"/>
        </w:rPr>
      </w:pPr>
    </w:p>
    <w:p>
      <w:pPr>
        <w:ind w:right="120" w:firstLine="840"/>
        <w:spacing w:after="0" w:line="259" w:lineRule="auto"/>
        <w:rPr>
          <w:sz w:val="20"/>
          <w:szCs w:val="20"/>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1160" w:top="274" w:right="239" w:bottom="1440" w:gutter="0" w:footer="0" w:header="0"/>
        </w:sectPr>
      </w:pPr>
    </w:p>
    <w:bookmarkStart w:id="28" w:name="page29"/>
    <w:bookmarkEnd w:id="28"/>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4" w:lineRule="exact"/>
        <w:rPr>
          <w:sz w:val="20"/>
          <w:szCs w:val="20"/>
          <w:color w:val="auto"/>
        </w:rPr>
      </w:pPr>
    </w:p>
    <w:p>
      <w:pPr>
        <w:ind w:firstLine="840"/>
        <w:spacing w:after="0" w:line="257" w:lineRule="auto"/>
        <w:rPr>
          <w:sz w:val="20"/>
          <w:szCs w:val="20"/>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sz w:val="20"/>
          <w:szCs w:val="20"/>
          <w:color w:val="auto"/>
        </w:rPr>
      </w:pPr>
    </w:p>
    <w:p>
      <w:pPr>
        <w:jc w:val="both"/>
        <w:ind w:right="200" w:firstLine="840"/>
        <w:spacing w:after="0" w:line="264" w:lineRule="auto"/>
        <w:rPr>
          <w:sz w:val="20"/>
          <w:szCs w:val="20"/>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sz w:val="20"/>
          <w:szCs w:val="20"/>
          <w:color w:val="auto"/>
        </w:rPr>
      </w:pPr>
    </w:p>
    <w:p>
      <w:pPr>
        <w:ind w:right="120" w:firstLine="840"/>
        <w:spacing w:after="0" w:line="273" w:lineRule="auto"/>
        <w:rPr>
          <w:sz w:val="20"/>
          <w:szCs w:val="20"/>
          <w:color w:val="auto"/>
        </w:rPr>
      </w:pPr>
      <w:r>
        <w:rPr>
          <w:rFonts w:ascii="Arial" w:cs="Arial" w:eastAsia="Arial" w:hAnsi="Arial"/>
          <w:sz w:val="17"/>
          <w:szCs w:val="17"/>
          <w:color w:val="auto"/>
        </w:rPr>
        <w:t>If Debt Securities are the Offered Securities, xi.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xii.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0" w:lineRule="exact"/>
        <w:rPr>
          <w:sz w:val="20"/>
          <w:szCs w:val="20"/>
          <w:color w:val="auto"/>
        </w:rPr>
      </w:pPr>
    </w:p>
    <w:p>
      <w:pPr>
        <w:ind w:right="80" w:firstLine="840"/>
        <w:spacing w:after="0" w:line="276" w:lineRule="auto"/>
        <w:rPr>
          <w:sz w:val="20"/>
          <w:szCs w:val="20"/>
          <w:color w:val="auto"/>
        </w:rPr>
      </w:pPr>
      <w:r>
        <w:rPr>
          <w:rFonts w:ascii="Arial" w:cs="Arial" w:eastAsia="Arial" w:hAnsi="Arial"/>
          <w:sz w:val="17"/>
          <w:szCs w:val="17"/>
          <w:color w:val="auto"/>
        </w:rPr>
        <w:t>If Warrants are Offered Securities, xiii.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xiv. the Warrant Agreement has been duly authorized, executed and delivered by, and is a valid and binding agreement of, the Company, enforceable in accordance with its terms, subject to the Enforceability Exceptions.</w:t>
      </w:r>
    </w:p>
    <w:p>
      <w:pPr>
        <w:spacing w:after="0" w:line="64" w:lineRule="exact"/>
        <w:rPr>
          <w:sz w:val="20"/>
          <w:szCs w:val="20"/>
          <w:color w:val="auto"/>
        </w:rPr>
      </w:pPr>
    </w:p>
    <w:p>
      <w:pPr>
        <w:ind w:right="160" w:firstLine="840"/>
        <w:spacing w:after="0" w:line="264" w:lineRule="auto"/>
        <w:rPr>
          <w:sz w:val="20"/>
          <w:szCs w:val="20"/>
          <w:color w:val="auto"/>
        </w:rPr>
      </w:pPr>
      <w:r>
        <w:rPr>
          <w:rFonts w:ascii="Arial" w:cs="Arial" w:eastAsia="Arial" w:hAnsi="Arial"/>
          <w:sz w:val="18"/>
          <w:szCs w:val="18"/>
          <w:color w:val="auto"/>
        </w:rPr>
        <w:t>If Units are Offered Securities, xv.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w:t>
      </w:r>
    </w:p>
    <w:p>
      <w:pPr>
        <w:spacing w:after="0" w:line="1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0"/>
          </w:cols>
          <w:pgMar w:left="1160" w:top="274" w:right="239" w:bottom="1440" w:gutter="0" w:footer="0" w:header="0"/>
        </w:sectPr>
      </w:pPr>
    </w:p>
    <w:bookmarkStart w:id="29" w:name="page30"/>
    <w:bookmarkEnd w:id="29"/>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their terms, subject to the Enforceability Exceptions and xvi. the Unit Agreement has been duly authorized, executed and delivered by, and is a valid and binding agreement of, the Company, enforceable in accordance with its terms, subject to the Enforceability Exceptions.</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This Agreement has been duly authorized, executed and delivered by the Company.</w:t>
      </w:r>
    </w:p>
    <w:p>
      <w:pPr>
        <w:spacing w:after="0" w:line="117" w:lineRule="exact"/>
        <w:rPr>
          <w:sz w:val="20"/>
          <w:szCs w:val="20"/>
          <w:color w:val="auto"/>
        </w:rPr>
      </w:pPr>
    </w:p>
    <w:p>
      <w:pPr>
        <w:ind w:right="120" w:firstLine="840"/>
        <w:spacing w:after="0" w:line="285" w:lineRule="auto"/>
        <w:rPr>
          <w:sz w:val="20"/>
          <w:szCs w:val="20"/>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w:t>
      </w:r>
    </w:p>
    <w:p>
      <w:pPr>
        <w:spacing w:after="0" w:line="2" w:lineRule="exact"/>
        <w:rPr>
          <w:sz w:val="20"/>
          <w:szCs w:val="20"/>
          <w:color w:val="auto"/>
        </w:rPr>
      </w:pPr>
    </w:p>
    <w:p>
      <w:pPr>
        <w:ind w:right="260" w:firstLine="1"/>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above, for any such default or violation that would not, individually or in the aggregate, reasonably be expected to have a material adverse effect on the Company and its subsidiaries, taken as a whole.</w:t>
      </w:r>
    </w:p>
    <w:p>
      <w:pPr>
        <w:spacing w:after="0" w:line="76" w:lineRule="exact"/>
        <w:rPr>
          <w:sz w:val="20"/>
          <w:szCs w:val="20"/>
          <w:color w:val="auto"/>
        </w:rPr>
      </w:pPr>
    </w:p>
    <w:p>
      <w:pPr>
        <w:ind w:firstLine="840"/>
        <w:spacing w:after="0" w:line="255" w:lineRule="auto"/>
        <w:rPr>
          <w:sz w:val="20"/>
          <w:szCs w:val="20"/>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xvii. any provision of applicable law, xviii. the certificate of incorporation or by-laws of the Company, xix. any agreement or other instrument binding upon the Company or any of its subsidiaries, or xx. any judgment, order or decree of any governmental body, agency or court having jurisdiction over the Company or any subsidiary of the Company except, in the case of clauses xvii, xix and xx above, as would not, individually or in the aggregate, reasonably be expected to have a material adverse effect on the Company and its subsidiaries, taken as a whole.</w:t>
      </w:r>
    </w:p>
    <w:p>
      <w:pPr>
        <w:spacing w:after="0" w:line="85" w:lineRule="exact"/>
        <w:rPr>
          <w:sz w:val="20"/>
          <w:szCs w:val="20"/>
          <w:color w:val="auto"/>
        </w:rPr>
      </w:pPr>
    </w:p>
    <w:p>
      <w:pPr>
        <w:ind w:right="140" w:firstLine="840"/>
        <w:spacing w:after="0" w:line="286" w:lineRule="auto"/>
        <w:rPr>
          <w:sz w:val="20"/>
          <w:szCs w:val="20"/>
          <w:color w:val="auto"/>
        </w:rPr>
      </w:pPr>
      <w:r>
        <w:rPr>
          <w:rFonts w:ascii="Arial" w:cs="Arial" w:eastAsia="Arial" w:hAnsi="Arial"/>
          <w:sz w:val="17"/>
          <w:szCs w:val="17"/>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7" w:lineRule="exact"/>
        <w:rPr>
          <w:sz w:val="20"/>
          <w:szCs w:val="20"/>
          <w:color w:val="auto"/>
        </w:rPr>
      </w:pPr>
    </w:p>
    <w:p>
      <w:pPr>
        <w:ind w:right="200" w:firstLine="840"/>
        <w:spacing w:after="0" w:line="264" w:lineRule="auto"/>
        <w:rPr>
          <w:sz w:val="20"/>
          <w:szCs w:val="20"/>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3" w:lineRule="exact"/>
        <w:rPr>
          <w:sz w:val="20"/>
          <w:szCs w:val="20"/>
          <w:color w:val="auto"/>
        </w:rPr>
      </w:pPr>
    </w:p>
    <w:p>
      <w:pPr>
        <w:ind w:firstLine="840"/>
        <w:spacing w:after="0" w:line="276" w:lineRule="auto"/>
        <w:rPr>
          <w:sz w:val="20"/>
          <w:szCs w:val="20"/>
          <w:color w:val="auto"/>
        </w:rPr>
      </w:pPr>
      <w:r>
        <w:rPr>
          <w:rFonts w:ascii="Arial" w:cs="Arial" w:eastAsia="Arial" w:hAnsi="Arial"/>
          <w:sz w:val="17"/>
          <w:szCs w:val="17"/>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1160" w:top="274" w:right="259" w:bottom="1440" w:gutter="0" w:footer="0" w:header="0"/>
        </w:sectPr>
      </w:pPr>
    </w:p>
    <w:bookmarkStart w:id="30" w:name="page31"/>
    <w:bookmarkEnd w:id="30"/>
    <w:p>
      <w:pPr>
        <w:jc w:val="both"/>
        <w:ind w:left="920" w:firstLine="8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sz w:val="20"/>
          <w:szCs w:val="20"/>
          <w:color w:val="auto"/>
        </w:rPr>
      </w:pPr>
    </w:p>
    <w:p>
      <w:pPr>
        <w:ind w:left="920" w:right="260" w:firstLine="840"/>
        <w:spacing w:after="0" w:line="264" w:lineRule="auto"/>
        <w:rPr>
          <w:sz w:val="20"/>
          <w:szCs w:val="20"/>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18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 indemnified party, shall retain counsel reasonably satisfactory to the indemnified party to represent the indemnified party and any others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If the indemnification provided for in this Article 0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2" w:name="page33"/>
    <w:bookmarkEnd w:id="32"/>
    <w:p>
      <w:pPr>
        <w:ind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Underwriters agree that it would not be just and equitable if contribution pursuant to this Article 0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0,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0 are several, in proportion to the respective amounts of Offered Securities purchased by each of such Underwriters, and not joint.</w:t>
      </w:r>
    </w:p>
    <w:p>
      <w:pPr>
        <w:spacing w:after="0" w:line="19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indemnity and contribution agreements contained in this Article 0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jc w:val="both"/>
        <w:ind w:left="920" w:right="80" w:firstLine="840"/>
        <w:spacing w:after="0" w:line="264" w:lineRule="auto"/>
        <w:rPr>
          <w:sz w:val="20"/>
          <w:szCs w:val="20"/>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3" w:lineRule="exact"/>
        <w:rPr>
          <w:sz w:val="20"/>
          <w:szCs w:val="20"/>
          <w:color w:val="auto"/>
        </w:rPr>
      </w:pPr>
    </w:p>
    <w:p>
      <w:pPr>
        <w:ind w:left="920" w:right="80" w:firstLine="840"/>
        <w:spacing w:after="0" w:line="255" w:lineRule="auto"/>
        <w:rPr>
          <w:sz w:val="20"/>
          <w:szCs w:val="20"/>
          <w:color w:val="auto"/>
        </w:rPr>
      </w:pPr>
      <w:r>
        <w:rPr>
          <w:rFonts w:ascii="Arial" w:cs="Arial" w:eastAsia="Arial" w:hAnsi="Arial"/>
          <w:sz w:val="18"/>
          <w:szCs w:val="18"/>
          <w:color w:val="auto"/>
        </w:rPr>
        <w:t>Not to use, refer to or distribute any free writing prospectus except xxi. a free writing prospectus that 1. is not an issuer free writing prospectus and 2.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xxii.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xxiii. a free writing prospectus identified in Schedule III to the Underwriting Agreement as forming part of the Time of Sale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3" w:name="page34"/>
    <w:bookmarkEnd w:id="33"/>
    <w:p>
      <w:pPr>
        <w:ind w:right="8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be subject to termination in the Manager’s absolute discretion, by notice given to the Company, if b.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c. in the case of any of the events specified in clause b.i,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0.</w:t>
      </w:r>
    </w:p>
    <w:p>
      <w:pPr>
        <w:spacing w:after="0" w:line="18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0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4" w:name="page35"/>
    <w:bookmarkEnd w:id="34"/>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6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680" w:right="2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20</w:t>
      </w:r>
    </w:p>
    <w:p>
      <w:pPr>
        <w:sectPr>
          <w:pgSz w:w="11900" w:h="16838" w:orient="portrait"/>
          <w:cols w:equalWidth="0" w:num="1">
            <w:col w:w="11380"/>
          </w:cols>
          <w:pgMar w:left="240" w:top="274"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4, 2017</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Reference is made to the Indenture dated as of May 23, 2011 (the “</w:t>
      </w:r>
      <w:r>
        <w:rPr>
          <w:rFonts w:ascii="Arial" w:cs="Arial" w:eastAsia="Arial" w:hAnsi="Arial"/>
          <w:sz w:val="18"/>
          <w:szCs w:val="18"/>
          <w:b w:val="1"/>
          <w:bCs w:val="1"/>
          <w:color w:val="auto"/>
        </w:rPr>
        <w:t>Indenture</w:t>
      </w:r>
      <w:r>
        <w:rPr>
          <w:rFonts w:ascii="Arial" w:cs="Arial" w:eastAsia="Arial" w:hAnsi="Arial"/>
          <w:sz w:val="18"/>
          <w:szCs w:val="18"/>
          <w:color w:val="auto"/>
        </w:rPr>
        <w:t>”) by and between 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Trustee is the trustee for any and all securities issued under the Indenture. Pursuant to Section 2.04(c) of the Indenture, the undersigned officers do hereby certify, in connection with the issuance of $300,000,000 aggregate principal amount of 2.750% Notes due 2021 (the “</w:t>
      </w:r>
      <w:r>
        <w:rPr>
          <w:rFonts w:ascii="Arial" w:cs="Arial" w:eastAsia="Arial" w:hAnsi="Arial"/>
          <w:sz w:val="18"/>
          <w:szCs w:val="18"/>
          <w:b w:val="1"/>
          <w:bCs w:val="1"/>
          <w:color w:val="auto"/>
        </w:rPr>
        <w:t>Additional 2021 Notes</w:t>
      </w:r>
      <w:r>
        <w:rPr>
          <w:rFonts w:ascii="Arial" w:cs="Arial" w:eastAsia="Arial" w:hAnsi="Arial"/>
          <w:sz w:val="18"/>
          <w:szCs w:val="18"/>
          <w:color w:val="auto"/>
        </w:rPr>
        <w:t>” and, together with the Existing 2021 Notes (as defined below), the “</w:t>
      </w:r>
      <w:r>
        <w:rPr>
          <w:rFonts w:ascii="Arial" w:cs="Arial" w:eastAsia="Arial" w:hAnsi="Arial"/>
          <w:sz w:val="18"/>
          <w:szCs w:val="18"/>
          <w:b w:val="1"/>
          <w:bCs w:val="1"/>
          <w:color w:val="auto"/>
        </w:rPr>
        <w:t>2021 Notes</w:t>
      </w:r>
      <w:r>
        <w:rPr>
          <w:rFonts w:ascii="Arial" w:cs="Arial" w:eastAsia="Arial" w:hAnsi="Arial"/>
          <w:sz w:val="18"/>
          <w:szCs w:val="18"/>
          <w:color w:val="auto"/>
        </w:rPr>
        <w:t>”) and $300,000,000 aggregate principal amount of 2.625% Notes due 2024 (the “</w:t>
      </w:r>
      <w:r>
        <w:rPr>
          <w:rFonts w:ascii="Arial" w:cs="Arial" w:eastAsia="Arial" w:hAnsi="Arial"/>
          <w:sz w:val="18"/>
          <w:szCs w:val="18"/>
          <w:b w:val="1"/>
          <w:bCs w:val="1"/>
          <w:color w:val="auto"/>
        </w:rPr>
        <w:t>2024 Notes</w:t>
      </w:r>
      <w:r>
        <w:rPr>
          <w:rFonts w:ascii="Arial" w:cs="Arial" w:eastAsia="Arial" w:hAnsi="Arial"/>
          <w:sz w:val="18"/>
          <w:szCs w:val="18"/>
          <w:color w:val="auto"/>
        </w:rPr>
        <w:t>” and, together with the Additional 2021 Notes, the “</w:t>
      </w:r>
      <w:r>
        <w:rPr>
          <w:rFonts w:ascii="Arial" w:cs="Arial" w:eastAsia="Arial" w:hAnsi="Arial"/>
          <w:sz w:val="18"/>
          <w:szCs w:val="18"/>
          <w:b w:val="1"/>
          <w:bCs w:val="1"/>
          <w:color w:val="auto"/>
        </w:rPr>
        <w:t>Notes</w:t>
      </w:r>
      <w:r>
        <w:rPr>
          <w:rFonts w:ascii="Arial" w:cs="Arial" w:eastAsia="Arial" w:hAnsi="Arial"/>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Additional 2021 Notes</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2.750% Notes due 2021.</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ind w:right="8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356"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$300,000,000. The Additional 2021 Notes offered hereby are a further issuance of and form a single series with the $250 million aggregate principal amount of the existing 2.750% Notes due 2021 issued by the Issuer on March 12, 2014 (the “</w:t>
      </w:r>
      <w:r>
        <w:rPr>
          <w:rFonts w:ascii="Arial" w:cs="Arial" w:eastAsia="Arial" w:hAnsi="Arial"/>
          <w:sz w:val="18"/>
          <w:szCs w:val="18"/>
          <w:b w:val="1"/>
          <w:bCs w:val="1"/>
          <w:color w:val="auto"/>
        </w:rPr>
        <w:t>Existing 2021 Notes</w:t>
      </w:r>
      <w:r>
        <w:rPr>
          <w:rFonts w:ascii="Arial" w:cs="Arial" w:eastAsia="Arial" w:hAnsi="Arial"/>
          <w:sz w:val="18"/>
          <w:szCs w:val="18"/>
          <w:color w:val="auto"/>
        </w:rPr>
        <w:t>”). The Additional 2021 Notes offered hereby will have the same terms (other than issue date, price to public and initial interest payment date) and will vote together as a single class, with the same CUSIP number as, and be fungible with, the Existing 2021 Notes. Upon completion of this offering, the Issuer will have $550,000,000 aggregate principal amount outstanding of 2021 Notes.</w:t>
      </w:r>
    </w:p>
    <w:p>
      <w:pPr>
        <w:spacing w:after="0" w:line="122"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-215900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2.750%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and September 12, commencing on September 12, 2017.</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any time prior to February 12, 2021 (one month prior to their maturity date) the Issuer may at its option redeem the 2021 Notes in whole or in part, at any time or from time to time prior to their maturity, on at least 30 days, but not more than 60 days, prior notice mailed to the registered address of each holder of the 2021 Notes, at a redemption price, calculated by the Issuer, equal to the greater of:</w:t>
      </w:r>
    </w:p>
    <w:p>
      <w:pPr>
        <w:spacing w:after="0" w:line="46" w:lineRule="exact"/>
        <w:rPr>
          <w:sz w:val="20"/>
          <w:szCs w:val="20"/>
          <w:color w:val="auto"/>
        </w:rPr>
      </w:pPr>
    </w:p>
    <w:p>
      <w:pPr>
        <w:ind w:left="920" w:hanging="5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2021 Notes being redeemed; and</w:t>
      </w:r>
    </w:p>
    <w:p>
      <w:pPr>
        <w:spacing w:after="0" w:line="117" w:lineRule="exact"/>
        <w:rPr>
          <w:rFonts w:ascii="Arial" w:cs="Arial" w:eastAsia="Arial" w:hAnsi="Arial"/>
          <w:sz w:val="18"/>
          <w:szCs w:val="18"/>
          <w:color w:val="auto"/>
        </w:rPr>
      </w:pPr>
    </w:p>
    <w:p>
      <w:pPr>
        <w:ind w:left="920" w:hanging="564"/>
        <w:spacing w:after="0" w:line="25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2021 Notes being redeemed at the Treasury Rate (as defined in the 2021 Notes) plus 12.5 basis points;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any time on or after February 12, 2021 (one month prior to their maturity date), the Issuer may at its option redeem the 2021 Notes in whole or in part, at any time or from time to time prior to their maturity, on at least 30 days, but not more than 60 days, prior notice mailed to the registered holder of the 2021 Notes, at a redemption price equal to 100% of the principal amount of the 2021 Notes being redeemed plus accrued interest thereon to the date of redemption.</w:t>
      </w:r>
    </w:p>
    <w:p>
      <w:pPr>
        <w:spacing w:after="0" w:line="1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060" w:space="720"/>
            <w:col w:w="764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2024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76"/>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-215900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The terms of the Additional 2021 Notes shall include such other terms as are set forth in the form of 2021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
        <w:spacing w:after="0"/>
        <w:rPr>
          <w:sz w:val="20"/>
          <w:szCs w:val="20"/>
          <w:color w:val="auto"/>
        </w:rPr>
      </w:pPr>
      <w:r>
        <w:rPr>
          <w:rFonts w:ascii="Arial" w:cs="Arial" w:eastAsia="Arial" w:hAnsi="Arial"/>
          <w:sz w:val="18"/>
          <w:szCs w:val="18"/>
          <w:color w:val="auto"/>
        </w:rPr>
        <w:t>2.625% Notes due 2024.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Texas Instruments Incorporated.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Bank National Association.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$300,000,000.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15, 2024.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2.625% per annum.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4,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15 and November 15, commencing on November 15, 2017.</w:t>
      </w:r>
    </w:p>
    <w:p>
      <w:pPr>
        <w:spacing w:after="0" w:line="117"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Prior to March 15, 2024 (the date that is two months prior to the maturity date of the 2024 Notes), the Issuer may at its option redeem the 2024 Notes, in whole or in part at any time, or from time to time, on at least 30 days, but not more than 60 days, prior notice mailed to the registered address of each holder of the 2024 Notes, at a redemption price, calculated by the Issuer, equal to the greater of:</w:t>
      </w:r>
    </w:p>
    <w:p>
      <w:pPr>
        <w:spacing w:after="0" w:line="77" w:lineRule="exact"/>
        <w:rPr>
          <w:sz w:val="20"/>
          <w:szCs w:val="20"/>
          <w:color w:val="auto"/>
        </w:rPr>
      </w:pPr>
    </w:p>
    <w:p>
      <w:pPr>
        <w:ind w:left="1884" w:right="2420" w:hanging="1884"/>
        <w:spacing w:after="0" w:line="465" w:lineRule="auto"/>
        <w:tabs>
          <w:tab w:leader="none" w:pos="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2024 Notes to be redeemed; and 3</w:t>
      </w:r>
    </w:p>
    <w:p>
      <w:pPr>
        <w:sectPr>
          <w:pgSz w:w="11900" w:h="16838" w:orient="portrait"/>
          <w:cols w:equalWidth="0" w:num="2">
            <w:col w:w="3056" w:space="720"/>
            <w:col w:w="7604"/>
          </w:cols>
          <w:pgMar w:left="240" w:top="274" w:right="279" w:bottom="1440" w:gutter="0" w:footer="0" w:header="0"/>
        </w:sectPr>
      </w:pPr>
    </w:p>
    <w:bookmarkStart w:id="38" w:name="page39"/>
    <w:bookmarkEnd w:id="38"/>
    <w:p>
      <w:pPr>
        <w:ind w:left="37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the sum of the present values of the principal amount of such 2024 Notes and the scheduled payments of interest thereon (not including any portion of such payments of interest accrued as of the date of redemption) from the date of redemption to March 15, 2024 (the date that is two months prior to the maturity date of the 2024 Notes), in each case discounted to the date of redemption on a semi-annual basis (assuming a 360-day year consisting of twelve 30-day months) at the Treasury Rate (as defined in the 2024 Notes), plus 10 basis points;</w:t>
      </w:r>
    </w:p>
    <w:p>
      <w:pPr>
        <w:spacing w:after="0" w:line="9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780" w:right="20"/>
        <w:spacing w:after="0" w:line="297" w:lineRule="auto"/>
        <w:rPr>
          <w:sz w:val="20"/>
          <w:szCs w:val="20"/>
          <w:color w:val="auto"/>
        </w:rPr>
      </w:pPr>
      <w:r>
        <w:rPr>
          <w:rFonts w:ascii="Arial" w:cs="Arial" w:eastAsia="Arial" w:hAnsi="Arial"/>
          <w:sz w:val="16"/>
          <w:szCs w:val="16"/>
          <w:color w:val="auto"/>
        </w:rPr>
        <w:t>At any time on or after March 15, 2024 (the date that is two months prior to the maturity date of the 2024 Notes), the Issuer may at its option redeem the 2024 Notes, in whole or in part at any time and from time to time, on at least 30 days, but not more than 60 days, prior notice mailed to the registered address of each holder of the 2024 Notes, at a redemption price equal to 100% of the principal amount of the 2024 Notes to be redeemed plus accrued interest thereon to the date of redemption.</w:t>
      </w:r>
    </w:p>
    <w:p>
      <w:pPr>
        <w:sectPr>
          <w:pgSz w:w="11900" w:h="16838" w:orient="portrait"/>
          <w:cols w:equalWidth="0" w:num="1">
            <w:col w:w="11380"/>
          </w:cols>
          <w:pgMar w:left="240" w:top="274" w:right="27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 xml:space="preserve">The terms of the 2024 Notes shall include such other terms as are set forth in the form of 2024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3060" w:space="720"/>
            <w:col w:w="7600"/>
          </w:cols>
          <w:pgMar w:left="240" w:top="274" w:right="279" w:bottom="1440" w:gutter="0" w:footer="0" w:header="0"/>
          <w:type w:val="continuous"/>
        </w:sectPr>
      </w:pPr>
    </w:p>
    <w:p>
      <w:pPr>
        <w:ind w:right="20" w:firstLine="456"/>
        <w:spacing w:after="0" w:line="255"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2021 Notes, or the 2024 Notes, as the case may be, issued on the issue date, other than with respect to the date of issuance and the issue price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xml:space="preserve">”).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type w:val="continuous"/>
        </w:sectPr>
      </w:pPr>
    </w:p>
    <w:bookmarkStart w:id="39" w:name="page40"/>
    <w:bookmarkEnd w:id="39"/>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0" w:name="page41"/>
    <w:bookmarkEnd w:id="40"/>
    <w:p>
      <w:pPr>
        <w:jc w:val="right"/>
        <w:ind w:right="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2021]</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2.750% Notes due 2021</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882508 AY0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US882508AY08</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$300,000,000</w:t>
      </w:r>
    </w:p>
    <w:p>
      <w:pPr>
        <w:spacing w:after="0" w:line="200" w:lineRule="exact"/>
        <w:rPr>
          <w:sz w:val="20"/>
          <w:szCs w:val="20"/>
          <w:color w:val="auto"/>
        </w:rPr>
      </w:pPr>
    </w:p>
    <w:p>
      <w:pPr>
        <w:sectPr>
          <w:pgSz w:w="11900" w:h="16838" w:orient="portrait"/>
          <w:cols w:equalWidth="0" w:num="2">
            <w:col w:w="8760" w:space="720"/>
            <w:col w:w="1940"/>
          </w:cols>
          <w:pgMar w:left="240" w:top="270" w:right="239" w:bottom="1440" w:gutter="0" w:footer="0" w:header="0"/>
          <w:type w:val="continuous"/>
        </w:sectPr>
      </w:pPr>
    </w:p>
    <w:p>
      <w:pPr>
        <w:spacing w:after="0" w:line="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$300,000,000 on March 12, 2021.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12 and September 12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12,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March 1 and September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A-2</w:t>
      </w:r>
    </w:p>
    <w:p>
      <w:pPr>
        <w:sectPr>
          <w:pgSz w:w="11900" w:h="16838" w:orient="portrait"/>
          <w:cols w:equalWidth="0" w:num="1">
            <w:col w:w="11420"/>
          </w:cols>
          <w:pgMar w:left="240" w:top="270" w:right="239" w:bottom="1440" w:gutter="0" w:footer="0" w:header="0"/>
          <w:type w:val="continuous"/>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-19050</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Alan C. Boyd</w:t>
      </w:r>
    </w:p>
    <w:p>
      <w:pPr>
        <w:spacing w:after="0" w:line="9"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 C. McFarling</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Mauri J. Cowen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274" w:right="1440"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2.750% Notes due 2021</w:t>
      </w:r>
    </w:p>
    <w:p>
      <w:pPr>
        <w:spacing w:after="0" w:line="2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promises to pay interest on the principal amount of this Note at the rate per annum described above. Cash interest on the Notes will accrue from March 12, 2017. Interest on this Note will be paid to but excluding the relevant Interest Payment Date. The Issuer will pay interest semi-annually in arrears on each Interest Payment Date, commencing on September 12, 2017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7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31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color w:val="auto"/>
        </w:rPr>
        <w:t>This Note is one of the 2.750% Notes due 2021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4, 2017,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inconsistent, the terms of the Indenture shall govern.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46" w:name="page47"/>
    <w:bookmarkEnd w:id="46"/>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Denominations; Transfer; Exchange.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3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rFonts w:ascii="Arial" w:cs="Arial" w:eastAsia="Arial" w:hAnsi="Arial"/>
          <w:sz w:val="18"/>
          <w:szCs w:val="18"/>
          <w:color w:val="auto"/>
        </w:rPr>
      </w:pPr>
    </w:p>
    <w:p>
      <w:pPr>
        <w:ind w:right="300" w:firstLine="464"/>
        <w:spacing w:after="0" w:line="277" w:lineRule="auto"/>
        <w:tabs>
          <w:tab w:leader="none" w:pos="7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any time before February 12, 2021, the Issuer may at its option redeem any of the Notes in whole or in part at any time, each at a redemption price calculated by the Issuer equal to the greater of:</w:t>
      </w:r>
    </w:p>
    <w:p>
      <w:pPr>
        <w:spacing w:after="0" w:line="170" w:lineRule="exact"/>
        <w:rPr>
          <w:sz w:val="20"/>
          <w:szCs w:val="20"/>
          <w:color w:val="auto"/>
        </w:rPr>
      </w:pPr>
    </w:p>
    <w:p>
      <w:pPr>
        <w:ind w:left="820" w:hanging="35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jc w:val="both"/>
        <w:ind w:right="100" w:firstLine="464"/>
        <w:spacing w:after="0" w:line="264" w:lineRule="auto"/>
        <w:tabs>
          <w:tab w:leader="none" w:pos="8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12.5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firstLine="464"/>
        <w:spacing w:after="0" w:line="277"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any time on or after February 12, 2021, the Issuer may at its option redeem any of the Notes in whole or in part at any time, each at a redemption price equal to 100% of the principal amount of the Notes to be redeemed plus accrued interest thereon to the date of redemption.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74" w:right="279" w:bottom="1440" w:gutter="0" w:footer="0" w:header="0"/>
        </w:sectPr>
      </w:pPr>
    </w:p>
    <w:bookmarkStart w:id="47" w:name="page48"/>
    <w:bookmarkEnd w:id="47"/>
    <w:p>
      <w:pPr>
        <w:jc w:val="both"/>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Merrill Lynch, Pierce, Fenner &amp; Smith Incorporated and Mizuho Securities USA Inc.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33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4" w:right="259" w:bottom="1440" w:gutter="0" w:footer="0" w:header="0"/>
        </w:sectPr>
      </w:pPr>
    </w:p>
    <w:bookmarkStart w:id="49" w:name="page50"/>
    <w:bookmarkEnd w:id="49"/>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Note thereof.</w:t>
      </w:r>
    </w:p>
    <w:p>
      <w:pPr>
        <w:spacing w:after="0" w:line="181"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9765"/>
          </w:cols>
          <w:pgMar w:left="694" w:top="27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860" w:type="dxa"/>
            <w:vAlign w:val="bottom"/>
            <w:gridSpan w:val="2"/>
          </w:tcPr>
          <w:p>
            <w:pPr>
              <w:ind w:left="14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97"/>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r>
        <w:trPr>
          <w:trHeight w:val="453"/>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2760" w:type="dxa"/>
            <w:vAlign w:val="bottom"/>
            <w:tcBorders>
              <w:bottom w:val="single" w:sz="8" w:color="auto"/>
            </w:tcBorders>
          </w:tcPr>
          <w:p>
            <w:pPr>
              <w:spacing w:after="0"/>
              <w:rPr>
                <w:sz w:val="24"/>
                <w:szCs w:val="24"/>
                <w:color w:val="auto"/>
              </w:rPr>
            </w:pPr>
          </w:p>
        </w:tc>
        <w:tc>
          <w:tcPr>
            <w:tcW w:w="6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203835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5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74" w:right="239" w:bottom="1440" w:gutter="0" w:footer="0" w:header="0"/>
        </w:sectPr>
      </w:pPr>
    </w:p>
    <w:bookmarkStart w:id="51" w:name="page52"/>
    <w:bookmarkEnd w:id="51"/>
    <w:p>
      <w:pPr>
        <w:ind w:left="4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0960"/>
          </w:cols>
          <w:pgMar w:left="240" w:top="274" w:right="69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vMerge w:val="restart"/>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 amount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440" w:type="dxa"/>
            <w:vAlign w:val="bottom"/>
            <w:gridSpan w:val="2"/>
            <w:vMerge w:val="continue"/>
          </w:tcPr>
          <w:p>
            <w:pPr>
              <w:spacing w:after="0"/>
              <w:rPr>
                <w:sz w:val="12"/>
                <w:szCs w:val="12"/>
                <w:color w:val="auto"/>
              </w:rPr>
            </w:pP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officer of</w:t>
            </w:r>
          </w:p>
        </w:tc>
        <w:tc>
          <w:tcPr>
            <w:tcW w:w="0" w:type="dxa"/>
            <w:vAlign w:val="bottom"/>
          </w:tcPr>
          <w:p>
            <w:pPr>
              <w:spacing w:after="0"/>
              <w:rPr>
                <w:sz w:val="1"/>
                <w:szCs w:val="1"/>
                <w:color w:val="auto"/>
              </w:rPr>
            </w:pPr>
          </w:p>
        </w:tc>
      </w:tr>
      <w:tr>
        <w:trPr>
          <w:trHeight w:val="185"/>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-8255</wp:posOffset>
            </wp:positionV>
            <wp:extent cx="666369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100"/>
            <w:col w:w="5880"/>
          </w:cols>
          <w:pgMar w:left="240" w:top="274" w:right="699" w:bottom="1440" w:gutter="0" w:footer="0" w:header="0"/>
          <w:type w:val="continuous"/>
        </w:sectPr>
      </w:pPr>
    </w:p>
    <w:p>
      <w:pPr>
        <w:spacing w:after="0" w:line="35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A-11</w:t>
      </w:r>
    </w:p>
    <w:p>
      <w:pPr>
        <w:sectPr>
          <w:pgSz w:w="11900" w:h="16838" w:orient="portrait"/>
          <w:cols w:equalWidth="0" w:num="1">
            <w:col w:w="10960"/>
          </w:cols>
          <w:pgMar w:left="240" w:top="274" w:right="69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2024]</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2.625% Notes due 2024</w:t>
      </w:r>
    </w:p>
    <w:p>
      <w:pPr>
        <w:sectPr>
          <w:pgSz w:w="11900" w:h="16838" w:orient="portrait"/>
          <w:cols w:equalWidth="0" w:num="1">
            <w:col w:w="11360"/>
          </w:cols>
          <w:pgMar w:left="240" w:top="270" w:right="29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CUSIP No.: 882508 BB9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ISIN  No.: US882508BB95</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$300,000,000</w:t>
      </w:r>
    </w:p>
    <w:p>
      <w:pPr>
        <w:spacing w:after="0" w:line="200" w:lineRule="exact"/>
        <w:rPr>
          <w:sz w:val="20"/>
          <w:szCs w:val="20"/>
          <w:color w:val="auto"/>
        </w:rPr>
      </w:pPr>
    </w:p>
    <w:p>
      <w:pPr>
        <w:sectPr>
          <w:pgSz w:w="11900" w:h="16838" w:orient="portrait"/>
          <w:cols w:equalWidth="0" w:num="2">
            <w:col w:w="6360" w:space="720"/>
            <w:col w:w="4280"/>
          </w:cols>
          <w:pgMar w:left="240" w:top="270" w:right="299" w:bottom="1440" w:gutter="0" w:footer="0" w:header="0"/>
          <w:type w:val="continuous"/>
        </w:sectPr>
      </w:pPr>
    </w:p>
    <w:p>
      <w:pPr>
        <w:spacing w:after="0" w:line="3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$300,000,000 on May 15, 2024.</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B-2</w:t>
      </w:r>
    </w:p>
    <w:p>
      <w:pPr>
        <w:sectPr>
          <w:pgSz w:w="11900" w:h="16838" w:orient="portrait"/>
          <w:cols w:equalWidth="0" w:num="1">
            <w:col w:w="11360"/>
          </w:cols>
          <w:pgMar w:left="240" w:top="270" w:right="299"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 C. McFarling</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Trustee</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Mauri J. Cowen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860"/>
          </w:cols>
          <w:pgMar w:left="240" w:top="274" w:right="7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2.625% Notes due 2024</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4, 2017. Interest on this Note will be paid to but excluding the relevant Interest Payment Date. The Issuer will pay interest semi-annually in arrears on each Interest Payment Date, commencing on November 15, 2017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31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This Note is one of the 2.625%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4, 2017,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inconsistent, the terms of the Indenture shall govern.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74" w:right="259" w:bottom="1440" w:gutter="0" w:footer="0" w:header="0"/>
        </w:sectPr>
      </w:pPr>
    </w:p>
    <w:bookmarkStart w:id="57" w:name="page58"/>
    <w:bookmarkEnd w:id="57"/>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Denominations; Transfer; Exchange.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3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rFonts w:ascii="Arial" w:cs="Arial" w:eastAsia="Arial" w:hAnsi="Arial"/>
          <w:sz w:val="18"/>
          <w:szCs w:val="18"/>
          <w:color w:val="auto"/>
        </w:rPr>
      </w:pPr>
    </w:p>
    <w:p>
      <w:pPr>
        <w:ind w:right="60" w:firstLine="464"/>
        <w:spacing w:after="0" w:line="264" w:lineRule="auto"/>
        <w:tabs>
          <w:tab w:leader="none" w:pos="701"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Prior to March 15, 2024 (the date that is two months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81" w:lineRule="exact"/>
        <w:rPr>
          <w:sz w:val="20"/>
          <w:szCs w:val="20"/>
          <w:color w:val="auto"/>
        </w:rPr>
      </w:pPr>
    </w:p>
    <w:p>
      <w:pPr>
        <w:ind w:left="820" w:hanging="35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140" w:firstLine="464"/>
        <w:spacing w:after="0" w:line="259" w:lineRule="auto"/>
        <w:tabs>
          <w:tab w:leader="none" w:pos="8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March 15, 2024 (the date that is two months prior to the maturity date of the Notes), in each case discounted to the date of redemption on a semi-annual basis (assuming a 360-day year consisting of twelve 30-day months) at the Treasury Rate (as defined below), plus 10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any time on or after March 15, 2024 (the date that is two months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74" w:right="239" w:bottom="1440" w:gutter="0" w:footer="0" w:header="0"/>
        </w:sectPr>
      </w:pPr>
    </w:p>
    <w:bookmarkStart w:id="58" w:name="page59"/>
    <w:bookmarkEnd w:id="58"/>
    <w:p>
      <w:pPr>
        <w:jc w:val="both"/>
        <w:ind w:right="1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and Morgan Stanley &amp; Co.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74" w:right="239" w:bottom="1440" w:gutter="0" w:footer="0" w:header="0"/>
        </w:sectPr>
      </w:pPr>
    </w:p>
    <w:bookmarkStart w:id="59" w:name="page60"/>
    <w:bookmarkEnd w:id="59"/>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74"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720" w:type="dxa"/>
            <w:vAlign w:val="bottom"/>
            <w:gridSpan w:val="3"/>
          </w:tcPr>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97"/>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Your Signature:</w:t>
            </w:r>
          </w:p>
        </w:tc>
        <w:tc>
          <w:tcPr>
            <w:tcW w:w="4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203835</wp:posOffset>
            </wp:positionV>
            <wp:extent cx="3404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5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4" w:right="239" w:bottom="1440" w:gutter="0" w:footer="0" w:header="0"/>
        </w:sectPr>
      </w:pPr>
    </w:p>
    <w:bookmarkStart w:id="61" w:name="page62"/>
    <w:bookmarkEnd w:id="61"/>
    <w:p>
      <w:pPr>
        <w:ind w:left="4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Amount of decrease in</w:t>
            </w:r>
          </w:p>
        </w:tc>
        <w:tc>
          <w:tcPr>
            <w:tcW w:w="360" w:type="dxa"/>
            <w:vAlign w:val="bottom"/>
          </w:tcPr>
          <w:p>
            <w:pPr>
              <w:spacing w:after="0"/>
              <w:rPr>
                <w:sz w:val="14"/>
                <w:szCs w:val="14"/>
                <w:color w:val="auto"/>
              </w:rPr>
            </w:pPr>
          </w:p>
        </w:tc>
        <w:tc>
          <w:tcPr>
            <w:tcW w:w="1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Amount of increase in</w:t>
            </w: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Principal amount of this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Global Note following</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Signature of authorized</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principal amount of this</w:t>
            </w:r>
          </w:p>
        </w:tc>
        <w:tc>
          <w:tcPr>
            <w:tcW w:w="3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such decrease (or</w:t>
            </w: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Global Note</w:t>
            </w:r>
          </w:p>
        </w:tc>
        <w:tc>
          <w:tcPr>
            <w:tcW w:w="360" w:type="dxa"/>
            <w:vAlign w:val="bottom"/>
          </w:tcPr>
          <w:p>
            <w:pPr>
              <w:spacing w:after="0"/>
              <w:rPr>
                <w:sz w:val="15"/>
                <w:szCs w:val="15"/>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Global Note</w:t>
            </w:r>
          </w:p>
        </w:tc>
        <w:tc>
          <w:tcPr>
            <w:tcW w:w="340" w:type="dxa"/>
            <w:vAlign w:val="bottom"/>
          </w:tcPr>
          <w:p>
            <w:pPr>
              <w:spacing w:after="0"/>
              <w:rPr>
                <w:sz w:val="15"/>
                <w:szCs w:val="15"/>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increase)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officer of Trustee</w:t>
            </w:r>
          </w:p>
        </w:tc>
        <w:tc>
          <w:tcPr>
            <w:tcW w:w="0" w:type="dxa"/>
            <w:vAlign w:val="bottom"/>
          </w:tcPr>
          <w:p>
            <w:pPr>
              <w:spacing w:after="0"/>
              <w:rPr>
                <w:sz w:val="1"/>
                <w:szCs w:val="1"/>
                <w:color w:val="auto"/>
              </w:rPr>
            </w:pPr>
          </w:p>
        </w:tc>
      </w:tr>
      <w:tr>
        <w:trPr>
          <w:trHeight w:val="203"/>
        </w:trPr>
        <w:tc>
          <w:tcPr>
            <w:tcW w:w="2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60"/>
          </w:cols>
          <w:pgMar w:left="240" w:top="274" w:right="69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420" w:space="720"/>
            <w:col w:w="22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820" w:type="dxa"/>
            <w:vAlign w:val="bottom"/>
          </w:tcPr>
          <w:p>
            <w:pPr>
              <w:ind w:left="580"/>
              <w:spacing w:after="0"/>
              <w:rPr>
                <w:sz w:val="20"/>
                <w:szCs w:val="20"/>
                <w:color w:val="auto"/>
              </w:rPr>
            </w:pPr>
            <w:r>
              <w:rPr>
                <w:rFonts w:ascii="Arial" w:cs="Arial" w:eastAsia="Arial" w:hAnsi="Arial"/>
                <w:sz w:val="18"/>
                <w:szCs w:val="18"/>
                <w:color w:val="auto"/>
                <w:w w:val="90"/>
              </w:rPr>
              <w:t>650 752 2000 tel</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1600 El Camino Real</w:t>
            </w:r>
          </w:p>
        </w:tc>
        <w:tc>
          <w:tcPr>
            <w:tcW w:w="1820" w:type="dxa"/>
            <w:vAlign w:val="bottom"/>
          </w:tcPr>
          <w:p>
            <w:pPr>
              <w:ind w:left="580"/>
              <w:spacing w:after="0"/>
              <w:rPr>
                <w:sz w:val="20"/>
                <w:szCs w:val="20"/>
                <w:color w:val="auto"/>
              </w:rPr>
            </w:pPr>
            <w:r>
              <w:rPr>
                <w:rFonts w:ascii="Arial" w:cs="Arial" w:eastAsia="Arial" w:hAnsi="Arial"/>
                <w:sz w:val="18"/>
                <w:szCs w:val="18"/>
                <w:color w:val="auto"/>
                <w:w w:val="87"/>
              </w:rPr>
              <w:t>650 752 2111 fax</w:t>
            </w:r>
          </w:p>
        </w:tc>
      </w:tr>
    </w:tbl>
    <w:p>
      <w:pPr>
        <w:spacing w:after="0"/>
        <w:rPr>
          <w:sz w:val="20"/>
          <w:szCs w:val="20"/>
          <w:color w:val="auto"/>
        </w:rPr>
      </w:pPr>
      <w:r>
        <w:rPr>
          <w:rFonts w:ascii="Arial" w:cs="Arial" w:eastAsia="Arial" w:hAnsi="Arial"/>
          <w:sz w:val="18"/>
          <w:szCs w:val="18"/>
          <w:color w:val="auto"/>
        </w:rPr>
        <w:t>Menlo Park, CA 94025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$300,000,000 aggregate principal amount of 2.750% Notes due 2021 (the “</w:t>
      </w:r>
      <w:r>
        <w:rPr>
          <w:rFonts w:ascii="Arial" w:cs="Arial" w:eastAsia="Arial" w:hAnsi="Arial"/>
          <w:sz w:val="16"/>
          <w:szCs w:val="16"/>
          <w:b w:val="1"/>
          <w:bCs w:val="1"/>
          <w:color w:val="auto"/>
        </w:rPr>
        <w:t>2021 Notes</w:t>
      </w:r>
      <w:r>
        <w:rPr>
          <w:rFonts w:ascii="Arial" w:cs="Arial" w:eastAsia="Arial" w:hAnsi="Arial"/>
          <w:sz w:val="16"/>
          <w:szCs w:val="16"/>
          <w:color w:val="auto"/>
        </w:rPr>
        <w:t>”) and $300,000,000 aggregate principal amount of 2.625% Notes due 2024 (the “</w:t>
      </w:r>
      <w:r>
        <w:rPr>
          <w:rFonts w:ascii="Arial" w:cs="Arial" w:eastAsia="Arial" w:hAnsi="Arial"/>
          <w:sz w:val="16"/>
          <w:szCs w:val="16"/>
          <w:b w:val="1"/>
          <w:bCs w:val="1"/>
          <w:color w:val="auto"/>
        </w:rPr>
        <w:t>2024 Notes</w:t>
      </w:r>
      <w:r>
        <w:rPr>
          <w:rFonts w:ascii="Arial" w:cs="Arial" w:eastAsia="Arial" w:hAnsi="Arial"/>
          <w:sz w:val="16"/>
          <w:szCs w:val="16"/>
          <w:color w:val="auto"/>
        </w:rPr>
        <w:t>” and, together with the 2021 Notes, the “</w:t>
      </w:r>
      <w:r>
        <w:rPr>
          <w:rFonts w:ascii="Arial" w:cs="Arial" w:eastAsia="Arial" w:hAnsi="Arial"/>
          <w:sz w:val="16"/>
          <w:szCs w:val="16"/>
          <w:b w:val="1"/>
          <w:bCs w:val="1"/>
          <w:color w:val="auto"/>
        </w:rPr>
        <w:t>Notes</w:t>
      </w:r>
      <w:r>
        <w:rPr>
          <w:rFonts w:ascii="Arial" w:cs="Arial" w:eastAsia="Arial" w:hAnsi="Arial"/>
          <w:sz w:val="16"/>
          <w:szCs w:val="16"/>
          <w:color w:val="auto"/>
        </w:rPr>
        <w:t>”) in an underwritten public offering pursuant to an underwriting agreement dated April 27, 2017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Citigroup Global Markets Inc., Morgan Stanley &amp; Co. LLC and MUFG Securities Americas Inc. (the “</w:t>
      </w:r>
      <w:r>
        <w:rPr>
          <w:rFonts w:ascii="Arial" w:cs="Arial" w:eastAsia="Arial" w:hAnsi="Arial"/>
          <w:sz w:val="16"/>
          <w:szCs w:val="16"/>
          <w:b w:val="1"/>
          <w:bCs w:val="1"/>
          <w:color w:val="auto"/>
        </w:rPr>
        <w:t>Representatives</w:t>
      </w:r>
      <w:r>
        <w:rPr>
          <w:rFonts w:ascii="Arial" w:cs="Arial" w:eastAsia="Arial" w:hAnsi="Arial"/>
          <w:sz w:val="16"/>
          <w:szCs w:val="16"/>
          <w:color w:val="auto"/>
        </w:rPr>
        <w:t>”), as representatives of the several underwriters listed in Schedule II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 Bank National Association, as Trustee, and an Officers’ Certificate to be issued pursuant thereto on or about May 4, 2017. The Company has filed with the Securities and Exchange Commission a Registration Statement on Form S-3 (File No. 333-209678,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Securities Act”), the offer and sale of certain securities, including the Notes. The 2021 Notes are to be a further issuance of and form a single series with the existing 2.750% Notes due 2021 issued by the Company on March 12, 2014.</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w:t>
      </w:r>
    </w:p>
    <w:p>
      <w:pPr>
        <w:sectPr>
          <w:pgSz w:w="11900" w:h="16838" w:orient="portrait"/>
          <w:cols w:equalWidth="0" w:num="1">
            <w:col w:w="11420"/>
          </w:cols>
          <w:pgMar w:left="240" w:top="121"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160" w:type="dxa"/>
            <w:vAlign w:val="bottom"/>
          </w:tcPr>
          <w:p>
            <w:pPr>
              <w:jc w:val="right"/>
              <w:ind w:right="2230"/>
              <w:spacing w:after="0"/>
              <w:rPr>
                <w:sz w:val="20"/>
                <w:szCs w:val="20"/>
                <w:color w:val="auto"/>
              </w:rPr>
            </w:pPr>
            <w:r>
              <w:rPr>
                <w:rFonts w:ascii="Arial" w:cs="Arial" w:eastAsia="Arial" w:hAnsi="Arial"/>
                <w:sz w:val="18"/>
                <w:szCs w:val="18"/>
                <w:color w:val="auto"/>
              </w:rPr>
              <w:t>2</w:t>
            </w:r>
          </w:p>
        </w:tc>
        <w:tc>
          <w:tcPr>
            <w:tcW w:w="3220" w:type="dxa"/>
            <w:vAlign w:val="bottom"/>
          </w:tcPr>
          <w:p>
            <w:pPr>
              <w:ind w:left="2300"/>
              <w:spacing w:after="0"/>
              <w:rPr>
                <w:sz w:val="20"/>
                <w:szCs w:val="20"/>
                <w:color w:val="auto"/>
              </w:rPr>
            </w:pPr>
            <w:r>
              <w:rPr>
                <w:rFonts w:ascii="Arial" w:cs="Arial" w:eastAsia="Arial" w:hAnsi="Arial"/>
                <w:sz w:val="18"/>
                <w:szCs w:val="18"/>
                <w:color w:val="auto"/>
                <w:w w:val="90"/>
              </w:rPr>
              <w:t>May 4, 2017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302" w:lineRule="auto"/>
        <w:rPr>
          <w:sz w:val="20"/>
          <w:szCs w:val="20"/>
          <w:color w:val="auto"/>
        </w:rPr>
      </w:pPr>
      <w:r>
        <w:rPr>
          <w:rFonts w:ascii="Arial" w:cs="Arial" w:eastAsia="Arial" w:hAnsi="Arial"/>
          <w:sz w:val="16"/>
          <w:szCs w:val="16"/>
          <w:color w:val="auto"/>
        </w:rPr>
        <w:t>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opinion expressed above, we have assumed that (i) the Registration Statement became effective upon filing with the Commission and such effectiveness shall not have been terminated or rescinded and (ii)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2" w:lineRule="exact"/>
        <w:rPr>
          <w:sz w:val="20"/>
          <w:szCs w:val="20"/>
          <w:color w:val="auto"/>
        </w:rPr>
      </w:pPr>
    </w:p>
    <w:p>
      <w:pPr>
        <w:ind w:right="80" w:firstLine="8"/>
        <w:spacing w:after="0" w:line="295"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public policy,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lowerRoman"/>
      <w:start w:val="6"/>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lowerRoman"/>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5"/>
    </w:lvl>
  </w:abstractNum>
  <w:abstractNum w:abstractNumId="12">
    <w:nsid w:val="75A2A8D4"/>
    <w:multiLevelType w:val="hybridMultilevel"/>
    <w:lvl w:ilvl="0">
      <w:lvlJc w:val="left"/>
      <w:lvlText w:val="%1."/>
      <w:numFmt w:val="decimal"/>
      <w:start w:val="6"/>
    </w:lvl>
    <w:lvl w:ilvl="1">
      <w:lvlJc w:val="left"/>
      <w:lvlText w:val="(%2)"/>
      <w:numFmt w:val="lowerLetter"/>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Letter"/>
      <w:start w:val="2"/>
    </w:lvl>
  </w:abstractNum>
  <w:abstractNum w:abstractNumId="15">
    <w:nsid w:val="4353D0CD"/>
    <w:multiLevelType w:val="hybridMultilevel"/>
    <w:lvl w:ilvl="0">
      <w:lvlJc w:val="left"/>
      <w:lvlText w:val="%1."/>
      <w:numFmt w:val="decimal"/>
      <w:start w:val="7"/>
    </w:lvl>
  </w:abstractNum>
  <w:abstractNum w:abstractNumId="16">
    <w:nsid w:val="B03E0C6"/>
    <w:multiLevelType w:val="hybridMultilevel"/>
    <w:lvl w:ilvl="0">
      <w:lvlJc w:val="left"/>
      <w:lvlText w:val="%1."/>
      <w:numFmt w:val="decimal"/>
      <w:start w:val="8"/>
    </w:lvl>
  </w:abstractNum>
  <w:abstractNum w:abstractNumId="17">
    <w:nsid w:val="189A769B"/>
    <w:multiLevelType w:val="hybridMultilevel"/>
    <w:lvl w:ilvl="0">
      <w:lvlJc w:val="left"/>
      <w:lvlText w:val="%1."/>
      <w:numFmt w:val="decimal"/>
      <w:start w:val="9"/>
    </w:lvl>
  </w:abstractNum>
  <w:abstractNum w:abstractNumId="18">
    <w:nsid w:val="54E49EB4"/>
    <w:multiLevelType w:val="hybridMultilevel"/>
    <w:lvl w:ilvl="0">
      <w:lvlJc w:val="left"/>
      <w:lvlText w:val="%1."/>
      <w:numFmt w:val="decimal"/>
      <w:start w:val="10"/>
    </w:lvl>
  </w:abstractNum>
  <w:abstractNum w:abstractNumId="19">
    <w:nsid w:val="71F32454"/>
    <w:multiLevelType w:val="hybridMultilevel"/>
    <w:lvl w:ilvl="0">
      <w:lvlJc w:val="left"/>
      <w:lvlText w:val="%1."/>
      <w:numFmt w:val="decimal"/>
      <w:start w:val="1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2"/>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decimal"/>
      <w:start w:val="5"/>
    </w:lvl>
  </w:abstractNum>
  <w:abstractNum w:abstractNumId="25">
    <w:nsid w:val="1E7FF521"/>
    <w:multiLevelType w:val="hybridMultilevel"/>
    <w:lvl w:ilvl="0">
      <w:lvlJc w:val="left"/>
      <w:lvlText w:val="%1."/>
      <w:numFmt w:val="decimal"/>
      <w:start w:val="6"/>
    </w:lvl>
    <w:lvl w:ilvl="1">
      <w:lvlJc w:val="left"/>
      <w:lvlText w:val="(%2)"/>
      <w:numFmt w:val="lowerLetter"/>
      <w:start w:val="1"/>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decimal"/>
      <w:start w:val="7"/>
    </w:lvl>
  </w:abstractNum>
  <w:abstractNum w:abstractNumId="29">
    <w:nsid w:val="22221A70"/>
    <w:multiLevelType w:val="hybridMultilevel"/>
    <w:lvl w:ilvl="0">
      <w:lvlJc w:val="left"/>
      <w:lvlText w:val="%1."/>
      <w:numFmt w:val="decimal"/>
      <w:start w:val="8"/>
    </w:lvl>
  </w:abstractNum>
  <w:abstractNum w:abstractNumId="30">
    <w:nsid w:val="4516DDE9"/>
    <w:multiLevelType w:val="hybridMultilevel"/>
    <w:lvl w:ilvl="0">
      <w:lvlJc w:val="left"/>
      <w:lvlText w:val="%1."/>
      <w:numFmt w:val="decimal"/>
      <w:start w:val="9"/>
    </w:lvl>
  </w:abstractNum>
  <w:abstractNum w:abstractNumId="31">
    <w:nsid w:val="3006C83E"/>
    <w:multiLevelType w:val="hybridMultilevel"/>
    <w:lvl w:ilvl="0">
      <w:lvlJc w:val="left"/>
      <w:lvlText w:val="%1."/>
      <w:numFmt w:val="decimal"/>
      <w:start w:val="10"/>
    </w:lvl>
  </w:abstractNum>
  <w:abstractNum w:abstractNumId="32">
    <w:nsid w:val="614FD4A1"/>
    <w:multiLevelType w:val="hybridMultilevel"/>
    <w:lvl w:ilvl="0">
      <w:lvlJc w:val="left"/>
      <w:lvlText w:val="%1."/>
      <w:numFmt w:val="decimal"/>
      <w:start w:val="11"/>
    </w:lvl>
  </w:abstractNum>
  <w:abstractNum w:abstractNumId="33">
    <w:nsid w:val="419AC241"/>
    <w:multiLevelType w:val="hybridMultilevel"/>
    <w:lvl w:ilvl="0">
      <w:lvlJc w:val="left"/>
      <w:lvlText w:val="(%1)"/>
      <w:numFmt w:val="lowerRoman"/>
      <w:start w:val="5"/>
    </w:lvl>
  </w:abstractNum>
  <w:abstractNum w:abstractNumId="34">
    <w:nsid w:val="5577F8E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2019-12-05T07:26:00Z</dcterms:created>
  <dcterms:modified xsi:type="dcterms:W3CDTF">2019-12-05T07:26:00Z</dcterms:modified>
</cp:coreProperties>
</file>