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213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213725"/>
                    </a:xfrm>
                    <a:prstGeom prst="rect">
                      <a:avLst/>
                    </a:prstGeom>
                    <a:noFill/>
                  </pic:spPr>
                </pic:pic>
              </a:graphicData>
            </a:graphic>
          </wp:anchor>
        </w:drawing>
      </w:r>
    </w:p>
    <w:p>
      <w:pPr>
        <w:spacing w:after="0" w:line="1243" w:lineRule="exact"/>
        <w:rPr>
          <w:sz w:val="24"/>
          <w:szCs w:val="24"/>
          <w:color w:val="auto"/>
        </w:rPr>
      </w:pPr>
    </w:p>
    <w:p>
      <w:pPr>
        <w:sectPr>
          <w:pgSz w:w="11900" w:h="16866"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TEMPLETON RICHARD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0000FF"/>
        </w:rPr>
        <w:t>Chairman</w:t>
      </w:r>
    </w:p>
    <w:p>
      <w:pPr>
        <w:spacing w:after="0" w:line="277" w:lineRule="exact"/>
        <w:rPr>
          <w:sz w:val="24"/>
          <w:szCs w:val="24"/>
          <w:color w:val="auto"/>
        </w:rPr>
      </w:pPr>
    </w:p>
    <w:p>
      <w:pPr>
        <w:sectPr>
          <w:pgSz w:w="11900" w:h="16866" w:orient="portrait"/>
          <w:cols w:equalWidth="0" w:num="3">
            <w:col w:w="3200" w:space="720"/>
            <w:col w:w="3200" w:space="620"/>
            <w:col w:w="3340"/>
          </w:cols>
          <w:pgMar w:left="460" w:top="217" w:right="359" w:bottom="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460" w:type="dxa"/>
            <w:vAlign w:val="bottom"/>
            <w:gridSpan w:val="7"/>
            <w:vMerge w:val="restart"/>
          </w:tcPr>
          <w:p>
            <w:pPr>
              <w:jc w:val="center"/>
              <w:ind w:left="56"/>
              <w:spacing w:after="0"/>
              <w:rPr>
                <w:sz w:val="20"/>
                <w:szCs w:val="20"/>
                <w:color w:val="auto"/>
              </w:rPr>
            </w:pPr>
            <w:r>
              <w:rPr>
                <w:rFonts w:ascii="Arial" w:cs="Arial" w:eastAsia="Arial" w:hAnsi="Arial"/>
                <w:sz w:val="13"/>
                <w:szCs w:val="13"/>
                <w:color w:val="auto"/>
                <w:w w:val="98"/>
              </w:rPr>
              <w:t>4. If Amendment, Date of Original Filed (Month/Day/Year)</w:t>
            </w:r>
          </w:p>
        </w:tc>
        <w:tc>
          <w:tcPr>
            <w:tcW w:w="140" w:type="dxa"/>
            <w:vAlign w:val="bottom"/>
          </w:tcPr>
          <w:p>
            <w:pPr>
              <w:spacing w:after="0"/>
              <w:rPr>
                <w:sz w:val="2"/>
                <w:szCs w:val="2"/>
                <w:color w:val="auto"/>
              </w:rPr>
            </w:pPr>
          </w:p>
        </w:tc>
        <w:tc>
          <w:tcPr>
            <w:tcW w:w="372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6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37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6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50"/>
              <w:spacing w:after="0" w:line="129"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506,089</w:t>
            </w:r>
          </w:p>
        </w:tc>
        <w:tc>
          <w:tcPr>
            <w:tcW w:w="260" w:type="dxa"/>
            <w:vAlign w:val="bottom"/>
          </w:tcPr>
          <w:p>
            <w:pPr>
              <w:spacing w:after="0"/>
              <w:rPr>
                <w:sz w:val="22"/>
                <w:szCs w:val="22"/>
                <w:color w:val="auto"/>
              </w:rPr>
            </w:pPr>
          </w:p>
        </w:tc>
        <w:tc>
          <w:tcPr>
            <w:tcW w:w="660" w:type="dxa"/>
            <w:vAlign w:val="bottom"/>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1,887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198.9946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504,202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33,120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200.0571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471,082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49,762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200.9462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421,320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12,231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201.8649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409,089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02/26/2025</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506,089</w:t>
            </w:r>
          </w:p>
        </w:tc>
        <w:tc>
          <w:tcPr>
            <w:tcW w:w="260" w:type="dxa"/>
            <w:vAlign w:val="bottom"/>
          </w:tcPr>
          <w:p>
            <w:pPr>
              <w:spacing w:after="0"/>
              <w:rPr>
                <w:sz w:val="22"/>
                <w:szCs w:val="22"/>
                <w:color w:val="auto"/>
              </w:rPr>
            </w:pPr>
          </w:p>
        </w:tc>
        <w:tc>
          <w:tcPr>
            <w:tcW w:w="660" w:type="dxa"/>
            <w:vAlign w:val="bottom"/>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15,018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196.5514</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491,071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44,291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197.4544</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446,780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34,966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198.3533</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411,814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6"/>
              <w:spacing w:after="0"/>
              <w:rPr>
                <w:sz w:val="20"/>
                <w:szCs w:val="20"/>
                <w:color w:val="auto"/>
              </w:rPr>
            </w:pPr>
            <w:r>
              <w:rPr>
                <w:rFonts w:ascii="Times New Roman" w:cs="Times New Roman" w:eastAsia="Times New Roman" w:hAnsi="Times New Roman"/>
                <w:sz w:val="17"/>
                <w:szCs w:val="17"/>
                <w:color w:val="0000FF"/>
              </w:rPr>
              <w:t>02/26/2025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2,725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199.1506</w:t>
            </w:r>
            <w:r>
              <w:rPr>
                <w:rFonts w:ascii="Times New Roman" w:cs="Times New Roman" w:eastAsia="Times New Roman" w:hAnsi="Times New Roman"/>
                <w:sz w:val="21"/>
                <w:szCs w:val="21"/>
                <w:color w:val="008000"/>
                <w:w w:val="93"/>
                <w:vertAlign w:val="superscript"/>
              </w:rPr>
              <w:t>(8)</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409,089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5"/>
              </w:rPr>
              <w:t>307.94</w:t>
            </w:r>
            <w:r>
              <w:rPr>
                <w:rFonts w:ascii="Times New Roman" w:cs="Times New Roman" w:eastAsia="Times New Roman" w:hAnsi="Times New Roman"/>
                <w:sz w:val="21"/>
                <w:szCs w:val="21"/>
                <w:color w:val="008000"/>
                <w:w w:val="95"/>
                <w:vertAlign w:val="superscript"/>
              </w:rPr>
              <w:t>(9)</w:t>
            </w:r>
          </w:p>
        </w:tc>
        <w:tc>
          <w:tcPr>
            <w:tcW w:w="260" w:type="dxa"/>
            <w:vAlign w:val="bottom"/>
          </w:tcPr>
          <w:p>
            <w:pPr>
              <w:spacing w:after="0"/>
              <w:rPr>
                <w:sz w:val="21"/>
                <w:szCs w:val="21"/>
                <w:color w:val="auto"/>
              </w:rPr>
            </w:pPr>
          </w:p>
        </w:tc>
        <w:tc>
          <w:tcPr>
            <w:tcW w:w="66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1"/>
              </w:rPr>
              <w:t>12,681.05</w:t>
            </w:r>
            <w:r>
              <w:rPr>
                <w:rFonts w:ascii="Times New Roman" w:cs="Times New Roman" w:eastAsia="Times New Roman" w:hAnsi="Times New Roman"/>
                <w:sz w:val="21"/>
                <w:szCs w:val="21"/>
                <w:color w:val="008000"/>
                <w:w w:val="91"/>
                <w:vertAlign w:val="superscript"/>
              </w:rPr>
              <w:t>(10)</w:t>
            </w:r>
          </w:p>
        </w:tc>
        <w:tc>
          <w:tcPr>
            <w:tcW w:w="260" w:type="dxa"/>
            <w:vAlign w:val="bottom"/>
          </w:tcPr>
          <w:p>
            <w:pPr>
              <w:spacing w:after="0"/>
              <w:rPr>
                <w:sz w:val="21"/>
                <w:szCs w:val="21"/>
                <w:color w:val="auto"/>
              </w:rPr>
            </w:pPr>
          </w:p>
        </w:tc>
        <w:tc>
          <w:tcPr>
            <w:tcW w:w="66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1"/>
              </w:rPr>
              <w:t>48,840</w:t>
            </w:r>
            <w:r>
              <w:rPr>
                <w:rFonts w:ascii="Times New Roman" w:cs="Times New Roman" w:eastAsia="Times New Roman" w:hAnsi="Times New Roman"/>
                <w:sz w:val="21"/>
                <w:szCs w:val="21"/>
                <w:color w:val="008000"/>
                <w:w w:val="91"/>
                <w:vertAlign w:val="superscript"/>
              </w:rPr>
              <w:t>(11)</w:t>
            </w:r>
          </w:p>
        </w:tc>
        <w:tc>
          <w:tcPr>
            <w:tcW w:w="260" w:type="dxa"/>
            <w:vAlign w:val="bottom"/>
          </w:tcPr>
          <w:p>
            <w:pPr>
              <w:spacing w:after="0"/>
              <w:rPr>
                <w:sz w:val="21"/>
                <w:szCs w:val="21"/>
                <w:color w:val="auto"/>
              </w:rPr>
            </w:pPr>
          </w:p>
        </w:tc>
        <w:tc>
          <w:tcPr>
            <w:tcW w:w="66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8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6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52.93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02/25/2025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97,000</w:t>
            </w: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01/29/2026</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97,000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198,557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2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52.93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02/26/2025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97,000</w:t>
            </w: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01/29/2026</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97,000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101,557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2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$198.5 to $199.29.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$199.52 to $200.515. The Issuer undertakes to provide upon request a detailed breakout of the sale prices and the</w:t>
      </w:r>
    </w:p>
    <w:p>
      <w:pPr>
        <w:sectPr>
          <w:pgSz w:w="11900" w:h="16866"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number of shares sold at each price.</w:t>
      </w:r>
    </w:p>
    <w:p>
      <w:pPr>
        <w:spacing w:after="0" w:line="44" w:lineRule="exact"/>
        <w:rPr>
          <w:sz w:val="20"/>
          <w:szCs w:val="20"/>
          <w:color w:val="auto"/>
        </w:rPr>
      </w:pPr>
    </w:p>
    <w:p>
      <w:pPr>
        <w:ind w:right="12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$200.52 to $201.51.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20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$201.52 to $202.5.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$195.98 to $196.9775.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$196.98 to $197.975.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$197.98 to $198.975.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$198.98 to $199.335.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14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12/31/2024. (Interests in this account are denominated in units. Consequently, share amount shown is an estimate.) This statement does not include changes in beneficial ownership of shares held in this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right="20" w:firstLine="2"/>
        <w:spacing w:after="0" w:line="255"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12/31/2024. (Interests in this account are denominated in units. Consequently, share amount shown is an estimate.) This statement does not include changes in beneficial ownership of shares held in such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29, 2017.</w:t>
      </w: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Leslie Mba, Attorney in Fact 02/27/2025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4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2025-02-27T16:46:07Z</dcterms:created>
  <dcterms:modified xsi:type="dcterms:W3CDTF">2025-02-27T16:46:07Z</dcterms:modified>
</cp:coreProperties>
</file>