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tabs>
          <w:tab w:leader="none" w:pos="5040" w:val="left"/>
        </w:tabs>
        <w:rPr>
          <w:sz w:val="20"/>
          <w:szCs w:val="20"/>
          <w:color w:val="auto"/>
        </w:rPr>
      </w:pPr>
      <w:r>
        <w:rPr>
          <w:rFonts w:ascii="Courier New" w:cs="Courier New" w:eastAsia="Courier New" w:hAnsi="Courier New"/>
          <w:sz w:val="18"/>
          <w:szCs w:val="18"/>
          <w:color w:val="auto"/>
        </w:rPr>
        <w:t>Prospectus Supplement</w:t>
      </w:r>
      <w:r>
        <w:rPr>
          <w:sz w:val="20"/>
          <w:szCs w:val="20"/>
          <w:color w:val="auto"/>
        </w:rPr>
        <w:tab/>
      </w:r>
      <w:r>
        <w:rPr>
          <w:rFonts w:ascii="Courier New" w:cs="Courier New" w:eastAsia="Courier New" w:hAnsi="Courier New"/>
          <w:sz w:val="16"/>
          <w:szCs w:val="16"/>
          <w:color w:val="auto"/>
        </w:rPr>
        <w:t>Filed Pursuant to Rule 424(b)(4)</w:t>
      </w:r>
    </w:p>
    <w:p>
      <w:pPr>
        <w:spacing w:after="0"/>
        <w:tabs>
          <w:tab w:leader="none" w:pos="5360" w:val="left"/>
        </w:tabs>
        <w:rPr>
          <w:sz w:val="20"/>
          <w:szCs w:val="20"/>
          <w:color w:val="auto"/>
        </w:rPr>
      </w:pPr>
      <w:r>
        <w:rPr>
          <w:rFonts w:ascii="Courier New" w:cs="Courier New" w:eastAsia="Courier New" w:hAnsi="Courier New"/>
          <w:sz w:val="18"/>
          <w:szCs w:val="18"/>
          <w:color w:val="auto"/>
        </w:rPr>
        <w:t>To Prospectus Dated January 4, 2001</w:t>
      </w:r>
      <w:r>
        <w:rPr>
          <w:sz w:val="20"/>
          <w:szCs w:val="20"/>
          <w:color w:val="auto"/>
        </w:rPr>
        <w:tab/>
      </w:r>
      <w:r>
        <w:rPr>
          <w:rFonts w:ascii="Courier New" w:cs="Courier New" w:eastAsia="Courier New" w:hAnsi="Courier New"/>
          <w:sz w:val="16"/>
          <w:szCs w:val="16"/>
          <w:color w:val="auto"/>
        </w:rPr>
        <w:t>Registration No. 333-44572-01</w:t>
      </w:r>
    </w:p>
    <w:p>
      <w:pPr>
        <w:ind w:left="7180"/>
        <w:spacing w:after="0" w:line="237" w:lineRule="auto"/>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pacing w:after="0" w:line="204"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200"/>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0" w:firstLine="1896"/>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300" w:firstLine="1896"/>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PRINCIPAL</w:t>
      </w:r>
    </w:p>
    <w:p>
      <w:pPr>
        <w:jc w:val="center"/>
        <w:ind w:right="100"/>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100"/>
        <w:spacing w:after="0"/>
        <w:rPr>
          <w:sz w:val="20"/>
          <w:szCs w:val="20"/>
          <w:color w:val="auto"/>
        </w:rPr>
      </w:pPr>
      <w:r>
        <w:rPr>
          <w:rFonts w:ascii="Courier New" w:cs="Courier New" w:eastAsia="Courier New" w:hAnsi="Courier New"/>
          <w:sz w:val="18"/>
          <w:szCs w:val="18"/>
          <w:color w:val="auto"/>
        </w:rPr>
        <w:t>MATURITY OF</w:t>
      </w:r>
    </w:p>
    <w:p>
      <w:pPr>
        <w:ind w:left="4120"/>
        <w:spacing w:after="0" w:line="237" w:lineRule="auto"/>
        <w:tabs>
          <w:tab w:leader="none" w:pos="72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8"/>
          <w:szCs w:val="18"/>
          <w:color w:val="auto"/>
        </w:rPr>
        <w:t>SHARES OF</w:t>
      </w:r>
    </w:p>
    <w:p>
      <w:pPr>
        <w:jc w:val="both"/>
        <w:ind w:left="3700"/>
        <w:spacing w:after="0"/>
        <w:tabs>
          <w:tab w:leader="none" w:pos="526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PERCENTAGE OF</w:t>
      </w:r>
      <w:r>
        <w:rPr>
          <w:sz w:val="20"/>
          <w:szCs w:val="20"/>
          <w:color w:val="auto"/>
        </w:rPr>
        <w:tab/>
      </w:r>
      <w:r>
        <w:rPr>
          <w:rFonts w:ascii="Courier New" w:cs="Courier New" w:eastAsia="Courier New" w:hAnsi="Courier New"/>
          <w:sz w:val="16"/>
          <w:szCs w:val="16"/>
          <w:color w:val="auto"/>
        </w:rPr>
        <w:t>COMMON STOCK</w:t>
      </w:r>
    </w:p>
    <w:p>
      <w:pPr>
        <w:ind w:left="3800"/>
        <w:spacing w:after="0"/>
        <w:tabs>
          <w:tab w:leader="none" w:pos="5680" w:val="left"/>
          <w:tab w:leader="none" w:pos="7360" w:val="left"/>
        </w:tabs>
        <w:rPr>
          <w:sz w:val="20"/>
          <w:szCs w:val="20"/>
          <w:color w:val="auto"/>
        </w:rPr>
      </w:pPr>
      <w:r>
        <w:rPr>
          <w:rFonts w:ascii="Courier New" w:cs="Courier New" w:eastAsia="Courier New" w:hAnsi="Courier New"/>
          <w:sz w:val="18"/>
          <w:szCs w:val="18"/>
          <w:color w:val="auto"/>
        </w:rPr>
        <w:t>OWNED THAT</w:t>
      </w:r>
      <w:r>
        <w:rPr>
          <w:sz w:val="20"/>
          <w:szCs w:val="20"/>
          <w:color w:val="auto"/>
        </w:rPr>
        <w:tab/>
      </w: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THAT MAY</w:t>
      </w:r>
    </w:p>
    <w:p>
      <w:pPr>
        <w:spacing w:after="0"/>
        <w:tabs>
          <w:tab w:leader="none" w:pos="3780" w:val="left"/>
          <w:tab w:leader="none" w:pos="5360" w:val="left"/>
          <w:tab w:leader="none" w:pos="7260" w:val="left"/>
        </w:tabs>
        <w:rPr>
          <w:sz w:val="20"/>
          <w:szCs w:val="20"/>
          <w:color w:val="auto"/>
        </w:rPr>
      </w:pPr>
      <w:r>
        <w:rPr>
          <w:rFonts w:ascii="Courier New" w:cs="Courier New" w:eastAsia="Courier New" w:hAnsi="Courier New"/>
          <w:sz w:val="18"/>
          <w:szCs w:val="18"/>
          <w:color w:val="auto"/>
        </w:rPr>
        <w:t>NAME OF SELLING SECURITYHOLDER</w:t>
      </w:r>
      <w:r>
        <w:rPr>
          <w:sz w:val="20"/>
          <w:szCs w:val="20"/>
          <w:color w:val="auto"/>
        </w:rPr>
        <w:tab/>
      </w:r>
      <w:r>
        <w:rPr>
          <w:rFonts w:ascii="Courier New" w:cs="Courier New" w:eastAsia="Courier New" w:hAnsi="Courier New"/>
          <w:sz w:val="18"/>
          <w:szCs w:val="18"/>
          <w:color w:val="auto"/>
        </w:rPr>
        <w:t>MAY BE SOLD</w:t>
      </w:r>
      <w:r>
        <w:rPr>
          <w:sz w:val="20"/>
          <w:szCs w:val="20"/>
          <w:color w:val="auto"/>
        </w:rPr>
        <w:tab/>
      </w: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BE SOLD(1)</w:t>
      </w:r>
    </w:p>
    <w:p>
      <w:pPr>
        <w:spacing w:after="0"/>
        <w:tabs>
          <w:tab w:leader="none" w:pos="3880" w:val="left"/>
          <w:tab w:leader="none" w:pos="5460" w:val="left"/>
          <w:tab w:leader="none" w:pos="7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tabs>
          <w:tab w:leader="none" w:pos="4200" w:val="left"/>
          <w:tab w:leader="none" w:pos="5880" w:val="left"/>
          <w:tab w:leader="none" w:pos="7780" w:val="left"/>
        </w:tabs>
        <w:rPr>
          <w:sz w:val="20"/>
          <w:szCs w:val="20"/>
          <w:color w:val="auto"/>
        </w:rPr>
      </w:pPr>
      <w:r>
        <w:rPr>
          <w:rFonts w:ascii="Courier New" w:cs="Courier New" w:eastAsia="Courier New" w:hAnsi="Courier New"/>
          <w:sz w:val="18"/>
          <w:szCs w:val="18"/>
          <w:color w:val="auto"/>
        </w:rPr>
        <w:t>Goldman Sachs and Company</w:t>
      </w:r>
      <w:r>
        <w:rPr>
          <w:sz w:val="20"/>
          <w:szCs w:val="20"/>
          <w:color w:val="auto"/>
        </w:rPr>
        <w:tab/>
      </w:r>
      <w:r>
        <w:rPr>
          <w:rFonts w:ascii="Courier New" w:cs="Courier New" w:eastAsia="Courier New" w:hAnsi="Courier New"/>
          <w:sz w:val="18"/>
          <w:szCs w:val="18"/>
          <w:color w:val="auto"/>
        </w:rPr>
        <w:t>$100,000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2,250</w:t>
      </w:r>
    </w:p>
    <w:p>
      <w:pPr>
        <w:spacing w:after="0"/>
        <w:tabs>
          <w:tab w:leader="none" w:pos="4100" w:val="left"/>
          <w:tab w:leader="none" w:pos="5880" w:val="left"/>
          <w:tab w:leader="none" w:pos="7680" w:val="left"/>
        </w:tabs>
        <w:rPr>
          <w:sz w:val="20"/>
          <w:szCs w:val="20"/>
          <w:color w:val="auto"/>
        </w:rPr>
      </w:pPr>
      <w:r>
        <w:rPr>
          <w:rFonts w:ascii="Courier New" w:cs="Courier New" w:eastAsia="Courier New" w:hAnsi="Courier New"/>
          <w:sz w:val="18"/>
          <w:szCs w:val="18"/>
          <w:color w:val="auto"/>
        </w:rPr>
        <w:t>Pacific Life Insurance Company</w:t>
      </w:r>
      <w:r>
        <w:rPr>
          <w:sz w:val="20"/>
          <w:szCs w:val="20"/>
          <w:color w:val="auto"/>
        </w:rPr>
        <w:tab/>
      </w:r>
      <w:r>
        <w:rPr>
          <w:rFonts w:ascii="Courier New" w:cs="Courier New" w:eastAsia="Courier New" w:hAnsi="Courier New"/>
          <w:sz w:val="18"/>
          <w:szCs w:val="18"/>
          <w:color w:val="auto"/>
        </w:rPr>
        <w:t>1,000,000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22,497</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960" w:right="420" w:hanging="952"/>
        <w:spacing w:after="0" w:line="27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200"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1,734,305,703 shares of Texas Instruments common stock issued and outstanding as of February 7, 2001.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4"/>
          <w:szCs w:val="24"/>
          <w:color w:val="auto"/>
        </w:rPr>
      </w:pPr>
    </w:p>
    <w:p>
      <w:pPr>
        <w:ind w:right="300"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pacing w:after="0" w:line="208" w:lineRule="exact"/>
        <w:rPr>
          <w:sz w:val="24"/>
          <w:szCs w:val="24"/>
          <w:color w:val="auto"/>
        </w:rPr>
      </w:pPr>
    </w:p>
    <w:p>
      <w:pPr>
        <w:ind w:right="200"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February 16,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PERCENTAGE OF</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OUTSTANDING (2)</w:t>
      </w:r>
    </w:p>
    <w:p>
      <w:pPr>
        <w:spacing w:after="0" w:line="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2">
        <w:col w:w="8640" w:space="420"/>
        <w:col w:w="1800"/>
      </w:cols>
      <w:pgMar w:left="240" w:top="24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2019-12-13T07:32:16Z</dcterms:created>
  <dcterms:modified xsi:type="dcterms:W3CDTF">2019-12-13T07:32:16Z</dcterms:modified>
</cp:coreProperties>
</file>