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695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695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HEACOCK DAVID 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01/23/2014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00" w:space="689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01/23/2014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28,352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197,302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20" w:type="dxa"/>
            <w:vAlign w:val="bottom"/>
            <w:gridSpan w:val="1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44.09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01/23/2014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153,748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01/23/2024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153,748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153,748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pursuant to 2009 Long-Term Incentive Plan.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23, 2015.</w:t>
      </w:r>
    </w:p>
    <w:p>
      <w:pPr>
        <w:ind w:left="686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Daniel M. Drory, Attorney In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01/27/2014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-27940</wp:posOffset>
            </wp:positionV>
            <wp:extent cx="141541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54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-17780</wp:posOffset>
            </wp:positionV>
            <wp:extent cx="187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5808345</wp:posOffset>
            </wp:positionH>
            <wp:positionV relativeFrom="paragraph">
              <wp:posOffset>-85090</wp:posOffset>
            </wp:positionV>
            <wp:extent cx="4972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96846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2019-12-17T02:27:41Z</dcterms:created>
  <dcterms:modified xsi:type="dcterms:W3CDTF">2019-12-17T02:27:41Z</dcterms:modified>
</cp:coreProperties>
</file>