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4939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3966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Bluedorn Todd M</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01/26/2023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200" w:space="720"/>
            <w:col w:w="3220" w:space="603"/>
            <w:col w:w="3337"/>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8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75243</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6"/>
              <w:spacing w:after="0"/>
              <w:rPr>
                <w:sz w:val="20"/>
                <w:szCs w:val="20"/>
                <w:color w:val="auto"/>
              </w:rPr>
            </w:pPr>
            <w:r>
              <w:rPr>
                <w:rFonts w:ascii="Arial" w:cs="Arial" w:eastAsia="Arial" w:hAnsi="Arial"/>
                <w:sz w:val="17"/>
                <w:szCs w:val="17"/>
                <w:color w:val="0000FF"/>
                <w:w w:val="89"/>
              </w:rPr>
              <w:t>01/26/2023</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line="312" w:lineRule="exact"/>
              <w:rPr>
                <w:sz w:val="20"/>
                <w:szCs w:val="20"/>
                <w:color w:val="auto"/>
              </w:rPr>
            </w:pPr>
            <w:r>
              <w:rPr>
                <w:rFonts w:ascii="Arial" w:cs="Arial" w:eastAsia="Arial" w:hAnsi="Arial"/>
                <w:sz w:val="33"/>
                <w:szCs w:val="33"/>
                <w:color w:val="0000FF"/>
                <w:vertAlign w:val="subscript"/>
              </w:rPr>
              <w:t>574</w:t>
            </w:r>
            <w:r>
              <w:rPr>
                <w:rFonts w:ascii="Arial" w:cs="Arial" w:eastAsia="Arial" w:hAnsi="Arial"/>
                <w:sz w:val="11"/>
                <w:szCs w:val="11"/>
                <w:color w:val="008000"/>
              </w:rPr>
              <w:t>(1)</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6,366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174.1</w:t>
            </w:r>
          </w:p>
        </w:tc>
        <w:tc>
          <w:tcPr>
            <w:tcW w:w="1080" w:type="dxa"/>
            <w:vAlign w:val="bottom"/>
            <w:vMerge w:val="restart"/>
          </w:tcPr>
          <w:p>
            <w:pPr>
              <w:ind w:left="240"/>
              <w:spacing w:after="0"/>
              <w:rPr>
                <w:sz w:val="20"/>
                <w:szCs w:val="20"/>
                <w:color w:val="auto"/>
              </w:rPr>
            </w:pPr>
            <w:r>
              <w:rPr>
                <w:rFonts w:ascii="Arial" w:cs="Arial" w:eastAsia="Arial" w:hAnsi="Arial"/>
                <w:sz w:val="13"/>
                <w:szCs w:val="13"/>
                <w:color w:val="0000FF"/>
              </w:rPr>
              <w:t>01/26/2023</w:t>
            </w:r>
          </w:p>
        </w:tc>
        <w:tc>
          <w:tcPr>
            <w:tcW w:w="1100" w:type="dxa"/>
            <w:vAlign w:val="bottom"/>
          </w:tcPr>
          <w:p>
            <w:pPr>
              <w:spacing w:after="0"/>
              <w:rPr>
                <w:sz w:val="12"/>
                <w:szCs w:val="12"/>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2,159</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60" w:type="dxa"/>
            <w:vAlign w:val="bottom"/>
            <w:gridSpan w:val="2"/>
            <w:vMerge w:val="restart"/>
          </w:tcPr>
          <w:p>
            <w:pPr>
              <w:jc w:val="right"/>
              <w:ind w:right="62"/>
              <w:spacing w:after="0"/>
              <w:rPr>
                <w:sz w:val="20"/>
                <w:szCs w:val="20"/>
                <w:color w:val="auto"/>
              </w:rPr>
            </w:pPr>
            <w:r>
              <w:rPr>
                <w:rFonts w:ascii="Arial" w:cs="Arial" w:eastAsia="Arial" w:hAnsi="Arial"/>
                <w:sz w:val="13"/>
                <w:szCs w:val="13"/>
                <w:color w:val="0000FF"/>
                <w:w w:val="95"/>
              </w:rPr>
              <w:t>01/26/2033</w:t>
            </w: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2,159</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2,159</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granted under the Texas Instruments 2018 Director Compensation Plan.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became exercisable in four equal annual installments beginning on January 26, 2024.</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Arial" w:cs="Arial" w:eastAsia="Arial" w:hAnsi="Arial"/>
                <w:sz w:val="17"/>
                <w:szCs w:val="17"/>
                <w:color w:val="0000FF"/>
              </w:rPr>
              <w:t>/s/ Leslie Mba, Attorney in</w:t>
            </w: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01/30/2023</w:t>
            </w:r>
          </w:p>
        </w:tc>
        <w:tc>
          <w:tcPr>
            <w:tcW w:w="0" w:type="dxa"/>
            <w:vAlign w:val="bottom"/>
          </w:tcPr>
          <w:p>
            <w:pPr>
              <w:spacing w:after="0"/>
              <w:rPr>
                <w:sz w:val="1"/>
                <w:szCs w:val="1"/>
                <w:color w:val="auto"/>
              </w:rPr>
            </w:pPr>
          </w:p>
        </w:tc>
      </w:tr>
      <w:tr>
        <w:trPr>
          <w:trHeight w:val="84"/>
        </w:trPr>
        <w:tc>
          <w:tcPr>
            <w:tcW w:w="30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520" w:type="dxa"/>
            <w:vAlign w:val="bottom"/>
            <w:tcBorders>
              <w:top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top w:val="single" w:sz="8" w:color="auto"/>
              <w:bottom w:val="single" w:sz="8" w:color="auto"/>
            </w:tcBorders>
            <w:vMerge w:val="continue"/>
          </w:tcPr>
          <w:p>
            <w:pPr>
              <w:spacing w:after="0"/>
              <w:rPr>
                <w:sz w:val="7"/>
                <w:szCs w:val="7"/>
                <w:color w:val="auto"/>
              </w:rPr>
            </w:pPr>
          </w:p>
        </w:tc>
        <w:tc>
          <w:tcPr>
            <w:tcW w:w="1520" w:type="dxa"/>
            <w:vAlign w:val="bottom"/>
            <w:tcBorders>
              <w:top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4" w:lineRule="exact"/>
        <w:rPr>
          <w:sz w:val="20"/>
          <w:szCs w:val="20"/>
          <w:color w:val="auto"/>
        </w:rPr>
      </w:pPr>
    </w:p>
    <w:p>
      <w:pPr>
        <w:ind w:right="1579" w:firstLine="810"/>
        <w:spacing w:after="0" w:line="257" w:lineRule="auto"/>
        <w:rPr>
          <w:sz w:val="20"/>
          <w:szCs w:val="20"/>
          <w:color w:val="auto"/>
        </w:rPr>
      </w:pPr>
      <w:r>
        <w:rPr>
          <w:rFonts w:ascii="Courier New" w:cs="Courier New" w:eastAsia="Courier New" w:hAnsi="Courier New"/>
          <w:sz w:val="16"/>
          <w:szCs w:val="16"/>
          <w:color w:val="auto"/>
        </w:rPr>
        <w:t>I hereby authorize Cynthia Hoff Trochu, Leslie O. Mba, Elizabeth M. Bedell, Edgar A. Morales, Erin E. Hilton and John Whitney or any one of them to sign</w:t>
      </w:r>
    </w:p>
    <w:p>
      <w:pPr>
        <w:spacing w:after="0" w:line="1" w:lineRule="exact"/>
        <w:rPr>
          <w:sz w:val="20"/>
          <w:szCs w:val="20"/>
          <w:color w:val="auto"/>
        </w:rPr>
      </w:pPr>
    </w:p>
    <w:p>
      <w:pPr>
        <w:ind w:right="2699"/>
        <w:spacing w:after="0" w:line="257" w:lineRule="auto"/>
        <w:rPr>
          <w:sz w:val="20"/>
          <w:szCs w:val="20"/>
          <w:color w:val="auto"/>
        </w:rPr>
      </w:pPr>
      <w:r>
        <w:rPr>
          <w:rFonts w:ascii="Courier New" w:cs="Courier New" w:eastAsia="Courier New" w:hAnsi="Courier New"/>
          <w:sz w:val="16"/>
          <w:szCs w:val="16"/>
          <w:color w:val="auto"/>
        </w:rPr>
        <w:t>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w:t>
      </w:r>
    </w:p>
    <w:p>
      <w:pPr>
        <w:spacing w:after="0" w:line="5"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7"/>
          <w:szCs w:val="17"/>
          <w:color w:val="auto"/>
        </w:rPr>
        <w:t>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2"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I acknowledge that the persons authorized hereunder are</w:t>
      </w:r>
    </w:p>
    <w:p>
      <w:pPr>
        <w:spacing w:after="0" w:line="4" w:lineRule="exact"/>
        <w:rPr>
          <w:sz w:val="20"/>
          <w:szCs w:val="20"/>
          <w:color w:val="auto"/>
        </w:rPr>
      </w:pPr>
    </w:p>
    <w:p>
      <w:pPr>
        <w:ind w:right="2999"/>
        <w:spacing w:after="0" w:line="241" w:lineRule="auto"/>
        <w:rPr>
          <w:sz w:val="20"/>
          <w:szCs w:val="20"/>
          <w:color w:val="auto"/>
        </w:rPr>
      </w:pPr>
      <w:r>
        <w:rPr>
          <w:rFonts w:ascii="Courier New" w:cs="Courier New" w:eastAsia="Courier New" w:hAnsi="Courier New"/>
          <w:sz w:val="17"/>
          <w:szCs w:val="17"/>
          <w:color w:val="auto"/>
        </w:rPr>
        <w:t>not assuming, nor is the Company assuming, any of my responsibilities to comply with Section 16 of the Exchange Act and other relevant securities laws.</w:t>
      </w:r>
    </w:p>
    <w:p>
      <w:pPr>
        <w:spacing w:after="0" w:line="2"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Dated as of 18 day of November 2022.</w:t>
      </w:r>
    </w:p>
    <w:p>
      <w:pPr>
        <w:spacing w:after="0" w:line="2"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Todd M. Bluedorn</w:t>
      </w: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5277"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2023-01-30T15:42:11Z</dcterms:created>
  <dcterms:modified xsi:type="dcterms:W3CDTF">2023-01-30T15:42:11Z</dcterms:modified>
</cp:coreProperties>
</file>