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68290"/>
                    </a:xfrm>
                    <a:prstGeom prst="rect">
                      <a:avLst/>
                    </a:prstGeom>
                    <a:noFill/>
                  </pic:spPr>
                </pic:pic>
              </a:graphicData>
            </a:graphic>
          </wp:anchor>
        </w:drawing>
      </w:r>
    </w:p>
    <w:p>
      <w:pPr>
        <w:spacing w:after="0" w:line="112"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Knecht Julie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TEXAS INSTRUMENTS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TXN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08/17/2022</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7" w:type="dxa"/>
        <w:tblCellMar>
          <w:top w:w="0" w:type="dxa"/>
          <w:left w:w="0" w:type="dxa"/>
          <w:bottom w:w="0" w:type="dxa"/>
          <w:right w:w="0" w:type="dxa"/>
        </w:tblCellMar>
      </w:tblPr>
      <w:tr>
        <w:trPr>
          <w:trHeight w:val="172"/>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97"/>
        <w:spacing w:after="0"/>
        <w:rPr>
          <w:sz w:val="20"/>
          <w:szCs w:val="20"/>
          <w:color w:val="auto"/>
        </w:rPr>
      </w:pPr>
      <w:r>
        <w:rPr>
          <w:rFonts w:ascii="Times New Roman" w:cs="Times New Roman" w:eastAsia="Times New Roman" w:hAnsi="Times New Roman"/>
          <w:sz w:val="17"/>
          <w:szCs w:val="17"/>
          <w:color w:val="0000FF"/>
        </w:rPr>
        <w:t>VP &amp; Chief Accounting Officer</w:t>
      </w:r>
    </w:p>
    <w:p>
      <w:pPr>
        <w:spacing w:after="0" w:line="310" w:lineRule="exact"/>
        <w:rPr>
          <w:sz w:val="24"/>
          <w:szCs w:val="24"/>
          <w:color w:val="auto"/>
        </w:rPr>
      </w:pPr>
    </w:p>
    <w:p>
      <w:pPr>
        <w:sectPr>
          <w:pgSz w:w="11900" w:h="16838" w:orient="portrait"/>
          <w:cols w:equalWidth="0" w:num="3">
            <w:col w:w="3200" w:space="720"/>
            <w:col w:w="3220" w:space="603"/>
            <w:col w:w="3337"/>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75243</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jc w:val="center"/>
              <w:ind w:left="532"/>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18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jc w:val="center"/>
              <w:ind w:left="532"/>
              <w:spacing w:after="0"/>
              <w:rPr>
                <w:sz w:val="20"/>
                <w:szCs w:val="20"/>
                <w:color w:val="auto"/>
              </w:rPr>
            </w:pPr>
            <w:r>
              <w:rPr>
                <w:rFonts w:ascii="Times New Roman" w:cs="Times New Roman" w:eastAsia="Times New Roman" w:hAnsi="Times New Roman"/>
                <w:sz w:val="17"/>
                <w:szCs w:val="17"/>
                <w:color w:val="0000FF"/>
                <w:w w:val="98"/>
              </w:rPr>
              <w:t>08/17/2022</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0000FF"/>
              </w:rPr>
              <w:t>G</w:t>
            </w:r>
          </w:p>
        </w:tc>
        <w:tc>
          <w:tcPr>
            <w:tcW w:w="22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4"/>
              </w:rPr>
              <w:t>V</w:t>
            </w:r>
          </w:p>
        </w:tc>
        <w:tc>
          <w:tcPr>
            <w:tcW w:w="180" w:type="dxa"/>
            <w:vAlign w:val="bottom"/>
          </w:tcPr>
          <w:p>
            <w:pPr>
              <w:spacing w:after="0"/>
              <w:rPr>
                <w:sz w:val="22"/>
                <w:szCs w:val="22"/>
                <w:color w:val="auto"/>
              </w:rPr>
            </w:pPr>
          </w:p>
        </w:tc>
        <w:tc>
          <w:tcPr>
            <w:tcW w:w="52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rPr>
              <w:t>55</w:t>
            </w:r>
          </w:p>
        </w:tc>
        <w:tc>
          <w:tcPr>
            <w:tcW w:w="10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Pr>
          <w:p>
            <w:pPr>
              <w:spacing w:after="0"/>
              <w:rPr>
                <w:sz w:val="22"/>
                <w:szCs w:val="22"/>
                <w:color w:val="auto"/>
              </w:rPr>
            </w:pPr>
          </w:p>
        </w:tc>
        <w:tc>
          <w:tcPr>
            <w:tcW w:w="1320" w:type="dxa"/>
            <w:vAlign w:val="bottom"/>
            <w:gridSpan w:val="3"/>
          </w:tcPr>
          <w:p>
            <w:pPr>
              <w:jc w:val="center"/>
              <w:ind w:left="32"/>
              <w:spacing w:after="0"/>
              <w:rPr>
                <w:sz w:val="20"/>
                <w:szCs w:val="20"/>
                <w:color w:val="auto"/>
              </w:rPr>
            </w:pPr>
            <w:r>
              <w:rPr>
                <w:rFonts w:ascii="Times New Roman" w:cs="Times New Roman" w:eastAsia="Times New Roman" w:hAnsi="Times New Roman"/>
                <w:sz w:val="17"/>
                <w:szCs w:val="17"/>
                <w:color w:val="0000FF"/>
                <w:w w:val="99"/>
              </w:rPr>
              <w:t>9,953</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jc w:val="center"/>
              <w:ind w:left="532"/>
              <w:spacing w:after="0"/>
              <w:rPr>
                <w:sz w:val="20"/>
                <w:szCs w:val="20"/>
                <w:color w:val="auto"/>
              </w:rPr>
            </w:pPr>
            <w:r>
              <w:rPr>
                <w:rFonts w:ascii="Times New Roman" w:cs="Times New Roman" w:eastAsia="Times New Roman" w:hAnsi="Times New Roman"/>
                <w:sz w:val="17"/>
                <w:szCs w:val="17"/>
                <w:color w:val="0000FF"/>
                <w:w w:val="98"/>
              </w:rPr>
              <w:t>08/29/2022</w:t>
            </w: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jc w:val="right"/>
              <w:ind w:right="118"/>
              <w:spacing w:after="0"/>
              <w:rPr>
                <w:sz w:val="20"/>
                <w:szCs w:val="20"/>
                <w:color w:val="auto"/>
              </w:rPr>
            </w:pPr>
            <w:r>
              <w:rPr>
                <w:rFonts w:ascii="Times New Roman" w:cs="Times New Roman" w:eastAsia="Times New Roman" w:hAnsi="Times New Roman"/>
                <w:sz w:val="13"/>
                <w:szCs w:val="13"/>
                <w:color w:val="0000FF"/>
              </w:rPr>
              <w:t>G</w:t>
            </w:r>
          </w:p>
        </w:tc>
        <w:tc>
          <w:tcPr>
            <w:tcW w:w="220" w:type="dxa"/>
            <w:vAlign w:val="bottom"/>
          </w:tcPr>
          <w:p>
            <w:pPr>
              <w:ind w:left="120"/>
              <w:spacing w:after="0"/>
              <w:rPr>
                <w:sz w:val="20"/>
                <w:szCs w:val="20"/>
                <w:color w:val="auto"/>
              </w:rPr>
            </w:pPr>
            <w:r>
              <w:rPr>
                <w:rFonts w:ascii="Times New Roman" w:cs="Times New Roman" w:eastAsia="Times New Roman" w:hAnsi="Times New Roman"/>
                <w:sz w:val="13"/>
                <w:szCs w:val="13"/>
                <w:color w:val="0000FF"/>
                <w:w w:val="84"/>
              </w:rPr>
              <w:t>V</w:t>
            </w:r>
          </w:p>
        </w:tc>
        <w:tc>
          <w:tcPr>
            <w:tcW w:w="180" w:type="dxa"/>
            <w:vAlign w:val="bottom"/>
          </w:tcPr>
          <w:p>
            <w:pPr>
              <w:spacing w:after="0"/>
              <w:rPr>
                <w:sz w:val="22"/>
                <w:szCs w:val="22"/>
                <w:color w:val="auto"/>
              </w:rPr>
            </w:pPr>
          </w:p>
        </w:tc>
        <w:tc>
          <w:tcPr>
            <w:tcW w:w="520" w:type="dxa"/>
            <w:vAlign w:val="bottom"/>
          </w:tcPr>
          <w:p>
            <w:pPr>
              <w:jc w:val="center"/>
              <w:ind w:left="110"/>
              <w:spacing w:after="0"/>
              <w:rPr>
                <w:sz w:val="20"/>
                <w:szCs w:val="20"/>
                <w:color w:val="auto"/>
              </w:rPr>
            </w:pPr>
            <w:r>
              <w:rPr>
                <w:rFonts w:ascii="Times New Roman" w:cs="Times New Roman" w:eastAsia="Times New Roman" w:hAnsi="Times New Roman"/>
                <w:sz w:val="17"/>
                <w:szCs w:val="17"/>
                <w:color w:val="0000FF"/>
              </w:rPr>
              <w:t>128</w:t>
            </w:r>
          </w:p>
        </w:tc>
        <w:tc>
          <w:tcPr>
            <w:tcW w:w="100" w:type="dxa"/>
            <w:vAlign w:val="bottom"/>
          </w:tcPr>
          <w:p>
            <w:pPr>
              <w:spacing w:after="0"/>
              <w:rPr>
                <w:sz w:val="22"/>
                <w:szCs w:val="22"/>
                <w:color w:val="auto"/>
              </w:rPr>
            </w:pPr>
          </w:p>
        </w:tc>
        <w:tc>
          <w:tcPr>
            <w:tcW w:w="5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Pr>
          <w:p>
            <w:pPr>
              <w:spacing w:after="0"/>
              <w:rPr>
                <w:sz w:val="22"/>
                <w:szCs w:val="22"/>
                <w:color w:val="auto"/>
              </w:rPr>
            </w:pPr>
          </w:p>
        </w:tc>
        <w:tc>
          <w:tcPr>
            <w:tcW w:w="1320" w:type="dxa"/>
            <w:vAlign w:val="bottom"/>
            <w:gridSpan w:val="3"/>
          </w:tcPr>
          <w:p>
            <w:pPr>
              <w:jc w:val="center"/>
              <w:ind w:left="32"/>
              <w:spacing w:after="0"/>
              <w:rPr>
                <w:sz w:val="20"/>
                <w:szCs w:val="20"/>
                <w:color w:val="auto"/>
              </w:rPr>
            </w:pPr>
            <w:r>
              <w:rPr>
                <w:rFonts w:ascii="Times New Roman" w:cs="Times New Roman" w:eastAsia="Times New Roman" w:hAnsi="Times New Roman"/>
                <w:sz w:val="17"/>
                <w:szCs w:val="17"/>
                <w:color w:val="0000FF"/>
                <w:w w:val="99"/>
              </w:rPr>
              <w:t>9,825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32"/>
              <w:spacing w:after="0"/>
              <w:rPr>
                <w:sz w:val="20"/>
                <w:szCs w:val="20"/>
                <w:color w:val="auto"/>
              </w:rPr>
            </w:pPr>
            <w:r>
              <w:rPr>
                <w:rFonts w:ascii="Times New Roman" w:cs="Times New Roman" w:eastAsia="Times New Roman" w:hAnsi="Times New Roman"/>
                <w:sz w:val="17"/>
                <w:szCs w:val="17"/>
                <w:color w:val="0000FF"/>
                <w:w w:val="98"/>
              </w:rPr>
              <w:t>01/26/2023</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right"/>
              <w:ind w:right="118"/>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jc w:val="center"/>
              <w:ind w:left="10"/>
              <w:spacing w:after="0"/>
              <w:rPr>
                <w:sz w:val="20"/>
                <w:szCs w:val="20"/>
                <w:color w:val="auto"/>
              </w:rPr>
            </w:pPr>
            <w:r>
              <w:rPr>
                <w:rFonts w:ascii="Times New Roman" w:cs="Times New Roman" w:eastAsia="Times New Roman" w:hAnsi="Times New Roman"/>
                <w:sz w:val="17"/>
                <w:szCs w:val="17"/>
                <w:color w:val="0000FF"/>
                <w:w w:val="91"/>
              </w:rPr>
              <w:t>1,221</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ind w:left="32"/>
              <w:spacing w:after="0"/>
              <w:rPr>
                <w:sz w:val="20"/>
                <w:szCs w:val="20"/>
                <w:color w:val="auto"/>
              </w:rPr>
            </w:pPr>
            <w:r>
              <w:rPr>
                <w:rFonts w:ascii="Times New Roman" w:cs="Times New Roman" w:eastAsia="Times New Roman" w:hAnsi="Times New Roman"/>
                <w:sz w:val="17"/>
                <w:szCs w:val="17"/>
                <w:color w:val="0000FF"/>
                <w:w w:val="98"/>
              </w:rPr>
              <w:t>11,118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3"/>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5"/>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jc w:val="center"/>
              <w:ind w:right="420"/>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jc w:val="center"/>
              <w:ind w:right="420"/>
              <w:spacing w:after="0" w:line="130"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NQ 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174.1</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01/26/2023</w:t>
            </w:r>
          </w:p>
        </w:tc>
        <w:tc>
          <w:tcPr>
            <w:tcW w:w="1100" w:type="dxa"/>
            <w:vAlign w:val="bottom"/>
          </w:tcPr>
          <w:p>
            <w:pPr>
              <w:spacing w:after="0"/>
              <w:rPr>
                <w:sz w:val="16"/>
                <w:szCs w:val="16"/>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4,589</w:t>
            </w:r>
          </w:p>
        </w:tc>
        <w:tc>
          <w:tcPr>
            <w:tcW w:w="340" w:type="dxa"/>
            <w:vAlign w:val="bottom"/>
          </w:tcPr>
          <w:p>
            <w:pPr>
              <w:spacing w:after="0"/>
              <w:rPr>
                <w:sz w:val="16"/>
                <w:szCs w:val="16"/>
                <w:color w:val="auto"/>
              </w:rPr>
            </w:pPr>
          </w:p>
        </w:tc>
        <w:tc>
          <w:tcPr>
            <w:tcW w:w="580" w:type="dxa"/>
            <w:vAlign w:val="bottom"/>
            <w:gridSpan w:val="2"/>
          </w:tcPr>
          <w:p>
            <w:pPr>
              <w:jc w:val="right"/>
              <w:ind w:right="118"/>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01/26/2033</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4,589</w:t>
            </w:r>
          </w:p>
        </w:tc>
        <w:tc>
          <w:tcPr>
            <w:tcW w:w="20" w:type="dxa"/>
            <w:vAlign w:val="bottom"/>
          </w:tcPr>
          <w:p>
            <w:pPr>
              <w:spacing w:after="0"/>
              <w:rPr>
                <w:sz w:val="16"/>
                <w:szCs w:val="16"/>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4,589</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ind w:left="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Award of restricted stock units pursuant to 2009 Long-Term Incentive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in four equal annual installments beginning on January 26, 2024.</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Leslie Mba, Attorney in</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01/30/2023</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52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2" w:lineRule="exact"/>
        <w:rPr>
          <w:sz w:val="20"/>
          <w:szCs w:val="20"/>
          <w:color w:val="auto"/>
        </w:rPr>
      </w:pPr>
    </w:p>
    <w:p>
      <w:pPr>
        <w:ind w:right="1579" w:firstLine="810"/>
        <w:spacing w:after="0" w:line="242"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spacing w:after="0" w:line="1" w:lineRule="exact"/>
        <w:rPr>
          <w:sz w:val="20"/>
          <w:szCs w:val="20"/>
          <w:color w:val="auto"/>
        </w:rPr>
      </w:pPr>
    </w:p>
    <w:p>
      <w:pPr>
        <w:ind w:right="2799"/>
        <w:spacing w:after="0" w:line="257" w:lineRule="auto"/>
        <w:rPr>
          <w:sz w:val="20"/>
          <w:szCs w:val="20"/>
          <w:color w:val="auto"/>
        </w:rPr>
      </w:pPr>
      <w:r>
        <w:rPr>
          <w:rFonts w:ascii="Courier New" w:cs="Courier New" w:eastAsia="Courier New" w:hAnsi="Courier New"/>
          <w:sz w:val="16"/>
          <w:szCs w:val="16"/>
          <w:color w:val="auto"/>
        </w:rPr>
        <w:t>sign and file on my behalf any and all forms required by the Securities and Exchange Commission pursuant to Section 16 of the Securities Exchange Act of 1934 (the ?Exchange Act?) relating to the reporting</w:t>
      </w:r>
    </w:p>
    <w:p>
      <w:pPr>
        <w:spacing w:after="0" w:line="2" w:lineRule="exact"/>
        <w:rPr>
          <w:sz w:val="20"/>
          <w:szCs w:val="20"/>
          <w:color w:val="auto"/>
        </w:rPr>
      </w:pPr>
    </w:p>
    <w:p>
      <w:pPr>
        <w:ind w:right="3419"/>
        <w:spacing w:after="0" w:line="257" w:lineRule="auto"/>
        <w:rPr>
          <w:sz w:val="20"/>
          <w:szCs w:val="20"/>
          <w:color w:val="auto"/>
        </w:rPr>
      </w:pPr>
      <w:r>
        <w:rPr>
          <w:rFonts w:ascii="Courier New" w:cs="Courier New" w:eastAsia="Courier New" w:hAnsi="Courier New"/>
          <w:sz w:val="16"/>
          <w:szCs w:val="16"/>
          <w:color w:val="auto"/>
        </w:rPr>
        <w:t>of beneficial ownership of equity securities of Texas Instruments Incorporated (the ?Company?), and of changes in such beneficial ownership, as well as any and all representation letters that may be required in connection with sales by me of equity securities</w:t>
      </w:r>
    </w:p>
    <w:p>
      <w:pPr>
        <w:spacing w:after="0" w:line="3" w:lineRule="exact"/>
        <w:rPr>
          <w:sz w:val="20"/>
          <w:szCs w:val="20"/>
          <w:color w:val="auto"/>
        </w:rPr>
      </w:pPr>
    </w:p>
    <w:p>
      <w:pPr>
        <w:ind w:right="2899"/>
        <w:spacing w:after="0" w:line="242" w:lineRule="auto"/>
        <w:rPr>
          <w:sz w:val="20"/>
          <w:szCs w:val="20"/>
          <w:color w:val="auto"/>
        </w:rPr>
      </w:pPr>
      <w:r>
        <w:rPr>
          <w:rFonts w:ascii="Courier New" w:cs="Courier New" w:eastAsia="Courier New" w:hAnsi="Courier New"/>
          <w:sz w:val="17"/>
          <w:szCs w:val="17"/>
          <w:color w:val="auto"/>
        </w:rPr>
        <w:t>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4" w:lineRule="exact"/>
        <w:rPr>
          <w:sz w:val="20"/>
          <w:szCs w:val="20"/>
          <w:color w:val="auto"/>
        </w:rPr>
      </w:pPr>
    </w:p>
    <w:p>
      <w:pPr>
        <w:ind w:right="3199" w:firstLine="810"/>
        <w:spacing w:after="0" w:line="242" w:lineRule="auto"/>
        <w:rPr>
          <w:sz w:val="20"/>
          <w:szCs w:val="20"/>
          <w:color w:val="auto"/>
        </w:rPr>
      </w:pPr>
      <w:r>
        <w:rPr>
          <w:rFonts w:ascii="Courier New" w:cs="Courier New" w:eastAsia="Courier New" w:hAnsi="Courier New"/>
          <w:sz w:val="17"/>
          <w:szCs w:val="17"/>
          <w:color w:val="auto"/>
        </w:rPr>
        <w:t>I acknowledge that the persons authorized hereunder are not assuming, nor is the Company assuming, any of my responsibilities to comply with Section 16 of the Exchange Act and other relevant securities laws.</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/s/ Julie C. Knecht</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934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2023-01-30T17:40:00Z</dcterms:created>
  <dcterms:modified xsi:type="dcterms:W3CDTF">2023-01-30T17:40:00Z</dcterms:modified>
</cp:coreProperties>
</file>