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October 20,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710565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5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Registrant's news release dated October 20, 2008, regarding its third-quarter 2008 results of operations and financial condition is attached hereto as Exhibit 99 and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October 20, 2008 (furnished pursuant to Item 2.02)</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360" w:right="20" w:hanging="352"/>
        <w:spacing w:after="0" w:line="250"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60" w:right="200" w:hanging="352"/>
        <w:spacing w:after="0" w:line="250"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60" w:right="240" w:hanging="352"/>
        <w:spacing w:after="0" w:line="250"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60" w:hanging="352"/>
        <w:spacing w:after="0"/>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60" w:right="60" w:hanging="352"/>
        <w:spacing w:after="0" w:line="261"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a more detailed discussion of these factors, see the text under the heading “Risk Factors” in Part II, Item 1A of the Company’s Form 10-Q for the second quarter of 2008, which was filed on July 31, 2008. The forward-looking statements included in this report on Form 8-K are made only as of the date of this report, and the Company undertakes no obligation to update the forward-looking statements to reflect subsequent events or circumstances.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October 20,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517" w:right="239" w:bottom="1440" w:gutter="0" w:footer="0" w:header="0"/>
        </w:sectPr>
      </w:pPr>
    </w:p>
    <w:bookmarkStart w:id="2" w:name="page3"/>
    <w:bookmarkEnd w:id="2"/>
    <w:p>
      <w:pPr>
        <w:spacing w:after="0" w:line="2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3Q08</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www.ti.com/ir</w:t>
      </w:r>
    </w:p>
    <w:p>
      <w:pPr>
        <w:spacing w:after="0" w:line="200" w:lineRule="exact"/>
        <w:rPr>
          <w:sz w:val="20"/>
          <w:szCs w:val="20"/>
          <w:color w:val="auto"/>
        </w:rPr>
      </w:pPr>
    </w:p>
    <w:p>
      <w:pPr>
        <w:spacing w:after="0" w:line="281" w:lineRule="exact"/>
        <w:rPr>
          <w:sz w:val="20"/>
          <w:szCs w:val="20"/>
          <w:color w:val="auto"/>
        </w:rPr>
      </w:pPr>
    </w:p>
    <w:p>
      <w:pPr>
        <w:ind w:right="60" w:firstLine="720"/>
        <w:spacing w:after="0" w:line="277" w:lineRule="auto"/>
        <w:rPr>
          <w:sz w:val="20"/>
          <w:szCs w:val="20"/>
          <w:color w:val="auto"/>
        </w:rPr>
      </w:pPr>
      <w:r>
        <w:rPr>
          <w:rFonts w:ascii="Arial" w:cs="Arial" w:eastAsia="Arial" w:hAnsi="Arial"/>
          <w:sz w:val="18"/>
          <w:szCs w:val="18"/>
          <w:color w:val="auto"/>
        </w:rPr>
        <w:t>DALLAS (Oct. 20, 2008) – Texas Instruments Incorporated (TI) (NYSE: TXN) today announced third-quarter revenue of $3.39 billion, net income of $563 million and earnings per share of $0.43.</w:t>
      </w:r>
    </w:p>
    <w:p>
      <w:pPr>
        <w:spacing w:after="0" w:line="197" w:lineRule="exact"/>
        <w:rPr>
          <w:sz w:val="20"/>
          <w:szCs w:val="20"/>
          <w:color w:val="auto"/>
        </w:rPr>
      </w:pPr>
    </w:p>
    <w:p>
      <w:pPr>
        <w:ind w:right="440" w:firstLine="720"/>
        <w:spacing w:after="0" w:line="342" w:lineRule="auto"/>
        <w:rPr>
          <w:sz w:val="20"/>
          <w:szCs w:val="20"/>
          <w:color w:val="auto"/>
        </w:rPr>
      </w:pPr>
      <w:r>
        <w:rPr>
          <w:rFonts w:ascii="Arial" w:cs="Arial" w:eastAsia="Arial" w:hAnsi="Arial"/>
          <w:sz w:val="16"/>
          <w:szCs w:val="16"/>
          <w:color w:val="auto"/>
        </w:rPr>
        <w:t>“We entered the third quarter with a cautious view of the economy and its impact on our markets. Revenue was weak, as expected, because consumers and corporations reduced their spending in this uncertain economy,” said Rich Templeton, TI chairman, president and chief executive officer.</w:t>
      </w:r>
    </w:p>
    <w:p>
      <w:pPr>
        <w:spacing w:after="0" w:line="151" w:lineRule="exact"/>
        <w:rPr>
          <w:sz w:val="20"/>
          <w:szCs w:val="20"/>
          <w:color w:val="auto"/>
        </w:rPr>
      </w:pPr>
    </w:p>
    <w:p>
      <w:pPr>
        <w:ind w:right="40" w:firstLine="720"/>
        <w:spacing w:after="0" w:line="259" w:lineRule="auto"/>
        <w:rPr>
          <w:sz w:val="20"/>
          <w:szCs w:val="20"/>
          <w:color w:val="auto"/>
        </w:rPr>
      </w:pPr>
      <w:r>
        <w:rPr>
          <w:rFonts w:ascii="Arial" w:cs="Arial" w:eastAsia="Arial" w:hAnsi="Arial"/>
          <w:sz w:val="18"/>
          <w:szCs w:val="18"/>
          <w:color w:val="auto"/>
        </w:rPr>
        <w:t>“Even so, the soundness of our strategic direction was underscored by results from our core businesses. Revenue for our Analog business was steady and revenue for our Embedded Processing business grew 9 percent compared with a year ago. Although not immune to near-term economic pressures, these are two of the best long-term opportunities in our industry. We are a leader in each and expect to strengthen our position even in this period of economic weakness.</w:t>
      </w:r>
    </w:p>
    <w:p>
      <w:pPr>
        <w:spacing w:after="0" w:line="214" w:lineRule="exact"/>
        <w:rPr>
          <w:sz w:val="20"/>
          <w:szCs w:val="20"/>
          <w:color w:val="auto"/>
        </w:rPr>
      </w:pPr>
    </w:p>
    <w:p>
      <w:pPr>
        <w:ind w:right="100" w:firstLine="720"/>
        <w:spacing w:after="0" w:line="257" w:lineRule="auto"/>
        <w:rPr>
          <w:sz w:val="20"/>
          <w:szCs w:val="20"/>
          <w:color w:val="auto"/>
        </w:rPr>
      </w:pPr>
      <w:r>
        <w:rPr>
          <w:rFonts w:ascii="Arial" w:cs="Arial" w:eastAsia="Arial" w:hAnsi="Arial"/>
          <w:sz w:val="18"/>
          <w:szCs w:val="18"/>
          <w:color w:val="auto"/>
        </w:rPr>
        <w:t>“Our outlook for the fourth quarter is for revenue to decline substantially based on weak order trends over the past few months. In anticipation of declining demand, we reduced our own inventory aggressively in the third quarter, which brought factory utilization down and put additional pressure on our profitability. We also worked closely with our distributors to reduce the inventory in our channels. We will accelerate our inventory reduction in the fourth quarter. We also will continue to reduce expenses and capital spending. At the same time, we will continue to invest in opportunities to strengthen our positions in Analog and Embedded Processing.”</w:t>
      </w:r>
    </w:p>
    <w:p>
      <w:pPr>
        <w:spacing w:after="0" w:line="215" w:lineRule="exact"/>
        <w:rPr>
          <w:sz w:val="20"/>
          <w:szCs w:val="20"/>
          <w:color w:val="auto"/>
        </w:rPr>
      </w:pPr>
    </w:p>
    <w:p>
      <w:pPr>
        <w:jc w:val="both"/>
        <w:ind w:right="400" w:firstLine="720"/>
        <w:spacing w:after="0" w:line="286" w:lineRule="auto"/>
        <w:rPr>
          <w:sz w:val="20"/>
          <w:szCs w:val="20"/>
          <w:color w:val="auto"/>
        </w:rPr>
      </w:pPr>
      <w:r>
        <w:rPr>
          <w:rFonts w:ascii="Arial" w:cs="Arial" w:eastAsia="Arial" w:hAnsi="Arial"/>
          <w:sz w:val="17"/>
          <w:szCs w:val="17"/>
          <w:color w:val="auto"/>
        </w:rPr>
        <w:t>TI also announced today it is taking actions that will reduce expenses by about one-third, or more than $200 million annualized, in its Wireless business, especially in its cellular baseband operation. The company is also actively pursuing the sale of the merchant portion of this operation and is in discussions with potential buyers. In the custom portion of this operation, TI will continue to support select programs.</w:t>
      </w:r>
    </w:p>
    <w:p>
      <w:pPr>
        <w:spacing w:after="0" w:line="193" w:lineRule="exact"/>
        <w:rPr>
          <w:sz w:val="20"/>
          <w:szCs w:val="20"/>
          <w:color w:val="auto"/>
        </w:rPr>
      </w:pPr>
    </w:p>
    <w:p>
      <w:pPr>
        <w:ind w:right="480" w:firstLine="720"/>
        <w:spacing w:after="0" w:line="223" w:lineRule="auto"/>
        <w:rPr>
          <w:sz w:val="20"/>
          <w:szCs w:val="20"/>
          <w:color w:val="auto"/>
        </w:rPr>
      </w:pPr>
      <w:r>
        <w:rPr>
          <w:rFonts w:ascii="Arial" w:cs="Arial" w:eastAsia="Arial" w:hAnsi="Arial"/>
          <w:sz w:val="18"/>
          <w:szCs w:val="18"/>
          <w:color w:val="auto"/>
        </w:rPr>
        <w:t>TI will focus its remaining Wireless investments in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applications processors, which are at the heart of many of today’s most exciting smartphone products.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“Smartphones are growing rapidly and our handset customers are differentiating their product lines through applications and user interfaces. We anticipated this opportunity and have been investing in it for more than a decade. As a result, our OMAP applications processors lead the market, and we will concentrate on extending this lead,” Templeton said.</w:t>
      </w:r>
    </w:p>
    <w:p>
      <w:pPr>
        <w:spacing w:after="0" w:line="208" w:lineRule="exact"/>
        <w:rPr>
          <w:sz w:val="20"/>
          <w:szCs w:val="20"/>
          <w:color w:val="auto"/>
        </w:rPr>
      </w:pPr>
    </w:p>
    <w:p>
      <w:pPr>
        <w:ind w:right="220" w:firstLine="720"/>
        <w:spacing w:after="0" w:line="264" w:lineRule="auto"/>
        <w:rPr>
          <w:sz w:val="20"/>
          <w:szCs w:val="20"/>
          <w:color w:val="auto"/>
        </w:rPr>
      </w:pPr>
      <w:r>
        <w:rPr>
          <w:rFonts w:ascii="Arial" w:cs="Arial" w:eastAsia="Arial" w:hAnsi="Arial"/>
          <w:sz w:val="18"/>
          <w:szCs w:val="18"/>
          <w:color w:val="auto"/>
        </w:rPr>
        <w:t>Reductions in cellular baseband operations will begin immediately and are expected to be complete by June 2009. The full annualized savings of more than $200 million will be achieved once these reductions are complete. The company expects to take restructuring charges of approximately $110 million across the next three quarters.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Amounts are in millions of dollars, except per-share amounts. Except as noted, financial results are for continuing operations. The sale of TI’s former Sensors &amp; Controls business was completed on April 27, 2006, and that business is reported as a discontinued operation.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3Q08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3Q07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vs. 3Q07</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2Q08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vs. 2Q08</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3387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3663</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3351</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1%</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Operating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746</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1013</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-26%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833</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-10%</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563</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758</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-26%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588</w:t>
            </w:r>
          </w:p>
        </w:tc>
        <w:tc>
          <w:tcPr>
            <w:tcW w:w="1360" w:type="dxa"/>
            <w:vAlign w:val="bottom"/>
            <w:gridSpan w:val="2"/>
          </w:tcPr>
          <w:p>
            <w:pPr>
              <w:ind w:left="720"/>
              <w:spacing w:after="0"/>
              <w:rPr>
                <w:sz w:val="20"/>
                <w:szCs w:val="20"/>
                <w:color w:val="auto"/>
              </w:rPr>
            </w:pPr>
            <w:r>
              <w:rPr>
                <w:rFonts w:ascii="Arial" w:cs="Arial" w:eastAsia="Arial" w:hAnsi="Arial"/>
                <w:sz w:val="18"/>
                <w:szCs w:val="18"/>
                <w:color w:val="auto"/>
              </w:rPr>
              <w:t>-4%</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0.43</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0.52</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-17%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0.44</w:t>
            </w:r>
          </w:p>
        </w:tc>
        <w:tc>
          <w:tcPr>
            <w:tcW w:w="1360" w:type="dxa"/>
            <w:vAlign w:val="bottom"/>
            <w:gridSpan w:val="2"/>
          </w:tcPr>
          <w:p>
            <w:pPr>
              <w:ind w:left="720"/>
              <w:spacing w:after="0"/>
              <w:rPr>
                <w:sz w:val="20"/>
                <w:szCs w:val="20"/>
                <w:color w:val="auto"/>
              </w:rPr>
            </w:pPr>
            <w:r>
              <w:rPr>
                <w:rFonts w:ascii="Arial" w:cs="Arial" w:eastAsia="Arial" w:hAnsi="Arial"/>
                <w:sz w:val="18"/>
                <w:szCs w:val="18"/>
                <w:color w:val="auto"/>
              </w:rPr>
              <w:t>-2%</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Cash flow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1052</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1531</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-31%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520</w:t>
            </w: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102%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TI’s revenue declined 8 percent compared with the third quarter of last year as growth in Embedded Processing was more than offset by declines in Wireless and Other revenue. Revenue was about even with the prior quarter.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3Q08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3Q07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vs. 3Q07</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2Q08</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vs. 2Q08</w:t>
            </w:r>
          </w:p>
        </w:tc>
        <w:tc>
          <w:tcPr>
            <w:tcW w:w="220" w:type="dxa"/>
            <w:vAlign w:val="bottom"/>
          </w:tcPr>
          <w:p>
            <w:pPr>
              <w:spacing w:after="0"/>
              <w:rPr>
                <w:sz w:val="20"/>
                <w:szCs w:val="20"/>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Note</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Analog: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1289</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1308</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-1%</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1287</w:t>
            </w:r>
          </w:p>
        </w:tc>
        <w:tc>
          <w:tcPr>
            <w:tcW w:w="1340" w:type="dxa"/>
            <w:vAlign w:val="bottom"/>
            <w:gridSpan w:val="2"/>
          </w:tcPr>
          <w:p>
            <w:pPr>
              <w:jc w:val="right"/>
              <w:ind w:right="25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Embedded Processing: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427</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390</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9%</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439</w:t>
            </w:r>
          </w:p>
        </w:tc>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(2)</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Wireless: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915</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1094</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-16%</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902</w:t>
            </w:r>
          </w:p>
        </w:tc>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(3)</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756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871</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-13%</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723</w:t>
            </w:r>
          </w:p>
        </w:tc>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center"/>
              <w:ind w:left="210"/>
              <w:spacing w:after="0"/>
              <w:rPr>
                <w:sz w:val="20"/>
                <w:szCs w:val="20"/>
                <w:color w:val="auto"/>
              </w:rPr>
            </w:pPr>
            <w:r>
              <w:rPr>
                <w:rFonts w:ascii="Arial" w:cs="Arial" w:eastAsia="Arial" w:hAnsi="Arial"/>
                <w:sz w:val="18"/>
                <w:szCs w:val="18"/>
                <w:color w:val="auto"/>
                <w:w w:val="95"/>
              </w:rPr>
              <w:t>(4)(5)</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product category for historical periods reflects minor reclassifications to previously reported amounts.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product categories include: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Analog: high-performance analog, high-volume analog </w:t>
      </w:r>
      <w:r>
        <w:rPr>
          <w:rFonts w:ascii="Arial" w:cs="Arial" w:eastAsia="Arial" w:hAnsi="Arial"/>
          <w:sz w:val="18"/>
          <w:szCs w:val="18"/>
          <w:color w:val="auto"/>
        </w:rPr>
        <w:t>&amp;</w:t>
      </w:r>
      <w:r>
        <w:rPr>
          <w:rFonts w:ascii="Arial" w:cs="Arial" w:eastAsia="Arial" w:hAnsi="Arial"/>
          <w:sz w:val="18"/>
          <w:szCs w:val="18"/>
          <w:i w:val="1"/>
          <w:iCs w:val="1"/>
          <w:color w:val="auto"/>
        </w:rPr>
        <w:t xml:space="preserve"> logic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Embedded Processing: catalog, communications infrastructure and automotive DSPs and microcontrollers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Wireless: basebands, OMAP applications processors, connectivity products for handsets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67" w:orient="portrait"/>
          <w:cols w:equalWidth="0" w:num="1">
            <w:col w:w="11420"/>
          </w:cols>
          <w:pgMar w:left="240" w:top="125" w:right="239" w:bottom="0" w:gutter="0" w:footer="0" w:header="0"/>
        </w:sectPr>
      </w:pP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Other: DLP</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products, calculators, RISC microprocessors, ASIC products,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-112395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67" w:orient="portrait"/>
          <w:cols w:equalWidth="0" w:num="1">
            <w:col w:w="11420"/>
          </w:cols>
          <w:pgMar w:left="240" w:top="125" w:right="239" w:bottom="0" w:gutter="0" w:footer="0" w:header="0"/>
          <w:type w:val="continuous"/>
        </w:sectPr>
      </w:pPr>
    </w:p>
    <w:bookmarkStart w:id="3" w:name="page4"/>
    <w:bookmarkEnd w:id="3"/>
    <w:p>
      <w:pPr>
        <w:ind w:left="1000" w:right="20" w:hanging="306"/>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Analog revenue was about even with a year ago as growth in high-performance analog was offset by declines in high-volume analog &amp; logic. Both areas were about even with the prior quarter.</w:t>
      </w:r>
    </w:p>
    <w:p>
      <w:pPr>
        <w:spacing w:after="0" w:line="197" w:lineRule="exact"/>
        <w:rPr>
          <w:rFonts w:ascii="Arial" w:cs="Arial" w:eastAsia="Arial" w:hAnsi="Arial"/>
          <w:sz w:val="18"/>
          <w:szCs w:val="18"/>
          <w:color w:val="auto"/>
        </w:rPr>
      </w:pPr>
    </w:p>
    <w:p>
      <w:pPr>
        <w:jc w:val="both"/>
        <w:ind w:left="1000" w:hanging="306"/>
        <w:spacing w:after="0" w:line="264"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Embedded Processing revenue grew from a year ago due to higher demand for communications infrastructure products as well as catalog products that more than offset a decline in automotive products. The sequential decline was due to lower demand for catalog and automotive products that more than offset growth in communications infrastructure products.</w:t>
      </w:r>
    </w:p>
    <w:p>
      <w:pPr>
        <w:spacing w:after="0" w:line="208" w:lineRule="exact"/>
        <w:rPr>
          <w:rFonts w:ascii="Arial" w:cs="Arial" w:eastAsia="Arial" w:hAnsi="Arial"/>
          <w:sz w:val="18"/>
          <w:szCs w:val="18"/>
          <w:color w:val="auto"/>
        </w:rPr>
      </w:pPr>
    </w:p>
    <w:p>
      <w:pPr>
        <w:ind w:left="1000" w:hanging="306"/>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Wireless revenue declined from a year ago due to lower baseband revenue. Wireless revenue was about even with the prior quarter.</w:t>
      </w:r>
    </w:p>
    <w:p>
      <w:pPr>
        <w:spacing w:after="0" w:line="263" w:lineRule="exact"/>
        <w:rPr>
          <w:rFonts w:ascii="Arial" w:cs="Arial" w:eastAsia="Arial" w:hAnsi="Arial"/>
          <w:sz w:val="17"/>
          <w:szCs w:val="17"/>
          <w:color w:val="auto"/>
        </w:rPr>
      </w:pPr>
    </w:p>
    <w:p>
      <w:pPr>
        <w:jc w:val="both"/>
        <w:ind w:left="1000" w:hanging="306"/>
        <w:spacing w:after="0" w:line="286"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revenue decreased from a year ago primarily due to declines in RISC microprocessors, royalties and calculators. This comparison was also impacted by the sale of a DSL product line, which had revenue of about $40 million in the year-ago quarter. Compared with the prior quarter, Other revenue grew due to growth in DLP and ASIC products that more than offset a decline in royalties.</w:t>
      </w:r>
    </w:p>
    <w:p>
      <w:pPr>
        <w:spacing w:after="0" w:line="192" w:lineRule="exact"/>
        <w:rPr>
          <w:rFonts w:ascii="Arial" w:cs="Arial" w:eastAsia="Arial" w:hAnsi="Arial"/>
          <w:sz w:val="17"/>
          <w:szCs w:val="17"/>
          <w:color w:val="auto"/>
        </w:rPr>
      </w:pPr>
    </w:p>
    <w:p>
      <w:pPr>
        <w:ind w:left="1000" w:hanging="306"/>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revenue includes Education Technology segment revenue of $182 million compared with $202 million in the year-ago quarter and $176 million in the prior quarter. Essentially all of this revenue is from sales of calculators.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financial information</w:t>
      </w:r>
    </w:p>
    <w:p>
      <w:pPr>
        <w:spacing w:after="0" w:line="256" w:lineRule="exact"/>
        <w:rPr>
          <w:sz w:val="20"/>
          <w:szCs w:val="20"/>
          <w:color w:val="auto"/>
        </w:rPr>
      </w:pPr>
    </w:p>
    <w:p>
      <w:pPr>
        <w:ind w:left="360" w:hanging="221"/>
        <w:spacing w:after="0" w:line="277"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includes a $34 million discrete tax benefit primarily due to adjustments identified through the completion of prior years’ tax returns. It also includes $44 million of charges associated with impairments of long-lived assets and site consolidations.</w:t>
      </w:r>
    </w:p>
    <w:p>
      <w:pPr>
        <w:spacing w:after="0" w:line="197" w:lineRule="exact"/>
        <w:rPr>
          <w:rFonts w:ascii="Arial" w:cs="Arial" w:eastAsia="Arial" w:hAnsi="Arial"/>
          <w:sz w:val="18"/>
          <w:szCs w:val="18"/>
          <w:color w:val="auto"/>
        </w:rPr>
      </w:pPr>
    </w:p>
    <w:p>
      <w:pPr>
        <w:ind w:left="360" w:hanging="221"/>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Orders were $3.23 billion, down 9 percent from a year ago and down 7 percent from the prior quarter.</w:t>
      </w:r>
    </w:p>
    <w:p>
      <w:pPr>
        <w:spacing w:after="0" w:line="252" w:lineRule="exact"/>
        <w:rPr>
          <w:rFonts w:ascii="Arial" w:cs="Arial" w:eastAsia="Arial" w:hAnsi="Arial"/>
          <w:sz w:val="18"/>
          <w:szCs w:val="18"/>
          <w:color w:val="auto"/>
        </w:rPr>
      </w:pPr>
    </w:p>
    <w:p>
      <w:pPr>
        <w:ind w:left="360" w:hanging="221"/>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Inventory was reduced by $76 million in the quarter although it remains above the company’s desired levels.</w:t>
      </w:r>
    </w:p>
    <w:p>
      <w:pPr>
        <w:spacing w:after="0" w:line="252" w:lineRule="exact"/>
        <w:rPr>
          <w:rFonts w:ascii="Arial" w:cs="Arial" w:eastAsia="Arial" w:hAnsi="Arial"/>
          <w:sz w:val="18"/>
          <w:szCs w:val="18"/>
          <w:color w:val="auto"/>
        </w:rPr>
      </w:pPr>
    </w:p>
    <w:p>
      <w:pPr>
        <w:ind w:left="360" w:hanging="221"/>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used $429 million in the quarter to repurchase 17.1 million shares of its common stock and paid dividends of $131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2008, TI expects:</w:t>
      </w:r>
    </w:p>
    <w:p>
      <w:pPr>
        <w:spacing w:after="0" w:line="252" w:lineRule="exact"/>
        <w:rPr>
          <w:sz w:val="20"/>
          <w:szCs w:val="20"/>
          <w:color w:val="auto"/>
        </w:rPr>
      </w:pPr>
    </w:p>
    <w:p>
      <w:pPr>
        <w:ind w:left="460" w:hanging="226"/>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$2.83 – 3.07 billion</w:t>
      </w:r>
    </w:p>
    <w:p>
      <w:pPr>
        <w:spacing w:after="0" w:line="23" w:lineRule="exact"/>
        <w:rPr>
          <w:rFonts w:ascii="Arial" w:cs="Arial" w:eastAsia="Arial" w:hAnsi="Arial"/>
          <w:sz w:val="18"/>
          <w:szCs w:val="18"/>
          <w:color w:val="auto"/>
        </w:rPr>
      </w:pPr>
    </w:p>
    <w:p>
      <w:pPr>
        <w:ind w:left="460" w:hanging="226"/>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per share (EPS): $0.30 – 0.36</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Semiconductor revenue is expected to decline in the range of 10 percent from the third quarter and Education Technology is expected to decline seasonally.</w:t>
      </w:r>
    </w:p>
    <w:p>
      <w:pPr>
        <w:spacing w:after="0" w:line="2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EPS estimate includes a $0.05 benefit from the reinstatement of the federal research tax credit, which was signed into law in October 2008 and was retroactive to the beginning of the year. The estimate also includes charges of about $0.01 per share associated with the company’s restructuring actions in its Wireless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fourth-quarter outlook on December 8,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2008, TI expects approximately the following:</w:t>
      </w:r>
    </w:p>
    <w:p>
      <w:pPr>
        <w:spacing w:after="0" w:line="252" w:lineRule="exact"/>
        <w:rPr>
          <w:sz w:val="20"/>
          <w:szCs w:val="20"/>
          <w:color w:val="auto"/>
        </w:rPr>
      </w:pPr>
    </w:p>
    <w:p>
      <w:pPr>
        <w:ind w:left="460" w:hanging="226"/>
        <w:spacing w:after="0"/>
        <w:tabs>
          <w:tab w:leader="none" w:pos="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R&amp;D expense: $2.0 billion</w:t>
      </w:r>
    </w:p>
    <w:p>
      <w:pPr>
        <w:spacing w:after="0" w:line="23" w:lineRule="exact"/>
        <w:rPr>
          <w:rFonts w:ascii="Arial" w:cs="Arial" w:eastAsia="Arial" w:hAnsi="Arial"/>
          <w:sz w:val="18"/>
          <w:szCs w:val="18"/>
          <w:color w:val="auto"/>
        </w:rPr>
      </w:pPr>
    </w:p>
    <w:p>
      <w:pPr>
        <w:ind w:left="460" w:hanging="226"/>
        <w:spacing w:after="0"/>
        <w:tabs>
          <w:tab w:leader="none" w:pos="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Capital expenditures: $0.8 billion, compared with $0.9 billion in the prior estimate</w:t>
      </w:r>
    </w:p>
    <w:p>
      <w:pPr>
        <w:spacing w:after="0" w:line="9" w:lineRule="exact"/>
        <w:rPr>
          <w:rFonts w:ascii="Arial" w:cs="Arial" w:eastAsia="Arial" w:hAnsi="Arial"/>
          <w:sz w:val="18"/>
          <w:szCs w:val="18"/>
          <w:color w:val="auto"/>
        </w:rPr>
      </w:pPr>
    </w:p>
    <w:p>
      <w:pPr>
        <w:ind w:left="460" w:hanging="226"/>
        <w:spacing w:after="0"/>
        <w:tabs>
          <w:tab w:leader="none" w:pos="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Depreciation: $1.0 billion</w:t>
      </w:r>
    </w:p>
    <w:p>
      <w:pPr>
        <w:spacing w:after="0" w:line="9" w:lineRule="exact"/>
        <w:rPr>
          <w:rFonts w:ascii="Arial" w:cs="Arial" w:eastAsia="Arial" w:hAnsi="Arial"/>
          <w:sz w:val="18"/>
          <w:szCs w:val="18"/>
          <w:color w:val="auto"/>
        </w:rPr>
      </w:pPr>
    </w:p>
    <w:p>
      <w:pPr>
        <w:ind w:left="460" w:hanging="226"/>
        <w:spacing w:after="0"/>
        <w:tabs>
          <w:tab w:leader="none" w:pos="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Annual effective tax rate: 28%*</w:t>
      </w:r>
    </w:p>
    <w:p>
      <w:pPr>
        <w:spacing w:after="0" w:line="237" w:lineRule="exact"/>
        <w:rPr>
          <w:rFonts w:ascii="Arial" w:cs="Arial" w:eastAsia="Arial" w:hAnsi="Arial"/>
          <w:sz w:val="18"/>
          <w:szCs w:val="18"/>
          <w:color w:val="auto"/>
        </w:rPr>
      </w:pPr>
    </w:p>
    <w:p>
      <w:pPr>
        <w:ind w:right="520"/>
        <w:spacing w:after="0" w:line="277" w:lineRule="auto"/>
        <w:rPr>
          <w:rFonts w:ascii="Arial" w:cs="Arial" w:eastAsia="Arial" w:hAnsi="Arial"/>
          <w:sz w:val="18"/>
          <w:szCs w:val="18"/>
          <w:color w:val="auto"/>
        </w:rPr>
      </w:pPr>
      <w:r>
        <w:rPr>
          <w:rFonts w:ascii="Arial" w:cs="Arial" w:eastAsia="Arial" w:hAnsi="Arial"/>
          <w:sz w:val="18"/>
          <w:szCs w:val="18"/>
          <w:color w:val="auto"/>
        </w:rPr>
        <w:t>* Includes the full-year impact of the reinstatement of the federal research tax credit, which reduces the annual effective tax rate by about 2 percentage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left="690"/>
              <w:spacing w:after="0"/>
              <w:rPr>
                <w:sz w:val="20"/>
                <w:szCs w:val="20"/>
                <w:color w:val="auto"/>
              </w:rPr>
            </w:pPr>
            <w:r>
              <w:rPr>
                <w:rFonts w:ascii="Arial" w:cs="Arial" w:eastAsia="Arial" w:hAnsi="Arial"/>
                <w:sz w:val="18"/>
                <w:szCs w:val="18"/>
                <w:b w:val="1"/>
                <w:bCs w:val="1"/>
                <w:color w:val="auto"/>
                <w:w w:val="92"/>
              </w:rPr>
              <w:t>For Three Months Ended</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89"/>
              </w:rPr>
              <w:t>Sept. 30,</w:t>
            </w:r>
          </w:p>
        </w:tc>
        <w:tc>
          <w:tcPr>
            <w:tcW w:w="160" w:type="dxa"/>
            <w:vAlign w:val="bottom"/>
          </w:tcPr>
          <w:p>
            <w:pPr>
              <w:spacing w:after="0"/>
              <w:rPr>
                <w:sz w:val="17"/>
                <w:szCs w:val="17"/>
                <w:color w:val="auto"/>
              </w:rPr>
            </w:pPr>
          </w:p>
        </w:tc>
        <w:tc>
          <w:tcPr>
            <w:tcW w:w="124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89"/>
              </w:rPr>
              <w:t>Sept. 30,</w:t>
            </w:r>
          </w:p>
        </w:tc>
        <w:tc>
          <w:tcPr>
            <w:tcW w:w="200" w:type="dxa"/>
            <w:vAlign w:val="bottom"/>
          </w:tcPr>
          <w:p>
            <w:pPr>
              <w:spacing w:after="0"/>
              <w:rPr>
                <w:sz w:val="17"/>
                <w:szCs w:val="17"/>
                <w:color w:val="auto"/>
              </w:rPr>
            </w:pPr>
          </w:p>
        </w:tc>
        <w:tc>
          <w:tcPr>
            <w:tcW w:w="94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w w:val="94"/>
              </w:rPr>
              <w:t>June 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3,387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1,744</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1,679</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1,643</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507</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390</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746</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756</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1,066</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193</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563</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563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776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1,304</w:t>
            </w:r>
          </w:p>
        </w:tc>
        <w:tc>
          <w:tcPr>
            <w:tcW w:w="16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1,417</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1,318</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1,448</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Percentage of revenue: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48.5%</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R&amp;D</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15.0%</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22.0%</w:t>
            </w: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829"/>
        </w:trPr>
        <w:tc>
          <w:tcPr>
            <w:tcW w:w="20" w:type="dxa"/>
            <w:vAlign w:val="bottom"/>
            <w:tcBorders>
              <w:bottom w:val="single" w:sz="8" w:color="808080"/>
            </w:tcBorders>
          </w:tcPr>
          <w:p>
            <w:pPr>
              <w:spacing w:after="0"/>
              <w:rPr>
                <w:sz w:val="24"/>
                <w:szCs w:val="24"/>
                <w:color w:val="auto"/>
              </w:rPr>
            </w:pPr>
          </w:p>
        </w:tc>
        <w:tc>
          <w:tcPr>
            <w:tcW w:w="7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Sept. 30,</w:t>
            </w: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($28), ($30) and ($24)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1,774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982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(3,982)</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12,466</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13,724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profit sharing and retirement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00"/>
              <w:spacing w:after="0" w:line="201" w:lineRule="exact"/>
              <w:rPr>
                <w:sz w:val="20"/>
                <w:szCs w:val="20"/>
                <w:color w:val="auto"/>
              </w:rPr>
            </w:pPr>
            <w:r>
              <w:rPr>
                <w:rFonts w:ascii="Arial" w:cs="Arial" w:eastAsia="Arial" w:hAnsi="Arial"/>
                <w:sz w:val="18"/>
                <w:szCs w:val="18"/>
                <w:color w:val="auto"/>
              </w:rPr>
              <w:t>Preferred stock, $25 par value. Authorized -- 10,000,000 shares.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rPr>
              <w:t>Participating cumulative preferred. None issued.</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Common stock, $1 par value. Authorized -- 2,400,000,000 shares. Shares issued: Sept. 30, 2008 -</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1,739,717,573; Sept. 30, 2007 -- 1,739,579,782; June 30, 2008 -- 1,739,712,567</w:t>
            </w:r>
          </w:p>
        </w:tc>
        <w:tc>
          <w:tcPr>
            <w:tcW w:w="16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21,204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00"/>
              <w:spacing w:after="0" w:line="201" w:lineRule="exact"/>
              <w:rPr>
                <w:sz w:val="20"/>
                <w:szCs w:val="20"/>
                <w:color w:val="auto"/>
              </w:rPr>
            </w:pPr>
            <w:r>
              <w:rPr>
                <w:rFonts w:ascii="Arial" w:cs="Arial" w:eastAsia="Arial" w:hAnsi="Arial"/>
                <w:sz w:val="18"/>
                <w:szCs w:val="18"/>
                <w:color w:val="auto"/>
              </w:rPr>
              <w:t>Less treasury common stock at cost: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Shares: Sept. 30, 2008 -- 443,292,628; Sept. 30, 2007 -- 341,373,012; June 30, 2008 --</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(13,481)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360"/>
              <w:spacing w:after="0"/>
              <w:rPr>
                <w:sz w:val="20"/>
                <w:szCs w:val="20"/>
                <w:color w:val="auto"/>
              </w:rPr>
            </w:pPr>
            <w:r>
              <w:rPr>
                <w:rFonts w:ascii="Arial" w:cs="Arial" w:eastAsia="Arial" w:hAnsi="Arial"/>
                <w:sz w:val="18"/>
                <w:szCs w:val="18"/>
                <w:color w:val="auto"/>
              </w:rPr>
              <w:t>428,835,142</w:t>
            </w:r>
          </w:p>
        </w:tc>
        <w:tc>
          <w:tcPr>
            <w:tcW w:w="1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(10,344)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loss, net of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10,094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11,137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12,466</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13,724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12,382</w:t>
            </w:r>
          </w:p>
        </w:tc>
        <w:tc>
          <w:tcPr>
            <w:tcW w:w="0" w:type="dxa"/>
            <w:vAlign w:val="bottom"/>
          </w:tcPr>
          <w:p>
            <w:pPr>
              <w:spacing w:after="0"/>
              <w:rPr>
                <w:sz w:val="1"/>
                <w:szCs w:val="1"/>
                <w:color w:val="auto"/>
              </w:rPr>
            </w:pPr>
          </w:p>
        </w:tc>
      </w:tr>
      <w:tr>
        <w:trPr>
          <w:trHeight w:val="814"/>
        </w:trPr>
        <w:tc>
          <w:tcPr>
            <w:tcW w:w="20" w:type="dxa"/>
            <w:vAlign w:val="bottom"/>
          </w:tcPr>
          <w:p>
            <w:pPr>
              <w:spacing w:after="0"/>
              <w:rPr>
                <w:sz w:val="24"/>
                <w:szCs w:val="24"/>
                <w:color w:val="auto"/>
              </w:rPr>
            </w:pPr>
          </w:p>
        </w:tc>
        <w:tc>
          <w:tcPr>
            <w:tcW w:w="742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auto"/>
              <w:bottom w:val="single" w:sz="8" w:color="808080"/>
            </w:tcBorders>
          </w:tcPr>
          <w:p>
            <w:pPr>
              <w:spacing w:after="0"/>
              <w:rPr>
                <w:sz w:val="24"/>
                <w:szCs w:val="24"/>
                <w:color w:val="auto"/>
              </w:rPr>
            </w:pPr>
          </w:p>
        </w:tc>
        <w:tc>
          <w:tcPr>
            <w:tcW w:w="10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96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auto"/>
              <w:bottom w:val="single" w:sz="8" w:color="808080"/>
            </w:tcBorders>
          </w:tcPr>
          <w:p>
            <w:pPr>
              <w:spacing w:after="0"/>
              <w:rPr>
                <w:sz w:val="24"/>
                <w:szCs w:val="24"/>
                <w:color w:val="auto"/>
              </w:rPr>
            </w:pPr>
          </w:p>
        </w:tc>
        <w:tc>
          <w:tcPr>
            <w:tcW w:w="98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ind w:left="690"/>
              <w:spacing w:after="0"/>
              <w:rPr>
                <w:sz w:val="20"/>
                <w:szCs w:val="20"/>
                <w:color w:val="auto"/>
              </w:rPr>
            </w:pPr>
            <w:r>
              <w:rPr>
                <w:rFonts w:ascii="Arial" w:cs="Arial" w:eastAsia="Arial" w:hAnsi="Arial"/>
                <w:sz w:val="18"/>
                <w:szCs w:val="18"/>
                <w:b w:val="1"/>
                <w:bCs w:val="1"/>
                <w:color w:val="auto"/>
                <w:w w:val="92"/>
              </w:rPr>
              <w:t>For Three Months Ended</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7"/>
              </w:rPr>
              <w:t>Sept. 30,</w:t>
            </w:r>
          </w:p>
        </w:tc>
        <w:tc>
          <w:tcPr>
            <w:tcW w:w="180" w:type="dxa"/>
            <w:vAlign w:val="bottom"/>
          </w:tcPr>
          <w:p>
            <w:pPr>
              <w:spacing w:after="0"/>
              <w:rPr>
                <w:sz w:val="17"/>
                <w:szCs w:val="17"/>
                <w:color w:val="auto"/>
              </w:rPr>
            </w:pPr>
          </w:p>
        </w:tc>
        <w:tc>
          <w:tcPr>
            <w:tcW w:w="11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9"/>
              </w:rPr>
              <w:t>Sept. 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w w:val="91"/>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563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net income: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of acquisition-related intangibles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Gain on sale of assets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Accrued profit sharing and retirement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1,052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sales of assets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Sales of long-term investments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in investing activities of continuing operations</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(119)</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(529)</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1,715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360" w:hanging="352"/>
        <w:spacing w:after="0" w:line="250"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60" w:right="180" w:hanging="352"/>
        <w:spacing w:after="0" w:line="250"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60" w:right="220" w:hanging="352"/>
        <w:spacing w:after="0" w:line="250"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60" w:hanging="352"/>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60" w:right="40" w:hanging="352"/>
        <w:spacing w:after="0" w:line="261"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a more detailed discussion of these factors, see the text under the heading “Risk Factors” in Part II, Item 1A of the Company’s Form 10-Q for the second quarter of 2008, which was filed on July 31, 2008. The forward-looking statements included in this release are made only as of the date of this release, and the Company undertakes no obligation to update the forward-looking statements to reflect subsequent events or circumstances.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Texas Instruments (NYSE: TXN) helps customers solve problems and develop new electronics that make the world smarter, healthier, safer, greener and more fun. A global semiconductor company, TI innovates through manufacturing, design and sales operations in more than 25 countries. For more information, go to </w:t>
      </w:r>
      <w:r>
        <w:rPr>
          <w:rFonts w:ascii="Arial" w:cs="Arial" w:eastAsia="Arial" w:hAnsi="Arial"/>
          <w:sz w:val="18"/>
          <w:szCs w:val="18"/>
          <w:u w:val="single" w:color="auto"/>
          <w:color w:val="auto"/>
        </w:rPr>
        <w:t>www.ti.com</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Ÿ"/>
      <w:numFmt w:val="bullet"/>
      <w:start w:val="1"/>
    </w:lvl>
  </w:abstractNum>
  <w:abstractNum w:abstractNumId="4">
    <w:nsid w:val="507ED7AB"/>
    <w:multiLevelType w:val="hybridMultilevel"/>
    <w:lvl w:ilvl="0">
      <w:lvlJc w:val="left"/>
      <w:lvlText w:val="Ÿ"/>
      <w:numFmt w:val="bullet"/>
      <w:start w:val="1"/>
    </w:lvl>
  </w:abstractNum>
  <w:abstractNum w:abstractNumId="5">
    <w:nsid w:val="2EB141F2"/>
    <w:multiLevelType w:val="hybridMultilevel"/>
    <w:lvl w:ilvl="0">
      <w:lvlJc w:val="left"/>
      <w:lvlText w:val="*"/>
      <w:numFmt w:val="bullet"/>
      <w:start w:val="1"/>
    </w:lvl>
    <w:lvl w:ilvl="1">
      <w:lvlJc w:val="left"/>
      <w:lvlText w:val="Ÿ"/>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2019-12-13T07:29:02Z</dcterms:created>
  <dcterms:modified xsi:type="dcterms:W3CDTF">2019-12-13T07:29:02Z</dcterms:modified>
</cp:coreProperties>
</file>