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1,447,839</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261,417</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86,867,181</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1,625,439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88,492,620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 Box 660199</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Texas 75266-0199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882508104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88,492,620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1,447,839</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261,417</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86,867,181 (iv) shared power to dispose or to direct the disposition of: 1,625,439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1,116,456 shares or 0.11% of the Common Stock outstanding of the Company as a result of its serving as investment manager of collective trust accounts.</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823,709 shares or 0.08% of the Common Stock outstanding of the Company as a result of its serving as investment manager of Australian investment offerings.</w:t>
      </w:r>
    </w:p>
    <w:sectPr>
      <w:pgSz w:w="11900" w:h="16838" w:orient="portrait"/>
      <w:cols w:equalWidth="0" w:num="1">
        <w:col w:w="11300"/>
      </w:cols>
      <w:pgMar w:left="240" w:top="6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2020-02-12T06:54:32Z</dcterms:created>
  <dcterms:modified xsi:type="dcterms:W3CDTF">2020-02-12T06:54:32Z</dcterms:modified>
</cp:coreProperties>
</file>