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SD</w:t>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182245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159385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60"/>
          </w:cols>
          <w:pgMar w:left="240" w:top="801" w:right="29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75-0289970</w:t>
      </w:r>
    </w:p>
    <w:p>
      <w:pPr>
        <w:spacing w:after="0" w:line="50" w:lineRule="exact"/>
        <w:rPr>
          <w:sz w:val="24"/>
          <w:szCs w:val="24"/>
          <w:color w:val="auto"/>
        </w:rPr>
      </w:pPr>
    </w:p>
    <w:p>
      <w:pPr>
        <w:sectPr>
          <w:pgSz w:w="11900" w:h="16838" w:orient="portrait"/>
          <w:cols w:equalWidth="0" w:num="3">
            <w:col w:w="4640" w:space="720"/>
            <w:col w:w="2960" w:space="720"/>
            <w:col w:w="2320"/>
          </w:cols>
          <w:pgMar w:left="240" w:top="801" w:right="299" w:bottom="1440" w:gutter="0" w:footer="0" w:header="0"/>
          <w:type w:val="continuous"/>
        </w:sectPr>
      </w:pPr>
    </w:p>
    <w:p>
      <w:pPr>
        <w:ind w:left="122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180" w:space="720"/>
            <w:col w:w="2740" w:space="720"/>
            <w:col w:w="3000"/>
          </w:cols>
          <w:pgMar w:left="240" w:top="801" w:right="299" w:bottom="1440" w:gutter="0" w:footer="0" w:header="0"/>
          <w:type w:val="continuous"/>
        </w:sectPr>
      </w:pPr>
    </w:p>
    <w:p>
      <w:pPr>
        <w:spacing w:after="0" w:line="10" w:lineRule="exact"/>
        <w:rPr>
          <w:sz w:val="24"/>
          <w:szCs w:val="24"/>
          <w:color w:val="auto"/>
        </w:rPr>
      </w:pPr>
    </w:p>
    <w:p>
      <w:pPr>
        <w:ind w:left="1820"/>
        <w:spacing w:after="0"/>
        <w:rPr>
          <w:sz w:val="20"/>
          <w:szCs w:val="20"/>
          <w:color w:val="auto"/>
        </w:rPr>
      </w:pPr>
      <w:r>
        <w:rPr>
          <w:rFonts w:ascii="Arial" w:cs="Arial" w:eastAsia="Arial" w:hAnsi="Arial"/>
          <w:sz w:val="16"/>
          <w:szCs w:val="16"/>
          <w:b w:val="1"/>
          <w:bCs w:val="1"/>
          <w:color w:val="auto"/>
        </w:rPr>
        <w:t>12500 TI Boulevard, Dallas,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75243</w:t>
      </w:r>
    </w:p>
    <w:p>
      <w:pPr>
        <w:spacing w:after="0" w:line="61" w:lineRule="exact"/>
        <w:rPr>
          <w:sz w:val="24"/>
          <w:szCs w:val="24"/>
          <w:color w:val="auto"/>
        </w:rPr>
      </w:pPr>
    </w:p>
    <w:p>
      <w:pPr>
        <w:sectPr>
          <w:pgSz w:w="11900" w:h="16838" w:orient="portrait"/>
          <w:cols w:equalWidth="0" w:num="2">
            <w:col w:w="7900" w:space="720"/>
            <w:col w:w="2740"/>
          </w:cols>
          <w:pgMar w:left="240" w:top="801" w:right="299" w:bottom="1440" w:gutter="0" w:footer="0" w:header="0"/>
          <w:type w:val="continuous"/>
        </w:sectPr>
      </w:pPr>
    </w:p>
    <w:p>
      <w:pPr>
        <w:ind w:left="19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800" w:space="720"/>
            <w:col w:w="2840"/>
          </w:cols>
          <w:pgMar w:left="240" w:top="801" w:right="299" w:bottom="1440" w:gutter="0" w:footer="0" w:header="0"/>
          <w:type w:val="continuous"/>
        </w:sectPr>
      </w:pP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Beverly Beasley, 972-995-3773</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159385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ind w:left="900" w:hanging="379"/>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971550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801"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Form SD should be read in conjunction with the definitions contained in the Securities and Exchange Commission (“SEC”) instructions to Form SD and related rules. “Conflict minerals” refers to four specific metals regardless of their country of origin or whether they are financing or benefiting armed conflict: tantalum, tin, tungsten and gold.</w:t>
      </w:r>
    </w:p>
    <w:p>
      <w:pPr>
        <w:spacing w:after="0" w:line="18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With respect to conflict minerals necessary to the functionality or production of products manufactured by Texas Instruments Incorporated (“TI”), or contracted by TI to be manufactured, and required to be reported on Form SD for 2015 (collectively, “CMs”), we exercised due diligence concerning the source and chain of custody of the CMs. For a description of our due diligence (which included a reasonable country of origin inquiry), please see our Conflict Minerals Report (Exhibit 1.01).</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Form SD is available on our web site at www.ti.com/conflictminerals. We are not incorporating by reference the contents of our web site into this Form SD.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Conflict Minerals Report for 2015 is attached hereto as Exhibit 1.01.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as required by Items 1.01 and 1.02 of this Form.</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1" w:right="29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May 31, 2016</w:t>
      </w:r>
    </w:p>
    <w:p>
      <w:pPr>
        <w:spacing w:after="0" w:line="23" w:lineRule="exact"/>
        <w:rPr>
          <w:sz w:val="20"/>
          <w:szCs w:val="20"/>
          <w:color w:val="auto"/>
        </w:rPr>
      </w:pPr>
    </w:p>
    <w:p>
      <w:pPr>
        <w:ind w:left="6260"/>
        <w:spacing w:after="0"/>
        <w:tabs>
          <w:tab w:leader="none" w:pos="6720" w:val="left"/>
        </w:tabs>
        <w:rPr>
          <w:sz w:val="20"/>
          <w:szCs w:val="20"/>
          <w:color w:val="auto"/>
        </w:rPr>
      </w:pPr>
      <w:r>
        <w:rPr>
          <w:rFonts w:ascii="Arial" w:cs="Arial" w:eastAsia="Arial" w:hAnsi="Arial"/>
          <w:sz w:val="18"/>
          <w:szCs w:val="18"/>
          <w:color w:val="auto"/>
        </w:rPr>
        <w:t>BY:</w:t>
        <w:tab/>
        <w:t>/s/ Kevin P. March</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-130810</wp:posOffset>
            </wp:positionV>
            <wp:extent cx="29756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0"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660"/>
          </w:cols>
          <w:pgMar w:left="240" w:top="787"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Conflict Minerals Report of Texas Instruments Incorporated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2015</w:t>
      </w:r>
    </w:p>
    <w:p>
      <w:pPr>
        <w:spacing w:after="0" w:line="21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This Conflict Minerals Report should be read in conjunction with the definitions contained in the Securities and Exchange Commission (“SEC”) instructions to Form SD and related rules. This Conflict Minerals Report and our conflict minerals policy are available on our web site at www.ti.com/conflictminerals. We are not incorporating by reference the contents of our web site into this Conflict Minerals Report. “Conflict minerals” refers to four specific metals regardless of their country of origin or whether they are financing or benefiting armed conflict: tantalum, tin, tungsten and gold.</w:t>
      </w:r>
    </w:p>
    <w:p>
      <w:pPr>
        <w:spacing w:after="0" w:line="154"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 of Due Diligence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management systems and due diligence procedures (our “CM Process”) as a basis for supply-chain management and disclosure compliance relating to the conflict minerals necessary to the functionality or production of products manufactured by TI, or contracted by TI to be manufactured, and required to be reported for 2015 (collectively, “CMs”). We designed the CM Process with the intent to conform in all material respects with the OECD Due Diligence Guidance for Responsible Supply Chains of Minerals from Conflict-Affected and High-Risk Areas (Second Edition). The design of the CM Process included the following:</w:t>
      </w:r>
    </w:p>
    <w:p>
      <w:pPr>
        <w:spacing w:after="0" w:line="80" w:lineRule="exact"/>
        <w:rPr>
          <w:sz w:val="20"/>
          <w:szCs w:val="20"/>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conflict minerals policy;</w:t>
      </w:r>
    </w:p>
    <w:p>
      <w:pPr>
        <w:spacing w:after="0" w:line="23" w:lineRule="exact"/>
        <w:rPr>
          <w:rFonts w:ascii="Arial" w:cs="Arial" w:eastAsia="Arial" w:hAnsi="Arial"/>
          <w:sz w:val="18"/>
          <w:szCs w:val="18"/>
          <w:color w:val="auto"/>
        </w:rPr>
      </w:pPr>
    </w:p>
    <w:p>
      <w:pPr>
        <w:ind w:left="760" w:right="120" w:hanging="374"/>
        <w:spacing w:after="0" w:line="250" w:lineRule="auto"/>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 organizational structure and processes intended to ensure that our direct suppliers of CMs and third-party manufacturers of our products that contain CMs (collectively, “Suppliers”) are made aware of TI’s policy on CMs and that information received by TI that is relevant to supply-chain due diligence reaches TI employees who have knowledge of the SEC disclosure requirements;</w:t>
      </w:r>
    </w:p>
    <w:p>
      <w:pPr>
        <w:spacing w:after="0" w:line="1" w:lineRule="exact"/>
        <w:rPr>
          <w:rFonts w:ascii="Arial" w:cs="Arial" w:eastAsia="Arial" w:hAnsi="Arial"/>
          <w:sz w:val="18"/>
          <w:szCs w:val="18"/>
          <w:color w:val="auto"/>
        </w:rPr>
      </w:pPr>
    </w:p>
    <w:p>
      <w:pPr>
        <w:ind w:left="760" w:right="220" w:hanging="374"/>
        <w:spacing w:after="0" w:line="250" w:lineRule="auto"/>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process, which uses a reporting tool developed by the Conflict-Free Sourcing Initiative (“CFSI”) and data gathered through the Conflict-Free Smelter Program (“CFSP”) (as further described below), to achieve control and transparency over our CM supply chain and identify the risk that our products may contain CMs directly or indirectly financing or benefiting armed groups in the Democratic Republic of the Congo or any adjoining country (each a “Covered Country”);</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assessment and management of risks identified through the process described above;</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mechanism for Suppliers and others to communicate to TI their concerns with respect to our CM Process;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reliance on the CFSP to validate supply chain due diligence; and</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public reporting of the results of our due diligence.</w:t>
      </w:r>
    </w:p>
    <w:p>
      <w:pPr>
        <w:spacing w:after="0" w:line="31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II.   Reliance on Third-Party Data</w:t>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Our ability to determine the origin and chain of custody of CMs, and whether they directly or indirectly finance or benefit armed groups in any Covered Country (the “Conflict Status”), is limited. Our supply chain for CMs is complex. In many cases, we are multiple steps removed from the smelter or the mine, and we depend on information from Suppliers that themselves may have incomplete information about the origin of the CMs incorporated in the products they supply to us.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To gain insight into the country of origin, chain of custody and Conflict Status of the CMs in our supply chain, we relied primarily on the findings of the CFSP. The CFSP is a voluntary program in which an independent third party evaluates smelters’ and refiners’ procurement and inventory practices and determines whether the smelter or refiner (“Smelter”) has demonstrated that all the materials it processed originated from conflict-free sources. The CFSP is overseen by the CFSI, which was established by members of the Electronic Industry Citizenship Coalition (“EICC”) and the Global e-Sustainability Initiative. TI is an active member of EICC and the CFSI.</w:t>
      </w:r>
    </w:p>
    <w:p>
      <w:pPr>
        <w:spacing w:after="0" w:line="18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Due Diligence Measures Taken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measures we took to exercise due diligence on the source and chain of custody of our CMs are as follows:</w:t>
      </w:r>
    </w:p>
    <w:p>
      <w:pPr>
        <w:spacing w:after="0" w:line="117" w:lineRule="exact"/>
        <w:rPr>
          <w:sz w:val="20"/>
          <w:szCs w:val="20"/>
          <w:color w:val="auto"/>
        </w:rPr>
      </w:pPr>
    </w:p>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communicating our CM policy to Suppliers;</w:t>
      </w:r>
    </w:p>
    <w:p>
      <w:pPr>
        <w:spacing w:after="0" w:line="23" w:lineRule="exact"/>
        <w:rPr>
          <w:rFonts w:ascii="Arial" w:cs="Arial" w:eastAsia="Arial" w:hAnsi="Arial"/>
          <w:sz w:val="18"/>
          <w:szCs w:val="18"/>
          <w:color w:val="auto"/>
        </w:rPr>
      </w:pPr>
    </w:p>
    <w:p>
      <w:pPr>
        <w:ind w:left="760" w:right="100" w:hanging="374"/>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directing Suppliers to provide information concerning Smelters in their supply chains by completing and sending to us the Conflict Minerals Reporting Template (a tool developed by the CFSI that provides a common means for suppliers to provide their customers with information on the source of conflict minerals);</w:t>
      </w:r>
    </w:p>
    <w:p>
      <w:pPr>
        <w:spacing w:after="0" w:line="1" w:lineRule="exact"/>
        <w:rPr>
          <w:rFonts w:ascii="Arial" w:cs="Arial" w:eastAsia="Arial" w:hAnsi="Arial"/>
          <w:sz w:val="18"/>
          <w:szCs w:val="18"/>
          <w:color w:val="auto"/>
        </w:rPr>
      </w:pPr>
    </w:p>
    <w:p>
      <w:pPr>
        <w:ind w:left="760" w:right="20" w:hanging="374"/>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analyzing Suppliers’ Conflict Minerals Reporting Template responses for completeness and internal consistency and following up with Suppliers in an effort to get more information;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ind w:left="760" w:right="80" w:hanging="374"/>
        <w:spacing w:after="0" w:line="25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comparing the information received from Suppliers with the data made available by the CFSP concerning the country of origin and Conflict Status of CMs processed or refined by Smelters; and</w:t>
      </w:r>
    </w:p>
    <w:p>
      <w:pPr>
        <w:spacing w:after="0" w:line="1" w:lineRule="exact"/>
        <w:rPr>
          <w:rFonts w:ascii="Arial" w:cs="Arial" w:eastAsia="Arial" w:hAnsi="Arial"/>
          <w:sz w:val="18"/>
          <w:szCs w:val="18"/>
          <w:color w:val="auto"/>
        </w:rPr>
      </w:pPr>
    </w:p>
    <w:p>
      <w:pPr>
        <w:ind w:left="760" w:right="140" w:hanging="374"/>
        <w:spacing w:after="0" w:line="255"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other source materials if we were unable to determine, on the basis of the information provided by Suppliers and CFSP data, (i) the facility and country of origin of the CMs supplied to us, (ii) the Conflict Status of the CMs and (iii) whether the CMs were from recycled or scrap sources.</w:t>
      </w:r>
    </w:p>
    <w:p>
      <w:pPr>
        <w:spacing w:after="0" w:line="19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6"/>
          <w:szCs w:val="16"/>
          <w:color w:val="auto"/>
        </w:rPr>
        <w:t>Our Findings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Integrated Circuits (“ICs”)</w:t>
      </w:r>
      <w:r>
        <w:rPr>
          <w:rFonts w:ascii="Arial" w:cs="Arial" w:eastAsia="Arial" w:hAnsi="Arial"/>
          <w:sz w:val="14"/>
          <w:szCs w:val="14"/>
          <w:color w:val="auto"/>
        </w:rPr>
        <w:t>1</w:t>
      </w:r>
      <w:r>
        <w:rPr>
          <w:rFonts w:ascii="Arial" w:cs="Arial" w:eastAsia="Arial" w:hAnsi="Arial"/>
          <w:sz w:val="17"/>
          <w:szCs w:val="17"/>
          <w:color w:val="auto"/>
        </w:rPr>
        <w:t xml:space="preserve"> accounted for approximately 90 percent of TI’s revenue in 2015, and we have determined that all of our ICs were conflict</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free. Our determination is based on the finding that all the Smelters identified to us by our Suppliers as being potentially in the supply chain for these ICs in 2015 supplied CMs exclusively from conflict-free sources.</w:t>
      </w:r>
    </w:p>
    <w:p>
      <w:pPr>
        <w:spacing w:after="0" w:line="18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2015, we made progress in our due diligence efforts. Our communications with Suppliers yielded more complete and specific information than in 2014 about the Smelters in our supply chain. That information, combined with the expanded information available through the CFSP, has given us greater insight into the Conflict Status of CMs identified as potentially in our supply chain for 2015 as compared to the prior year.</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number of Smelters identified to us by our Suppliers as potentially in our supply chain in 2015 increased by approximately 20 percent. Of the Smelters identified for 2015, we have determined that the CMs potentially supplied to us by 76 percent of the Smelters were conflict-free, as compared with 58 percent for 2014. Another 10 percent of the Smelters identified for 2015 have committed to participate in a third-party audit of their Conflict Status. In no instance did we find CMs in our supply chain to be from a source that, to our knowledge, was directly or indirectly financing or benefiting armed conflict in a Covered Country.</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do not have complete information about the CMs in our entire supply chain. For 2015, a majority of Suppliers identified Smelters in their supply chains on a company-wide, division or product-line basis, without specifying which Smelters were relevant to products they supplied to TI. (Accordingly, we refer in this Conflict Minerals Report to Smelters as being “potentially” in our supply chain and as CMs “potentially” supplied to TI.) Industry efforts to collect and verify CM origin information remain incomplete. For Smelters that have committed to participate in a third-party audit of their Conflict Status, that status is currently undeterminable because the audits are not complete. The results of our due diligence, which are summarized in the charts below, reflect these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40" w:right="280" w:hanging="132"/>
        <w:spacing w:after="0" w:line="342" w:lineRule="auto"/>
        <w:tabs>
          <w:tab w:leader="none" w:pos="140" w:val="left"/>
        </w:tabs>
        <w:numPr>
          <w:ilvl w:val="0"/>
          <w:numId w:val="6"/>
        </w:numPr>
        <w:rPr>
          <w:rFonts w:ascii="Arial" w:cs="Arial" w:eastAsia="Arial" w:hAnsi="Arial"/>
          <w:sz w:val="14"/>
          <w:szCs w:val="14"/>
          <w:color w:val="auto"/>
        </w:rPr>
      </w:pPr>
      <w:r>
        <w:rPr>
          <w:rFonts w:ascii="Arial" w:cs="Arial" w:eastAsia="Arial" w:hAnsi="Arial"/>
          <w:sz w:val="16"/>
          <w:szCs w:val="16"/>
          <w:color w:val="auto"/>
        </w:rPr>
        <w:t>“Integrated circuits” refers to finished semiconductor products that contain chips manufactured by or for TI and packaging subcomponents such as mold compounds, bond wires and lead frames. It excludes DLP® products, semiconductor modules and all other products manufactured by or for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1449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color w:val="auto"/>
        </w:rPr>
        <w:t>Smelter Status –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689610</wp:posOffset>
            </wp:positionV>
            <wp:extent cx="5179695" cy="3181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79695" cy="3181350"/>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391160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773" w:right="1440" w:bottom="1440" w:gutter="0" w:footer="0" w:header="0"/>
          <w:type w:val="continuous"/>
        </w:sectPr>
      </w:pPr>
    </w:p>
    <w:bookmarkStart w:id="6" w:name="page7"/>
    <w:bookmarkEnd w:id="6"/>
    <w:p>
      <w:pPr>
        <w:jc w:val="center"/>
        <w:ind w:right="-39"/>
        <w:spacing w:after="0"/>
        <w:rPr>
          <w:sz w:val="20"/>
          <w:szCs w:val="20"/>
          <w:color w:val="auto"/>
        </w:rPr>
      </w:pPr>
      <w:r>
        <w:rPr>
          <w:rFonts w:ascii="Arial" w:cs="Arial" w:eastAsia="Arial" w:hAnsi="Arial"/>
          <w:sz w:val="18"/>
          <w:szCs w:val="18"/>
          <w:color w:val="auto"/>
        </w:rPr>
        <w:t>Smelter Status – By 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169545</wp:posOffset>
            </wp:positionV>
            <wp:extent cx="5188585" cy="4450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88585" cy="445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Smelters identified by our Suppliers as potentially in our supply chain are listed in Appendix A hereto. Our efforts to determine the mine or location of origin of the CMs consisted of the due diligence measures described above.</w:t>
      </w:r>
    </w:p>
    <w:p>
      <w:pPr>
        <w:spacing w:after="0" w:line="387"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Scope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products are in the following categories as described in our annual report on Form 10-K for the year ended December 31, 2015: Analog products (including High Volume Analog &amp; Logic, Power Management, High Performance Analog and Silicon Valley Analog products); Embedded Processing products (including Processor, Microcontroller and Connectivity products); and Other products (including DLP products, custom semiconductors known as application-specific integrated circuits and calculators). For further information about our products, please see the description of our products in Item 1 of the Form 10-K, which description is incorporated herein by reference.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7" w:name="page8"/>
    <w:bookmarkEnd w:id="7"/>
    <w:p>
      <w:pPr>
        <w:spacing w:after="0"/>
        <w:tabs>
          <w:tab w:leader="none" w:pos="36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7"/>
          <w:szCs w:val="17"/>
          <w:color w:val="auto"/>
        </w:rPr>
        <w:t>Risk-Mitigation Efforts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Since the period covered by this Conflict Minerals Report, we have taken, or will take, the following steps to mitigate the risk that our CMs directly or indirectly finance or benefit armed groups in the Covered Countries, including to improve our due diligence:</w:t>
      </w:r>
    </w:p>
    <w:p>
      <w:pPr>
        <w:spacing w:after="0" w:line="62" w:lineRule="exact"/>
        <w:rPr>
          <w:sz w:val="20"/>
          <w:szCs w:val="20"/>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redistribute copies of our CM policy to Suppliers;</w:t>
      </w:r>
    </w:p>
    <w:p>
      <w:pPr>
        <w:spacing w:after="0" w:line="23" w:lineRule="exact"/>
        <w:rPr>
          <w:rFonts w:ascii="Arial" w:cs="Arial" w:eastAsia="Arial" w:hAnsi="Arial"/>
          <w:sz w:val="18"/>
          <w:szCs w:val="18"/>
          <w:color w:val="auto"/>
        </w:rPr>
      </w:pP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emphasize to Suppliers our expectation that they respond fully and promptly to our information requests;</w:t>
      </w:r>
    </w:p>
    <w:p>
      <w:pPr>
        <w:spacing w:after="0" w:line="9" w:lineRule="exact"/>
        <w:rPr>
          <w:rFonts w:ascii="Arial" w:cs="Arial" w:eastAsia="Arial" w:hAnsi="Arial"/>
          <w:sz w:val="18"/>
          <w:szCs w:val="18"/>
          <w:color w:val="auto"/>
        </w:rPr>
      </w:pPr>
    </w:p>
    <w:p>
      <w:pPr>
        <w:ind w:left="760" w:hanging="374"/>
        <w:spacing w:after="0" w:line="250"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instruct Suppliers to advise us if they determine that any person or entity in their supply chain is directly or indirectly financing or benefiting armed groups in the Covered Countries; and</w:t>
      </w:r>
    </w:p>
    <w:p>
      <w:pPr>
        <w:ind w:left="760" w:hanging="374"/>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encourage Suppliers to direct all Smelters in their supply chains to participate in the CFSP or a similar third-party audit program.</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VII. Independent Private Sector Audit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obtained an independent private sector audit of this Conflict Minerals Report. The report by Crowe Horwath LLP is set forth as Appendix B to this Conflict Minerals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[Intentionally blank]</w:t>
      </w:r>
    </w:p>
    <w:p>
      <w:pPr>
        <w:spacing w:after="0" w:line="200" w:lineRule="exact"/>
        <w:rPr>
          <w:sz w:val="20"/>
          <w:szCs w:val="20"/>
          <w:color w:val="auto"/>
        </w:rPr>
      </w:pPr>
    </w:p>
    <w:p>
      <w:pPr>
        <w:spacing w:after="0" w:line="234" w:lineRule="exact"/>
        <w:rPr>
          <w:sz w:val="20"/>
          <w:szCs w:val="20"/>
          <w:color w:val="auto"/>
        </w:rPr>
      </w:pPr>
    </w:p>
    <w:p>
      <w:pPr>
        <w:jc w:val="center"/>
        <w:ind w:right="-4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240" w:top="125" w:right="6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Included in this Appendix A are Smelters that were identified to us by our Suppliers as potentially in our supply chain for 2015. As explained in this Conflict Minerals Report, the presence of a Smelter on the lists in this Appendix A does not mean that TI products necessarily contained CMs processed by that Smelter.</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0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86"/>
              </w:rPr>
              <w:t>Table 1</w:t>
            </w:r>
          </w:p>
        </w:tc>
        <w:tc>
          <w:tcPr>
            <w:tcW w:w="24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9"/>
              </w:rPr>
              <w:t>Total CFSP compliant Smelters:</w:t>
            </w:r>
          </w:p>
        </w:tc>
        <w:tc>
          <w:tcPr>
            <w:tcW w:w="1380" w:type="dxa"/>
            <w:vAlign w:val="bottom"/>
            <w:tcBorders>
              <w:top w:val="single" w:sz="8" w:color="auto"/>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rPr>
              <w:t>207</w:t>
            </w:r>
          </w:p>
        </w:tc>
        <w:tc>
          <w:tcPr>
            <w:tcW w:w="22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Smelters</w:t>
            </w:r>
          </w:p>
        </w:tc>
        <w:tc>
          <w:tcPr>
            <w:tcW w:w="212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26</w:t>
            </w:r>
          </w:p>
        </w:tc>
      </w:tr>
      <w:tr>
        <w:trPr>
          <w:trHeight w:val="210"/>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Smelters</w:t>
            </w:r>
          </w:p>
        </w:tc>
        <w:tc>
          <w:tcPr>
            <w:tcW w:w="2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58</w:t>
            </w:r>
          </w:p>
        </w:tc>
      </w:tr>
      <w:tr>
        <w:trPr>
          <w:trHeight w:val="210"/>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Smelters</w:t>
            </w:r>
          </w:p>
        </w:tc>
        <w:tc>
          <w:tcPr>
            <w:tcW w:w="2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45</w:t>
            </w:r>
          </w:p>
        </w:tc>
      </w:tr>
      <w:tr>
        <w:trPr>
          <w:trHeight w:val="210"/>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Smelters</w:t>
            </w:r>
          </w:p>
        </w:tc>
        <w:tc>
          <w:tcPr>
            <w:tcW w:w="2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78</w:t>
            </w:r>
          </w:p>
        </w:tc>
      </w:tr>
      <w:tr>
        <w:trPr>
          <w:trHeight w:val="210"/>
        </w:trPr>
        <w:tc>
          <w:tcPr>
            <w:tcW w:w="7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86"/>
              </w:rPr>
              <w:t>Table 2</w:t>
            </w:r>
          </w:p>
        </w:tc>
        <w:tc>
          <w:tcPr>
            <w:tcW w:w="2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1"/>
              </w:rPr>
              <w:t>Total undeterminable Smelters:</w:t>
            </w:r>
          </w:p>
        </w:tc>
        <w:tc>
          <w:tcPr>
            <w:tcW w:w="1380" w:type="dxa"/>
            <w:vAlign w:val="bottom"/>
            <w:tcBorders>
              <w:bottom w:val="single" w:sz="8" w:color="auto"/>
              <w:right w:val="single" w:sz="8" w:color="auto"/>
            </w:tcBorders>
          </w:tcPr>
          <w:p>
            <w:pPr>
              <w:jc w:val="right"/>
              <w:ind w:right="1090"/>
              <w:spacing w:after="0"/>
              <w:rPr>
                <w:sz w:val="20"/>
                <w:szCs w:val="20"/>
                <w:color w:val="auto"/>
              </w:rPr>
            </w:pPr>
            <w:r>
              <w:rPr>
                <w:rFonts w:ascii="Arial" w:cs="Arial" w:eastAsia="Arial" w:hAnsi="Arial"/>
                <w:sz w:val="18"/>
                <w:szCs w:val="18"/>
                <w:color w:val="auto"/>
                <w:w w:val="89"/>
              </w:rPr>
              <w:t>66</w:t>
            </w:r>
          </w:p>
        </w:tc>
        <w:tc>
          <w:tcPr>
            <w:tcW w:w="2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Smelters</w:t>
            </w:r>
          </w:p>
        </w:tc>
        <w:tc>
          <w:tcPr>
            <w:tcW w:w="2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w:t>
            </w:r>
          </w:p>
        </w:tc>
      </w:tr>
      <w:tr>
        <w:trPr>
          <w:trHeight w:val="210"/>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Smelters</w:t>
            </w:r>
          </w:p>
        </w:tc>
        <w:tc>
          <w:tcPr>
            <w:tcW w:w="2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22</w:t>
            </w:r>
          </w:p>
        </w:tc>
      </w:tr>
      <w:tr>
        <w:trPr>
          <w:trHeight w:val="210"/>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Smelters</w:t>
            </w:r>
          </w:p>
        </w:tc>
        <w:tc>
          <w:tcPr>
            <w:tcW w:w="2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0</w:t>
            </w:r>
          </w:p>
        </w:tc>
      </w:tr>
      <w:tr>
        <w:trPr>
          <w:trHeight w:val="210"/>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Smelters</w:t>
            </w:r>
          </w:p>
        </w:tc>
        <w:tc>
          <w:tcPr>
            <w:tcW w:w="21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34</w:t>
            </w:r>
          </w:p>
        </w:tc>
      </w:tr>
    </w:tbl>
    <w:p>
      <w:pPr>
        <w:spacing w:after="0" w:line="215"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Table 1:</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Listed below are the 207 Smelters identified to us by our Suppliers as potentially in our supply chain for 2015 that the CFSP has reported as compliant with its audit protocols. On that basis, we have determined that the CMs supplied by these Smelters were conflict free. The location information is as reported by the CFSP as of April 12,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*Smelters that potentially supply the CMs for our ICs.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640" w:type="dxa"/>
            <w:vAlign w:val="bottom"/>
            <w:tcBorders>
              <w:top w:val="single" w:sz="8" w:color="auto"/>
              <w:left w:val="single" w:sz="8" w:color="auto"/>
              <w:bottom w:val="single" w:sz="8" w:color="B8CCE4"/>
              <w:right w:val="single" w:sz="8" w:color="auto"/>
            </w:tcBorders>
            <w:shd w:val="clear" w:color="auto" w:fill="B8CCE4"/>
          </w:tcPr>
          <w:p>
            <w:pPr>
              <w:ind w:left="200"/>
              <w:spacing w:after="0"/>
              <w:rPr>
                <w:sz w:val="20"/>
                <w:szCs w:val="20"/>
                <w:color w:val="auto"/>
              </w:rPr>
            </w:pPr>
            <w:r>
              <w:rPr>
                <w:rFonts w:ascii="Arial" w:cs="Arial" w:eastAsia="Arial" w:hAnsi="Arial"/>
                <w:sz w:val="18"/>
                <w:szCs w:val="18"/>
                <w:b w:val="1"/>
                <w:bCs w:val="1"/>
                <w:color w:val="auto"/>
              </w:rPr>
              <w:t>No.</w:t>
            </w:r>
          </w:p>
        </w:tc>
        <w:tc>
          <w:tcPr>
            <w:tcW w:w="6960" w:type="dxa"/>
            <w:vAlign w:val="bottom"/>
            <w:tcBorders>
              <w:top w:val="single" w:sz="8" w:color="auto"/>
              <w:bottom w:val="single" w:sz="8" w:color="B8CCE4"/>
              <w:right w:val="single" w:sz="8" w:color="auto"/>
            </w:tcBorders>
            <w:shd w:val="clear" w:color="auto" w:fill="B8CCE4"/>
          </w:tcPr>
          <w:p>
            <w:pPr>
              <w:ind w:left="3240"/>
              <w:spacing w:after="0"/>
              <w:rPr>
                <w:sz w:val="20"/>
                <w:szCs w:val="20"/>
                <w:color w:val="auto"/>
              </w:rPr>
            </w:pPr>
            <w:r>
              <w:rPr>
                <w:rFonts w:ascii="Arial" w:cs="Arial" w:eastAsia="Arial" w:hAnsi="Arial"/>
                <w:sz w:val="18"/>
                <w:szCs w:val="18"/>
                <w:b w:val="1"/>
                <w:bCs w:val="1"/>
                <w:color w:val="auto"/>
              </w:rPr>
              <w:t>Smelter</w:t>
            </w:r>
          </w:p>
        </w:tc>
        <w:tc>
          <w:tcPr>
            <w:tcW w:w="1200" w:type="dxa"/>
            <w:vAlign w:val="bottom"/>
            <w:tcBorders>
              <w:top w:val="single" w:sz="8" w:color="auto"/>
              <w:bottom w:val="single" w:sz="8" w:color="B8CCE4"/>
              <w:right w:val="single" w:sz="8" w:color="auto"/>
            </w:tcBorders>
            <w:shd w:val="clear" w:color="auto" w:fill="B8CCE4"/>
          </w:tcPr>
          <w:p>
            <w:pPr>
              <w:ind w:left="420"/>
              <w:spacing w:after="0"/>
              <w:rPr>
                <w:sz w:val="20"/>
                <w:szCs w:val="20"/>
                <w:color w:val="auto"/>
              </w:rPr>
            </w:pPr>
            <w:r>
              <w:rPr>
                <w:rFonts w:ascii="Arial" w:cs="Arial" w:eastAsia="Arial" w:hAnsi="Arial"/>
                <w:sz w:val="18"/>
                <w:szCs w:val="18"/>
                <w:b w:val="1"/>
                <w:bCs w:val="1"/>
                <w:color w:val="auto"/>
              </w:rPr>
              <w:t>Metal</w:t>
            </w:r>
          </w:p>
        </w:tc>
        <w:tc>
          <w:tcPr>
            <w:tcW w:w="2620" w:type="dxa"/>
            <w:vAlign w:val="bottom"/>
            <w:tcBorders>
              <w:top w:val="single" w:sz="8" w:color="auto"/>
              <w:bottom w:val="single" w:sz="8" w:color="B8CCE4"/>
              <w:right w:val="single" w:sz="8" w:color="auto"/>
            </w:tcBorders>
            <w:shd w:val="clear" w:color="auto" w:fill="B8CCE4"/>
          </w:tcPr>
          <w:p>
            <w:pPr>
              <w:ind w:left="660"/>
              <w:spacing w:after="0"/>
              <w:rPr>
                <w:sz w:val="20"/>
                <w:szCs w:val="20"/>
                <w:color w:val="auto"/>
              </w:rPr>
            </w:pPr>
            <w:r>
              <w:rPr>
                <w:rFonts w:ascii="Arial" w:cs="Arial" w:eastAsia="Arial" w:hAnsi="Arial"/>
                <w:sz w:val="18"/>
                <w:szCs w:val="18"/>
                <w:b w:val="1"/>
                <w:bCs w:val="1"/>
                <w:color w:val="auto"/>
              </w:rPr>
              <w:t>Country Location</w:t>
            </w:r>
          </w:p>
        </w:tc>
      </w:tr>
      <w:tr>
        <w:trPr>
          <w:trHeight w:val="224"/>
        </w:trPr>
        <w:tc>
          <w:tcPr>
            <w:tcW w:w="64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w:t>
            </w:r>
          </w:p>
        </w:tc>
        <w:tc>
          <w:tcPr>
            <w:tcW w:w="69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A.L.M.T. TUNGSTEN Corp. *</w:t>
            </w:r>
          </w:p>
        </w:tc>
        <w:tc>
          <w:tcPr>
            <w:tcW w:w="12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Chenzhou Diamond Tungsten Products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3.</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Chongyi Zhangyuan Tungsten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4.</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Fujian Jinxin Tungsten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5.</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Ganzhou Huaxing Tungsten Products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6.</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Ganzhou Jiangwu Ferrotungsten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Ganzhou Seadragon W &amp; Mo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Global Tungsten &amp; Powders Corp.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Guangdong Xianglu Tungsten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H.C. Starck GmbH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H.C. Starck Smelting GmbH &amp; Co.KG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12.</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Hunan Chenzhou Mining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13.</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Hunan Chunchang Nonferrous Metals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14.</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Hydrometallurg, JSC</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RUSSIAN FEDERATION</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15.</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Japan New Metals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16.</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Jiangxi Gan Bei Tungsten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17.</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Kennametal Huntsville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18.</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Malipo Haiyu Tungsten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19.</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Niagara Refining LLC</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20.</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Nui Phao H.C. Starck Tungsten Chemicals Manufacturing LLC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VIETNAM</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21.</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Tejing (Vietnam) Tungsten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VIETNAM</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22.</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Vietnam Youngsun Tungsten Industry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VIETNAM</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23.</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Wolfram Bergbau und Hütten AG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AUSTRIA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24.</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Xiamen Tungsten (H.C.)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25.</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Xiamen Tungsten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44"/>
        </w:trPr>
        <w:tc>
          <w:tcPr>
            <w:tcW w:w="640" w:type="dxa"/>
            <w:vAlign w:val="bottom"/>
            <w:tcBorders>
              <w:top w:val="single" w:sz="8" w:color="auto"/>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26.</w:t>
            </w:r>
          </w:p>
        </w:tc>
        <w:tc>
          <w:tcPr>
            <w:tcW w:w="69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Xinhai Rendan Shaoguan Tungsten Co., Ltd.</w:t>
            </w:r>
          </w:p>
        </w:tc>
        <w:tc>
          <w:tcPr>
            <w:tcW w:w="12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Tungsten</w:t>
            </w:r>
          </w:p>
        </w:tc>
        <w:tc>
          <w:tcPr>
            <w:tcW w:w="26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27.</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Alpha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28.</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China Tin Group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29.</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Cooperativa Metalurgica de Rondônia Ltda.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30.</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CV Ayi Jaya</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31.</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CV Gita Pesona</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32.</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CV Serumpun Sebalai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33.</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CV United Smelting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34.</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CV Venus Inti Perkasa</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35.</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Dowa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36.</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Elmet S.L.U.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SPAIN</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37.</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EM Vinto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BOLIVIA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38.</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Fenix Metals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POLAND</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39.</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Gejiu Non-Ferrous Metal Processing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40.</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Jiangxi Ketai Advanced Material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41.</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Magnu's Minerais Metais e Ligas Ltda.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42.</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Malaysia Smelting Corporation (MSC)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MALAYSIA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43.</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Melt Metais e Ligas S.A.</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44.</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Metallic Resources, Inc.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45.</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Metallo-Chimique N.V.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BELGIUM</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46.</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Mineração Taboca S.A.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47.</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Minsur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PERU</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48.</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Mitsubishi Materials Corporation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49.</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O.M. Manufacturing (Thailand)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THAILAND</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50.</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O.M. Manufacturing Philippines, Inc.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PHILIPPINES</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51.</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Operaciones Metalurgical S.A.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BOLIVIA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52.</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Aries Kencana Sejahtera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53.</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Artha Cipta Langgeng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54.</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ATD Makmur Mandiri Jaya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55.</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Babel Inti Perkasa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56.</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Bangka Prima Tin</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57.</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Bangka Tin Industry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58.</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Belitung Industri Sejahtera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59.</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BilliTin Makmur Lestari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60.</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Bukit Timah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61.</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Cipta Persada Mulia</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62.</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DS Jaya Abadi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63.</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Eunindo Usaha Mandiri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64.</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Inti Stania Prima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65.</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Justindo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66.</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Mitra Stania Prima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67.</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Panca Mega Persada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rPr>
              <w:t>68.</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Prima Timah Utama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44"/>
        </w:trPr>
        <w:tc>
          <w:tcPr>
            <w:tcW w:w="64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69.</w:t>
            </w:r>
          </w:p>
        </w:tc>
        <w:tc>
          <w:tcPr>
            <w:tcW w:w="69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PT Refined Bangka Tin *</w:t>
            </w:r>
          </w:p>
        </w:tc>
        <w:tc>
          <w:tcPr>
            <w:tcW w:w="12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70.</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Sariwiguna Binasentosa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71.</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Stanindo Inti Perkasa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72.</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Sumber Jaya Indah</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73.</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Timah (Persero) Tbk Kundur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74.</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Timah (Persero) Tbk Mentok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75.</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Tinindo Inter Nusa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76.</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Tommy Utama</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77.</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PT Wahana Perkit Jaya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78.</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Resind Indústria e Comércio Ltda.</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79.</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Rui Da Hung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TAIWAN</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80.</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Soft Metais Ltda.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81.</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Thaisarco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THAILAND</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82.</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VQB Mineral and Trading Group JSC</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VIETNAM</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83.</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White Solder Metalurgia e Mineração Ltda.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84.</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Yunnan Tin Company Limited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Tin</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85.</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Changsha South Tantalum Niobium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86.</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Conghua Tantalum and Niobium Smeltry</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87.</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 Block Metals, LLC</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88.</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Duoluoshan</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89.</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Exotech Inc.</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90.</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F&amp;X Electro-Materials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91.</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FIR Metals &amp; Resource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92.</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Global Advanced Metals Aizu</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93.</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Global Advanced Metals Boyertown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94.</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Guangdong Zhiyuan New Material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95.</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H.C. Starck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THAILAND</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96.</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H.C. Starck GmbH Goslar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97.</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H.C. Starck GmbH Laufenburg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98.</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H.C. Starck Hermsdorf GmbH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99.</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H.C. Starck Inc.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H.C. Starck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101.</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H.C. Starck Smelting GmbH &amp; Co. KG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102.</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Hengyang King Xing Lifeng New Materials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103.</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Hi-Temp Specialty Metals, Inc.</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104.</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Jiangxi Dinghai Tantalum &amp; Niobium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105.</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JiuJiang JinXin Nonferrous Metals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106.</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Jiujiang Tanbre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107.</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Jiujiang Zhongao Tantalum &amp; Niobium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108.</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KEMET Blue Metals</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MEXICO</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109.</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KEMET Blue Powder</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110.</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King-Tan Tantalum Industry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111.</w:t>
            </w:r>
          </w:p>
        </w:tc>
        <w:tc>
          <w:tcPr>
            <w:tcW w:w="69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LSM Brasil S.A.</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40" w:type="dxa"/>
            <w:vAlign w:val="bottom"/>
            <w:tcBorders>
              <w:left w:val="single" w:sz="8" w:color="auto"/>
              <w:bottom w:val="single" w:sz="8" w:color="auto"/>
              <w:right w:val="single" w:sz="8" w:color="auto"/>
            </w:tcBorders>
          </w:tcPr>
          <w:p>
            <w:pPr>
              <w:spacing w:after="0"/>
              <w:rPr>
                <w:sz w:val="2"/>
                <w:szCs w:val="2"/>
                <w:color w:val="auto"/>
              </w:rPr>
            </w:pPr>
          </w:p>
        </w:tc>
        <w:tc>
          <w:tcPr>
            <w:tcW w:w="69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44"/>
        </w:trPr>
        <w:tc>
          <w:tcPr>
            <w:tcW w:w="660" w:type="dxa"/>
            <w:vAlign w:val="bottom"/>
            <w:tcBorders>
              <w:top w:val="single" w:sz="8" w:color="auto"/>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112.</w:t>
            </w:r>
          </w:p>
        </w:tc>
        <w:tc>
          <w:tcPr>
            <w:tcW w:w="69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Metallurgical Products India Pvt., Ltd.</w:t>
            </w:r>
          </w:p>
        </w:tc>
        <w:tc>
          <w:tcPr>
            <w:tcW w:w="12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INDIA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113.</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Mineração Taboca S.A.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114.</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Mitsui Mining &amp; Smelting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115.</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Molycorp Silmet A.S.</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ESTONIA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116.</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Ningxia Orient Tantalum Industry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117.</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Plansee SE Liezen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AUSTRIA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118.</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Plansee SE Reutte</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AUSTRIA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119.</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QuantumClean</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120.</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Resind Indústria e Comércio Ltda.</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121.</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RFH Tantalum Smeltry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122.</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Solikamsk Magnesium Works OAO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RUSSIAN FEDERATION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123.</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Taki Chemicals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124.</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Telex Metals</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125.</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Tranzact, Inc.</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126.</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Ulba Metallurgical Plant JSC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KAZAKHSTAN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127.</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XinXing HaoRong Electronic Material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128.</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Yichun Jin Yang Rare Metal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129.</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Zhuzhou Cemented Carbide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Tantalum</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130.</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Aida Chemical Industries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131.</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Allgemeine Gold-und Silberscheideanstalt A.G.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132.</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AngloGold Ashanti Córrego do Sítio Mineração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133.</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Argor-Heraeus S.A.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SWITZERLAND</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134.</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Asahi Pretec Corp.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135.</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Asahi Refining Canada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CANADA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136.</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Asahi Refining USA Inc.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137.</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Asaka Riken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138.</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Aurubis AG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139.</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Bangko Sentral ng Pilipinas (Central Bank of the Philippines)</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PHILIPPINES</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140.</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Boliden AB</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SWEDEN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141.</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 Hafner GmbH + Co. KG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142.</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CCR Refinery - Glencore Canada Corporation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CANADA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143.</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Chimet S.p.A.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ITALY</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144.</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DODUCO GmbH</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145.</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Dowa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146.</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Eco-System Recycling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147.</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Elemetal Refining, LLC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148.</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Heimerle + Meule GmbH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149.</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Heraeus Ltd. Hong Kong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150.</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Heraeus Precious Metals GmbH &amp; Co. KG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GERMANY</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151.</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Ishifuku Metal Industry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152.</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Istanbul Gold Refinery</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TURKEY</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153.</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 Mint</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154.</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Jiangxi Copper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44"/>
        </w:trPr>
        <w:tc>
          <w:tcPr>
            <w:tcW w:w="660" w:type="dxa"/>
            <w:vAlign w:val="bottom"/>
            <w:tcBorders>
              <w:top w:val="single" w:sz="8" w:color="auto"/>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155.</w:t>
            </w:r>
          </w:p>
        </w:tc>
        <w:tc>
          <w:tcPr>
            <w:tcW w:w="69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JSC Ekaterinburg Non-Ferrous Metal Processing Plant</w:t>
            </w:r>
          </w:p>
        </w:tc>
        <w:tc>
          <w:tcPr>
            <w:tcW w:w="12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RUSSIAN FEDERATION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156.</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JSC Uralelectromed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RUSSIAN FEDERATION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157.</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JX Nippon Mining &amp; Metals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158.</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Kazzinc</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KAZAKHSTAN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159.</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Kennecott Utah Copper LLC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160.</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Kojima Chemicals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161.</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LS-NIKKO Copper Inc.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KOREA, REPUBLIC OF</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162.</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Materion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163.</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Matsuda Sangyo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164.</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Metalor Technologies (Hong Kong)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165.</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Metalor Technologies (Singapore) Pte.,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SINGAPORE</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166.</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Metalor Technologies S.A.</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SWITZERLAND</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167.</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Metalor USA Refining Corporation</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168.</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Metalúrgica Met-Mex Peñoles S.A. De C.V.</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MEXICO</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169.</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Mitsubishi Materials Corporation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170.</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Mitsui Mining and Smelting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171.</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MMTC-PAMP India Pvt.,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INDIA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172.</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Moscow Special Alloys Processing Plant</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RUSSIAN FEDERATION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173.</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Nadir Metal Rafineri San. Ve Tic. A.Ş.</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TURKEY</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174.</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Nihon Material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175.</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Ögussa Österreichische Gold- und Silber-Scheideanstalt GmbH</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AUSTRIA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176.</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Ohura Precious Metal Industry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177.</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OJSC "The Gulidov Krasnoyarsk Non-Ferrous Metals Plant" (OJSC Krastsvetmet)</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RUSSIAN FEDERATION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178.</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OJSC Novosibirsk Refinery</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RUSSIAN FEDERATION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179.</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PAMP S.A.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SWITZERLAND</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180.</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Prioksky Plant of Non-Ferrous Metals</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RUSSIAN FEDERATION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181.</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Aneka Tambang (Persero) Tbk</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INDONESIA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182.</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PX Précinox S.A.</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SWITZERLAND</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183.</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Rand Refinery (Pty)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SOUTH AFRICA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184.</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Republic Metals Corporation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185.</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Royal Canadian Mint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CANADA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186.</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Schone Edelmetaal B.V.</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NETHERLANDS</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187.</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SEMPSA Joyería Platería S.A.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SPAIN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188.</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Shandong Zhaojin Gold &amp; Silver Refinery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189.</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Sichuan Tianze Precious Metals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190.</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Singway Technology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TAIWAN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191.</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SOE Shyolkovsky Factory of Secondary Precious Metals</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RUSSIAN FEDERATION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192.</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Solar Applied Materials Technology Corp.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TAIWAN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193.</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Sumitomo Metal Mining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194.</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T.C.A S.p.A</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ITALY</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195.</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Tanaka Kikinzoku Kogyo K.K.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196.</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The Refinery of Shandong Gold Mining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197.</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Tokuriki Honten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44"/>
        </w:trPr>
        <w:tc>
          <w:tcPr>
            <w:tcW w:w="660" w:type="dxa"/>
            <w:vAlign w:val="bottom"/>
            <w:tcBorders>
              <w:top w:val="single" w:sz="8" w:color="auto"/>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198.</w:t>
            </w:r>
          </w:p>
        </w:tc>
        <w:tc>
          <w:tcPr>
            <w:tcW w:w="69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Umicore Brasil Ltda.</w:t>
            </w:r>
          </w:p>
        </w:tc>
        <w:tc>
          <w:tcPr>
            <w:tcW w:w="12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BRAZIL</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199.</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Umicore Precious Metals Thailand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THAILAND</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200.</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Umicore S.A. Business Unit Precious Metals Refining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BELGIUM</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201.</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Precious Metal Refining, Inc.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UNITED STATES</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202.</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Valcambi S.A.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SWITZERLAND</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203.</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Western Australian Mint trading as The Perth Mint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AUSTRALIA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204.</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Yamamoto Precious Metal Co., Ltd.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205.</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Yokohama Metal Co., Ltd.</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JAPAN</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206.</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Zhongyuan Gold Smelter of Zhongjin Gold Corporation *</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24"/>
        </w:trPr>
        <w:tc>
          <w:tcPr>
            <w:tcW w:w="6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207.</w:t>
            </w:r>
          </w:p>
        </w:tc>
        <w:tc>
          <w:tcPr>
            <w:tcW w:w="6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Zijin Mining Group Co., Ltd. Gold Refinery</w:t>
            </w:r>
          </w:p>
        </w:tc>
        <w:tc>
          <w:tcPr>
            <w:tcW w:w="12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Gold</w:t>
            </w:r>
          </w:p>
        </w:tc>
        <w:tc>
          <w:tcPr>
            <w:tcW w:w="26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CHINA</w:t>
            </w:r>
          </w:p>
        </w:tc>
      </w:tr>
      <w:tr>
        <w:trPr>
          <w:trHeight w:val="26"/>
        </w:trPr>
        <w:tc>
          <w:tcPr>
            <w:tcW w:w="660" w:type="dxa"/>
            <w:vAlign w:val="bottom"/>
            <w:tcBorders>
              <w:left w:val="single" w:sz="8" w:color="auto"/>
              <w:bottom w:val="single" w:sz="8" w:color="auto"/>
              <w:right w:val="single" w:sz="8" w:color="auto"/>
            </w:tcBorders>
          </w:tcPr>
          <w:p>
            <w:pPr>
              <w:spacing w:after="0"/>
              <w:rPr>
                <w:sz w:val="2"/>
                <w:szCs w:val="2"/>
                <w:color w:val="auto"/>
              </w:rPr>
            </w:pPr>
          </w:p>
        </w:tc>
        <w:tc>
          <w:tcPr>
            <w:tcW w:w="69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Table 2:</w:t>
      </w:r>
    </w:p>
    <w:p>
      <w:pPr>
        <w:spacing w:after="0" w:line="23"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Listed below are the 66 Smelters identified to us by our Suppliers as potentially in our supply chain for 2015 that have processed CMs of undeterminable origin. “Active” means the Smelter has committed to participate in a third-party audit of its Conflict Status, as reported by the CFSP. The location information and “Active” status are as reported by the CFSP as of April 12, 2016.</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60" w:type="dxa"/>
            <w:vAlign w:val="bottom"/>
            <w:tcBorders>
              <w:top w:val="single" w:sz="8" w:color="auto"/>
              <w:left w:val="single" w:sz="8" w:color="auto"/>
              <w:bottom w:val="single" w:sz="8" w:color="B8CCE4"/>
              <w:right w:val="single" w:sz="8" w:color="auto"/>
            </w:tcBorders>
            <w:shd w:val="clear" w:color="auto" w:fill="B8CCE4"/>
          </w:tcPr>
          <w:p>
            <w:pPr>
              <w:ind w:left="200"/>
              <w:spacing w:after="0"/>
              <w:rPr>
                <w:sz w:val="20"/>
                <w:szCs w:val="20"/>
                <w:color w:val="auto"/>
              </w:rPr>
            </w:pPr>
            <w:r>
              <w:rPr>
                <w:rFonts w:ascii="Arial" w:cs="Arial" w:eastAsia="Arial" w:hAnsi="Arial"/>
                <w:sz w:val="18"/>
                <w:szCs w:val="18"/>
                <w:b w:val="1"/>
                <w:bCs w:val="1"/>
                <w:color w:val="auto"/>
              </w:rPr>
              <w:t>No.</w:t>
            </w:r>
          </w:p>
        </w:tc>
        <w:tc>
          <w:tcPr>
            <w:tcW w:w="6400" w:type="dxa"/>
            <w:vAlign w:val="bottom"/>
            <w:tcBorders>
              <w:top w:val="single" w:sz="8" w:color="auto"/>
              <w:bottom w:val="single" w:sz="8" w:color="B8CCE4"/>
              <w:right w:val="single" w:sz="8" w:color="auto"/>
            </w:tcBorders>
            <w:shd w:val="clear" w:color="auto" w:fill="B8CCE4"/>
          </w:tcPr>
          <w:p>
            <w:pPr>
              <w:ind w:left="2940"/>
              <w:spacing w:after="0"/>
              <w:rPr>
                <w:sz w:val="20"/>
                <w:szCs w:val="20"/>
                <w:color w:val="auto"/>
              </w:rPr>
            </w:pPr>
            <w:r>
              <w:rPr>
                <w:rFonts w:ascii="Arial" w:cs="Arial" w:eastAsia="Arial" w:hAnsi="Arial"/>
                <w:sz w:val="18"/>
                <w:szCs w:val="18"/>
                <w:b w:val="1"/>
                <w:bCs w:val="1"/>
                <w:color w:val="auto"/>
              </w:rPr>
              <w:t>Smelter</w:t>
            </w:r>
          </w:p>
        </w:tc>
        <w:tc>
          <w:tcPr>
            <w:tcW w:w="1220" w:type="dxa"/>
            <w:vAlign w:val="bottom"/>
            <w:tcBorders>
              <w:top w:val="single" w:sz="8" w:color="auto"/>
              <w:bottom w:val="single" w:sz="8" w:color="B8CCE4"/>
              <w:right w:val="single" w:sz="8" w:color="auto"/>
            </w:tcBorders>
            <w:shd w:val="clear" w:color="auto" w:fill="B8CCE4"/>
          </w:tcPr>
          <w:p>
            <w:pPr>
              <w:ind w:left="420"/>
              <w:spacing w:after="0"/>
              <w:rPr>
                <w:sz w:val="20"/>
                <w:szCs w:val="20"/>
                <w:color w:val="auto"/>
              </w:rPr>
            </w:pPr>
            <w:r>
              <w:rPr>
                <w:rFonts w:ascii="Arial" w:cs="Arial" w:eastAsia="Arial" w:hAnsi="Arial"/>
                <w:sz w:val="18"/>
                <w:szCs w:val="18"/>
                <w:b w:val="1"/>
                <w:bCs w:val="1"/>
                <w:color w:val="auto"/>
              </w:rPr>
              <w:t>Metal</w:t>
            </w:r>
          </w:p>
        </w:tc>
        <w:tc>
          <w:tcPr>
            <w:tcW w:w="2500" w:type="dxa"/>
            <w:vAlign w:val="bottom"/>
            <w:tcBorders>
              <w:top w:val="single" w:sz="8" w:color="auto"/>
              <w:bottom w:val="single" w:sz="8" w:color="B8CCE4"/>
              <w:right w:val="single" w:sz="8" w:color="auto"/>
            </w:tcBorders>
            <w:shd w:val="clear" w:color="auto" w:fill="B8CCE4"/>
          </w:tcPr>
          <w:p>
            <w:pPr>
              <w:ind w:left="600"/>
              <w:spacing w:after="0"/>
              <w:rPr>
                <w:sz w:val="20"/>
                <w:szCs w:val="20"/>
                <w:color w:val="auto"/>
              </w:rPr>
            </w:pPr>
            <w:r>
              <w:rPr>
                <w:rFonts w:ascii="Arial" w:cs="Arial" w:eastAsia="Arial" w:hAnsi="Arial"/>
                <w:sz w:val="18"/>
                <w:szCs w:val="18"/>
                <w:b w:val="1"/>
                <w:bCs w:val="1"/>
                <w:color w:val="auto"/>
              </w:rPr>
              <w:t>Country Location</w:t>
            </w:r>
          </w:p>
        </w:tc>
        <w:tc>
          <w:tcPr>
            <w:tcW w:w="740" w:type="dxa"/>
            <w:vAlign w:val="bottom"/>
            <w:tcBorders>
              <w:top w:val="single" w:sz="8" w:color="auto"/>
              <w:bottom w:val="single" w:sz="8" w:color="B8CCE4"/>
              <w:right w:val="single" w:sz="8" w:color="auto"/>
            </w:tcBorders>
            <w:shd w:val="clear" w:color="auto" w:fill="B8CCE4"/>
          </w:tcPr>
          <w:p>
            <w:pPr>
              <w:jc w:val="center"/>
              <w:spacing w:after="0"/>
              <w:rPr>
                <w:sz w:val="20"/>
                <w:szCs w:val="20"/>
                <w:color w:val="auto"/>
              </w:rPr>
            </w:pPr>
            <w:r>
              <w:rPr>
                <w:rFonts w:ascii="Arial" w:cs="Arial" w:eastAsia="Arial" w:hAnsi="Arial"/>
                <w:sz w:val="18"/>
                <w:szCs w:val="18"/>
                <w:b w:val="1"/>
                <w:bCs w:val="1"/>
                <w:color w:val="auto"/>
                <w:w w:val="92"/>
              </w:rPr>
              <w:t>Active</w:t>
            </w:r>
          </w:p>
        </w:tc>
      </w:tr>
      <w:tr>
        <w:trPr>
          <w:trHeight w:val="224"/>
        </w:trPr>
        <w:tc>
          <w:tcPr>
            <w:tcW w:w="56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64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Dayu Weiliang Tungsten Co., Ltd.</w:t>
            </w:r>
          </w:p>
        </w:tc>
        <w:tc>
          <w:tcPr>
            <w:tcW w:w="12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Ganxian Shirui New Material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Ganzhou Non-ferrous Metals Smelting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Jiangwu H.C. Starck Tungsten Products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Jiangxi Minmetals Gao'an Non-ferrous Metals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Jiangxi Tonggu Non-ferrous Metallurgical &amp; Chemical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7.</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Jiangxi Xinsheng Tungsten Industry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8.</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Jiangxi Yaosheng Tungsten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9.</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Kennametal Fallon</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Pobedit, JSC</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RUSSIAN FEDERATION</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11.</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An Vinh Joint Stock Mineral Processing Company</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VIETNAM</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12.</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CNMC (Guangxi) PGMA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13.</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Electro-Mechanical Facility of the Cao Bang Minerals &amp; Metallurgy JSC</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VIETNAM</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14.</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Estanho de Rondônia S.A.</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BRAZIL</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15.</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Feinhütte Halsbrücke GmbH</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GERMANY</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16.</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Gejiu Kai Meng Industry and Trade LLC</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17.</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Gejiu Yunxin Nonferrous Electrolysis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18.</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Gejiu Zili Mining And Metallurgy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19.</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Huichang Jinshunda Tin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20.</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Linwu Xianggui Ore Smelting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21.</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Nankang Nanshan Tin Manufactory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22.</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Nghe Tinh Non-Ferrous Metals Joint Stock Company</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VIETNAM</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23.</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Phoenix Metal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RWANDA</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24.</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Alam Lestari Kencana</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25.</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Bangka Kudai Tin</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26.</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Bangka Timah Utama Sejahtera</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27.</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Fang Di MulTindo</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44"/>
        </w:trPr>
        <w:tc>
          <w:tcPr>
            <w:tcW w:w="560" w:type="dxa"/>
            <w:vAlign w:val="bottom"/>
            <w:tcBorders>
              <w:top w:val="single" w:sz="8" w:color="auto"/>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28.</w:t>
            </w:r>
          </w:p>
        </w:tc>
        <w:tc>
          <w:tcPr>
            <w:tcW w:w="64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PT Karimun Mining</w:t>
            </w:r>
          </w:p>
        </w:tc>
        <w:tc>
          <w:tcPr>
            <w:tcW w:w="12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74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29.</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Pelat Timah Nusantara Tbk</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30.</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PT Seirama Tin Investment</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INDONESIA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31.</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Tuyen Quang Non-Ferrous Metals Joint Stock Company</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VIETNAM</w:t>
            </w:r>
          </w:p>
        </w:tc>
        <w:tc>
          <w:tcPr>
            <w:tcW w:w="7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32.</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Yunnan Chengfeng Non-ferrous Metals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33.</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Almalyk Mining and Metallurgical Complex (AMMC)</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UZBEKISTAN</w:t>
            </w:r>
          </w:p>
        </w:tc>
        <w:tc>
          <w:tcPr>
            <w:tcW w:w="7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34.</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Caridad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MEXICO</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35.</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Cendres + Métaux S.A.</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SWITZERLAND</w:t>
            </w:r>
          </w:p>
        </w:tc>
        <w:tc>
          <w:tcPr>
            <w:tcW w:w="7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36.</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Chugai Mining</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JAPAN</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37.</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Daejin Indus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7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38.</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Daye Non-Ferrous Metals Mining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39.</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DSC (Do Sung Corporation)</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7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40.</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Faggi Enrico S.p.A.</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ITALY</w:t>
            </w:r>
          </w:p>
        </w:tc>
        <w:tc>
          <w:tcPr>
            <w:tcW w:w="7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41.</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Gansu Seemine Material Hi-Tech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42.</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Geib Refining Corporation</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7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43.</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Great Wall Precious Metals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44.</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Guangdong Jinding Gold Limited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45.</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Guoda Safina High-Tech Environmental Refinery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46.</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Hangzhou Fuchunjiang Smelting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47.</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Hunan Chenzhou Mining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48.</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Hwasung CJ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49.</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Inner Mongolia Qiankun Gold and Silver Refinery Share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50.</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Korea Metal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51.</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Kyrgyzaltyn JSC</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KYRGYZSTAN</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52.</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L'azurde Company For Jewelry</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SAUDI ARABIA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53.</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Lingbao Gold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54.</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Lingbao Jinyuan Tonghui Refinery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55.</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Luoyang Zijin Yinhui Gold Refinery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56.</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Metalor Technologies (Suzhou)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57.</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Navoi Mining and Metallurgical Combinat</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UZBEKISTAN</w:t>
            </w:r>
          </w:p>
        </w:tc>
        <w:tc>
          <w:tcPr>
            <w:tcW w:w="7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58.</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Penglai Penggang Gold Industry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59.</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Sabin Metal Corp.</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60.</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Samduck Precious Metals</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7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61.</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SAMWON Metals Corp.</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62.</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Shandong Tiancheng Biological Gold Industrial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63.</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 Accurate Group, Inc.</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64.</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Tongling Nonferrous Metals Group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65.</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Torecom</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KOREA, REPUBLIC OF</w:t>
            </w:r>
          </w:p>
        </w:tc>
        <w:tc>
          <w:tcPr>
            <w:tcW w:w="7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t>
            </w: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r>
        <w:trPr>
          <w:trHeight w:val="224"/>
        </w:trPr>
        <w:tc>
          <w:tcPr>
            <w:tcW w:w="560" w:type="dxa"/>
            <w:vAlign w:val="bottom"/>
            <w:tcBorders>
              <w:left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66.</w:t>
            </w:r>
          </w:p>
        </w:tc>
        <w:tc>
          <w:tcPr>
            <w:tcW w:w="64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Yunnan Copper Industry Co., Ltd.</w:t>
            </w:r>
          </w:p>
        </w:tc>
        <w:tc>
          <w:tcPr>
            <w:tcW w:w="1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5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CHINA</w:t>
            </w:r>
          </w:p>
        </w:tc>
        <w:tc>
          <w:tcPr>
            <w:tcW w:w="740" w:type="dxa"/>
            <w:vAlign w:val="bottom"/>
            <w:tcBorders>
              <w:right w:val="single" w:sz="8" w:color="auto"/>
            </w:tcBorders>
          </w:tcPr>
          <w:p>
            <w:pPr>
              <w:spacing w:after="0"/>
              <w:rPr>
                <w:sz w:val="19"/>
                <w:szCs w:val="19"/>
                <w:color w:val="auto"/>
              </w:rPr>
            </w:pPr>
          </w:p>
        </w:tc>
      </w:tr>
      <w:tr>
        <w:trPr>
          <w:trHeight w:val="26"/>
        </w:trPr>
        <w:tc>
          <w:tcPr>
            <w:tcW w:w="560" w:type="dxa"/>
            <w:vAlign w:val="bottom"/>
            <w:tcBorders>
              <w:left w:val="single" w:sz="8" w:color="auto"/>
              <w:bottom w:val="single" w:sz="8" w:color="auto"/>
              <w:right w:val="single" w:sz="8" w:color="auto"/>
            </w:tcBorders>
          </w:tcPr>
          <w:p>
            <w:pPr>
              <w:spacing w:after="0"/>
              <w:rPr>
                <w:sz w:val="2"/>
                <w:szCs w:val="2"/>
                <w:color w:val="auto"/>
              </w:rPr>
            </w:pPr>
          </w:p>
        </w:tc>
        <w:tc>
          <w:tcPr>
            <w:tcW w:w="64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Appendix B</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Private Sector Auditor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AUDITOR’S REPORT ON CONFLICT MINERALS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examined:</w:t>
      </w:r>
    </w:p>
    <w:p>
      <w:pPr>
        <w:spacing w:after="0" w:line="23" w:lineRule="exact"/>
        <w:rPr>
          <w:sz w:val="20"/>
          <w:szCs w:val="20"/>
          <w:color w:val="auto"/>
        </w:rPr>
      </w:pPr>
    </w:p>
    <w:p>
      <w:pPr>
        <w:jc w:val="both"/>
        <w:ind w:left="760" w:hanging="374"/>
        <w:spacing w:after="0" w:line="250"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design of Texas Instruments Incorporated’s (the “Company”) due diligence framework as set forth in the section titled “Design of Due Diligence” of the Conflict Minerals Report for the reporting period from January 1, 2015 through December 31, 2015, is in conformity, in all material respects, with the criteria set forth in the Organisation for Economic Co-Operation and Development Due Diligence Guidance for Responsible Supply Chains of Minerals from Conflict-Affected and High-Risk Areas, Second Edition 2013 (“OECD Due Diligence Guidance”), and</w:t>
      </w:r>
    </w:p>
    <w:p>
      <w:pPr>
        <w:spacing w:after="0" w:line="2" w:lineRule="exact"/>
        <w:rPr>
          <w:rFonts w:ascii="Arial" w:cs="Arial" w:eastAsia="Arial" w:hAnsi="Arial"/>
          <w:sz w:val="18"/>
          <w:szCs w:val="18"/>
          <w:color w:val="auto"/>
        </w:rPr>
      </w:pPr>
    </w:p>
    <w:p>
      <w:pPr>
        <w:jc w:val="both"/>
        <w:ind w:left="760" w:hanging="374"/>
        <w:spacing w:after="0" w:line="255"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Company’s description of the due diligence measures it performed, as set forth in the section titled “Due Diligence Measures Taken” of the Conflict Minerals Report for the reporting period from January 1, 2015 through December 31, 2015, is consistent, in all material respects, with the due diligence process that the Company undertook.</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is responsible for the design of the Company’s due diligence framework and the description of the Company’s due diligence measures set forth in the Conflict Minerals Report, and performance of the due diligence measures. Our responsibility is to express an opinion on the design of the Company’s due diligence framework and on the description of the due diligence measures the Company performed, based on our examination.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examination was conducted in accordance with attestation standards established by the American Institute of Certified Public Accountants and the standards applicable to attestation engagements contained in Government Auditing Standards, issued by the Comptroller General of the United States, and, accordingly, included examining, on a test basis, evidence about the design of the Company’s due diligence framework and the description of the due diligence measures the Company performed, and performing such other procedures as we considered necessary in the circumstances. We believe that our examination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examination was not conducted for the purpose of evaluating:</w:t>
      </w:r>
    </w:p>
    <w:p>
      <w:pPr>
        <w:spacing w:after="0" w:line="23" w:lineRule="exact"/>
        <w:rPr>
          <w:sz w:val="20"/>
          <w:szCs w:val="20"/>
          <w:color w:val="auto"/>
        </w:rPr>
      </w:pPr>
    </w:p>
    <w:p>
      <w:pPr>
        <w:ind w:left="760" w:hanging="374"/>
        <w:spacing w:after="0" w:line="250"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consistency of the due diligence measures that the Company performed with either the design of the Company’s due diligence framework or the OECD Due Diligence Guidance;</w:t>
      </w: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completeness of the Company’s description of the due diligence measures performed;</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suitability of the design or operating effectiveness of the Company’s due diligence process;</w:t>
      </w:r>
    </w:p>
    <w:p>
      <w:pPr>
        <w:spacing w:after="0" w:line="9" w:lineRule="exact"/>
        <w:rPr>
          <w:rFonts w:ascii="Arial" w:cs="Arial" w:eastAsia="Arial" w:hAnsi="Arial"/>
          <w:sz w:val="18"/>
          <w:szCs w:val="18"/>
          <w:color w:val="auto"/>
        </w:rPr>
      </w:pPr>
    </w:p>
    <w:p>
      <w:pPr>
        <w:ind w:left="760" w:hanging="374"/>
        <w:spacing w:after="0" w:line="250"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a third party can determine from the Conflict Minerals Report if the due diligence measures the Company performed are consistent with the OECD Due Diligence Guidance;</w:t>
      </w:r>
    </w:p>
    <w:p>
      <w:pPr>
        <w:ind w:left="760" w:right="20" w:hanging="374"/>
        <w:spacing w:after="0" w:line="250"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reasonable country of origin inquiry (RCOI), including the suitability of the design of the RCOI, its operating effectiveness, or the results thereof; or</w:t>
      </w:r>
    </w:p>
    <w:p>
      <w:pPr>
        <w:ind w:left="760" w:hanging="374"/>
        <w:spacing w:after="0" w:line="261"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conclusions about the source or chain of custody of its conflict minerals, those products subject to due diligence, or the DRC Conflict Free status of its products.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we do not express an opinion or any other form of assurance on the aforementioned matters or any other matters included in any section of the Conflict Minerals Report other than the sections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our opinion,</w:t>
      </w:r>
    </w:p>
    <w:p>
      <w:pPr>
        <w:spacing w:after="0" w:line="23" w:lineRule="exact"/>
        <w:rPr>
          <w:sz w:val="20"/>
          <w:szCs w:val="20"/>
          <w:color w:val="auto"/>
        </w:rPr>
      </w:pPr>
    </w:p>
    <w:p>
      <w:pPr>
        <w:jc w:val="both"/>
        <w:ind w:left="760" w:hanging="374"/>
        <w:spacing w:after="0" w:line="250"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design of the Company’s due diligence framework for the reporting period from January 1, 2015 through December 31, 2015, as set forth in the section titled “Design of Due Diligence” of the Conflict Minerals Report is in conformity, in all material respects, with the OECD Due Diligence Guidance, and</w:t>
      </w:r>
    </w:p>
    <w:p>
      <w:pPr>
        <w:spacing w:after="0" w:line="1" w:lineRule="exact"/>
        <w:rPr>
          <w:rFonts w:ascii="Arial" w:cs="Arial" w:eastAsia="Arial" w:hAnsi="Arial"/>
          <w:sz w:val="18"/>
          <w:szCs w:val="18"/>
          <w:color w:val="auto"/>
        </w:rPr>
      </w:pPr>
    </w:p>
    <w:p>
      <w:pPr>
        <w:jc w:val="both"/>
        <w:ind w:left="760" w:hanging="374"/>
        <w:spacing w:after="0" w:line="255"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description of the due diligence measures it performed as set forth in the section titled “Due Diligence Measures Taken” of the Conflict Minerals Report for the reporting period from January 1, 2015 through December 31, 2015, is consistent, in all material respects, with the due diligence process that the Company undertook.</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Crowe Horwath LLP</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20, 2016</w:t>
      </w:r>
    </w:p>
    <w:p>
      <w:pPr>
        <w:spacing w:after="0" w:line="204"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14</w:t>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upperLetter"/>
      <w:start w:val="9"/>
    </w:lvl>
  </w:abstractNum>
  <w:abstractNum w:abstractNumId="2">
    <w:nsid w:val="7545E146"/>
    <w:multiLevelType w:val="hybridMultilevel"/>
    <w:lvl w:ilvl="0">
      <w:lvlJc w:val="left"/>
      <w:lvlText w:val="%1"/>
      <w:numFmt w:val="upperLetter"/>
      <w:start w:val="1"/>
    </w:lvl>
    <w:lvl w:ilvl="1">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1."/>
      <w:numFmt w:val="upperLetter"/>
      <w:start w:val="22"/>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2"/>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2019-12-05T10:35:35Z</dcterms:created>
  <dcterms:modified xsi:type="dcterms:W3CDTF">2019-12-05T10:35:35Z</dcterms:modified>
</cp:coreProperties>
</file>