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19"/>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150495</wp:posOffset>
            </wp:positionH>
            <wp:positionV relativeFrom="page">
              <wp:posOffset>110490</wp:posOffset>
            </wp:positionV>
            <wp:extent cx="7260590" cy="36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0590" cy="36830"/>
                    </a:xfrm>
                    <a:prstGeom prst="rect">
                      <a:avLst/>
                    </a:prstGeom>
                    <a:noFill/>
                  </pic:spPr>
                </pic:pic>
              </a:graphicData>
            </a:graphic>
          </wp:anchor>
        </w:drawing>
        <w:t>UNITED STATES</w:t>
      </w:r>
    </w:p>
    <w:p>
      <w:pPr>
        <w:spacing w:after="0" w:line="18" w:lineRule="exact"/>
        <w:rPr>
          <w:sz w:val="24"/>
          <w:szCs w:val="24"/>
          <w:color w:val="auto"/>
        </w:rPr>
      </w:pPr>
    </w:p>
    <w:p>
      <w:pPr>
        <w:jc w:val="center"/>
        <w:ind w:right="-519"/>
        <w:spacing w:after="0"/>
        <w:rPr>
          <w:sz w:val="20"/>
          <w:szCs w:val="20"/>
          <w:color w:val="auto"/>
        </w:rPr>
      </w:pPr>
      <w:r>
        <w:rPr>
          <w:rFonts w:ascii="Arial" w:cs="Arial" w:eastAsia="Arial" w:hAnsi="Arial"/>
          <w:sz w:val="20"/>
          <w:szCs w:val="20"/>
          <w:b w:val="1"/>
          <w:bCs w:val="1"/>
          <w:color w:val="auto"/>
        </w:rPr>
        <w:t>SECURITIES AND EXCHANGE COMMISSION</w:t>
      </w:r>
    </w:p>
    <w:p>
      <w:pPr>
        <w:spacing w:after="0" w:line="1" w:lineRule="exact"/>
        <w:rPr>
          <w:sz w:val="24"/>
          <w:szCs w:val="24"/>
          <w:color w:val="auto"/>
        </w:rPr>
      </w:pPr>
    </w:p>
    <w:p>
      <w:pPr>
        <w:ind w:left="4860"/>
        <w:spacing w:after="0"/>
        <w:rPr>
          <w:sz w:val="20"/>
          <w:szCs w:val="20"/>
          <w:color w:val="auto"/>
        </w:rPr>
      </w:pPr>
      <w:r>
        <w:rPr>
          <w:rFonts w:ascii="Arial" w:cs="Arial" w:eastAsia="Arial" w:hAnsi="Arial"/>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2531110</wp:posOffset>
            </wp:positionH>
            <wp:positionV relativeFrom="paragraph">
              <wp:posOffset>481330</wp:posOffset>
            </wp:positionV>
            <wp:extent cx="21951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9519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9" w:lineRule="exact"/>
        <w:rPr>
          <w:sz w:val="24"/>
          <w:szCs w:val="24"/>
          <w:color w:val="auto"/>
        </w:rPr>
      </w:pPr>
    </w:p>
    <w:p>
      <w:pPr>
        <w:jc w:val="center"/>
        <w:ind w:right="-519"/>
        <w:spacing w:after="0"/>
        <w:rPr>
          <w:sz w:val="20"/>
          <w:szCs w:val="20"/>
          <w:color w:val="auto"/>
        </w:rPr>
      </w:pPr>
      <w:r>
        <w:rPr>
          <w:rFonts w:ascii="Arial" w:cs="Arial" w:eastAsia="Arial" w:hAnsi="Arial"/>
          <w:sz w:val="20"/>
          <w:szCs w:val="20"/>
          <w:b w:val="1"/>
          <w:bCs w:val="1"/>
          <w:color w:val="auto"/>
        </w:rPr>
        <w:t>FORM 8-K</w:t>
      </w:r>
    </w:p>
    <w:p>
      <w:pPr>
        <w:spacing w:after="0" w:line="206" w:lineRule="exact"/>
        <w:rPr>
          <w:sz w:val="24"/>
          <w:szCs w:val="24"/>
          <w:color w:val="auto"/>
        </w:rPr>
      </w:pPr>
    </w:p>
    <w:p>
      <w:pPr>
        <w:jc w:val="center"/>
        <w:ind w:right="-519"/>
        <w:spacing w:after="0"/>
        <w:rPr>
          <w:sz w:val="20"/>
          <w:szCs w:val="20"/>
          <w:color w:val="auto"/>
        </w:rPr>
      </w:pPr>
      <w:r>
        <w:rPr>
          <w:rFonts w:ascii="Arial" w:cs="Arial" w:eastAsia="Arial" w:hAnsi="Arial"/>
          <w:sz w:val="17"/>
          <w:szCs w:val="17"/>
          <w:b w:val="1"/>
          <w:bCs w:val="1"/>
          <w:color w:val="auto"/>
        </w:rPr>
        <w:t>CURRENT REPORT PURSUANT TO SECTION 13 OR 15(d)</w:t>
      </w:r>
    </w:p>
    <w:p>
      <w:pPr>
        <w:spacing w:after="0" w:line="22" w:lineRule="exact"/>
        <w:rPr>
          <w:sz w:val="24"/>
          <w:szCs w:val="24"/>
          <w:color w:val="auto"/>
        </w:rPr>
      </w:pPr>
    </w:p>
    <w:p>
      <w:pPr>
        <w:jc w:val="center"/>
        <w:ind w:right="-519"/>
        <w:spacing w:after="0"/>
        <w:rPr>
          <w:sz w:val="20"/>
          <w:szCs w:val="20"/>
          <w:color w:val="auto"/>
        </w:rPr>
      </w:pPr>
      <w:r>
        <w:rPr>
          <w:rFonts w:ascii="Arial" w:cs="Arial" w:eastAsia="Arial" w:hAnsi="Arial"/>
          <w:sz w:val="17"/>
          <w:szCs w:val="17"/>
          <w:b w:val="1"/>
          <w:bCs w:val="1"/>
          <w:color w:val="auto"/>
        </w:rPr>
        <w:t>OF THE SECURITIES EXCHANGE ACT OF 1934</w:t>
      </w:r>
    </w:p>
    <w:p>
      <w:pPr>
        <w:spacing w:after="0" w:line="191" w:lineRule="exact"/>
        <w:rPr>
          <w:sz w:val="24"/>
          <w:szCs w:val="24"/>
          <w:color w:val="auto"/>
        </w:rPr>
      </w:pPr>
    </w:p>
    <w:p>
      <w:pPr>
        <w:ind w:left="2640"/>
        <w:spacing w:after="0"/>
        <w:rPr>
          <w:sz w:val="20"/>
          <w:szCs w:val="20"/>
          <w:color w:val="auto"/>
        </w:rPr>
      </w:pPr>
      <w:r>
        <w:rPr>
          <w:rFonts w:ascii="Arial" w:cs="Arial" w:eastAsia="Arial" w:hAnsi="Arial"/>
          <w:sz w:val="16"/>
          <w:szCs w:val="16"/>
          <w:b w:val="1"/>
          <w:bCs w:val="1"/>
          <w:color w:val="auto"/>
        </w:rPr>
        <w:t>DATE OF REPORT (DATE OF EARLIEST EVENT REPORTED): January 22,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2531110</wp:posOffset>
            </wp:positionH>
            <wp:positionV relativeFrom="paragraph">
              <wp:posOffset>500380</wp:posOffset>
            </wp:positionV>
            <wp:extent cx="21951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9519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8" w:lineRule="exact"/>
        <w:rPr>
          <w:sz w:val="24"/>
          <w:szCs w:val="24"/>
          <w:color w:val="auto"/>
        </w:rPr>
      </w:pPr>
    </w:p>
    <w:p>
      <w:pPr>
        <w:jc w:val="center"/>
        <w:ind w:right="-519"/>
        <w:spacing w:after="0"/>
        <w:rPr>
          <w:sz w:val="20"/>
          <w:szCs w:val="20"/>
          <w:color w:val="auto"/>
        </w:rPr>
      </w:pPr>
      <w:r>
        <w:rPr>
          <w:rFonts w:ascii="Arial" w:cs="Arial" w:eastAsia="Arial" w:hAnsi="Arial"/>
          <w:sz w:val="30"/>
          <w:szCs w:val="30"/>
          <w:b w:val="1"/>
          <w:bCs w:val="1"/>
          <w:color w:val="auto"/>
        </w:rPr>
        <w:t>TEXAS INSTRUMENTS INCORPORATED</w:t>
      </w:r>
    </w:p>
    <w:p>
      <w:pPr>
        <w:spacing w:after="0" w:line="35" w:lineRule="exact"/>
        <w:rPr>
          <w:sz w:val="24"/>
          <w:szCs w:val="24"/>
          <w:color w:val="auto"/>
        </w:rPr>
      </w:pPr>
    </w:p>
    <w:p>
      <w:pPr>
        <w:ind w:left="3960"/>
        <w:spacing w:after="0"/>
        <w:rPr>
          <w:sz w:val="20"/>
          <w:szCs w:val="20"/>
          <w:color w:val="auto"/>
        </w:rPr>
      </w:pPr>
      <w:r>
        <w:rPr>
          <w:rFonts w:ascii="Arial" w:cs="Arial" w:eastAsia="Arial" w:hAnsi="Arial"/>
          <w:sz w:val="17"/>
          <w:szCs w:val="17"/>
          <w:b w:val="1"/>
          <w:bCs w:val="1"/>
          <w:color w:val="auto"/>
        </w:rPr>
        <w:t>(Exact name of registrant as specified in charter)</w:t>
      </w:r>
    </w:p>
    <w:p>
      <w:pPr>
        <w:sectPr>
          <w:pgSz w:w="11900" w:h="16838" w:orient="portrait"/>
          <w:cols w:equalWidth="0" w:num="1">
            <w:col w:w="10900"/>
          </w:cols>
          <w:pgMar w:left="240" w:top="517" w:right="759" w:bottom="1440" w:gutter="0" w:footer="0" w:header="0"/>
        </w:sectPr>
      </w:pPr>
    </w:p>
    <w:p>
      <w:pPr>
        <w:spacing w:after="0" w:line="390" w:lineRule="exact"/>
        <w:rPr>
          <w:sz w:val="24"/>
          <w:szCs w:val="24"/>
          <w:color w:val="auto"/>
        </w:rPr>
      </w:pPr>
    </w:p>
    <w:p>
      <w:pPr>
        <w:jc w:val="center"/>
        <w:ind w:right="300"/>
        <w:spacing w:after="0"/>
        <w:rPr>
          <w:sz w:val="20"/>
          <w:szCs w:val="20"/>
          <w:color w:val="auto"/>
        </w:rPr>
      </w:pPr>
      <w:r>
        <w:rPr>
          <w:rFonts w:ascii="Arial" w:cs="Arial" w:eastAsia="Arial" w:hAnsi="Arial"/>
          <w:sz w:val="17"/>
          <w:szCs w:val="17"/>
          <w:b w:val="1"/>
          <w:bCs w:val="1"/>
          <w:color w:val="auto"/>
        </w:rPr>
        <w:t>DELAWARE</w:t>
      </w:r>
    </w:p>
    <w:p>
      <w:pPr>
        <w:spacing w:after="0" w:line="22" w:lineRule="exact"/>
        <w:rPr>
          <w:sz w:val="24"/>
          <w:szCs w:val="24"/>
          <w:color w:val="auto"/>
        </w:rPr>
      </w:pPr>
    </w:p>
    <w:p>
      <w:pPr>
        <w:jc w:val="center"/>
        <w:ind w:right="300"/>
        <w:spacing w:after="0"/>
        <w:rPr>
          <w:sz w:val="20"/>
          <w:szCs w:val="20"/>
          <w:color w:val="auto"/>
        </w:rPr>
      </w:pPr>
      <w:r>
        <w:rPr>
          <w:rFonts w:ascii="Arial" w:cs="Arial" w:eastAsia="Arial" w:hAnsi="Arial"/>
          <w:sz w:val="15"/>
          <w:szCs w:val="15"/>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370" w:lineRule="exact"/>
        <w:rPr>
          <w:sz w:val="24"/>
          <w:szCs w:val="24"/>
          <w:color w:val="auto"/>
        </w:rPr>
      </w:pPr>
    </w:p>
    <w:p>
      <w:pPr>
        <w:jc w:val="center"/>
        <w:ind w:right="900"/>
        <w:spacing w:after="0"/>
        <w:rPr>
          <w:sz w:val="20"/>
          <w:szCs w:val="20"/>
          <w:color w:val="auto"/>
        </w:rPr>
      </w:pPr>
      <w:r>
        <w:rPr>
          <w:rFonts w:ascii="Arial" w:cs="Arial" w:eastAsia="Arial" w:hAnsi="Arial"/>
          <w:sz w:val="17"/>
          <w:szCs w:val="17"/>
          <w:b w:val="1"/>
          <w:bCs w:val="1"/>
          <w:color w:val="auto"/>
        </w:rPr>
        <w:t>001-03761</w:t>
      </w:r>
    </w:p>
    <w:p>
      <w:pPr>
        <w:spacing w:after="0" w:line="22" w:lineRule="exact"/>
        <w:rPr>
          <w:sz w:val="24"/>
          <w:szCs w:val="24"/>
          <w:color w:val="auto"/>
        </w:rPr>
      </w:pPr>
    </w:p>
    <w:p>
      <w:pPr>
        <w:jc w:val="center"/>
        <w:ind w:right="900"/>
        <w:spacing w:after="0"/>
        <w:rPr>
          <w:sz w:val="20"/>
          <w:szCs w:val="20"/>
          <w:color w:val="auto"/>
        </w:rPr>
      </w:pPr>
      <w:r>
        <w:rPr>
          <w:rFonts w:ascii="Arial" w:cs="Arial" w:eastAsia="Arial" w:hAnsi="Arial"/>
          <w:sz w:val="15"/>
          <w:szCs w:val="15"/>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370" w:lineRule="exact"/>
        <w:rPr>
          <w:sz w:val="24"/>
          <w:szCs w:val="24"/>
          <w:color w:val="auto"/>
        </w:rPr>
      </w:pPr>
    </w:p>
    <w:p>
      <w:pPr>
        <w:jc w:val="center"/>
        <w:ind w:right="80"/>
        <w:spacing w:after="0"/>
        <w:rPr>
          <w:sz w:val="20"/>
          <w:szCs w:val="20"/>
          <w:color w:val="auto"/>
        </w:rPr>
      </w:pPr>
      <w:r>
        <w:rPr>
          <w:rFonts w:ascii="Arial" w:cs="Arial" w:eastAsia="Arial" w:hAnsi="Arial"/>
          <w:sz w:val="17"/>
          <w:szCs w:val="17"/>
          <w:b w:val="1"/>
          <w:bCs w:val="1"/>
          <w:color w:val="auto"/>
        </w:rPr>
        <w:t>75-0289970</w:t>
      </w:r>
    </w:p>
    <w:p>
      <w:pPr>
        <w:spacing w:after="0" w:line="22" w:lineRule="exact"/>
        <w:rPr>
          <w:sz w:val="24"/>
          <w:szCs w:val="24"/>
          <w:color w:val="auto"/>
        </w:rPr>
      </w:pPr>
    </w:p>
    <w:p>
      <w:pPr>
        <w:jc w:val="center"/>
        <w:ind w:right="80"/>
        <w:spacing w:after="0"/>
        <w:rPr>
          <w:sz w:val="20"/>
          <w:szCs w:val="20"/>
          <w:color w:val="auto"/>
        </w:rPr>
      </w:pPr>
      <w:r>
        <w:rPr>
          <w:rFonts w:ascii="Arial" w:cs="Arial" w:eastAsia="Arial" w:hAnsi="Arial"/>
          <w:sz w:val="15"/>
          <w:szCs w:val="15"/>
          <w:b w:val="1"/>
          <w:bCs w:val="1"/>
          <w:color w:val="auto"/>
        </w:rPr>
        <w:t>(I.R.S. employer identification no.)</w:t>
      </w:r>
    </w:p>
    <w:p>
      <w:pPr>
        <w:spacing w:after="0" w:line="200" w:lineRule="exact"/>
        <w:rPr>
          <w:sz w:val="24"/>
          <w:szCs w:val="24"/>
          <w:color w:val="auto"/>
        </w:rPr>
      </w:pPr>
    </w:p>
    <w:p>
      <w:pPr>
        <w:sectPr>
          <w:pgSz w:w="11900" w:h="16838" w:orient="portrait"/>
          <w:cols w:equalWidth="0" w:num="3">
            <w:col w:w="4120" w:space="720"/>
            <w:col w:w="2780" w:space="720"/>
            <w:col w:w="2560"/>
          </w:cols>
          <w:pgMar w:left="240" w:top="517" w:right="759" w:bottom="1440" w:gutter="0" w:footer="0" w:header="0"/>
          <w:type w:val="continuous"/>
        </w:sectPr>
      </w:pPr>
    </w:p>
    <w:p>
      <w:pPr>
        <w:spacing w:after="0" w:line="14" w:lineRule="exact"/>
        <w:rPr>
          <w:sz w:val="24"/>
          <w:szCs w:val="24"/>
          <w:color w:val="auto"/>
        </w:rPr>
      </w:pPr>
    </w:p>
    <w:p>
      <w:pPr>
        <w:jc w:val="center"/>
        <w:ind w:right="-519"/>
        <w:spacing w:after="0"/>
        <w:rPr>
          <w:sz w:val="20"/>
          <w:szCs w:val="20"/>
          <w:color w:val="auto"/>
        </w:rPr>
      </w:pPr>
      <w:r>
        <w:rPr>
          <w:rFonts w:ascii="Arial" w:cs="Arial" w:eastAsia="Arial" w:hAnsi="Arial"/>
          <w:sz w:val="17"/>
          <w:szCs w:val="17"/>
          <w:b w:val="1"/>
          <w:bCs w:val="1"/>
          <w:color w:val="auto"/>
        </w:rPr>
        <w:t>12500 TI BOULEVARD</w:t>
      </w:r>
    </w:p>
    <w:p>
      <w:pPr>
        <w:spacing w:after="0" w:line="22" w:lineRule="exact"/>
        <w:rPr>
          <w:sz w:val="24"/>
          <w:szCs w:val="24"/>
          <w:color w:val="auto"/>
        </w:rPr>
      </w:pPr>
    </w:p>
    <w:p>
      <w:pPr>
        <w:jc w:val="center"/>
        <w:ind w:right="-519"/>
        <w:spacing w:after="0"/>
        <w:rPr>
          <w:sz w:val="20"/>
          <w:szCs w:val="20"/>
          <w:color w:val="auto"/>
        </w:rPr>
      </w:pPr>
      <w:r>
        <w:rPr>
          <w:rFonts w:ascii="Arial" w:cs="Arial" w:eastAsia="Arial" w:hAnsi="Arial"/>
          <w:sz w:val="17"/>
          <w:szCs w:val="17"/>
          <w:b w:val="1"/>
          <w:bCs w:val="1"/>
          <w:color w:val="auto"/>
        </w:rPr>
        <w:t>P.O. BOX 660199</w:t>
      </w:r>
    </w:p>
    <w:p>
      <w:pPr>
        <w:spacing w:after="0" w:line="6" w:lineRule="exact"/>
        <w:rPr>
          <w:sz w:val="24"/>
          <w:szCs w:val="24"/>
          <w:color w:val="auto"/>
        </w:rPr>
      </w:pPr>
    </w:p>
    <w:p>
      <w:pPr>
        <w:jc w:val="center"/>
        <w:ind w:right="-519"/>
        <w:spacing w:after="0"/>
        <w:rPr>
          <w:sz w:val="20"/>
          <w:szCs w:val="20"/>
          <w:color w:val="auto"/>
        </w:rPr>
      </w:pPr>
      <w:r>
        <w:rPr>
          <w:rFonts w:ascii="Arial" w:cs="Arial" w:eastAsia="Arial" w:hAnsi="Arial"/>
          <w:sz w:val="17"/>
          <w:szCs w:val="17"/>
          <w:b w:val="1"/>
          <w:bCs w:val="1"/>
          <w:color w:val="auto"/>
        </w:rPr>
        <w:t>DALLAS, TEXAS 75266-0199</w:t>
      </w:r>
    </w:p>
    <w:p>
      <w:pPr>
        <w:spacing w:after="0" w:line="6" w:lineRule="exact"/>
        <w:rPr>
          <w:sz w:val="24"/>
          <w:szCs w:val="24"/>
          <w:color w:val="auto"/>
        </w:rPr>
      </w:pPr>
    </w:p>
    <w:p>
      <w:pPr>
        <w:jc w:val="center"/>
        <w:ind w:right="-519"/>
        <w:spacing w:after="0"/>
        <w:rPr>
          <w:sz w:val="20"/>
          <w:szCs w:val="20"/>
          <w:color w:val="auto"/>
        </w:rPr>
      </w:pPr>
      <w:r>
        <w:rPr>
          <w:rFonts w:ascii="Arial" w:cs="Arial" w:eastAsia="Arial" w:hAnsi="Arial"/>
          <w:sz w:val="14"/>
          <w:szCs w:val="14"/>
          <w:b w:val="1"/>
          <w:bCs w:val="1"/>
          <w:color w:val="auto"/>
        </w:rPr>
        <w:t>(Address of principal executive offices)</w:t>
      </w:r>
    </w:p>
    <w:p>
      <w:pPr>
        <w:sectPr>
          <w:pgSz w:w="11900" w:h="16838" w:orient="portrait"/>
          <w:cols w:equalWidth="0" w:num="1">
            <w:col w:w="10900"/>
          </w:cols>
          <w:pgMar w:left="240" w:top="517" w:right="759" w:bottom="1440" w:gutter="0" w:footer="0" w:header="0"/>
          <w:type w:val="continuous"/>
        </w:sectPr>
      </w:pPr>
    </w:p>
    <w:p>
      <w:pPr>
        <w:spacing w:after="0" w:line="225" w:lineRule="exact"/>
        <w:rPr>
          <w:sz w:val="24"/>
          <w:szCs w:val="24"/>
          <w:color w:val="auto"/>
        </w:rPr>
      </w:pPr>
    </w:p>
    <w:p>
      <w:pPr>
        <w:ind w:left="3300"/>
        <w:spacing w:after="0"/>
        <w:rPr>
          <w:sz w:val="20"/>
          <w:szCs w:val="20"/>
          <w:color w:val="auto"/>
        </w:rPr>
      </w:pPr>
      <w:r>
        <w:rPr>
          <w:rFonts w:ascii="Arial" w:cs="Arial" w:eastAsia="Arial" w:hAnsi="Arial"/>
          <w:sz w:val="17"/>
          <w:szCs w:val="17"/>
          <w:b w:val="1"/>
          <w:bCs w:val="1"/>
          <w:color w:val="auto"/>
        </w:rPr>
        <w:t>Registrant’s telephone number, including area code: (972) 995-3773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2531110</wp:posOffset>
            </wp:positionH>
            <wp:positionV relativeFrom="paragraph">
              <wp:posOffset>349250</wp:posOffset>
            </wp:positionV>
            <wp:extent cx="21951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9519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8"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is intended to simultaneously satisfy the filing obligation of the registrant under any of the following provisions:</w:t>
      </w:r>
    </w:p>
    <w:p>
      <w:pPr>
        <w:spacing w:after="0" w:line="230" w:lineRule="exact"/>
        <w:rPr>
          <w:sz w:val="24"/>
          <w:szCs w:val="24"/>
          <w:color w:val="auto"/>
        </w:rPr>
      </w:pPr>
    </w:p>
    <w:p>
      <w:pPr>
        <w:ind w:left="420" w:hanging="419"/>
        <w:spacing w:after="0"/>
        <w:tabs>
          <w:tab w:leader="none" w:pos="42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Written communications pursuant to Rule 425 under the Securities Act (17 CFR 230.425)</w:t>
      </w:r>
    </w:p>
    <w:p>
      <w:pPr>
        <w:spacing w:after="0" w:line="206" w:lineRule="exact"/>
        <w:rPr>
          <w:rFonts w:ascii="MS PGothic" w:cs="MS PGothic" w:eastAsia="MS PGothic" w:hAnsi="MS PGothic"/>
          <w:sz w:val="17"/>
          <w:szCs w:val="17"/>
          <w:color w:val="auto"/>
        </w:rPr>
      </w:pPr>
    </w:p>
    <w:p>
      <w:pPr>
        <w:ind w:left="420" w:hanging="419"/>
        <w:spacing w:after="0"/>
        <w:tabs>
          <w:tab w:leader="none" w:pos="42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Soliciting material pursuant to Rule 14a-12 under the Exchange Act (17 CFR 240.14a-12)</w:t>
      </w:r>
    </w:p>
    <w:p>
      <w:pPr>
        <w:spacing w:after="0" w:line="206" w:lineRule="exact"/>
        <w:rPr>
          <w:rFonts w:ascii="MS PGothic" w:cs="MS PGothic" w:eastAsia="MS PGothic" w:hAnsi="MS PGothic"/>
          <w:sz w:val="17"/>
          <w:szCs w:val="17"/>
          <w:color w:val="auto"/>
        </w:rPr>
      </w:pPr>
    </w:p>
    <w:p>
      <w:pPr>
        <w:ind w:left="420" w:hanging="419"/>
        <w:spacing w:after="0"/>
        <w:tabs>
          <w:tab w:leader="none" w:pos="42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206" w:lineRule="exact"/>
        <w:rPr>
          <w:rFonts w:ascii="MS PGothic" w:cs="MS PGothic" w:eastAsia="MS PGothic" w:hAnsi="MS PGothic"/>
          <w:sz w:val="17"/>
          <w:szCs w:val="17"/>
          <w:color w:val="auto"/>
        </w:rPr>
      </w:pPr>
    </w:p>
    <w:p>
      <w:pPr>
        <w:ind w:left="420" w:hanging="419"/>
        <w:spacing w:after="0"/>
        <w:tabs>
          <w:tab w:leader="none" w:pos="42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224790</wp:posOffset>
            </wp:positionV>
            <wp:extent cx="72605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0590" cy="42545"/>
                    </a:xfrm>
                    <a:prstGeom prst="rect">
                      <a:avLst/>
                    </a:prstGeom>
                    <a:noFill/>
                  </pic:spPr>
                </pic:pic>
              </a:graphicData>
            </a:graphic>
          </wp:anchor>
        </w:drawing>
      </w:r>
    </w:p>
    <w:p>
      <w:pPr>
        <w:sectPr>
          <w:pgSz w:w="11900" w:h="16838" w:orient="portrait"/>
          <w:cols w:equalWidth="0" w:num="1">
            <w:col w:w="10900"/>
          </w:cols>
          <w:pgMar w:left="240" w:top="517" w:right="7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7"/>
          <w:szCs w:val="17"/>
          <w:color w:val="auto"/>
        </w:rPr>
        <w:t>ITEM 2.02. Results of Operations and Financial Condition</w:t>
      </w:r>
    </w:p>
    <w:p>
      <w:pPr>
        <w:spacing w:after="0" w:line="232" w:lineRule="exact"/>
        <w:rPr>
          <w:sz w:val="20"/>
          <w:szCs w:val="20"/>
          <w:color w:val="auto"/>
        </w:rPr>
      </w:pPr>
    </w:p>
    <w:p>
      <w:pPr>
        <w:spacing w:after="0"/>
        <w:rPr>
          <w:sz w:val="20"/>
          <w:szCs w:val="20"/>
          <w:color w:val="auto"/>
        </w:rPr>
      </w:pPr>
      <w:r>
        <w:rPr>
          <w:rFonts w:ascii="Arial" w:cs="Arial" w:eastAsia="Arial" w:hAnsi="Arial"/>
          <w:sz w:val="15"/>
          <w:szCs w:val="15"/>
          <w:color w:val="auto"/>
        </w:rPr>
        <w:t>The Registrant’s news release dated January 22, 2013, regarding its fourth-quarter and 2012 results of operations and financial condition is attached hereto as Exhibit 99.</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color w:val="auto"/>
        </w:rPr>
        <w:t>ITEM 9.01. Exhibits</w:t>
      </w:r>
    </w:p>
    <w:p>
      <w:pPr>
        <w:sectPr>
          <w:pgSz w:w="11900" w:h="16838" w:orient="portrait"/>
          <w:cols w:equalWidth="0" w:num="1">
            <w:col w:w="11320"/>
          </w:cols>
          <w:pgMar w:left="240" w:top="492" w:right="339" w:bottom="1440" w:gutter="0" w:footer="0" w:header="0"/>
        </w:sectPr>
      </w:pPr>
    </w:p>
    <w:p>
      <w:pPr>
        <w:spacing w:after="0" w:line="207" w:lineRule="exact"/>
        <w:rPr>
          <w:sz w:val="20"/>
          <w:szCs w:val="20"/>
          <w:color w:val="auto"/>
        </w:rPr>
      </w:pPr>
    </w:p>
    <w:p>
      <w:pPr>
        <w:jc w:val="center"/>
        <w:ind w:left="600"/>
        <w:spacing w:after="0"/>
        <w:rPr>
          <w:sz w:val="20"/>
          <w:szCs w:val="20"/>
          <w:color w:val="auto"/>
        </w:rPr>
      </w:pPr>
      <w:r>
        <w:rPr>
          <w:rFonts w:ascii="Arial" w:cs="Arial" w:eastAsia="Arial" w:hAnsi="Arial"/>
          <w:sz w:val="15"/>
          <w:szCs w:val="15"/>
          <w:color w:val="auto"/>
        </w:rPr>
        <w:t>Designation</w:t>
      </w:r>
    </w:p>
    <w:p>
      <w:pPr>
        <w:spacing w:after="0" w:line="41" w:lineRule="exact"/>
        <w:rPr>
          <w:sz w:val="20"/>
          <w:szCs w:val="20"/>
          <w:color w:val="auto"/>
        </w:rPr>
      </w:pPr>
    </w:p>
    <w:p>
      <w:pPr>
        <w:jc w:val="center"/>
        <w:ind w:left="580"/>
        <w:spacing w:after="0"/>
        <w:rPr>
          <w:sz w:val="20"/>
          <w:szCs w:val="20"/>
          <w:color w:val="auto"/>
        </w:rPr>
      </w:pPr>
      <w:r>
        <w:rPr>
          <w:rFonts w:ascii="Arial" w:cs="Arial" w:eastAsia="Arial" w:hAnsi="Arial"/>
          <w:sz w:val="17"/>
          <w:szCs w:val="17"/>
          <w:color w:val="auto"/>
        </w:rPr>
        <w:t>of Exhibit</w:t>
      </w:r>
    </w:p>
    <w:p>
      <w:pPr>
        <w:spacing w:after="0" w:line="6" w:lineRule="exact"/>
        <w:rPr>
          <w:sz w:val="20"/>
          <w:szCs w:val="20"/>
          <w:color w:val="auto"/>
        </w:rPr>
      </w:pPr>
    </w:p>
    <w:p>
      <w:pPr>
        <w:jc w:val="center"/>
        <w:ind w:left="580"/>
        <w:spacing w:after="0"/>
        <w:rPr>
          <w:sz w:val="20"/>
          <w:szCs w:val="20"/>
          <w:color w:val="auto"/>
        </w:rPr>
      </w:pPr>
      <w:r>
        <w:rPr>
          <w:rFonts w:ascii="Arial" w:cs="Arial" w:eastAsia="Arial" w:hAnsi="Arial"/>
          <w:sz w:val="17"/>
          <w:szCs w:val="17"/>
          <w:color w:val="auto"/>
        </w:rPr>
        <w:t>in this</w:t>
      </w:r>
    </w:p>
    <w:p>
      <w:pPr>
        <w:spacing w:after="0" w:line="6" w:lineRule="exact"/>
        <w:rPr>
          <w:sz w:val="20"/>
          <w:szCs w:val="20"/>
          <w:color w:val="auto"/>
        </w:rPr>
      </w:pPr>
    </w:p>
    <w:p>
      <w:pPr>
        <w:jc w:val="center"/>
        <w:ind w:left="580"/>
        <w:spacing w:after="0"/>
        <w:rPr>
          <w:sz w:val="20"/>
          <w:szCs w:val="20"/>
          <w:color w:val="auto"/>
        </w:rPr>
      </w:pPr>
      <w:r>
        <w:rPr>
          <w:rFonts w:ascii="Arial" w:cs="Arial" w:eastAsia="Arial" w:hAnsi="Arial"/>
          <w:sz w:val="17"/>
          <w:szCs w:val="17"/>
          <w:color w:val="auto"/>
        </w:rPr>
        <w:t>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wp:posOffset>
            </wp:positionV>
            <wp:extent cx="1301115" cy="158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01115" cy="158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5"/>
          <w:szCs w:val="15"/>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5867400" cy="15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867400" cy="15875"/>
                    </a:xfrm>
                    <a:prstGeom prst="rect">
                      <a:avLst/>
                    </a:prstGeom>
                    <a:noFill/>
                  </pic:spPr>
                </pic:pic>
              </a:graphicData>
            </a:graphic>
          </wp:anchor>
        </w:drawing>
      </w:r>
    </w:p>
    <w:p>
      <w:pPr>
        <w:spacing w:after="0" w:line="54" w:lineRule="exact"/>
        <w:rPr>
          <w:sz w:val="20"/>
          <w:szCs w:val="20"/>
          <w:color w:val="auto"/>
        </w:rPr>
      </w:pPr>
    </w:p>
    <w:p>
      <w:pPr>
        <w:sectPr>
          <w:pgSz w:w="11900" w:h="16838" w:orient="portrait"/>
          <w:cols w:equalWidth="0" w:num="2">
            <w:col w:w="1460" w:space="720"/>
            <w:col w:w="9140"/>
          </w:cols>
          <w:pgMar w:left="240" w:top="492" w:right="339" w:bottom="1440" w:gutter="0" w:footer="0" w:header="0"/>
          <w:type w:val="continuous"/>
        </w:sectPr>
      </w:pPr>
    </w:p>
    <w:p>
      <w:pPr>
        <w:ind w:left="2180" w:hanging="1239"/>
        <w:spacing w:after="0"/>
        <w:tabs>
          <w:tab w:leader="none" w:pos="2180" w:val="left"/>
        </w:tabs>
        <w:numPr>
          <w:ilvl w:val="0"/>
          <w:numId w:val="2"/>
        </w:numPr>
        <w:rPr>
          <w:rFonts w:ascii="Arial" w:cs="Arial" w:eastAsia="Arial" w:hAnsi="Arial"/>
          <w:sz w:val="17"/>
          <w:szCs w:val="17"/>
          <w:color w:val="auto"/>
        </w:rPr>
      </w:pPr>
      <w:r>
        <w:rPr>
          <w:rFonts w:ascii="Arial" w:cs="Arial" w:eastAsia="Arial" w:hAnsi="Arial"/>
          <w:sz w:val="17"/>
          <w:szCs w:val="17"/>
          <w:color w:val="auto"/>
        </w:rPr>
        <w:t>Registrant’s News Release</w:t>
      </w:r>
    </w:p>
    <w:p>
      <w:pPr>
        <w:spacing w:after="0" w:line="17" w:lineRule="exact"/>
        <w:rPr>
          <w:rFonts w:ascii="Arial" w:cs="Arial" w:eastAsia="Arial" w:hAnsi="Arial"/>
          <w:sz w:val="17"/>
          <w:szCs w:val="17"/>
          <w:color w:val="auto"/>
        </w:rPr>
      </w:pPr>
    </w:p>
    <w:p>
      <w:pPr>
        <w:ind w:left="2180"/>
        <w:spacing w:after="0"/>
        <w:rPr>
          <w:rFonts w:ascii="Arial" w:cs="Arial" w:eastAsia="Arial" w:hAnsi="Arial"/>
          <w:sz w:val="17"/>
          <w:szCs w:val="17"/>
          <w:color w:val="auto"/>
        </w:rPr>
      </w:pPr>
      <w:r>
        <w:rPr>
          <w:rFonts w:ascii="Arial" w:cs="Arial" w:eastAsia="Arial" w:hAnsi="Arial"/>
          <w:sz w:val="15"/>
          <w:szCs w:val="15"/>
          <w:color w:val="auto"/>
        </w:rPr>
        <w:t>Dated January 22, 2013 (furnished pursuant to Item 2.02)</w:t>
      </w:r>
    </w:p>
    <w:p>
      <w:pPr>
        <w:sectPr>
          <w:pgSz w:w="11900" w:h="16838" w:orient="portrait"/>
          <w:cols w:equalWidth="0" w:num="1">
            <w:col w:w="11320"/>
          </w:cols>
          <w:pgMar w:left="240" w:top="492" w:right="339" w:bottom="1440" w:gutter="0" w:footer="0" w:header="0"/>
          <w:type w:val="continuous"/>
        </w:sectPr>
      </w:pPr>
    </w:p>
    <w:bookmarkStart w:id="2" w:name="page3"/>
    <w:bookmarkEnd w:id="2"/>
    <w:p>
      <w:pPr>
        <w:jc w:val="center"/>
        <w:ind w:right="-319"/>
        <w:spacing w:after="0"/>
        <w:rPr>
          <w:sz w:val="20"/>
          <w:szCs w:val="20"/>
          <w:color w:val="auto"/>
        </w:rPr>
      </w:pPr>
      <w:r>
        <w:rPr>
          <w:rFonts w:ascii="Arial" w:cs="Arial" w:eastAsia="Arial" w:hAnsi="Arial"/>
          <w:sz w:val="17"/>
          <w:szCs w:val="17"/>
          <w:color w:val="auto"/>
        </w:rPr>
        <w:t>SIGNATURES</w:t>
      </w:r>
    </w:p>
    <w:p>
      <w:pPr>
        <w:spacing w:after="0" w:line="20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hereunto duly authorized.</w:t>
      </w:r>
    </w:p>
    <w:p>
      <w:pPr>
        <w:spacing w:after="0" w:line="368" w:lineRule="exact"/>
        <w:rPr>
          <w:sz w:val="20"/>
          <w:szCs w:val="20"/>
          <w:color w:val="auto"/>
        </w:rPr>
      </w:pPr>
    </w:p>
    <w:p>
      <w:pPr>
        <w:ind w:left="5700"/>
        <w:spacing w:after="0"/>
        <w:rPr>
          <w:sz w:val="20"/>
          <w:szCs w:val="20"/>
          <w:color w:val="auto"/>
        </w:rPr>
      </w:pPr>
      <w:r>
        <w:rPr>
          <w:rFonts w:ascii="Arial" w:cs="Arial" w:eastAsia="Arial" w:hAnsi="Arial"/>
          <w:sz w:val="17"/>
          <w:szCs w:val="17"/>
          <w:color w:val="auto"/>
        </w:rPr>
        <w:t>TEXAS INSTRUMENTS INCORPORATED</w:t>
      </w:r>
    </w:p>
    <w:p>
      <w:pPr>
        <w:spacing w:after="0" w:line="200" w:lineRule="exact"/>
        <w:rPr>
          <w:sz w:val="20"/>
          <w:szCs w:val="20"/>
          <w:color w:val="auto"/>
        </w:rPr>
      </w:pPr>
    </w:p>
    <w:p>
      <w:pPr>
        <w:spacing w:after="0" w:line="208" w:lineRule="exact"/>
        <w:rPr>
          <w:sz w:val="20"/>
          <w:szCs w:val="20"/>
          <w:color w:val="auto"/>
        </w:rPr>
      </w:pPr>
    </w:p>
    <w:p>
      <w:pPr>
        <w:spacing w:after="0"/>
        <w:tabs>
          <w:tab w:leader="none" w:pos="5680" w:val="left"/>
          <w:tab w:leader="none" w:pos="6280" w:val="left"/>
        </w:tabs>
        <w:rPr>
          <w:sz w:val="20"/>
          <w:szCs w:val="20"/>
          <w:color w:val="auto"/>
        </w:rPr>
      </w:pPr>
      <w:r>
        <w:rPr>
          <w:rFonts w:ascii="Arial" w:cs="Arial" w:eastAsia="Arial" w:hAnsi="Arial"/>
          <w:sz w:val="17"/>
          <w:szCs w:val="17"/>
          <w:color w:val="auto"/>
        </w:rPr>
        <w:t>Date: January 22, 2013</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6"/>
          <w:szCs w:val="16"/>
          <w:color w:val="auto"/>
        </w:rPr>
        <w:t>/s/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11430</wp:posOffset>
            </wp:positionV>
            <wp:extent cx="3256915" cy="158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56915" cy="15875"/>
                    </a:xfrm>
                    <a:prstGeom prst="rect">
                      <a:avLst/>
                    </a:prstGeom>
                    <a:noFill/>
                  </pic:spPr>
                </pic:pic>
              </a:graphicData>
            </a:graphic>
          </wp:anchor>
        </w:drawing>
      </w:r>
    </w:p>
    <w:p>
      <w:pPr>
        <w:spacing w:after="0" w:line="11" w:lineRule="exact"/>
        <w:rPr>
          <w:sz w:val="20"/>
          <w:szCs w:val="20"/>
          <w:color w:val="auto"/>
        </w:rPr>
      </w:pPr>
    </w:p>
    <w:p>
      <w:pPr>
        <w:ind w:left="6300"/>
        <w:spacing w:after="0"/>
        <w:rPr>
          <w:sz w:val="20"/>
          <w:szCs w:val="20"/>
          <w:color w:val="auto"/>
        </w:rPr>
      </w:pPr>
      <w:r>
        <w:rPr>
          <w:rFonts w:ascii="Arial" w:cs="Arial" w:eastAsia="Arial" w:hAnsi="Arial"/>
          <w:sz w:val="17"/>
          <w:szCs w:val="17"/>
          <w:color w:val="auto"/>
        </w:rPr>
        <w:t>Kevin P. March</w:t>
      </w:r>
    </w:p>
    <w:p>
      <w:pPr>
        <w:spacing w:after="0" w:line="18" w:lineRule="exact"/>
        <w:rPr>
          <w:sz w:val="20"/>
          <w:szCs w:val="20"/>
          <w:color w:val="auto"/>
        </w:rPr>
      </w:pPr>
    </w:p>
    <w:p>
      <w:pPr>
        <w:ind w:left="6300"/>
        <w:spacing w:after="0"/>
        <w:rPr>
          <w:sz w:val="20"/>
          <w:szCs w:val="20"/>
          <w:color w:val="auto"/>
        </w:rPr>
      </w:pPr>
      <w:r>
        <w:rPr>
          <w:rFonts w:ascii="Arial" w:cs="Arial" w:eastAsia="Arial" w:hAnsi="Arial"/>
          <w:sz w:val="17"/>
          <w:szCs w:val="17"/>
          <w:color w:val="auto"/>
        </w:rPr>
        <w:t>Senior Vice President and</w:t>
      </w:r>
    </w:p>
    <w:p>
      <w:pPr>
        <w:spacing w:after="0" w:line="6" w:lineRule="exact"/>
        <w:rPr>
          <w:sz w:val="20"/>
          <w:szCs w:val="20"/>
          <w:color w:val="auto"/>
        </w:rPr>
      </w:pPr>
    </w:p>
    <w:p>
      <w:pPr>
        <w:ind w:left="6300"/>
        <w:spacing w:after="0"/>
        <w:rPr>
          <w:sz w:val="20"/>
          <w:szCs w:val="20"/>
          <w:color w:val="auto"/>
        </w:rPr>
      </w:pPr>
      <w:r>
        <w:rPr>
          <w:rFonts w:ascii="Arial" w:cs="Arial" w:eastAsia="Arial" w:hAnsi="Arial"/>
          <w:sz w:val="17"/>
          <w:szCs w:val="17"/>
          <w:color w:val="auto"/>
        </w:rPr>
        <w:t>Chief Financial Officer</w:t>
      </w:r>
    </w:p>
    <w:p>
      <w:pPr>
        <w:sectPr>
          <w:pgSz w:w="11900" w:h="16838" w:orient="portrait"/>
          <w:cols w:equalWidth="0" w:num="1">
            <w:col w:w="11120"/>
          </w:cols>
          <w:pgMar w:left="240" w:top="718" w:right="53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u w:val="single" w:color="auto"/>
          <w:color w:val="auto"/>
        </w:rPr>
        <w:t>Exhibit 99</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TI reports financial results for 4Q12 and 2012</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Conference call on TI website at 4:30 p.m. Central time today</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www.ti.com/ir</w:t>
      </w:r>
    </w:p>
    <w:p>
      <w:pPr>
        <w:spacing w:after="0" w:line="232"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DALLAS (Jan. 22, 2013) – Texas Instruments Incorporated (TI) (NASDAQ: TXN) today announced fourth-quarter revenue of $2.98 billion, net income of $264 million and earnings per share of 23 cents.</w:t>
      </w:r>
    </w:p>
    <w:p>
      <w:pPr>
        <w:spacing w:after="0" w:line="192" w:lineRule="exact"/>
        <w:rPr>
          <w:sz w:val="20"/>
          <w:szCs w:val="20"/>
          <w:color w:val="auto"/>
        </w:rPr>
      </w:pPr>
    </w:p>
    <w:p>
      <w:pPr>
        <w:ind w:right="460"/>
        <w:spacing w:after="0" w:line="275" w:lineRule="auto"/>
        <w:rPr>
          <w:sz w:val="20"/>
          <w:szCs w:val="20"/>
          <w:color w:val="auto"/>
        </w:rPr>
      </w:pPr>
      <w:r>
        <w:rPr>
          <w:rFonts w:ascii="Arial" w:cs="Arial" w:eastAsia="Arial" w:hAnsi="Arial"/>
          <w:sz w:val="16"/>
          <w:szCs w:val="16"/>
          <w:color w:val="auto"/>
        </w:rPr>
        <w:t>EPS includes 6 cents of charges associated with the company’s 2011 acquisition of National Semiconductor Corporation and restructuring that was included in the company’s outlook provided in December. EPS also includes 23 cents of charges associated with the recently announced restructuring of the company’s Wireless business of which 21 cents was included in the company’s outlook. In addition, EPS includes 15 cents for a discrete tax benefit and associated interest that was not included in the company’s outlook. Excluding these items, non-GAAP EPS rounds to 36 cents.</w:t>
      </w:r>
    </w:p>
    <w:p>
      <w:pPr>
        <w:spacing w:after="0" w:line="188"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“We continue to operate in a weak demand environment,” said Rich Templeton, TI’s chairman, president and CEO. “Our visibility into future demand remains limited as our lead times are short and our customers are reluctant to commit to extended backlog. On the positive side, we believe customers and distributors are operating with lean inventory. Our own operations are disciplined and performing well, with gross margin up despite increased underutilization costs, and with operating expenses down from a year ago.</w:t>
      </w:r>
    </w:p>
    <w:p>
      <w:pPr>
        <w:spacing w:after="0" w:line="203"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“Even in the current economy, our strategy is yielding high free cash flow and strong returns to our shareholders. For the full year, free cash flow of almost $3 billion grew 20 percent and was 23 percent of our revenue. We returned 90 percent of this free cash flow to our shareholders through our continued share repurchases and higher dividend payments. Our strong free cash flow is the result of more of our revenue coming from Analog and Embedded Processing, which offer solid growth and high margins and have low capital needs. Our free cash flow will also benefit from our strategic purchases of manufacturing capacity during the past few years. We have almost half of our manufacturing capacity available to support future growth, which means we can maintain our capital spending at very low levels in the years ahead, even as our revenue grows.”</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320" w:type="dxa"/>
            <w:vAlign w:val="bottom"/>
            <w:gridSpan w:val="2"/>
          </w:tcPr>
          <w:p>
            <w:pPr>
              <w:spacing w:after="0"/>
              <w:rPr>
                <w:sz w:val="20"/>
                <w:szCs w:val="20"/>
                <w:color w:val="auto"/>
              </w:rPr>
            </w:pPr>
            <w:r>
              <w:rPr>
                <w:rFonts w:ascii="Arial" w:cs="Arial" w:eastAsia="Arial" w:hAnsi="Arial"/>
                <w:sz w:val="17"/>
                <w:szCs w:val="17"/>
                <w:b w:val="1"/>
                <w:bCs w:val="1"/>
                <w:color w:val="auto"/>
              </w:rPr>
              <w:t>4Q12 financial summary</w:t>
            </w: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20"/>
        </w:trPr>
        <w:tc>
          <w:tcPr>
            <w:tcW w:w="1760" w:type="dxa"/>
            <w:vAlign w:val="bottom"/>
            <w:shd w:val="clear" w:color="auto" w:fill="000000"/>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445"/>
        </w:trPr>
        <w:tc>
          <w:tcPr>
            <w:tcW w:w="4320" w:type="dxa"/>
            <w:vAlign w:val="bottom"/>
            <w:gridSpan w:val="2"/>
          </w:tcPr>
          <w:p>
            <w:pPr>
              <w:spacing w:after="0"/>
              <w:rPr>
                <w:sz w:val="20"/>
                <w:szCs w:val="20"/>
                <w:color w:val="auto"/>
              </w:rPr>
            </w:pPr>
            <w:r>
              <w:rPr>
                <w:rFonts w:ascii="Arial" w:cs="Arial" w:eastAsia="Arial" w:hAnsi="Arial"/>
                <w:sz w:val="17"/>
                <w:szCs w:val="17"/>
                <w:i w:val="1"/>
                <w:iCs w:val="1"/>
                <w:color w:val="auto"/>
                <w:w w:val="93"/>
              </w:rPr>
              <w:t>Amounts are in millions of dollars, except per-share amounts.</w:t>
            </w: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27"/>
        </w:trPr>
        <w:tc>
          <w:tcPr>
            <w:tcW w:w="176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01"/>
        </w:trPr>
        <w:tc>
          <w:tcPr>
            <w:tcW w:w="1760" w:type="dxa"/>
            <w:vAlign w:val="bottom"/>
            <w:shd w:val="clear" w:color="auto" w:fill="CCEEFF"/>
          </w:tcPr>
          <w:p>
            <w:pPr>
              <w:spacing w:after="0"/>
              <w:rPr>
                <w:sz w:val="17"/>
                <w:szCs w:val="17"/>
                <w:color w:val="auto"/>
              </w:rPr>
            </w:pPr>
          </w:p>
        </w:tc>
        <w:tc>
          <w:tcPr>
            <w:tcW w:w="2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tcBorders>
              <w:right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4Q12</w:t>
            </w:r>
          </w:p>
        </w:tc>
        <w:tc>
          <w:tcPr>
            <w:tcW w:w="2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4Q11</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Change</w:t>
            </w:r>
          </w:p>
        </w:tc>
        <w:tc>
          <w:tcPr>
            <w:tcW w:w="2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3Q12</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Change</w:t>
            </w:r>
          </w:p>
        </w:tc>
      </w:tr>
      <w:tr>
        <w:trPr>
          <w:trHeight w:val="25"/>
        </w:trPr>
        <w:tc>
          <w:tcPr>
            <w:tcW w:w="1760" w:type="dxa"/>
            <w:vAlign w:val="bottom"/>
            <w:shd w:val="clear" w:color="auto" w:fill="CCEEFF"/>
          </w:tcPr>
          <w:p>
            <w:pPr>
              <w:spacing w:after="0"/>
              <w:rPr>
                <w:sz w:val="2"/>
                <w:szCs w:val="2"/>
                <w:color w:val="auto"/>
              </w:rPr>
            </w:pPr>
          </w:p>
        </w:tc>
        <w:tc>
          <w:tcPr>
            <w:tcW w:w="25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r>
      <w:tr>
        <w:trPr>
          <w:trHeight w:val="201"/>
        </w:trPr>
        <w:tc>
          <w:tcPr>
            <w:tcW w:w="4320" w:type="dxa"/>
            <w:vAlign w:val="bottom"/>
            <w:gridSpan w:val="2"/>
          </w:tcPr>
          <w:p>
            <w:pPr>
              <w:spacing w:after="0"/>
              <w:rPr>
                <w:sz w:val="20"/>
                <w:szCs w:val="20"/>
                <w:color w:val="auto"/>
              </w:rPr>
            </w:pPr>
            <w:r>
              <w:rPr>
                <w:rFonts w:ascii="Arial" w:cs="Arial" w:eastAsia="Arial" w:hAnsi="Arial"/>
                <w:sz w:val="17"/>
                <w:szCs w:val="17"/>
                <w:color w:val="auto"/>
              </w:rPr>
              <w:t>Revenue</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ind w:right="16"/>
              <w:spacing w:after="0"/>
              <w:rPr>
                <w:sz w:val="20"/>
                <w:szCs w:val="20"/>
                <w:color w:val="auto"/>
              </w:rPr>
            </w:pPr>
            <w:r>
              <w:rPr>
                <w:rFonts w:ascii="Arial" w:cs="Arial" w:eastAsia="Arial" w:hAnsi="Arial"/>
                <w:sz w:val="17"/>
                <w:szCs w:val="17"/>
                <w:color w:val="auto"/>
                <w:w w:val="98"/>
              </w:rPr>
              <w:t>2,979</w:t>
            </w:r>
          </w:p>
        </w:tc>
        <w:tc>
          <w:tcPr>
            <w:tcW w:w="200" w:type="dxa"/>
            <w:vAlign w:val="bottom"/>
          </w:tcPr>
          <w:p>
            <w:pPr>
              <w:jc w:val="right"/>
              <w:ind w:right="16"/>
              <w:spacing w:after="0"/>
              <w:rPr>
                <w:sz w:val="20"/>
                <w:szCs w:val="20"/>
                <w:color w:val="auto"/>
              </w:rPr>
            </w:pPr>
            <w:r>
              <w:rPr>
                <w:rFonts w:ascii="Arial" w:cs="Arial" w:eastAsia="Arial" w:hAnsi="Arial"/>
                <w:sz w:val="17"/>
                <w:szCs w:val="17"/>
                <w:color w:val="auto"/>
                <w:w w:val="84"/>
              </w:rPr>
              <w:t>$</w:t>
            </w:r>
          </w:p>
        </w:tc>
        <w:tc>
          <w:tcPr>
            <w:tcW w:w="580" w:type="dxa"/>
            <w:vAlign w:val="bottom"/>
            <w:gridSpan w:val="2"/>
          </w:tcPr>
          <w:p>
            <w:pPr>
              <w:jc w:val="right"/>
              <w:ind w:right="100"/>
              <w:spacing w:after="0"/>
              <w:rPr>
                <w:sz w:val="20"/>
                <w:szCs w:val="20"/>
                <w:color w:val="auto"/>
              </w:rPr>
            </w:pPr>
            <w:r>
              <w:rPr>
                <w:rFonts w:ascii="Arial" w:cs="Arial" w:eastAsia="Arial" w:hAnsi="Arial"/>
                <w:sz w:val="17"/>
                <w:szCs w:val="17"/>
                <w:color w:val="auto"/>
              </w:rPr>
              <w:t>3,420</w:t>
            </w:r>
          </w:p>
        </w:tc>
        <w:tc>
          <w:tcPr>
            <w:tcW w:w="1080" w:type="dxa"/>
            <w:vAlign w:val="bottom"/>
            <w:gridSpan w:val="2"/>
          </w:tcPr>
          <w:p>
            <w:pPr>
              <w:jc w:val="right"/>
              <w:ind w:right="200"/>
              <w:spacing w:after="0"/>
              <w:rPr>
                <w:sz w:val="20"/>
                <w:szCs w:val="20"/>
                <w:color w:val="auto"/>
              </w:rPr>
            </w:pPr>
            <w:r>
              <w:rPr>
                <w:rFonts w:ascii="Arial" w:cs="Arial" w:eastAsia="Arial" w:hAnsi="Arial"/>
                <w:sz w:val="17"/>
                <w:szCs w:val="17"/>
                <w:color w:val="auto"/>
              </w:rPr>
              <w:t>-13%</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rPr>
              <w:t>3,390</w:t>
            </w: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-12%</w:t>
            </w:r>
          </w:p>
        </w:tc>
      </w:tr>
      <w:tr>
        <w:trPr>
          <w:trHeight w:val="201"/>
        </w:trPr>
        <w:tc>
          <w:tcPr>
            <w:tcW w:w="43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Operating profit</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540" w:type="dxa"/>
            <w:vAlign w:val="bottom"/>
            <w:tcBorders>
              <w:right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139</w:t>
            </w: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w w:val="84"/>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365</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-62%</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840</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-83%</w:t>
            </w:r>
          </w:p>
        </w:tc>
      </w:tr>
      <w:tr>
        <w:trPr>
          <w:trHeight w:val="201"/>
        </w:trPr>
        <w:tc>
          <w:tcPr>
            <w:tcW w:w="4320" w:type="dxa"/>
            <w:vAlign w:val="bottom"/>
            <w:gridSpan w:val="2"/>
          </w:tcPr>
          <w:p>
            <w:pPr>
              <w:spacing w:after="0"/>
              <w:rPr>
                <w:sz w:val="20"/>
                <w:szCs w:val="20"/>
                <w:color w:val="auto"/>
              </w:rPr>
            </w:pPr>
            <w:r>
              <w:rPr>
                <w:rFonts w:ascii="Arial" w:cs="Arial" w:eastAsia="Arial" w:hAnsi="Arial"/>
                <w:sz w:val="17"/>
                <w:szCs w:val="17"/>
                <w:color w:val="auto"/>
              </w:rPr>
              <w:t>Net income</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ind w:right="16"/>
              <w:spacing w:after="0"/>
              <w:rPr>
                <w:sz w:val="20"/>
                <w:szCs w:val="20"/>
                <w:color w:val="auto"/>
              </w:rPr>
            </w:pPr>
            <w:r>
              <w:rPr>
                <w:rFonts w:ascii="Arial" w:cs="Arial" w:eastAsia="Arial" w:hAnsi="Arial"/>
                <w:sz w:val="17"/>
                <w:szCs w:val="17"/>
                <w:color w:val="auto"/>
              </w:rPr>
              <w:t>264</w:t>
            </w:r>
          </w:p>
        </w:tc>
        <w:tc>
          <w:tcPr>
            <w:tcW w:w="200" w:type="dxa"/>
            <w:vAlign w:val="bottom"/>
          </w:tcPr>
          <w:p>
            <w:pPr>
              <w:jc w:val="right"/>
              <w:ind w:right="16"/>
              <w:spacing w:after="0"/>
              <w:rPr>
                <w:sz w:val="20"/>
                <w:szCs w:val="20"/>
                <w:color w:val="auto"/>
              </w:rPr>
            </w:pPr>
            <w:r>
              <w:rPr>
                <w:rFonts w:ascii="Arial" w:cs="Arial" w:eastAsia="Arial" w:hAnsi="Arial"/>
                <w:sz w:val="17"/>
                <w:szCs w:val="17"/>
                <w:color w:val="auto"/>
                <w:w w:val="84"/>
              </w:rPr>
              <w:t>$</w:t>
            </w:r>
          </w:p>
        </w:tc>
        <w:tc>
          <w:tcPr>
            <w:tcW w:w="580" w:type="dxa"/>
            <w:vAlign w:val="bottom"/>
            <w:gridSpan w:val="2"/>
          </w:tcPr>
          <w:p>
            <w:pPr>
              <w:jc w:val="right"/>
              <w:ind w:right="100"/>
              <w:spacing w:after="0"/>
              <w:rPr>
                <w:sz w:val="20"/>
                <w:szCs w:val="20"/>
                <w:color w:val="auto"/>
              </w:rPr>
            </w:pPr>
            <w:r>
              <w:rPr>
                <w:rFonts w:ascii="Arial" w:cs="Arial" w:eastAsia="Arial" w:hAnsi="Arial"/>
                <w:sz w:val="17"/>
                <w:szCs w:val="17"/>
                <w:color w:val="auto"/>
              </w:rPr>
              <w:t>298</w:t>
            </w:r>
          </w:p>
        </w:tc>
        <w:tc>
          <w:tcPr>
            <w:tcW w:w="1080" w:type="dxa"/>
            <w:vAlign w:val="bottom"/>
            <w:gridSpan w:val="2"/>
          </w:tcPr>
          <w:p>
            <w:pPr>
              <w:jc w:val="right"/>
              <w:ind w:right="200"/>
              <w:spacing w:after="0"/>
              <w:rPr>
                <w:sz w:val="20"/>
                <w:szCs w:val="20"/>
                <w:color w:val="auto"/>
              </w:rPr>
            </w:pPr>
            <w:r>
              <w:rPr>
                <w:rFonts w:ascii="Arial" w:cs="Arial" w:eastAsia="Arial" w:hAnsi="Arial"/>
                <w:sz w:val="17"/>
                <w:szCs w:val="17"/>
                <w:color w:val="auto"/>
              </w:rPr>
              <w:t>-11%</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rPr>
              <w:t>784</w:t>
            </w: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-66%</w:t>
            </w:r>
          </w:p>
        </w:tc>
      </w:tr>
      <w:tr>
        <w:trPr>
          <w:trHeight w:val="201"/>
        </w:trPr>
        <w:tc>
          <w:tcPr>
            <w:tcW w:w="43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Earnings per share</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540" w:type="dxa"/>
            <w:vAlign w:val="bottom"/>
            <w:tcBorders>
              <w:right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.23</w:t>
            </w: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w w:val="84"/>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.25</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-8%</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.67</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-66%</w:t>
            </w:r>
          </w:p>
        </w:tc>
      </w:tr>
      <w:tr>
        <w:trPr>
          <w:trHeight w:val="201"/>
        </w:trPr>
        <w:tc>
          <w:tcPr>
            <w:tcW w:w="4320" w:type="dxa"/>
            <w:vAlign w:val="bottom"/>
            <w:gridSpan w:val="2"/>
          </w:tcPr>
          <w:p>
            <w:pPr>
              <w:spacing w:after="0"/>
              <w:rPr>
                <w:sz w:val="20"/>
                <w:szCs w:val="20"/>
                <w:color w:val="auto"/>
              </w:rPr>
            </w:pPr>
            <w:r>
              <w:rPr>
                <w:rFonts w:ascii="Arial" w:cs="Arial" w:eastAsia="Arial" w:hAnsi="Arial"/>
                <w:sz w:val="17"/>
                <w:szCs w:val="17"/>
                <w:color w:val="auto"/>
              </w:rPr>
              <w:t>Cash flow from operations</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ind w:right="16"/>
              <w:spacing w:after="0"/>
              <w:rPr>
                <w:sz w:val="20"/>
                <w:szCs w:val="20"/>
                <w:color w:val="auto"/>
              </w:rPr>
            </w:pPr>
            <w:r>
              <w:rPr>
                <w:rFonts w:ascii="Arial" w:cs="Arial" w:eastAsia="Arial" w:hAnsi="Arial"/>
                <w:sz w:val="17"/>
                <w:szCs w:val="17"/>
                <w:color w:val="auto"/>
                <w:w w:val="98"/>
              </w:rPr>
              <w:t>1,085</w:t>
            </w:r>
          </w:p>
        </w:tc>
        <w:tc>
          <w:tcPr>
            <w:tcW w:w="200" w:type="dxa"/>
            <w:vAlign w:val="bottom"/>
          </w:tcPr>
          <w:p>
            <w:pPr>
              <w:jc w:val="right"/>
              <w:ind w:right="16"/>
              <w:spacing w:after="0"/>
              <w:rPr>
                <w:sz w:val="20"/>
                <w:szCs w:val="20"/>
                <w:color w:val="auto"/>
              </w:rPr>
            </w:pPr>
            <w:r>
              <w:rPr>
                <w:rFonts w:ascii="Arial" w:cs="Arial" w:eastAsia="Arial" w:hAnsi="Arial"/>
                <w:sz w:val="17"/>
                <w:szCs w:val="17"/>
                <w:color w:val="auto"/>
                <w:w w:val="84"/>
              </w:rPr>
              <w:t>$</w:t>
            </w:r>
          </w:p>
        </w:tc>
        <w:tc>
          <w:tcPr>
            <w:tcW w:w="580" w:type="dxa"/>
            <w:vAlign w:val="bottom"/>
            <w:gridSpan w:val="2"/>
          </w:tcPr>
          <w:p>
            <w:pPr>
              <w:jc w:val="right"/>
              <w:ind w:right="100"/>
              <w:spacing w:after="0"/>
              <w:rPr>
                <w:sz w:val="20"/>
                <w:szCs w:val="20"/>
                <w:color w:val="auto"/>
              </w:rPr>
            </w:pPr>
            <w:r>
              <w:rPr>
                <w:rFonts w:ascii="Arial" w:cs="Arial" w:eastAsia="Arial" w:hAnsi="Arial"/>
                <w:sz w:val="17"/>
                <w:szCs w:val="17"/>
                <w:color w:val="auto"/>
              </w:rPr>
              <w:t>970</w:t>
            </w:r>
          </w:p>
        </w:tc>
        <w:tc>
          <w:tcPr>
            <w:tcW w:w="1080" w:type="dxa"/>
            <w:vAlign w:val="bottom"/>
            <w:gridSpan w:val="2"/>
          </w:tcPr>
          <w:p>
            <w:pPr>
              <w:jc w:val="right"/>
              <w:ind w:right="200"/>
              <w:spacing w:after="0"/>
              <w:rPr>
                <w:sz w:val="20"/>
                <w:szCs w:val="20"/>
                <w:color w:val="auto"/>
              </w:rPr>
            </w:pPr>
            <w:r>
              <w:rPr>
                <w:rFonts w:ascii="Arial" w:cs="Arial" w:eastAsia="Arial" w:hAnsi="Arial"/>
                <w:sz w:val="17"/>
                <w:szCs w:val="17"/>
                <w:color w:val="auto"/>
              </w:rPr>
              <w:t>12%</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rPr>
              <w:t>1,204</w:t>
            </w: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-10%</w:t>
            </w:r>
          </w:p>
        </w:tc>
      </w:tr>
      <w:tr>
        <w:trPr>
          <w:trHeight w:val="201"/>
        </w:trPr>
        <w:tc>
          <w:tcPr>
            <w:tcW w:w="43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Capital expenditures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540" w:type="dxa"/>
            <w:vAlign w:val="bottom"/>
            <w:tcBorders>
              <w:right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96</w:t>
            </w: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w w:val="84"/>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152</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-37%</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149</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-36%</w:t>
            </w:r>
          </w:p>
        </w:tc>
      </w:tr>
      <w:tr>
        <w:trPr>
          <w:trHeight w:val="213"/>
        </w:trPr>
        <w:tc>
          <w:tcPr>
            <w:tcW w:w="4320" w:type="dxa"/>
            <w:vAlign w:val="bottom"/>
            <w:gridSpan w:val="2"/>
          </w:tcPr>
          <w:p>
            <w:pPr>
              <w:spacing w:after="0"/>
              <w:rPr>
                <w:sz w:val="20"/>
                <w:szCs w:val="20"/>
                <w:color w:val="auto"/>
              </w:rPr>
            </w:pPr>
            <w:r>
              <w:rPr>
                <w:rFonts w:ascii="Arial" w:cs="Arial" w:eastAsia="Arial" w:hAnsi="Arial"/>
                <w:sz w:val="17"/>
                <w:szCs w:val="17"/>
                <w:color w:val="auto"/>
              </w:rPr>
              <w:t>Free cash flow*</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ind w:right="16"/>
              <w:spacing w:after="0"/>
              <w:rPr>
                <w:sz w:val="20"/>
                <w:szCs w:val="20"/>
                <w:color w:val="auto"/>
              </w:rPr>
            </w:pPr>
            <w:r>
              <w:rPr>
                <w:rFonts w:ascii="Arial" w:cs="Arial" w:eastAsia="Arial" w:hAnsi="Arial"/>
                <w:sz w:val="17"/>
                <w:szCs w:val="17"/>
                <w:color w:val="auto"/>
              </w:rPr>
              <w:t>989</w:t>
            </w:r>
          </w:p>
        </w:tc>
        <w:tc>
          <w:tcPr>
            <w:tcW w:w="200" w:type="dxa"/>
            <w:vAlign w:val="bottom"/>
          </w:tcPr>
          <w:p>
            <w:pPr>
              <w:jc w:val="right"/>
              <w:ind w:right="16"/>
              <w:spacing w:after="0"/>
              <w:rPr>
                <w:sz w:val="20"/>
                <w:szCs w:val="20"/>
                <w:color w:val="auto"/>
              </w:rPr>
            </w:pPr>
            <w:r>
              <w:rPr>
                <w:rFonts w:ascii="Arial" w:cs="Arial" w:eastAsia="Arial" w:hAnsi="Arial"/>
                <w:sz w:val="17"/>
                <w:szCs w:val="17"/>
                <w:color w:val="auto"/>
                <w:w w:val="84"/>
              </w:rPr>
              <w:t>$</w:t>
            </w:r>
          </w:p>
        </w:tc>
        <w:tc>
          <w:tcPr>
            <w:tcW w:w="580" w:type="dxa"/>
            <w:vAlign w:val="bottom"/>
            <w:gridSpan w:val="2"/>
          </w:tcPr>
          <w:p>
            <w:pPr>
              <w:jc w:val="right"/>
              <w:ind w:right="100"/>
              <w:spacing w:after="0"/>
              <w:rPr>
                <w:sz w:val="20"/>
                <w:szCs w:val="20"/>
                <w:color w:val="auto"/>
              </w:rPr>
            </w:pPr>
            <w:r>
              <w:rPr>
                <w:rFonts w:ascii="Arial" w:cs="Arial" w:eastAsia="Arial" w:hAnsi="Arial"/>
                <w:sz w:val="17"/>
                <w:szCs w:val="17"/>
                <w:color w:val="auto"/>
              </w:rPr>
              <w:t>818</w:t>
            </w:r>
          </w:p>
        </w:tc>
        <w:tc>
          <w:tcPr>
            <w:tcW w:w="1080" w:type="dxa"/>
            <w:vAlign w:val="bottom"/>
            <w:gridSpan w:val="2"/>
          </w:tcPr>
          <w:p>
            <w:pPr>
              <w:jc w:val="right"/>
              <w:ind w:right="200"/>
              <w:spacing w:after="0"/>
              <w:rPr>
                <w:sz w:val="20"/>
                <w:szCs w:val="20"/>
                <w:color w:val="auto"/>
              </w:rPr>
            </w:pPr>
            <w:r>
              <w:rPr>
                <w:rFonts w:ascii="Arial" w:cs="Arial" w:eastAsia="Arial" w:hAnsi="Arial"/>
                <w:sz w:val="17"/>
                <w:szCs w:val="17"/>
                <w:color w:val="auto"/>
              </w:rPr>
              <w:t>21%</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rPr>
              <w:t>1,055</w:t>
            </w: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-6%</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 Non-GAAP; Cash flow from operations minus Capital expenditures.</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Acquisition charges associated with TI’s acquisition of National Semiconductor in 2011 were $88 million in the fourth quarter, primarily amortization of</w:t>
      </w:r>
    </w:p>
    <w:p>
      <w:pPr>
        <w:spacing w:after="0" w:line="18" w:lineRule="exact"/>
        <w:rPr>
          <w:sz w:val="20"/>
          <w:szCs w:val="20"/>
          <w:color w:val="auto"/>
        </w:rPr>
      </w:pPr>
    </w:p>
    <w:p>
      <w:pPr>
        <w:ind w:right="300"/>
        <w:spacing w:after="0" w:line="284" w:lineRule="auto"/>
        <w:rPr>
          <w:sz w:val="20"/>
          <w:szCs w:val="20"/>
          <w:color w:val="auto"/>
        </w:rPr>
      </w:pPr>
      <w:r>
        <w:rPr>
          <w:rFonts w:ascii="Arial" w:cs="Arial" w:eastAsia="Arial" w:hAnsi="Arial"/>
          <w:sz w:val="16"/>
          <w:szCs w:val="16"/>
          <w:color w:val="auto"/>
        </w:rPr>
        <w:t>intangibles. Included in Restructuring charges/other are charges of $351 million associated with restructuring the Wireless business, including $90 million of non-tax deductible goodwill impairment, and $12 million associated with the previously announced planned closure of several older factories.</w:t>
      </w:r>
    </w:p>
    <w:p>
      <w:pPr>
        <w:spacing w:after="0" w:line="181" w:lineRule="exact"/>
        <w:rPr>
          <w:sz w:val="20"/>
          <w:szCs w:val="20"/>
          <w:color w:val="auto"/>
        </w:rPr>
      </w:pPr>
    </w:p>
    <w:p>
      <w:pPr>
        <w:ind w:right="40"/>
        <w:spacing w:after="0" w:line="254" w:lineRule="auto"/>
        <w:rPr>
          <w:sz w:val="20"/>
          <w:szCs w:val="20"/>
          <w:color w:val="auto"/>
        </w:rPr>
      </w:pPr>
      <w:r>
        <w:rPr>
          <w:rFonts w:ascii="Arial" w:cs="Arial" w:eastAsia="Arial" w:hAnsi="Arial"/>
          <w:sz w:val="17"/>
          <w:szCs w:val="17"/>
          <w:color w:val="auto"/>
        </w:rPr>
        <w:t>Compared with a year ago, gross profit declined due to lower revenue and the costs associated with lower levels of factory utilization. These were partially offset by lower manufacturing costs and the non-recurrence of the $103 million in cost of revenue in the year-ago quarter attributable primarily to the fair value write-up of acquired inventory associated with the National acquisition. Compared with the prior quarter, gross profit declined due to lower revenue, including the non-recurrence of $60 million in business interruption insurance proceeds associated with the 2011 earthquake in Japan.</w:t>
      </w:r>
    </w:p>
    <w:p>
      <w:pPr>
        <w:spacing w:after="0" w:line="203" w:lineRule="exact"/>
        <w:rPr>
          <w:sz w:val="20"/>
          <w:szCs w:val="20"/>
          <w:color w:val="auto"/>
        </w:rPr>
      </w:pPr>
    </w:p>
    <w:p>
      <w:pPr>
        <w:ind w:right="160"/>
        <w:spacing w:after="0" w:line="308" w:lineRule="auto"/>
        <w:rPr>
          <w:sz w:val="20"/>
          <w:szCs w:val="20"/>
          <w:color w:val="auto"/>
        </w:rPr>
      </w:pPr>
      <w:r>
        <w:rPr>
          <w:rFonts w:ascii="Arial" w:cs="Arial" w:eastAsia="Arial" w:hAnsi="Arial"/>
          <w:sz w:val="15"/>
          <w:szCs w:val="15"/>
          <w:color w:val="auto"/>
        </w:rPr>
        <w:t>Operating profit decreased from a year ago as the combination of higher restructuring charges and lower gross profit more than offset lower acquisition charges and operating expenses. Compared with the prior quarter, operating profit declined primarily due to higher Restructuring charges/other, including the Wireless restructuring charge and the non-recurrence of a $144 million benefit in the prior quarter associated with a change in a Japan pension program, as well as lower gross profit.</w:t>
      </w:r>
    </w:p>
    <w:p>
      <w:pPr>
        <w:spacing w:after="0" w:line="166" w:lineRule="exact"/>
        <w:rPr>
          <w:sz w:val="20"/>
          <w:szCs w:val="20"/>
          <w:color w:val="auto"/>
        </w:rPr>
      </w:pPr>
    </w:p>
    <w:p>
      <w:pPr>
        <w:ind w:right="340"/>
        <w:spacing w:after="0" w:line="268" w:lineRule="auto"/>
        <w:rPr>
          <w:sz w:val="20"/>
          <w:szCs w:val="20"/>
          <w:color w:val="auto"/>
        </w:rPr>
      </w:pPr>
      <w:r>
        <w:rPr>
          <w:rFonts w:ascii="Arial" w:cs="Arial" w:eastAsia="Arial" w:hAnsi="Arial"/>
          <w:sz w:val="17"/>
          <w:szCs w:val="17"/>
          <w:color w:val="auto"/>
        </w:rPr>
        <w:t>Other income (expense) included $38 million of income for interest associated with a discrete tax benefit. This tax benefit was $147 million and primarily consists of additional U.S. tax benefits for manufacturing related to the years 2000 through 2006.</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940" w:type="dxa"/>
            <w:vAlign w:val="bottom"/>
            <w:gridSpan w:val="2"/>
          </w:tcPr>
          <w:p>
            <w:pPr>
              <w:spacing w:after="0"/>
              <w:rPr>
                <w:sz w:val="20"/>
                <w:szCs w:val="20"/>
                <w:color w:val="auto"/>
              </w:rPr>
            </w:pPr>
            <w:r>
              <w:rPr>
                <w:rFonts w:ascii="Arial" w:cs="Arial" w:eastAsia="Arial" w:hAnsi="Arial"/>
                <w:sz w:val="17"/>
                <w:szCs w:val="17"/>
                <w:b w:val="1"/>
                <w:bCs w:val="1"/>
                <w:color w:val="auto"/>
              </w:rPr>
              <w:t>4Q12 segment results</w:t>
            </w:r>
          </w:p>
        </w:tc>
        <w:tc>
          <w:tcPr>
            <w:tcW w:w="1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219"/>
        </w:trPr>
        <w:tc>
          <w:tcPr>
            <w:tcW w:w="1520" w:type="dxa"/>
            <w:vAlign w:val="bottom"/>
            <w:tcBorders>
              <w:top w:val="single" w:sz="8" w:color="auto"/>
            </w:tcBorders>
          </w:tcPr>
          <w:p>
            <w:pPr>
              <w:spacing w:after="0"/>
              <w:rPr>
                <w:sz w:val="19"/>
                <w:szCs w:val="19"/>
                <w:color w:val="auto"/>
              </w:rPr>
            </w:pPr>
          </w:p>
        </w:tc>
        <w:tc>
          <w:tcPr>
            <w:tcW w:w="1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06"/>
        </w:trPr>
        <w:tc>
          <w:tcPr>
            <w:tcW w:w="15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4Q12</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4Q11</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Change</w:t>
            </w:r>
          </w:p>
        </w:tc>
        <w:tc>
          <w:tcPr>
            <w:tcW w:w="2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3Q12</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Change</w:t>
            </w:r>
          </w:p>
        </w:tc>
      </w:tr>
      <w:tr>
        <w:trPr>
          <w:trHeight w:val="201"/>
        </w:trPr>
        <w:tc>
          <w:tcPr>
            <w:tcW w:w="2940" w:type="dxa"/>
            <w:vAlign w:val="bottom"/>
            <w:tcBorders>
              <w:top w:val="single" w:sz="8" w:color="CCEEFF"/>
            </w:tcBorders>
            <w:gridSpan w:val="2"/>
          </w:tcPr>
          <w:p>
            <w:pPr>
              <w:spacing w:after="0"/>
              <w:rPr>
                <w:sz w:val="20"/>
                <w:szCs w:val="20"/>
                <w:color w:val="auto"/>
              </w:rPr>
            </w:pPr>
            <w:r>
              <w:rPr>
                <w:rFonts w:ascii="Arial" w:cs="Arial" w:eastAsia="Arial" w:hAnsi="Arial"/>
                <w:sz w:val="17"/>
                <w:szCs w:val="17"/>
                <w:color w:val="auto"/>
              </w:rPr>
              <w:t>Analog:</w:t>
            </w:r>
          </w:p>
        </w:tc>
        <w:tc>
          <w:tcPr>
            <w:tcW w:w="134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r>
      <w:tr>
        <w:trPr>
          <w:trHeight w:val="201"/>
        </w:trPr>
        <w:tc>
          <w:tcPr>
            <w:tcW w:w="2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Revenue</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8"/>
              </w:rPr>
              <w:t>1,669</w:t>
            </w:r>
          </w:p>
        </w:tc>
        <w:tc>
          <w:tcPr>
            <w:tcW w:w="2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84"/>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1,695</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1,843</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w:t>
            </w:r>
          </w:p>
        </w:tc>
      </w:tr>
      <w:tr>
        <w:trPr>
          <w:trHeight w:val="201"/>
        </w:trPr>
        <w:tc>
          <w:tcPr>
            <w:tcW w:w="2940" w:type="dxa"/>
            <w:vAlign w:val="bottom"/>
            <w:gridSpan w:val="2"/>
          </w:tcPr>
          <w:p>
            <w:pPr>
              <w:spacing w:after="0"/>
              <w:rPr>
                <w:sz w:val="20"/>
                <w:szCs w:val="20"/>
                <w:color w:val="auto"/>
              </w:rPr>
            </w:pPr>
            <w:r>
              <w:rPr>
                <w:rFonts w:ascii="Arial" w:cs="Arial" w:eastAsia="Arial" w:hAnsi="Arial"/>
                <w:sz w:val="17"/>
                <w:szCs w:val="17"/>
                <w:color w:val="auto"/>
              </w:rPr>
              <w:t>Operating profit</w:t>
            </w:r>
          </w:p>
        </w:tc>
        <w:tc>
          <w:tcPr>
            <w:tcW w:w="148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520" w:type="dxa"/>
            <w:vAlign w:val="bottom"/>
            <w:gridSpan w:val="2"/>
          </w:tcPr>
          <w:p>
            <w:pPr>
              <w:jc w:val="right"/>
              <w:ind w:right="80"/>
              <w:spacing w:after="0"/>
              <w:rPr>
                <w:sz w:val="20"/>
                <w:szCs w:val="20"/>
                <w:color w:val="auto"/>
              </w:rPr>
            </w:pPr>
            <w:r>
              <w:rPr>
                <w:rFonts w:ascii="Arial" w:cs="Arial" w:eastAsia="Arial" w:hAnsi="Arial"/>
                <w:sz w:val="17"/>
                <w:szCs w:val="17"/>
                <w:color w:val="auto"/>
              </w:rPr>
              <w:t>419</w:t>
            </w:r>
          </w:p>
        </w:tc>
        <w:tc>
          <w:tcPr>
            <w:tcW w:w="220" w:type="dxa"/>
            <w:vAlign w:val="bottom"/>
            <w:gridSpan w:val="2"/>
          </w:tcPr>
          <w:p>
            <w:pPr>
              <w:jc w:val="right"/>
              <w:ind w:right="120"/>
              <w:spacing w:after="0"/>
              <w:rPr>
                <w:sz w:val="20"/>
                <w:szCs w:val="20"/>
                <w:color w:val="auto"/>
              </w:rPr>
            </w:pPr>
            <w:r>
              <w:rPr>
                <w:rFonts w:ascii="Arial" w:cs="Arial" w:eastAsia="Arial" w:hAnsi="Arial"/>
                <w:sz w:val="17"/>
                <w:szCs w:val="17"/>
                <w:color w:val="auto"/>
                <w:w w:val="84"/>
              </w:rPr>
              <w:t>$</w:t>
            </w:r>
          </w:p>
        </w:tc>
        <w:tc>
          <w:tcPr>
            <w:tcW w:w="600" w:type="dxa"/>
            <w:vAlign w:val="bottom"/>
            <w:gridSpan w:val="2"/>
          </w:tcPr>
          <w:p>
            <w:pPr>
              <w:jc w:val="right"/>
              <w:ind w:right="100"/>
              <w:spacing w:after="0"/>
              <w:rPr>
                <w:sz w:val="20"/>
                <w:szCs w:val="20"/>
                <w:color w:val="auto"/>
              </w:rPr>
            </w:pPr>
            <w:r>
              <w:rPr>
                <w:rFonts w:ascii="Arial" w:cs="Arial" w:eastAsia="Arial" w:hAnsi="Arial"/>
                <w:sz w:val="17"/>
                <w:szCs w:val="17"/>
                <w:color w:val="auto"/>
              </w:rPr>
              <w:t>414</w:t>
            </w: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1%</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100"/>
              <w:spacing w:after="0"/>
              <w:rPr>
                <w:sz w:val="20"/>
                <w:szCs w:val="20"/>
                <w:color w:val="auto"/>
              </w:rPr>
            </w:pPr>
            <w:r>
              <w:rPr>
                <w:rFonts w:ascii="Arial" w:cs="Arial" w:eastAsia="Arial" w:hAnsi="Arial"/>
                <w:sz w:val="17"/>
                <w:szCs w:val="17"/>
                <w:color w:val="auto"/>
              </w:rPr>
              <w:t>460</w:t>
            </w: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-9%</w:t>
            </w:r>
          </w:p>
        </w:tc>
      </w:tr>
      <w:tr>
        <w:trPr>
          <w:trHeight w:val="201"/>
        </w:trPr>
        <w:tc>
          <w:tcPr>
            <w:tcW w:w="2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Embedded Processing:</w:t>
            </w:r>
          </w:p>
        </w:tc>
        <w:tc>
          <w:tcPr>
            <w:tcW w:w="1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201"/>
        </w:trPr>
        <w:tc>
          <w:tcPr>
            <w:tcW w:w="2940" w:type="dxa"/>
            <w:vAlign w:val="bottom"/>
            <w:gridSpan w:val="2"/>
          </w:tcPr>
          <w:p>
            <w:pPr>
              <w:spacing w:after="0"/>
              <w:rPr>
                <w:sz w:val="20"/>
                <w:szCs w:val="20"/>
                <w:color w:val="auto"/>
              </w:rPr>
            </w:pPr>
            <w:r>
              <w:rPr>
                <w:rFonts w:ascii="Arial" w:cs="Arial" w:eastAsia="Arial" w:hAnsi="Arial"/>
                <w:sz w:val="17"/>
                <w:szCs w:val="17"/>
                <w:color w:val="auto"/>
              </w:rPr>
              <w:t>Revenue</w:t>
            </w:r>
          </w:p>
        </w:tc>
        <w:tc>
          <w:tcPr>
            <w:tcW w:w="148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520" w:type="dxa"/>
            <w:vAlign w:val="bottom"/>
            <w:gridSpan w:val="2"/>
          </w:tcPr>
          <w:p>
            <w:pPr>
              <w:jc w:val="right"/>
              <w:ind w:right="80"/>
              <w:spacing w:after="0"/>
              <w:rPr>
                <w:sz w:val="20"/>
                <w:szCs w:val="20"/>
                <w:color w:val="auto"/>
              </w:rPr>
            </w:pPr>
            <w:r>
              <w:rPr>
                <w:rFonts w:ascii="Arial" w:cs="Arial" w:eastAsia="Arial" w:hAnsi="Arial"/>
                <w:sz w:val="17"/>
                <w:szCs w:val="17"/>
                <w:color w:val="auto"/>
              </w:rPr>
              <w:t>469</w:t>
            </w:r>
          </w:p>
        </w:tc>
        <w:tc>
          <w:tcPr>
            <w:tcW w:w="220" w:type="dxa"/>
            <w:vAlign w:val="bottom"/>
            <w:gridSpan w:val="2"/>
          </w:tcPr>
          <w:p>
            <w:pPr>
              <w:jc w:val="right"/>
              <w:ind w:right="120"/>
              <w:spacing w:after="0"/>
              <w:rPr>
                <w:sz w:val="20"/>
                <w:szCs w:val="20"/>
                <w:color w:val="auto"/>
              </w:rPr>
            </w:pPr>
            <w:r>
              <w:rPr>
                <w:rFonts w:ascii="Arial" w:cs="Arial" w:eastAsia="Arial" w:hAnsi="Arial"/>
                <w:sz w:val="17"/>
                <w:szCs w:val="17"/>
                <w:color w:val="auto"/>
                <w:w w:val="84"/>
              </w:rPr>
              <w:t>$</w:t>
            </w:r>
          </w:p>
        </w:tc>
        <w:tc>
          <w:tcPr>
            <w:tcW w:w="600" w:type="dxa"/>
            <w:vAlign w:val="bottom"/>
            <w:gridSpan w:val="2"/>
          </w:tcPr>
          <w:p>
            <w:pPr>
              <w:jc w:val="right"/>
              <w:ind w:right="100"/>
              <w:spacing w:after="0"/>
              <w:rPr>
                <w:sz w:val="20"/>
                <w:szCs w:val="20"/>
                <w:color w:val="auto"/>
              </w:rPr>
            </w:pPr>
            <w:r>
              <w:rPr>
                <w:rFonts w:ascii="Arial" w:cs="Arial" w:eastAsia="Arial" w:hAnsi="Arial"/>
                <w:sz w:val="17"/>
                <w:szCs w:val="17"/>
                <w:color w:val="auto"/>
              </w:rPr>
              <w:t>442</w:t>
            </w: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6%</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100"/>
              <w:spacing w:after="0"/>
              <w:rPr>
                <w:sz w:val="20"/>
                <w:szCs w:val="20"/>
                <w:color w:val="auto"/>
              </w:rPr>
            </w:pPr>
            <w:r>
              <w:rPr>
                <w:rFonts w:ascii="Arial" w:cs="Arial" w:eastAsia="Arial" w:hAnsi="Arial"/>
                <w:sz w:val="17"/>
                <w:szCs w:val="17"/>
                <w:color w:val="auto"/>
              </w:rPr>
              <w:t>520</w:t>
            </w: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-10%</w:t>
            </w:r>
          </w:p>
        </w:tc>
      </w:tr>
      <w:tr>
        <w:trPr>
          <w:trHeight w:val="201"/>
        </w:trPr>
        <w:tc>
          <w:tcPr>
            <w:tcW w:w="2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Operating profit</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8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84"/>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33%</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63</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-75%</w:t>
            </w:r>
          </w:p>
        </w:tc>
      </w:tr>
      <w:tr>
        <w:trPr>
          <w:trHeight w:val="201"/>
        </w:trPr>
        <w:tc>
          <w:tcPr>
            <w:tcW w:w="2940" w:type="dxa"/>
            <w:vAlign w:val="bottom"/>
            <w:gridSpan w:val="2"/>
          </w:tcPr>
          <w:p>
            <w:pPr>
              <w:spacing w:after="0"/>
              <w:rPr>
                <w:sz w:val="20"/>
                <w:szCs w:val="20"/>
                <w:color w:val="auto"/>
              </w:rPr>
            </w:pPr>
            <w:r>
              <w:rPr>
                <w:rFonts w:ascii="Arial" w:cs="Arial" w:eastAsia="Arial" w:hAnsi="Arial"/>
                <w:sz w:val="17"/>
                <w:szCs w:val="17"/>
                <w:color w:val="auto"/>
              </w:rPr>
              <w:t>Wireless:</w:t>
            </w: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01"/>
        </w:trPr>
        <w:tc>
          <w:tcPr>
            <w:tcW w:w="2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Revenue</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317</w:t>
            </w:r>
          </w:p>
        </w:tc>
        <w:tc>
          <w:tcPr>
            <w:tcW w:w="2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84"/>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722</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-56%</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325</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w:t>
            </w:r>
          </w:p>
        </w:tc>
      </w:tr>
      <w:tr>
        <w:trPr>
          <w:trHeight w:val="201"/>
        </w:trPr>
        <w:tc>
          <w:tcPr>
            <w:tcW w:w="2940" w:type="dxa"/>
            <w:vAlign w:val="bottom"/>
            <w:gridSpan w:val="2"/>
          </w:tcPr>
          <w:p>
            <w:pPr>
              <w:spacing w:after="0"/>
              <w:rPr>
                <w:sz w:val="20"/>
                <w:szCs w:val="20"/>
                <w:color w:val="auto"/>
              </w:rPr>
            </w:pPr>
            <w:r>
              <w:rPr>
                <w:rFonts w:ascii="Arial" w:cs="Arial" w:eastAsia="Arial" w:hAnsi="Arial"/>
                <w:sz w:val="17"/>
                <w:szCs w:val="17"/>
                <w:color w:val="auto"/>
              </w:rPr>
              <w:t>Operating profit (loss)*</w:t>
            </w:r>
          </w:p>
        </w:tc>
        <w:tc>
          <w:tcPr>
            <w:tcW w:w="148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7"/>
                <w:szCs w:val="17"/>
                <w:color w:val="auto"/>
              </w:rPr>
              <w:t>(396)</w:t>
            </w:r>
          </w:p>
        </w:tc>
        <w:tc>
          <w:tcPr>
            <w:tcW w:w="220" w:type="dxa"/>
            <w:vAlign w:val="bottom"/>
            <w:gridSpan w:val="2"/>
          </w:tcPr>
          <w:p>
            <w:pPr>
              <w:jc w:val="right"/>
              <w:ind w:right="120"/>
              <w:spacing w:after="0"/>
              <w:rPr>
                <w:sz w:val="20"/>
                <w:szCs w:val="20"/>
                <w:color w:val="auto"/>
              </w:rPr>
            </w:pPr>
            <w:r>
              <w:rPr>
                <w:rFonts w:ascii="Arial" w:cs="Arial" w:eastAsia="Arial" w:hAnsi="Arial"/>
                <w:sz w:val="17"/>
                <w:szCs w:val="17"/>
                <w:color w:val="auto"/>
                <w:w w:val="84"/>
              </w:rPr>
              <w:t>$</w:t>
            </w:r>
          </w:p>
        </w:tc>
        <w:tc>
          <w:tcPr>
            <w:tcW w:w="600" w:type="dxa"/>
            <w:vAlign w:val="bottom"/>
            <w:gridSpan w:val="2"/>
          </w:tcPr>
          <w:p>
            <w:pPr>
              <w:jc w:val="right"/>
              <w:ind w:right="100"/>
              <w:spacing w:after="0"/>
              <w:rPr>
                <w:sz w:val="20"/>
                <w:szCs w:val="20"/>
                <w:color w:val="auto"/>
              </w:rPr>
            </w:pPr>
            <w:r>
              <w:rPr>
                <w:rFonts w:ascii="Arial" w:cs="Arial" w:eastAsia="Arial" w:hAnsi="Arial"/>
                <w:sz w:val="17"/>
                <w:szCs w:val="17"/>
                <w:color w:val="auto"/>
              </w:rPr>
              <w:t>112</w:t>
            </w:r>
          </w:p>
        </w:tc>
        <w:tc>
          <w:tcPr>
            <w:tcW w:w="1120" w:type="dxa"/>
            <w:vAlign w:val="bottom"/>
            <w:gridSpan w:val="2"/>
          </w:tcPr>
          <w:p>
            <w:pPr>
              <w:jc w:val="right"/>
              <w:ind w:right="320"/>
              <w:spacing w:after="0"/>
              <w:rPr>
                <w:sz w:val="20"/>
                <w:szCs w:val="20"/>
                <w:color w:val="auto"/>
              </w:rPr>
            </w:pPr>
            <w:r>
              <w:rPr>
                <w:rFonts w:ascii="Arial" w:cs="Arial" w:eastAsia="Arial" w:hAnsi="Arial"/>
                <w:sz w:val="17"/>
                <w:szCs w:val="17"/>
                <w:color w:val="auto"/>
              </w:rPr>
              <w:t>n/a</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40"/>
              <w:spacing w:after="0"/>
              <w:rPr>
                <w:sz w:val="20"/>
                <w:szCs w:val="20"/>
                <w:color w:val="auto"/>
              </w:rPr>
            </w:pPr>
            <w:r>
              <w:rPr>
                <w:rFonts w:ascii="Arial" w:cs="Arial" w:eastAsia="Arial" w:hAnsi="Arial"/>
                <w:sz w:val="17"/>
                <w:szCs w:val="17"/>
                <w:color w:val="auto"/>
              </w:rPr>
              <w:t>(53)</w:t>
            </w: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-647%</w:t>
            </w:r>
          </w:p>
        </w:tc>
      </w:tr>
      <w:tr>
        <w:trPr>
          <w:trHeight w:val="201"/>
        </w:trPr>
        <w:tc>
          <w:tcPr>
            <w:tcW w:w="2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Other:</w:t>
            </w:r>
          </w:p>
        </w:tc>
        <w:tc>
          <w:tcPr>
            <w:tcW w:w="1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201"/>
        </w:trPr>
        <w:tc>
          <w:tcPr>
            <w:tcW w:w="2940" w:type="dxa"/>
            <w:vAlign w:val="bottom"/>
            <w:gridSpan w:val="2"/>
          </w:tcPr>
          <w:p>
            <w:pPr>
              <w:spacing w:after="0"/>
              <w:rPr>
                <w:sz w:val="20"/>
                <w:szCs w:val="20"/>
                <w:color w:val="auto"/>
              </w:rPr>
            </w:pPr>
            <w:r>
              <w:rPr>
                <w:rFonts w:ascii="Arial" w:cs="Arial" w:eastAsia="Arial" w:hAnsi="Arial"/>
                <w:sz w:val="17"/>
                <w:szCs w:val="17"/>
                <w:color w:val="auto"/>
              </w:rPr>
              <w:t>Revenue</w:t>
            </w:r>
          </w:p>
        </w:tc>
        <w:tc>
          <w:tcPr>
            <w:tcW w:w="148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520" w:type="dxa"/>
            <w:vAlign w:val="bottom"/>
            <w:gridSpan w:val="2"/>
          </w:tcPr>
          <w:p>
            <w:pPr>
              <w:jc w:val="right"/>
              <w:ind w:right="80"/>
              <w:spacing w:after="0"/>
              <w:rPr>
                <w:sz w:val="20"/>
                <w:szCs w:val="20"/>
                <w:color w:val="auto"/>
              </w:rPr>
            </w:pPr>
            <w:r>
              <w:rPr>
                <w:rFonts w:ascii="Arial" w:cs="Arial" w:eastAsia="Arial" w:hAnsi="Arial"/>
                <w:sz w:val="17"/>
                <w:szCs w:val="17"/>
                <w:color w:val="auto"/>
              </w:rPr>
              <w:t>524</w:t>
            </w:r>
          </w:p>
        </w:tc>
        <w:tc>
          <w:tcPr>
            <w:tcW w:w="220" w:type="dxa"/>
            <w:vAlign w:val="bottom"/>
            <w:gridSpan w:val="2"/>
          </w:tcPr>
          <w:p>
            <w:pPr>
              <w:jc w:val="right"/>
              <w:ind w:right="120"/>
              <w:spacing w:after="0"/>
              <w:rPr>
                <w:sz w:val="20"/>
                <w:szCs w:val="20"/>
                <w:color w:val="auto"/>
              </w:rPr>
            </w:pPr>
            <w:r>
              <w:rPr>
                <w:rFonts w:ascii="Arial" w:cs="Arial" w:eastAsia="Arial" w:hAnsi="Arial"/>
                <w:sz w:val="17"/>
                <w:szCs w:val="17"/>
                <w:color w:val="auto"/>
                <w:w w:val="84"/>
              </w:rPr>
              <w:t>$</w:t>
            </w:r>
          </w:p>
        </w:tc>
        <w:tc>
          <w:tcPr>
            <w:tcW w:w="600" w:type="dxa"/>
            <w:vAlign w:val="bottom"/>
            <w:gridSpan w:val="2"/>
          </w:tcPr>
          <w:p>
            <w:pPr>
              <w:jc w:val="right"/>
              <w:ind w:right="100"/>
              <w:spacing w:after="0"/>
              <w:rPr>
                <w:sz w:val="20"/>
                <w:szCs w:val="20"/>
                <w:color w:val="auto"/>
              </w:rPr>
            </w:pPr>
            <w:r>
              <w:rPr>
                <w:rFonts w:ascii="Arial" w:cs="Arial" w:eastAsia="Arial" w:hAnsi="Arial"/>
                <w:sz w:val="17"/>
                <w:szCs w:val="17"/>
                <w:color w:val="auto"/>
              </w:rPr>
              <w:t>561</w:t>
            </w: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-7%</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100"/>
              <w:spacing w:after="0"/>
              <w:rPr>
                <w:sz w:val="20"/>
                <w:szCs w:val="20"/>
                <w:color w:val="auto"/>
              </w:rPr>
            </w:pPr>
            <w:r>
              <w:rPr>
                <w:rFonts w:ascii="Arial" w:cs="Arial" w:eastAsia="Arial" w:hAnsi="Arial"/>
                <w:sz w:val="17"/>
                <w:szCs w:val="17"/>
                <w:color w:val="auto"/>
              </w:rPr>
              <w:t>702</w:t>
            </w: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-25%</w:t>
            </w:r>
          </w:p>
        </w:tc>
      </w:tr>
      <w:tr>
        <w:trPr>
          <w:trHeight w:val="201"/>
        </w:trPr>
        <w:tc>
          <w:tcPr>
            <w:tcW w:w="2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Operating profit (loss)*</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100</w:t>
            </w:r>
          </w:p>
        </w:tc>
        <w:tc>
          <w:tcPr>
            <w:tcW w:w="2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84"/>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(173)</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n/a</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370</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-73%</w:t>
            </w:r>
          </w:p>
        </w:tc>
      </w:tr>
    </w:tbl>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 Includes Restructuring charges/other and/or Acquisition charges.</w:t>
      </w:r>
    </w:p>
    <w:p>
      <w:pPr>
        <w:sectPr>
          <w:pgSz w:w="11900" w:h="16838" w:orient="portrait"/>
          <w:cols w:equalWidth="0" w:num="1">
            <w:col w:w="11420"/>
          </w:cols>
          <w:pgMar w:left="240" w:top="120" w:right="239" w:bottom="137" w:gutter="0" w:footer="0" w:header="0"/>
        </w:sectPr>
      </w:pPr>
    </w:p>
    <w:bookmarkStart w:id="4" w:name="page5"/>
    <w:bookmarkEnd w:id="4"/>
    <w:p>
      <w:pPr>
        <w:spacing w:after="0"/>
        <w:rPr>
          <w:sz w:val="20"/>
          <w:szCs w:val="20"/>
          <w:color w:val="auto"/>
        </w:rPr>
      </w:pPr>
      <w:r>
        <w:rPr>
          <w:rFonts w:ascii="Arial" w:cs="Arial" w:eastAsia="Arial" w:hAnsi="Arial"/>
          <w:sz w:val="17"/>
          <w:szCs w:val="17"/>
          <w:b w:val="1"/>
          <w:bCs w:val="1"/>
          <w:color w:val="auto"/>
        </w:rPr>
        <w:t xml:space="preserve">Analog: </w:t>
      </w:r>
      <w:r>
        <w:rPr>
          <w:rFonts w:ascii="Arial" w:cs="Arial" w:eastAsia="Arial" w:hAnsi="Arial"/>
          <w:sz w:val="17"/>
          <w:szCs w:val="17"/>
          <w:i w:val="1"/>
          <w:iCs w:val="1"/>
          <w:color w:val="auto"/>
        </w:rPr>
        <w:t>(includes High Volume Analog &amp; Logic, Power Management, High Performance Analog and Silicon Valley Analog)</w:t>
      </w:r>
    </w:p>
    <w:p>
      <w:pPr>
        <w:spacing w:after="0" w:line="22" w:lineRule="exact"/>
        <w:rPr>
          <w:sz w:val="20"/>
          <w:szCs w:val="20"/>
          <w:color w:val="auto"/>
        </w:rPr>
      </w:pPr>
    </w:p>
    <w:p>
      <w:pPr>
        <w:ind w:left="300" w:hanging="202"/>
        <w:spacing w:after="0" w:line="246" w:lineRule="auto"/>
        <w:tabs>
          <w:tab w:leader="none" w:pos="300" w:val="left"/>
        </w:tabs>
        <w:numPr>
          <w:ilvl w:val="0"/>
          <w:numId w:val="3"/>
        </w:numPr>
        <w:rPr>
          <w:rFonts w:ascii="Arial" w:cs="Arial" w:eastAsia="Arial" w:hAnsi="Arial"/>
          <w:sz w:val="17"/>
          <w:szCs w:val="17"/>
          <w:color w:val="auto"/>
        </w:rPr>
      </w:pPr>
      <w:r>
        <w:rPr>
          <w:rFonts w:ascii="Arial" w:cs="Arial" w:eastAsia="Arial" w:hAnsi="Arial"/>
          <w:sz w:val="17"/>
          <w:szCs w:val="17"/>
          <w:color w:val="auto"/>
        </w:rPr>
        <w:t>Compared with the year-ago quarter, revenue decreased due to lower Silicon Valley Analog and High Performance Analog revenue. Power Management revenue increased while High Volume Analog &amp; Logic was about even.</w:t>
      </w:r>
    </w:p>
    <w:p>
      <w:pPr>
        <w:spacing w:after="0" w:line="1" w:lineRule="exact"/>
        <w:rPr>
          <w:rFonts w:ascii="Arial" w:cs="Arial" w:eastAsia="Arial" w:hAnsi="Arial"/>
          <w:sz w:val="17"/>
          <w:szCs w:val="17"/>
          <w:color w:val="auto"/>
        </w:rPr>
      </w:pPr>
    </w:p>
    <w:p>
      <w:pPr>
        <w:ind w:left="300" w:hanging="202"/>
        <w:spacing w:after="0"/>
        <w:tabs>
          <w:tab w:leader="none" w:pos="300" w:val="left"/>
        </w:tabs>
        <w:numPr>
          <w:ilvl w:val="0"/>
          <w:numId w:val="3"/>
        </w:numPr>
        <w:rPr>
          <w:rFonts w:ascii="Arial" w:cs="Arial" w:eastAsia="Arial" w:hAnsi="Arial"/>
          <w:sz w:val="17"/>
          <w:szCs w:val="17"/>
          <w:color w:val="auto"/>
        </w:rPr>
      </w:pPr>
      <w:r>
        <w:rPr>
          <w:rFonts w:ascii="Arial" w:cs="Arial" w:eastAsia="Arial" w:hAnsi="Arial"/>
          <w:sz w:val="17"/>
          <w:szCs w:val="17"/>
          <w:color w:val="auto"/>
        </w:rPr>
        <w:t>Compared with the prior quarter, revenue decreased across all product lines.</w:t>
      </w:r>
    </w:p>
    <w:p>
      <w:pPr>
        <w:spacing w:after="0" w:line="5" w:lineRule="exact"/>
        <w:rPr>
          <w:rFonts w:ascii="Arial" w:cs="Arial" w:eastAsia="Arial" w:hAnsi="Arial"/>
          <w:sz w:val="17"/>
          <w:szCs w:val="17"/>
          <w:color w:val="auto"/>
        </w:rPr>
      </w:pPr>
    </w:p>
    <w:p>
      <w:pPr>
        <w:ind w:left="300" w:hanging="202"/>
        <w:spacing w:after="0" w:line="253" w:lineRule="auto"/>
        <w:tabs>
          <w:tab w:leader="none" w:pos="3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Operating profit increased from the year-ago quarter as lower operating expenses more than offset lower gross profit. Operating profit declined from the prior quarter due to lower gross profit, which more than offset lower operating expenses.</w:t>
      </w:r>
    </w:p>
    <w:p>
      <w:pPr>
        <w:spacing w:after="0" w:line="200" w:lineRule="exact"/>
        <w:rPr>
          <w:sz w:val="20"/>
          <w:szCs w:val="20"/>
          <w:color w:val="auto"/>
        </w:rPr>
      </w:pPr>
    </w:p>
    <w:p>
      <w:pPr>
        <w:ind w:right="260"/>
        <w:spacing w:after="0" w:line="256" w:lineRule="auto"/>
        <w:rPr>
          <w:sz w:val="20"/>
          <w:szCs w:val="20"/>
          <w:color w:val="auto"/>
        </w:rPr>
      </w:pPr>
      <w:r>
        <w:rPr>
          <w:rFonts w:ascii="Arial" w:cs="Arial" w:eastAsia="Arial" w:hAnsi="Arial"/>
          <w:sz w:val="17"/>
          <w:szCs w:val="17"/>
          <w:b w:val="1"/>
          <w:bCs w:val="1"/>
          <w:color w:val="auto"/>
        </w:rPr>
        <w:t xml:space="preserve">Embedded Processing: </w:t>
      </w:r>
      <w:r>
        <w:rPr>
          <w:rFonts w:ascii="Arial" w:cs="Arial" w:eastAsia="Arial" w:hAnsi="Arial"/>
          <w:sz w:val="17"/>
          <w:szCs w:val="17"/>
          <w:i w:val="1"/>
          <w:iCs w:val="1"/>
          <w:color w:val="auto"/>
        </w:rPr>
        <w:t>(includes digital signal processor and microcontroller catalog products that are sold across a wide variety of markets as well as application-specific products that are used in communications infrastructure and automotive electronics)</w:t>
      </w:r>
    </w:p>
    <w:p>
      <w:pPr>
        <w:spacing w:after="0" w:line="1" w:lineRule="exact"/>
        <w:rPr>
          <w:sz w:val="20"/>
          <w:szCs w:val="20"/>
          <w:color w:val="auto"/>
        </w:rPr>
      </w:pPr>
    </w:p>
    <w:p>
      <w:pPr>
        <w:ind w:left="300" w:hanging="202"/>
        <w:spacing w:after="0" w:line="246" w:lineRule="auto"/>
        <w:tabs>
          <w:tab w:leader="none" w:pos="300" w:val="left"/>
        </w:tabs>
        <w:numPr>
          <w:ilvl w:val="0"/>
          <w:numId w:val="4"/>
        </w:numPr>
        <w:rPr>
          <w:rFonts w:ascii="Arial" w:cs="Arial" w:eastAsia="Arial" w:hAnsi="Arial"/>
          <w:sz w:val="17"/>
          <w:szCs w:val="17"/>
          <w:color w:val="auto"/>
        </w:rPr>
      </w:pPr>
      <w:r>
        <w:rPr>
          <w:rFonts w:ascii="Arial" w:cs="Arial" w:eastAsia="Arial" w:hAnsi="Arial"/>
          <w:sz w:val="17"/>
          <w:szCs w:val="17"/>
          <w:color w:val="auto"/>
        </w:rPr>
        <w:t>Compared with the year-ago quarter, the increase in revenue was primarily due to higher revenue from products sold into communications infrastructure applications. Revenue from catalog products and products sold into automotive applications also increased.</w:t>
      </w:r>
    </w:p>
    <w:p>
      <w:pPr>
        <w:spacing w:after="0" w:line="1" w:lineRule="exact"/>
        <w:rPr>
          <w:rFonts w:ascii="Arial" w:cs="Arial" w:eastAsia="Arial" w:hAnsi="Arial"/>
          <w:sz w:val="17"/>
          <w:szCs w:val="17"/>
          <w:color w:val="auto"/>
        </w:rPr>
      </w:pPr>
    </w:p>
    <w:p>
      <w:pPr>
        <w:ind w:left="300" w:hanging="202"/>
        <w:spacing w:after="0"/>
        <w:tabs>
          <w:tab w:leader="none" w:pos="300" w:val="left"/>
        </w:tabs>
        <w:numPr>
          <w:ilvl w:val="0"/>
          <w:numId w:val="4"/>
        </w:numPr>
        <w:rPr>
          <w:rFonts w:ascii="Arial" w:cs="Arial" w:eastAsia="Arial" w:hAnsi="Arial"/>
          <w:sz w:val="17"/>
          <w:szCs w:val="17"/>
          <w:color w:val="auto"/>
        </w:rPr>
      </w:pPr>
      <w:r>
        <w:rPr>
          <w:rFonts w:ascii="Arial" w:cs="Arial" w:eastAsia="Arial" w:hAnsi="Arial"/>
          <w:sz w:val="17"/>
          <w:szCs w:val="17"/>
          <w:color w:val="auto"/>
        </w:rPr>
        <w:t>Compared with the prior quarter, revenue declined across all product lines.</w:t>
      </w:r>
    </w:p>
    <w:p>
      <w:pPr>
        <w:spacing w:after="0" w:line="5" w:lineRule="exact"/>
        <w:rPr>
          <w:rFonts w:ascii="Arial" w:cs="Arial" w:eastAsia="Arial" w:hAnsi="Arial"/>
          <w:sz w:val="17"/>
          <w:szCs w:val="17"/>
          <w:color w:val="auto"/>
        </w:rPr>
      </w:pPr>
    </w:p>
    <w:p>
      <w:pPr>
        <w:ind w:left="300" w:hanging="202"/>
        <w:spacing w:after="0" w:line="253" w:lineRule="auto"/>
        <w:tabs>
          <w:tab w:leader="none" w:pos="300" w:val="left"/>
        </w:tabs>
        <w:numPr>
          <w:ilvl w:val="0"/>
          <w:numId w:val="4"/>
        </w:numPr>
        <w:rPr>
          <w:rFonts w:ascii="Arial" w:cs="Arial" w:eastAsia="Arial" w:hAnsi="Arial"/>
          <w:sz w:val="17"/>
          <w:szCs w:val="17"/>
          <w:color w:val="auto"/>
        </w:rPr>
      </w:pPr>
      <w:r>
        <w:rPr>
          <w:rFonts w:ascii="Arial" w:cs="Arial" w:eastAsia="Arial" w:hAnsi="Arial"/>
          <w:sz w:val="17"/>
          <w:szCs w:val="17"/>
          <w:color w:val="auto"/>
        </w:rPr>
        <w:t>Operating profit increased from a year ago primarily due to lower operating expenses, as well as higher gross profit. Operating profit decreased from the prior quarter due to lower gross profit.</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Wireless: </w:t>
      </w:r>
      <w:r>
        <w:rPr>
          <w:rFonts w:ascii="Arial" w:cs="Arial" w:eastAsia="Arial" w:hAnsi="Arial"/>
          <w:sz w:val="17"/>
          <w:szCs w:val="17"/>
          <w:i w:val="1"/>
          <w:iCs w:val="1"/>
          <w:color w:val="auto"/>
        </w:rPr>
        <w:t>(includes OMAP</w:t>
      </w:r>
      <w:r>
        <w:rPr>
          <w:rFonts w:ascii="Arial" w:cs="Arial" w:eastAsia="Arial" w:hAnsi="Arial"/>
          <w:sz w:val="23"/>
          <w:szCs w:val="23"/>
          <w:i w:val="1"/>
          <w:iCs w:val="1"/>
          <w:color w:val="auto"/>
          <w:vertAlign w:val="superscript"/>
        </w:rPr>
        <w:t>TM</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applications processors, connectivity products and baseband products)</w:t>
      </w:r>
    </w:p>
    <w:p>
      <w:pPr>
        <w:ind w:left="300" w:hanging="202"/>
        <w:spacing w:after="0" w:line="245" w:lineRule="auto"/>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Compared with the year-ago quarter, revenue declined primarily due to lower baseband revenue. Revenue from OMAP applications processors and connectivity products also declined.</w:t>
      </w:r>
    </w:p>
    <w:p>
      <w:pPr>
        <w:spacing w:after="0" w:line="1" w:lineRule="exact"/>
        <w:rPr>
          <w:rFonts w:ascii="Arial" w:cs="Arial" w:eastAsia="Arial" w:hAnsi="Arial"/>
          <w:sz w:val="17"/>
          <w:szCs w:val="17"/>
          <w:color w:val="auto"/>
        </w:rPr>
      </w:pPr>
    </w:p>
    <w:p>
      <w:pPr>
        <w:ind w:left="300" w:hanging="202"/>
        <w:spacing w:after="0" w:line="246" w:lineRule="auto"/>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Compared with the prior quarter, revenue declined due to lower connectivity product revenue, which more than offset an increase in baseband revenue. Revenue from OMAP applications processors was even.</w:t>
      </w:r>
    </w:p>
    <w:p>
      <w:pPr>
        <w:spacing w:after="0" w:line="1" w:lineRule="exact"/>
        <w:rPr>
          <w:rFonts w:ascii="Arial" w:cs="Arial" w:eastAsia="Arial" w:hAnsi="Arial"/>
          <w:sz w:val="17"/>
          <w:szCs w:val="17"/>
          <w:color w:val="auto"/>
        </w:rPr>
      </w:pPr>
    </w:p>
    <w:p>
      <w:pPr>
        <w:ind w:left="300" w:hanging="202"/>
        <w:spacing w:after="0" w:line="253" w:lineRule="auto"/>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Operating profit in the year-ago quarter became an operating loss due to higher Restructuring charges/other and lower revenue. Compared with the prior quarter, the operating loss increased due to higher Restructuring charges/other.</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Other: </w:t>
      </w:r>
      <w:r>
        <w:rPr>
          <w:rFonts w:ascii="Arial" w:cs="Arial" w:eastAsia="Arial" w:hAnsi="Arial"/>
          <w:sz w:val="17"/>
          <w:szCs w:val="17"/>
          <w:i w:val="1"/>
          <w:iCs w:val="1"/>
          <w:color w:val="auto"/>
        </w:rPr>
        <w:t>(includes DLP</w:t>
      </w:r>
      <w:r>
        <w:rPr>
          <w:rFonts w:ascii="Arial" w:cs="Arial" w:eastAsia="Arial" w:hAnsi="Arial"/>
          <w:sz w:val="23"/>
          <w:szCs w:val="23"/>
          <w:i w:val="1"/>
          <w:iCs w:val="1"/>
          <w:color w:val="auto"/>
          <w:vertAlign w:val="superscript"/>
        </w:rPr>
        <w:t>®</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products, custom ASIC products, calculators and royalties)</w:t>
      </w:r>
    </w:p>
    <w:p>
      <w:pPr>
        <w:ind w:left="300" w:hanging="202"/>
        <w:spacing w:after="0" w:line="278" w:lineRule="auto"/>
        <w:tabs>
          <w:tab w:leader="none" w:pos="300" w:val="left"/>
        </w:tabs>
        <w:numPr>
          <w:ilvl w:val="0"/>
          <w:numId w:val="6"/>
        </w:numPr>
        <w:rPr>
          <w:rFonts w:ascii="Arial" w:cs="Arial" w:eastAsia="Arial" w:hAnsi="Arial"/>
          <w:sz w:val="15"/>
          <w:szCs w:val="15"/>
          <w:color w:val="auto"/>
        </w:rPr>
      </w:pPr>
      <w:r>
        <w:rPr>
          <w:rFonts w:ascii="Arial" w:cs="Arial" w:eastAsia="Arial" w:hAnsi="Arial"/>
          <w:sz w:val="15"/>
          <w:szCs w:val="15"/>
          <w:color w:val="auto"/>
        </w:rPr>
        <w:t>Compared with the year-ago quarter, revenue was down primarily due to the expiration of transitional supply agreements associated with previously acquired factories. Revenue from DLP products declined while revenue from custom ASIC products and royalties increased. Revenue from calculators was about even.</w:t>
      </w:r>
    </w:p>
    <w:p>
      <w:pPr>
        <w:jc w:val="both"/>
        <w:ind w:left="300" w:hanging="202"/>
        <w:spacing w:after="0" w:line="246" w:lineRule="auto"/>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Compared with the prior quarter, revenue declined primarily due to the seasonal decline in calculators. Revenue from DLP products and custom ASIC products also declined, while royalties increased. The prior quarter also included proceeds that did not recur from business interruption insurance associated with the Japan earthquake.</w:t>
      </w:r>
    </w:p>
    <w:p>
      <w:pPr>
        <w:spacing w:after="0" w:line="2" w:lineRule="exact"/>
        <w:rPr>
          <w:rFonts w:ascii="Arial" w:cs="Arial" w:eastAsia="Arial" w:hAnsi="Arial"/>
          <w:sz w:val="17"/>
          <w:szCs w:val="17"/>
          <w:color w:val="auto"/>
        </w:rPr>
      </w:pPr>
    </w:p>
    <w:p>
      <w:pPr>
        <w:jc w:val="both"/>
        <w:ind w:left="300" w:hanging="202"/>
        <w:spacing w:after="0" w:line="250" w:lineRule="auto"/>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Operating profit increased from a year ago primarily due to lower total acquisition-related charges, as well as lower Restructuring charges/other. Operating profit decreased from the prior quarter primarily due to lower gross profit resulting from lower revenue, including lower business interruption insurance proceeds. In addition, the prior quarter included the $144 million benefit from a Japan pension program change.</w:t>
      </w:r>
    </w:p>
    <w:p>
      <w:pPr>
        <w:spacing w:after="0" w:line="207" w:lineRule="exact"/>
        <w:rPr>
          <w:sz w:val="20"/>
          <w:szCs w:val="20"/>
          <w:color w:val="auto"/>
        </w:rPr>
      </w:pPr>
    </w:p>
    <w:p>
      <w:pPr>
        <w:ind w:right="460"/>
        <w:spacing w:after="0" w:line="298" w:lineRule="auto"/>
        <w:rPr>
          <w:sz w:val="20"/>
          <w:szCs w:val="20"/>
          <w:color w:val="auto"/>
        </w:rPr>
      </w:pPr>
      <w:r>
        <w:rPr>
          <w:rFonts w:ascii="Arial" w:cs="Arial" w:eastAsia="Arial" w:hAnsi="Arial"/>
          <w:sz w:val="15"/>
          <w:szCs w:val="15"/>
          <w:color w:val="auto"/>
        </w:rPr>
        <w:t>Beginning with the first-quarter 2013 financial report, TI will transition its segment reporting to align with the company’s strategic focus and new organizational structure. The Wireless segment will be eliminated, as the company has announced that it is winding down investment in Wireless products for the smartphone and consumer tablet markets. Financial results for these products will be included in the Other segment for the remainder of their lives. Financial results for Wireless products that address embedded applications, a strategic focus for the company, will be reported in the Embedded Processing segment.</w:t>
      </w:r>
    </w:p>
    <w:p>
      <w:pPr>
        <w:spacing w:after="0" w:line="39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4Q12 additional financial information</w:t>
      </w:r>
    </w:p>
    <w:p>
      <w:pPr>
        <w:spacing w:after="0" w:line="236" w:lineRule="exact"/>
        <w:rPr>
          <w:sz w:val="20"/>
          <w:szCs w:val="20"/>
          <w:color w:val="auto"/>
        </w:rPr>
      </w:pPr>
    </w:p>
    <w:p>
      <w:pPr>
        <w:ind w:left="300" w:hanging="202"/>
        <w:spacing w:after="0"/>
        <w:tabs>
          <w:tab w:leader="none" w:pos="300" w:val="left"/>
        </w:tabs>
        <w:numPr>
          <w:ilvl w:val="0"/>
          <w:numId w:val="7"/>
        </w:numPr>
        <w:rPr>
          <w:rFonts w:ascii="Arial" w:cs="Arial" w:eastAsia="Arial" w:hAnsi="Arial"/>
          <w:sz w:val="17"/>
          <w:szCs w:val="17"/>
          <w:color w:val="auto"/>
        </w:rPr>
      </w:pPr>
      <w:r>
        <w:rPr>
          <w:rFonts w:ascii="Arial" w:cs="Arial" w:eastAsia="Arial" w:hAnsi="Arial"/>
          <w:sz w:val="17"/>
          <w:szCs w:val="17"/>
          <w:color w:val="auto"/>
        </w:rPr>
        <w:t>Orders were $2.72 billion, down 5 percent from the year-ago quarter and down 16 percent from the prior quarter.</w:t>
      </w:r>
    </w:p>
    <w:p>
      <w:pPr>
        <w:spacing w:after="0" w:line="17" w:lineRule="exact"/>
        <w:rPr>
          <w:rFonts w:ascii="Arial" w:cs="Arial" w:eastAsia="Arial" w:hAnsi="Arial"/>
          <w:sz w:val="17"/>
          <w:szCs w:val="17"/>
          <w:color w:val="auto"/>
        </w:rPr>
      </w:pPr>
    </w:p>
    <w:p>
      <w:pPr>
        <w:ind w:left="300" w:hanging="202"/>
        <w:spacing w:after="0"/>
        <w:tabs>
          <w:tab w:leader="none" w:pos="30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Inventory was $1.76 billion at the end of the quarter, down $31 million from a year ago and down $91 million from the prior quarter.</w:t>
      </w:r>
    </w:p>
    <w:p>
      <w:pPr>
        <w:spacing w:after="0" w:line="5" w:lineRule="exact"/>
        <w:rPr>
          <w:rFonts w:ascii="Arial" w:cs="Arial" w:eastAsia="Arial" w:hAnsi="Arial"/>
          <w:sz w:val="17"/>
          <w:szCs w:val="17"/>
          <w:color w:val="auto"/>
        </w:rPr>
      </w:pPr>
    </w:p>
    <w:p>
      <w:pPr>
        <w:ind w:left="300" w:hanging="202"/>
        <w:spacing w:after="0"/>
        <w:tabs>
          <w:tab w:leader="none" w:pos="30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company used $600 million in the quarter to repurchase 20.6 million shares of its common stock and paid dividends of $235 million.</w:t>
      </w:r>
    </w:p>
    <w:p>
      <w:pPr>
        <w:spacing w:after="0" w:line="5" w:lineRule="exact"/>
        <w:rPr>
          <w:rFonts w:ascii="Arial" w:cs="Arial" w:eastAsia="Arial" w:hAnsi="Arial"/>
          <w:sz w:val="17"/>
          <w:szCs w:val="17"/>
          <w:color w:val="auto"/>
        </w:rPr>
      </w:pPr>
    </w:p>
    <w:p>
      <w:pPr>
        <w:ind w:left="300" w:hanging="202"/>
        <w:spacing w:after="0" w:line="253" w:lineRule="auto"/>
        <w:tabs>
          <w:tab w:leader="none" w:pos="30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financial results for 4Q12 and 2012 are based on tax law in effect at the end of the reporting period and, therefore, do not include the impact of the retroactive reinstatement of the federal R&amp;D tax credit, which was signed into law in January 2013.</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840" w:type="dxa"/>
            <w:vAlign w:val="bottom"/>
            <w:gridSpan w:val="2"/>
          </w:tcPr>
          <w:p>
            <w:pPr>
              <w:spacing w:after="0"/>
              <w:rPr>
                <w:sz w:val="20"/>
                <w:szCs w:val="20"/>
                <w:color w:val="auto"/>
              </w:rPr>
            </w:pPr>
            <w:r>
              <w:rPr>
                <w:rFonts w:ascii="Arial" w:cs="Arial" w:eastAsia="Arial" w:hAnsi="Arial"/>
                <w:sz w:val="17"/>
                <w:szCs w:val="17"/>
                <w:b w:val="1"/>
                <w:bCs w:val="1"/>
                <w:color w:val="auto"/>
              </w:rPr>
              <w:t>Year 2012 financial summary</w:t>
            </w: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244"/>
        </w:trPr>
        <w:tc>
          <w:tcPr>
            <w:tcW w:w="2100" w:type="dxa"/>
            <w:vAlign w:val="bottom"/>
            <w:tcBorders>
              <w:top w:val="single" w:sz="8" w:color="auto"/>
            </w:tcBorders>
          </w:tcPr>
          <w:p>
            <w:pPr>
              <w:spacing w:after="0"/>
              <w:rPr>
                <w:sz w:val="21"/>
                <w:szCs w:val="21"/>
                <w:color w:val="auto"/>
              </w:rPr>
            </w:pPr>
          </w:p>
        </w:tc>
        <w:tc>
          <w:tcPr>
            <w:tcW w:w="7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40" w:type="dxa"/>
            <w:vAlign w:val="bottom"/>
          </w:tcPr>
          <w:p>
            <w:pPr>
              <w:spacing w:after="0"/>
              <w:rPr>
                <w:sz w:val="21"/>
                <w:szCs w:val="21"/>
                <w:color w:val="auto"/>
              </w:rPr>
            </w:pPr>
          </w:p>
        </w:tc>
      </w:tr>
      <w:tr>
        <w:trPr>
          <w:trHeight w:val="201"/>
        </w:trPr>
        <w:tc>
          <w:tcPr>
            <w:tcW w:w="2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2012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2011</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Change</w:t>
            </w:r>
          </w:p>
        </w:tc>
      </w:tr>
      <w:tr>
        <w:trPr>
          <w:trHeight w:val="25"/>
        </w:trPr>
        <w:tc>
          <w:tcPr>
            <w:tcW w:w="21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r>
      <w:tr>
        <w:trPr>
          <w:trHeight w:val="201"/>
        </w:trPr>
        <w:tc>
          <w:tcPr>
            <w:tcW w:w="2840" w:type="dxa"/>
            <w:vAlign w:val="bottom"/>
            <w:gridSpan w:val="2"/>
          </w:tcPr>
          <w:p>
            <w:pPr>
              <w:spacing w:after="0"/>
              <w:rPr>
                <w:sz w:val="20"/>
                <w:szCs w:val="20"/>
                <w:color w:val="auto"/>
              </w:rPr>
            </w:pPr>
            <w:r>
              <w:rPr>
                <w:rFonts w:ascii="Arial" w:cs="Arial" w:eastAsia="Arial" w:hAnsi="Arial"/>
                <w:sz w:val="17"/>
                <w:szCs w:val="17"/>
                <w:color w:val="auto"/>
              </w:rPr>
              <w:t>Revenue</w:t>
            </w:r>
          </w:p>
        </w:tc>
        <w:tc>
          <w:tcPr>
            <w:tcW w:w="740" w:type="dxa"/>
            <w:vAlign w:val="bottom"/>
          </w:tcPr>
          <w:p>
            <w:pPr>
              <w:spacing w:after="0"/>
              <w:rPr>
                <w:sz w:val="17"/>
                <w:szCs w:val="17"/>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12,825</w:t>
            </w:r>
          </w:p>
        </w:tc>
        <w:tc>
          <w:tcPr>
            <w:tcW w:w="3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13,735</w:t>
            </w: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-7%</w:t>
            </w:r>
          </w:p>
        </w:tc>
      </w:tr>
      <w:tr>
        <w:trPr>
          <w:trHeight w:val="201"/>
        </w:trPr>
        <w:tc>
          <w:tcPr>
            <w:tcW w:w="28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Operating profit</w:t>
            </w:r>
          </w:p>
        </w:tc>
        <w:tc>
          <w:tcPr>
            <w:tcW w:w="980" w:type="dxa"/>
            <w:vAlign w:val="bottom"/>
            <w:gridSpan w:val="2"/>
            <w:shd w:val="clear" w:color="auto" w:fill="CCEEFF"/>
          </w:tcPr>
          <w:p>
            <w:pPr>
              <w:jc w:val="right"/>
              <w:ind w:right="87"/>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1,973</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2,992</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-34%</w:t>
            </w:r>
          </w:p>
        </w:tc>
      </w:tr>
      <w:tr>
        <w:trPr>
          <w:trHeight w:val="201"/>
        </w:trPr>
        <w:tc>
          <w:tcPr>
            <w:tcW w:w="2840" w:type="dxa"/>
            <w:vAlign w:val="bottom"/>
            <w:gridSpan w:val="2"/>
          </w:tcPr>
          <w:p>
            <w:pPr>
              <w:spacing w:after="0"/>
              <w:rPr>
                <w:sz w:val="20"/>
                <w:szCs w:val="20"/>
                <w:color w:val="auto"/>
              </w:rPr>
            </w:pPr>
            <w:r>
              <w:rPr>
                <w:rFonts w:ascii="Arial" w:cs="Arial" w:eastAsia="Arial" w:hAnsi="Arial"/>
                <w:sz w:val="17"/>
                <w:szCs w:val="17"/>
                <w:color w:val="auto"/>
              </w:rPr>
              <w:t>Net income</w:t>
            </w:r>
          </w:p>
        </w:tc>
        <w:tc>
          <w:tcPr>
            <w:tcW w:w="980" w:type="dxa"/>
            <w:vAlign w:val="bottom"/>
            <w:gridSpan w:val="2"/>
          </w:tcPr>
          <w:p>
            <w:pPr>
              <w:jc w:val="right"/>
              <w:ind w:right="87"/>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1,759</w:t>
            </w:r>
          </w:p>
        </w:tc>
        <w:tc>
          <w:tcPr>
            <w:tcW w:w="3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2,236</w:t>
            </w: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-21%</w:t>
            </w:r>
          </w:p>
        </w:tc>
      </w:tr>
      <w:tr>
        <w:trPr>
          <w:trHeight w:val="201"/>
        </w:trPr>
        <w:tc>
          <w:tcPr>
            <w:tcW w:w="28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Earnings per share</w:t>
            </w:r>
          </w:p>
        </w:tc>
        <w:tc>
          <w:tcPr>
            <w:tcW w:w="980" w:type="dxa"/>
            <w:vAlign w:val="bottom"/>
            <w:gridSpan w:val="2"/>
            <w:shd w:val="clear" w:color="auto" w:fill="CCEEFF"/>
          </w:tcPr>
          <w:p>
            <w:pPr>
              <w:jc w:val="right"/>
              <w:ind w:right="87"/>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1.51</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1.88</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-20%</w:t>
            </w:r>
          </w:p>
        </w:tc>
      </w:tr>
      <w:tr>
        <w:trPr>
          <w:trHeight w:val="201"/>
        </w:trPr>
        <w:tc>
          <w:tcPr>
            <w:tcW w:w="2840" w:type="dxa"/>
            <w:vAlign w:val="bottom"/>
            <w:gridSpan w:val="2"/>
          </w:tcPr>
          <w:p>
            <w:pPr>
              <w:spacing w:after="0"/>
              <w:rPr>
                <w:sz w:val="20"/>
                <w:szCs w:val="20"/>
                <w:color w:val="auto"/>
              </w:rPr>
            </w:pPr>
            <w:r>
              <w:rPr>
                <w:rFonts w:ascii="Arial" w:cs="Arial" w:eastAsia="Arial" w:hAnsi="Arial"/>
                <w:sz w:val="17"/>
                <w:szCs w:val="17"/>
                <w:color w:val="auto"/>
              </w:rPr>
              <w:t>Cash flow from operations</w:t>
            </w:r>
          </w:p>
        </w:tc>
        <w:tc>
          <w:tcPr>
            <w:tcW w:w="980" w:type="dxa"/>
            <w:vAlign w:val="bottom"/>
            <w:gridSpan w:val="2"/>
          </w:tcPr>
          <w:p>
            <w:pPr>
              <w:jc w:val="right"/>
              <w:ind w:right="87"/>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3,414</w:t>
            </w:r>
          </w:p>
        </w:tc>
        <w:tc>
          <w:tcPr>
            <w:tcW w:w="3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3,256</w:t>
            </w: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5%</w:t>
            </w:r>
          </w:p>
        </w:tc>
      </w:tr>
      <w:tr>
        <w:trPr>
          <w:trHeight w:val="201"/>
        </w:trPr>
        <w:tc>
          <w:tcPr>
            <w:tcW w:w="28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Capital expenditures</w:t>
            </w:r>
          </w:p>
        </w:tc>
        <w:tc>
          <w:tcPr>
            <w:tcW w:w="980" w:type="dxa"/>
            <w:vAlign w:val="bottom"/>
            <w:gridSpan w:val="2"/>
            <w:shd w:val="clear" w:color="auto" w:fill="CCEEFF"/>
          </w:tcPr>
          <w:p>
            <w:pPr>
              <w:jc w:val="right"/>
              <w:ind w:right="87"/>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495</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816</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-39%</w:t>
            </w:r>
          </w:p>
        </w:tc>
      </w:tr>
      <w:tr>
        <w:trPr>
          <w:trHeight w:val="213"/>
        </w:trPr>
        <w:tc>
          <w:tcPr>
            <w:tcW w:w="2840" w:type="dxa"/>
            <w:vAlign w:val="bottom"/>
            <w:gridSpan w:val="2"/>
          </w:tcPr>
          <w:p>
            <w:pPr>
              <w:spacing w:after="0"/>
              <w:rPr>
                <w:sz w:val="20"/>
                <w:szCs w:val="20"/>
                <w:color w:val="auto"/>
              </w:rPr>
            </w:pPr>
            <w:r>
              <w:rPr>
                <w:rFonts w:ascii="Arial" w:cs="Arial" w:eastAsia="Arial" w:hAnsi="Arial"/>
                <w:sz w:val="17"/>
                <w:szCs w:val="17"/>
                <w:color w:val="auto"/>
              </w:rPr>
              <w:t>Free cash flow*</w:t>
            </w:r>
          </w:p>
        </w:tc>
        <w:tc>
          <w:tcPr>
            <w:tcW w:w="980" w:type="dxa"/>
            <w:vAlign w:val="bottom"/>
            <w:gridSpan w:val="2"/>
          </w:tcPr>
          <w:p>
            <w:pPr>
              <w:jc w:val="right"/>
              <w:ind w:right="87"/>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2,919</w:t>
            </w:r>
          </w:p>
        </w:tc>
        <w:tc>
          <w:tcPr>
            <w:tcW w:w="3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2,440</w:t>
            </w: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20%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 Non-GAAP; Cash flow from operations minus Capital expenditures.</w:t>
      </w:r>
    </w:p>
    <w:p>
      <w:pPr>
        <w:spacing w:after="0" w:line="232" w:lineRule="exact"/>
        <w:rPr>
          <w:sz w:val="20"/>
          <w:szCs w:val="20"/>
          <w:color w:val="auto"/>
        </w:rPr>
      </w:pPr>
    </w:p>
    <w:p>
      <w:pPr>
        <w:ind w:right="260"/>
        <w:spacing w:after="0" w:line="268" w:lineRule="auto"/>
        <w:rPr>
          <w:sz w:val="20"/>
          <w:szCs w:val="20"/>
          <w:color w:val="auto"/>
        </w:rPr>
      </w:pPr>
      <w:r>
        <w:rPr>
          <w:rFonts w:ascii="Arial" w:cs="Arial" w:eastAsia="Arial" w:hAnsi="Arial"/>
          <w:sz w:val="17"/>
          <w:szCs w:val="17"/>
          <w:color w:val="auto"/>
        </w:rPr>
        <w:t>Results include total acquisition-related charges of $471 million in 2012, including $21 million in cost of revenue, and $426 million in 2011, including $111 million in cost of revenue. Results also include Restructuring charges/other of $264 million in 2012 and $112 million in 2011.</w:t>
      </w:r>
    </w:p>
    <w:p>
      <w:pPr>
        <w:spacing w:after="0" w:line="192" w:lineRule="exact"/>
        <w:rPr>
          <w:sz w:val="20"/>
          <w:szCs w:val="20"/>
          <w:color w:val="auto"/>
        </w:rPr>
      </w:pPr>
    </w:p>
    <w:p>
      <w:pPr>
        <w:ind w:right="300"/>
        <w:spacing w:after="0" w:line="268" w:lineRule="auto"/>
        <w:rPr>
          <w:sz w:val="20"/>
          <w:szCs w:val="20"/>
          <w:color w:val="auto"/>
        </w:rPr>
      </w:pPr>
      <w:r>
        <w:rPr>
          <w:rFonts w:ascii="Arial" w:cs="Arial" w:eastAsia="Arial" w:hAnsi="Arial"/>
          <w:sz w:val="17"/>
          <w:szCs w:val="17"/>
          <w:color w:val="auto"/>
        </w:rPr>
        <w:t>TI’s operating profit declined in 2012 primarily due to the combination of lower gross profit and higher operating expenses. Gross profit declined as a result of lower revenue. Operating expenses were higher as a result of the acquisition of National Semiconductor.</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980" w:type="dxa"/>
            <w:vAlign w:val="bottom"/>
            <w:gridSpan w:val="2"/>
          </w:tcPr>
          <w:p>
            <w:pPr>
              <w:spacing w:after="0"/>
              <w:rPr>
                <w:sz w:val="20"/>
                <w:szCs w:val="20"/>
                <w:color w:val="auto"/>
              </w:rPr>
            </w:pPr>
            <w:r>
              <w:rPr>
                <w:rFonts w:ascii="Arial" w:cs="Arial" w:eastAsia="Arial" w:hAnsi="Arial"/>
                <w:sz w:val="17"/>
                <w:szCs w:val="17"/>
                <w:b w:val="1"/>
                <w:bCs w:val="1"/>
                <w:color w:val="auto"/>
              </w:rPr>
              <w:t>Year 2012 segment results</w:t>
            </w:r>
          </w:p>
        </w:tc>
        <w:tc>
          <w:tcPr>
            <w:tcW w:w="1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40" w:type="dxa"/>
            <w:vAlign w:val="bottom"/>
          </w:tcPr>
          <w:p>
            <w:pPr>
              <w:spacing w:after="0"/>
              <w:rPr>
                <w:sz w:val="16"/>
                <w:szCs w:val="16"/>
                <w:color w:val="auto"/>
              </w:rPr>
            </w:pPr>
          </w:p>
        </w:tc>
      </w:tr>
      <w:tr>
        <w:trPr>
          <w:trHeight w:val="244"/>
        </w:trPr>
        <w:tc>
          <w:tcPr>
            <w:tcW w:w="1860" w:type="dxa"/>
            <w:vAlign w:val="bottom"/>
            <w:tcBorders>
              <w:top w:val="single" w:sz="8" w:color="auto"/>
            </w:tcBorders>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940" w:type="dxa"/>
            <w:vAlign w:val="bottom"/>
          </w:tcPr>
          <w:p>
            <w:pPr>
              <w:spacing w:after="0"/>
              <w:rPr>
                <w:sz w:val="21"/>
                <w:szCs w:val="21"/>
                <w:color w:val="auto"/>
              </w:rPr>
            </w:pPr>
          </w:p>
        </w:tc>
      </w:tr>
      <w:tr>
        <w:trPr>
          <w:trHeight w:val="206"/>
        </w:trPr>
        <w:tc>
          <w:tcPr>
            <w:tcW w:w="18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2012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2011</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Change</w:t>
            </w:r>
          </w:p>
        </w:tc>
        <w:tc>
          <w:tcPr>
            <w:tcW w:w="19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8"/>
              </w:rPr>
              <w:t>Note</w:t>
            </w:r>
          </w:p>
        </w:tc>
      </w:tr>
      <w:tr>
        <w:trPr>
          <w:trHeight w:val="201"/>
        </w:trPr>
        <w:tc>
          <w:tcPr>
            <w:tcW w:w="2980" w:type="dxa"/>
            <w:vAlign w:val="bottom"/>
            <w:tcBorders>
              <w:top w:val="single" w:sz="8" w:color="CCEEFF"/>
            </w:tcBorders>
            <w:gridSpan w:val="2"/>
          </w:tcPr>
          <w:p>
            <w:pPr>
              <w:spacing w:after="0"/>
              <w:rPr>
                <w:sz w:val="20"/>
                <w:szCs w:val="20"/>
                <w:color w:val="auto"/>
              </w:rPr>
            </w:pPr>
            <w:r>
              <w:rPr>
                <w:rFonts w:ascii="Arial" w:cs="Arial" w:eastAsia="Arial" w:hAnsi="Arial"/>
                <w:sz w:val="17"/>
                <w:szCs w:val="17"/>
                <w:color w:val="auto"/>
              </w:rPr>
              <w:t>Analog:</w:t>
            </w:r>
          </w:p>
        </w:tc>
        <w:tc>
          <w:tcPr>
            <w:tcW w:w="1120" w:type="dxa"/>
            <w:vAlign w:val="bottom"/>
            <w:tcBorders>
              <w:top w:val="single" w:sz="8" w:color="CCEEFF"/>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1940" w:type="dxa"/>
            <w:vAlign w:val="bottom"/>
            <w:tcBorders>
              <w:top w:val="single" w:sz="8" w:color="auto"/>
            </w:tcBorders>
          </w:tcPr>
          <w:p>
            <w:pPr>
              <w:spacing w:after="0"/>
              <w:rPr>
                <w:sz w:val="17"/>
                <w:szCs w:val="17"/>
                <w:color w:val="auto"/>
              </w:rPr>
            </w:pPr>
          </w:p>
        </w:tc>
      </w:tr>
      <w:tr>
        <w:trPr>
          <w:trHeight w:val="201"/>
        </w:trPr>
        <w:tc>
          <w:tcPr>
            <w:tcW w:w="29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Revenue</w:t>
            </w:r>
          </w:p>
        </w:tc>
        <w:tc>
          <w:tcPr>
            <w:tcW w:w="15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6,998</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6,375</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10%</w:t>
            </w:r>
          </w:p>
        </w:tc>
        <w:tc>
          <w:tcPr>
            <w:tcW w:w="19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6"/>
              </w:rPr>
              <w:t>(1)</w:t>
            </w:r>
          </w:p>
        </w:tc>
      </w:tr>
      <w:tr>
        <w:trPr>
          <w:trHeight w:val="201"/>
        </w:trPr>
        <w:tc>
          <w:tcPr>
            <w:tcW w:w="2980" w:type="dxa"/>
            <w:vAlign w:val="bottom"/>
            <w:gridSpan w:val="2"/>
          </w:tcPr>
          <w:p>
            <w:pPr>
              <w:spacing w:after="0"/>
              <w:rPr>
                <w:sz w:val="20"/>
                <w:szCs w:val="20"/>
                <w:color w:val="auto"/>
              </w:rPr>
            </w:pPr>
            <w:r>
              <w:rPr>
                <w:rFonts w:ascii="Arial" w:cs="Arial" w:eastAsia="Arial" w:hAnsi="Arial"/>
                <w:sz w:val="17"/>
                <w:szCs w:val="17"/>
                <w:color w:val="auto"/>
              </w:rPr>
              <w:t>Operating profit</w:t>
            </w:r>
          </w:p>
        </w:tc>
        <w:tc>
          <w:tcPr>
            <w:tcW w:w="150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7"/>
                <w:szCs w:val="17"/>
                <w:color w:val="auto"/>
              </w:rPr>
              <w:t>1,650</w:t>
            </w:r>
          </w:p>
        </w:tc>
        <w:tc>
          <w:tcPr>
            <w:tcW w:w="3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7"/>
                <w:szCs w:val="17"/>
                <w:color w:val="auto"/>
              </w:rPr>
              <w:t>1,693</w:t>
            </w:r>
          </w:p>
        </w:tc>
        <w:tc>
          <w:tcPr>
            <w:tcW w:w="1080" w:type="dxa"/>
            <w:vAlign w:val="bottom"/>
            <w:gridSpan w:val="2"/>
          </w:tcPr>
          <w:p>
            <w:pPr>
              <w:jc w:val="right"/>
              <w:ind w:right="220"/>
              <w:spacing w:after="0"/>
              <w:rPr>
                <w:sz w:val="20"/>
                <w:szCs w:val="20"/>
                <w:color w:val="auto"/>
              </w:rPr>
            </w:pPr>
            <w:r>
              <w:rPr>
                <w:rFonts w:ascii="Arial" w:cs="Arial" w:eastAsia="Arial" w:hAnsi="Arial"/>
                <w:sz w:val="17"/>
                <w:szCs w:val="17"/>
                <w:color w:val="auto"/>
              </w:rPr>
              <w:t>-3%</w:t>
            </w:r>
          </w:p>
        </w:tc>
        <w:tc>
          <w:tcPr>
            <w:tcW w:w="1940" w:type="dxa"/>
            <w:vAlign w:val="bottom"/>
          </w:tcPr>
          <w:p>
            <w:pPr>
              <w:spacing w:after="0"/>
              <w:rPr>
                <w:sz w:val="17"/>
                <w:szCs w:val="17"/>
                <w:color w:val="auto"/>
              </w:rPr>
            </w:pPr>
          </w:p>
        </w:tc>
      </w:tr>
      <w:tr>
        <w:trPr>
          <w:trHeight w:val="201"/>
        </w:trPr>
        <w:tc>
          <w:tcPr>
            <w:tcW w:w="29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Embedded Processing:</w:t>
            </w:r>
          </w:p>
        </w:tc>
        <w:tc>
          <w:tcPr>
            <w:tcW w:w="1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r>
      <w:tr>
        <w:trPr>
          <w:trHeight w:val="201"/>
        </w:trPr>
        <w:tc>
          <w:tcPr>
            <w:tcW w:w="2980" w:type="dxa"/>
            <w:vAlign w:val="bottom"/>
            <w:gridSpan w:val="2"/>
          </w:tcPr>
          <w:p>
            <w:pPr>
              <w:spacing w:after="0"/>
              <w:rPr>
                <w:sz w:val="20"/>
                <w:szCs w:val="20"/>
                <w:color w:val="auto"/>
              </w:rPr>
            </w:pPr>
            <w:r>
              <w:rPr>
                <w:rFonts w:ascii="Arial" w:cs="Arial" w:eastAsia="Arial" w:hAnsi="Arial"/>
                <w:sz w:val="17"/>
                <w:szCs w:val="17"/>
                <w:color w:val="auto"/>
              </w:rPr>
              <w:t>Revenue</w:t>
            </w:r>
          </w:p>
        </w:tc>
        <w:tc>
          <w:tcPr>
            <w:tcW w:w="150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7"/>
                <w:szCs w:val="17"/>
                <w:color w:val="auto"/>
              </w:rPr>
              <w:t>1,971</w:t>
            </w:r>
          </w:p>
        </w:tc>
        <w:tc>
          <w:tcPr>
            <w:tcW w:w="3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7"/>
                <w:szCs w:val="17"/>
                <w:color w:val="auto"/>
              </w:rPr>
              <w:t>2,110</w:t>
            </w:r>
          </w:p>
        </w:tc>
        <w:tc>
          <w:tcPr>
            <w:tcW w:w="1080" w:type="dxa"/>
            <w:vAlign w:val="bottom"/>
            <w:gridSpan w:val="2"/>
          </w:tcPr>
          <w:p>
            <w:pPr>
              <w:jc w:val="right"/>
              <w:ind w:right="220"/>
              <w:spacing w:after="0"/>
              <w:rPr>
                <w:sz w:val="20"/>
                <w:szCs w:val="20"/>
                <w:color w:val="auto"/>
              </w:rPr>
            </w:pPr>
            <w:r>
              <w:rPr>
                <w:rFonts w:ascii="Arial" w:cs="Arial" w:eastAsia="Arial" w:hAnsi="Arial"/>
                <w:sz w:val="17"/>
                <w:szCs w:val="17"/>
                <w:color w:val="auto"/>
              </w:rPr>
              <w:t>-7%</w:t>
            </w:r>
          </w:p>
        </w:tc>
        <w:tc>
          <w:tcPr>
            <w:tcW w:w="1940" w:type="dxa"/>
            <w:vAlign w:val="bottom"/>
          </w:tcPr>
          <w:p>
            <w:pPr>
              <w:jc w:val="center"/>
              <w:spacing w:after="0"/>
              <w:rPr>
                <w:sz w:val="20"/>
                <w:szCs w:val="20"/>
                <w:color w:val="auto"/>
              </w:rPr>
            </w:pPr>
            <w:r>
              <w:rPr>
                <w:rFonts w:ascii="Arial" w:cs="Arial" w:eastAsia="Arial" w:hAnsi="Arial"/>
                <w:sz w:val="17"/>
                <w:szCs w:val="17"/>
                <w:color w:val="auto"/>
                <w:w w:val="96"/>
              </w:rPr>
              <w:t>(2)</w:t>
            </w:r>
          </w:p>
        </w:tc>
      </w:tr>
      <w:tr>
        <w:trPr>
          <w:trHeight w:val="201"/>
        </w:trPr>
        <w:tc>
          <w:tcPr>
            <w:tcW w:w="29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Operating profit</w:t>
            </w:r>
          </w:p>
        </w:tc>
        <w:tc>
          <w:tcPr>
            <w:tcW w:w="15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166</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368</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-55%</w:t>
            </w:r>
          </w:p>
        </w:tc>
        <w:tc>
          <w:tcPr>
            <w:tcW w:w="1940" w:type="dxa"/>
            <w:vAlign w:val="bottom"/>
            <w:shd w:val="clear" w:color="auto" w:fill="CCEEFF"/>
          </w:tcPr>
          <w:p>
            <w:pPr>
              <w:spacing w:after="0"/>
              <w:rPr>
                <w:sz w:val="17"/>
                <w:szCs w:val="17"/>
                <w:color w:val="auto"/>
              </w:rPr>
            </w:pPr>
          </w:p>
        </w:tc>
      </w:tr>
      <w:tr>
        <w:trPr>
          <w:trHeight w:val="201"/>
        </w:trPr>
        <w:tc>
          <w:tcPr>
            <w:tcW w:w="2980" w:type="dxa"/>
            <w:vAlign w:val="bottom"/>
            <w:gridSpan w:val="2"/>
          </w:tcPr>
          <w:p>
            <w:pPr>
              <w:spacing w:after="0"/>
              <w:rPr>
                <w:sz w:val="20"/>
                <w:szCs w:val="20"/>
                <w:color w:val="auto"/>
              </w:rPr>
            </w:pPr>
            <w:r>
              <w:rPr>
                <w:rFonts w:ascii="Arial" w:cs="Arial" w:eastAsia="Arial" w:hAnsi="Arial"/>
                <w:sz w:val="17"/>
                <w:szCs w:val="17"/>
                <w:color w:val="auto"/>
              </w:rPr>
              <w:t>Wireless:</w:t>
            </w:r>
          </w:p>
        </w:tc>
        <w:tc>
          <w:tcPr>
            <w:tcW w:w="1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201"/>
        </w:trPr>
        <w:tc>
          <w:tcPr>
            <w:tcW w:w="29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Revenue</w:t>
            </w:r>
          </w:p>
        </w:tc>
        <w:tc>
          <w:tcPr>
            <w:tcW w:w="15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1,357</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2,518</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-46%</w:t>
            </w:r>
          </w:p>
        </w:tc>
        <w:tc>
          <w:tcPr>
            <w:tcW w:w="19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6"/>
              </w:rPr>
              <w:t>(3)</w:t>
            </w:r>
          </w:p>
        </w:tc>
      </w:tr>
      <w:tr>
        <w:trPr>
          <w:trHeight w:val="201"/>
        </w:trPr>
        <w:tc>
          <w:tcPr>
            <w:tcW w:w="2980" w:type="dxa"/>
            <w:vAlign w:val="bottom"/>
            <w:gridSpan w:val="2"/>
          </w:tcPr>
          <w:p>
            <w:pPr>
              <w:spacing w:after="0"/>
              <w:rPr>
                <w:sz w:val="20"/>
                <w:szCs w:val="20"/>
                <w:color w:val="auto"/>
              </w:rPr>
            </w:pPr>
            <w:r>
              <w:rPr>
                <w:rFonts w:ascii="Arial" w:cs="Arial" w:eastAsia="Arial" w:hAnsi="Arial"/>
                <w:sz w:val="17"/>
                <w:szCs w:val="17"/>
                <w:color w:val="auto"/>
              </w:rPr>
              <w:t>Operating profit (loss)</w:t>
            </w:r>
          </w:p>
        </w:tc>
        <w:tc>
          <w:tcPr>
            <w:tcW w:w="150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(525)</w:t>
            </w:r>
          </w:p>
        </w:tc>
        <w:tc>
          <w:tcPr>
            <w:tcW w:w="3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7"/>
                <w:szCs w:val="17"/>
                <w:color w:val="auto"/>
              </w:rPr>
              <w:t>412</w:t>
            </w:r>
          </w:p>
        </w:tc>
        <w:tc>
          <w:tcPr>
            <w:tcW w:w="1080" w:type="dxa"/>
            <w:vAlign w:val="bottom"/>
            <w:gridSpan w:val="2"/>
          </w:tcPr>
          <w:p>
            <w:pPr>
              <w:jc w:val="right"/>
              <w:ind w:right="360"/>
              <w:spacing w:after="0"/>
              <w:rPr>
                <w:sz w:val="20"/>
                <w:szCs w:val="20"/>
                <w:color w:val="auto"/>
              </w:rPr>
            </w:pPr>
            <w:r>
              <w:rPr>
                <w:rFonts w:ascii="Arial" w:cs="Arial" w:eastAsia="Arial" w:hAnsi="Arial"/>
                <w:sz w:val="17"/>
                <w:szCs w:val="17"/>
                <w:color w:val="auto"/>
              </w:rPr>
              <w:t>n/a</w:t>
            </w:r>
          </w:p>
        </w:tc>
        <w:tc>
          <w:tcPr>
            <w:tcW w:w="1940" w:type="dxa"/>
            <w:vAlign w:val="bottom"/>
          </w:tcPr>
          <w:p>
            <w:pPr>
              <w:spacing w:after="0"/>
              <w:rPr>
                <w:sz w:val="17"/>
                <w:szCs w:val="17"/>
                <w:color w:val="auto"/>
              </w:rPr>
            </w:pPr>
          </w:p>
        </w:tc>
      </w:tr>
      <w:tr>
        <w:trPr>
          <w:trHeight w:val="201"/>
        </w:trPr>
        <w:tc>
          <w:tcPr>
            <w:tcW w:w="29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Other:</w:t>
            </w:r>
          </w:p>
        </w:tc>
        <w:tc>
          <w:tcPr>
            <w:tcW w:w="1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r>
    </w:tbl>
    <w:p>
      <w:pPr>
        <w:sectPr>
          <w:pgSz w:w="11900" w:h="16838" w:orient="portrait"/>
          <w:cols w:equalWidth="0" w:num="1">
            <w:col w:w="11420"/>
          </w:cols>
          <w:pgMar w:left="240" w:top="123" w:right="239"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600" w:type="dxa"/>
            <w:vAlign w:val="bottom"/>
          </w:tcPr>
          <w:p>
            <w:pPr>
              <w:spacing w:after="0"/>
              <w:rPr>
                <w:sz w:val="20"/>
                <w:szCs w:val="20"/>
                <w:color w:val="auto"/>
              </w:rPr>
            </w:pPr>
            <w:r>
              <w:rPr>
                <w:rFonts w:ascii="Arial" w:cs="Arial" w:eastAsia="Arial" w:hAnsi="Arial"/>
                <w:sz w:val="17"/>
                <w:szCs w:val="17"/>
                <w:color w:val="auto"/>
              </w:rPr>
              <w:t>Revenue</w:t>
            </w:r>
          </w:p>
        </w:tc>
        <w:tc>
          <w:tcPr>
            <w:tcW w:w="1880" w:type="dxa"/>
            <w:vAlign w:val="bottom"/>
          </w:tcPr>
          <w:p>
            <w:pPr>
              <w:jc w:val="right"/>
              <w:ind w:right="216"/>
              <w:spacing w:after="0"/>
              <w:rPr>
                <w:sz w:val="20"/>
                <w:szCs w:val="20"/>
                <w:color w:val="auto"/>
              </w:rPr>
            </w:pPr>
            <w:r>
              <w:rPr>
                <w:rFonts w:ascii="Arial" w:cs="Arial" w:eastAsia="Arial" w:hAnsi="Arial"/>
                <w:sz w:val="17"/>
                <w:szCs w:val="17"/>
                <w:color w:val="auto"/>
              </w:rPr>
              <w:t>$</w:t>
            </w:r>
          </w:p>
        </w:tc>
        <w:tc>
          <w:tcPr>
            <w:tcW w:w="800" w:type="dxa"/>
            <w:vAlign w:val="bottom"/>
          </w:tcPr>
          <w:p>
            <w:pPr>
              <w:jc w:val="right"/>
              <w:ind w:right="36"/>
              <w:spacing w:after="0"/>
              <w:rPr>
                <w:sz w:val="20"/>
                <w:szCs w:val="20"/>
                <w:color w:val="auto"/>
              </w:rPr>
            </w:pPr>
            <w:r>
              <w:rPr>
                <w:rFonts w:ascii="Arial" w:cs="Arial" w:eastAsia="Arial" w:hAnsi="Arial"/>
                <w:sz w:val="17"/>
                <w:szCs w:val="17"/>
                <w:color w:val="auto"/>
              </w:rPr>
              <w:t>2,499</w:t>
            </w:r>
          </w:p>
        </w:tc>
        <w:tc>
          <w:tcPr>
            <w:tcW w:w="380" w:type="dxa"/>
            <w:vAlign w:val="bottom"/>
          </w:tcPr>
          <w:p>
            <w:pPr>
              <w:jc w:val="right"/>
              <w:ind w:right="96"/>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296"/>
              <w:spacing w:after="0"/>
              <w:rPr>
                <w:sz w:val="20"/>
                <w:szCs w:val="20"/>
                <w:color w:val="auto"/>
              </w:rPr>
            </w:pPr>
            <w:r>
              <w:rPr>
                <w:rFonts w:ascii="Arial" w:cs="Arial" w:eastAsia="Arial" w:hAnsi="Arial"/>
                <w:sz w:val="17"/>
                <w:szCs w:val="17"/>
                <w:color w:val="auto"/>
              </w:rPr>
              <w:t>2,732</w:t>
            </w:r>
          </w:p>
        </w:tc>
        <w:tc>
          <w:tcPr>
            <w:tcW w:w="1240" w:type="dxa"/>
            <w:vAlign w:val="bottom"/>
          </w:tcPr>
          <w:p>
            <w:pPr>
              <w:jc w:val="right"/>
              <w:ind w:right="456"/>
              <w:spacing w:after="0"/>
              <w:rPr>
                <w:sz w:val="20"/>
                <w:szCs w:val="20"/>
                <w:color w:val="auto"/>
              </w:rPr>
            </w:pPr>
            <w:r>
              <w:rPr>
                <w:rFonts w:ascii="Arial" w:cs="Arial" w:eastAsia="Arial" w:hAnsi="Arial"/>
                <w:sz w:val="17"/>
                <w:szCs w:val="17"/>
                <w:color w:val="auto"/>
              </w:rPr>
              <w:t>-9%</w:t>
            </w:r>
          </w:p>
        </w:tc>
        <w:tc>
          <w:tcPr>
            <w:tcW w:w="1620" w:type="dxa"/>
            <w:vAlign w:val="bottom"/>
          </w:tcPr>
          <w:p>
            <w:pPr>
              <w:jc w:val="right"/>
              <w:ind w:right="796"/>
              <w:spacing w:after="0"/>
              <w:rPr>
                <w:sz w:val="20"/>
                <w:szCs w:val="20"/>
                <w:color w:val="auto"/>
              </w:rPr>
            </w:pPr>
            <w:r>
              <w:rPr>
                <w:rFonts w:ascii="Arial" w:cs="Arial" w:eastAsia="Arial" w:hAnsi="Arial"/>
                <w:sz w:val="17"/>
                <w:szCs w:val="17"/>
                <w:color w:val="auto"/>
              </w:rPr>
              <w:t>(4)</w:t>
            </w:r>
          </w:p>
        </w:tc>
      </w:tr>
      <w:tr>
        <w:trPr>
          <w:trHeight w:val="201"/>
        </w:trPr>
        <w:tc>
          <w:tcPr>
            <w:tcW w:w="2600" w:type="dxa"/>
            <w:vAlign w:val="bottom"/>
            <w:shd w:val="clear" w:color="auto" w:fill="CCEEFF"/>
          </w:tcPr>
          <w:p>
            <w:pPr>
              <w:spacing w:after="0"/>
              <w:rPr>
                <w:sz w:val="20"/>
                <w:szCs w:val="20"/>
                <w:color w:val="auto"/>
              </w:rPr>
            </w:pPr>
            <w:r>
              <w:rPr>
                <w:rFonts w:ascii="Arial" w:cs="Arial" w:eastAsia="Arial" w:hAnsi="Arial"/>
                <w:sz w:val="17"/>
                <w:szCs w:val="17"/>
                <w:color w:val="auto"/>
              </w:rPr>
              <w:t>Operating profit</w:t>
            </w:r>
          </w:p>
        </w:tc>
        <w:tc>
          <w:tcPr>
            <w:tcW w:w="1880" w:type="dxa"/>
            <w:vAlign w:val="bottom"/>
            <w:shd w:val="clear" w:color="auto" w:fill="CCEEFF"/>
          </w:tcPr>
          <w:p>
            <w:pPr>
              <w:jc w:val="right"/>
              <w:ind w:right="216"/>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682</w:t>
            </w:r>
          </w:p>
        </w:tc>
        <w:tc>
          <w:tcPr>
            <w:tcW w:w="38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ind w:right="296"/>
              <w:spacing w:after="0"/>
              <w:rPr>
                <w:sz w:val="20"/>
                <w:szCs w:val="20"/>
                <w:color w:val="auto"/>
              </w:rPr>
            </w:pPr>
            <w:r>
              <w:rPr>
                <w:rFonts w:ascii="Arial" w:cs="Arial" w:eastAsia="Arial" w:hAnsi="Arial"/>
                <w:sz w:val="17"/>
                <w:szCs w:val="17"/>
                <w:color w:val="auto"/>
              </w:rPr>
              <w:t>519</w:t>
            </w:r>
          </w:p>
        </w:tc>
        <w:tc>
          <w:tcPr>
            <w:tcW w:w="1240" w:type="dxa"/>
            <w:vAlign w:val="bottom"/>
            <w:shd w:val="clear" w:color="auto" w:fill="CCEEFF"/>
          </w:tcPr>
          <w:p>
            <w:pPr>
              <w:jc w:val="right"/>
              <w:ind w:right="456"/>
              <w:spacing w:after="0"/>
              <w:rPr>
                <w:sz w:val="20"/>
                <w:szCs w:val="20"/>
                <w:color w:val="auto"/>
              </w:rPr>
            </w:pPr>
            <w:r>
              <w:rPr>
                <w:rFonts w:ascii="Arial" w:cs="Arial" w:eastAsia="Arial" w:hAnsi="Arial"/>
                <w:sz w:val="17"/>
                <w:szCs w:val="17"/>
                <w:color w:val="auto"/>
              </w:rPr>
              <w:t>31%</w:t>
            </w:r>
          </w:p>
        </w:tc>
        <w:tc>
          <w:tcPr>
            <w:tcW w:w="1620" w:type="dxa"/>
            <w:vAlign w:val="bottom"/>
            <w:shd w:val="clear" w:color="auto" w:fill="CCEEFF"/>
          </w:tcPr>
          <w:p>
            <w:pPr>
              <w:spacing w:after="0"/>
              <w:rPr>
                <w:sz w:val="17"/>
                <w:szCs w:val="17"/>
                <w:color w:val="auto"/>
              </w:rPr>
            </w:pPr>
          </w:p>
        </w:tc>
      </w:tr>
    </w:tbl>
    <w:p>
      <w:pPr>
        <w:spacing w:after="0" w:line="214" w:lineRule="exact"/>
        <w:rPr>
          <w:sz w:val="20"/>
          <w:szCs w:val="20"/>
          <w:color w:val="auto"/>
        </w:rPr>
      </w:pPr>
    </w:p>
    <w:p>
      <w:pPr>
        <w:ind w:left="300" w:hanging="277"/>
        <w:spacing w:after="0" w:line="268" w:lineRule="auto"/>
        <w:tabs>
          <w:tab w:leader="none" w:pos="300" w:val="left"/>
        </w:tabs>
        <w:numPr>
          <w:ilvl w:val="0"/>
          <w:numId w:val="8"/>
        </w:numPr>
        <w:rPr>
          <w:rFonts w:ascii="Arial" w:cs="Arial" w:eastAsia="Arial" w:hAnsi="Arial"/>
          <w:sz w:val="17"/>
          <w:szCs w:val="17"/>
          <w:color w:val="auto"/>
        </w:rPr>
      </w:pPr>
      <w:r>
        <w:rPr>
          <w:rFonts w:ascii="Arial" w:cs="Arial" w:eastAsia="Arial" w:hAnsi="Arial"/>
          <w:sz w:val="17"/>
          <w:szCs w:val="17"/>
          <w:color w:val="auto"/>
        </w:rPr>
        <w:t>Analog revenue increased primarily due to the inclusion of Silicon Valley Analog revenue, as well as growth in Power Management. High Performance Analog revenue declined and High Volume Analog &amp; Logic revenue was about even.</w:t>
      </w:r>
    </w:p>
    <w:p>
      <w:pPr>
        <w:spacing w:after="0" w:line="191" w:lineRule="exact"/>
        <w:rPr>
          <w:rFonts w:ascii="Arial" w:cs="Arial" w:eastAsia="Arial" w:hAnsi="Arial"/>
          <w:sz w:val="17"/>
          <w:szCs w:val="17"/>
          <w:color w:val="auto"/>
        </w:rPr>
      </w:pPr>
    </w:p>
    <w:p>
      <w:pPr>
        <w:ind w:left="300" w:hanging="277"/>
        <w:spacing w:after="0" w:line="268" w:lineRule="auto"/>
        <w:tabs>
          <w:tab w:leader="none" w:pos="300" w:val="left"/>
        </w:tabs>
        <w:numPr>
          <w:ilvl w:val="0"/>
          <w:numId w:val="8"/>
        </w:numPr>
        <w:rPr>
          <w:rFonts w:ascii="Arial" w:cs="Arial" w:eastAsia="Arial" w:hAnsi="Arial"/>
          <w:sz w:val="17"/>
          <w:szCs w:val="17"/>
          <w:color w:val="auto"/>
        </w:rPr>
      </w:pPr>
      <w:r>
        <w:rPr>
          <w:rFonts w:ascii="Arial" w:cs="Arial" w:eastAsia="Arial" w:hAnsi="Arial"/>
          <w:sz w:val="17"/>
          <w:szCs w:val="17"/>
          <w:color w:val="auto"/>
        </w:rPr>
        <w:t>Embedded Processing revenue declined primarily due to lower revenue from products sold into communications infrastructure applications, as well as lower revenue from catalog products. Revenue was higher from products sold into automotive applications.</w:t>
      </w:r>
    </w:p>
    <w:p>
      <w:pPr>
        <w:spacing w:after="0" w:line="191" w:lineRule="exact"/>
        <w:rPr>
          <w:rFonts w:ascii="Arial" w:cs="Arial" w:eastAsia="Arial" w:hAnsi="Arial"/>
          <w:sz w:val="17"/>
          <w:szCs w:val="17"/>
          <w:color w:val="auto"/>
        </w:rPr>
      </w:pPr>
    </w:p>
    <w:p>
      <w:pPr>
        <w:ind w:left="300" w:hanging="277"/>
        <w:spacing w:after="0" w:line="268" w:lineRule="auto"/>
        <w:tabs>
          <w:tab w:leader="none" w:pos="300" w:val="left"/>
        </w:tabs>
        <w:numPr>
          <w:ilvl w:val="0"/>
          <w:numId w:val="8"/>
        </w:numPr>
        <w:rPr>
          <w:rFonts w:ascii="Arial" w:cs="Arial" w:eastAsia="Arial" w:hAnsi="Arial"/>
          <w:sz w:val="17"/>
          <w:szCs w:val="17"/>
          <w:color w:val="auto"/>
        </w:rPr>
      </w:pPr>
      <w:r>
        <w:rPr>
          <w:rFonts w:ascii="Arial" w:cs="Arial" w:eastAsia="Arial" w:hAnsi="Arial"/>
          <w:sz w:val="17"/>
          <w:szCs w:val="17"/>
          <w:color w:val="auto"/>
        </w:rPr>
        <w:t>Wireless revenue declined primarily due to the company’s exit from baseband products. Revenue from connectivity products and, to a lesser extent, OMAP applications processors also declined.</w:t>
      </w:r>
    </w:p>
    <w:p>
      <w:pPr>
        <w:spacing w:after="0" w:line="191" w:lineRule="exact"/>
        <w:rPr>
          <w:rFonts w:ascii="Arial" w:cs="Arial" w:eastAsia="Arial" w:hAnsi="Arial"/>
          <w:sz w:val="17"/>
          <w:szCs w:val="17"/>
          <w:color w:val="auto"/>
        </w:rPr>
      </w:pPr>
    </w:p>
    <w:p>
      <w:pPr>
        <w:ind w:left="300" w:hanging="277"/>
        <w:spacing w:after="0" w:line="268" w:lineRule="auto"/>
        <w:tabs>
          <w:tab w:leader="none" w:pos="300" w:val="left"/>
        </w:tabs>
        <w:numPr>
          <w:ilvl w:val="0"/>
          <w:numId w:val="8"/>
        </w:numPr>
        <w:rPr>
          <w:rFonts w:ascii="Arial" w:cs="Arial" w:eastAsia="Arial" w:hAnsi="Arial"/>
          <w:sz w:val="17"/>
          <w:szCs w:val="17"/>
          <w:color w:val="auto"/>
        </w:rPr>
      </w:pPr>
      <w:r>
        <w:rPr>
          <w:rFonts w:ascii="Arial" w:cs="Arial" w:eastAsia="Arial" w:hAnsi="Arial"/>
          <w:sz w:val="17"/>
          <w:szCs w:val="17"/>
          <w:color w:val="auto"/>
        </w:rPr>
        <w:t>Other revenue declined primarily due to the expiration of transitional supply agreements and lower revenue from DLP products. Revenue from calculators and royalties also declined. Revenue from custom ASIC products increased.</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2012 additional financial information</w:t>
      </w:r>
    </w:p>
    <w:p>
      <w:pPr>
        <w:spacing w:after="0" w:line="202" w:lineRule="exact"/>
        <w:rPr>
          <w:sz w:val="20"/>
          <w:szCs w:val="20"/>
          <w:color w:val="auto"/>
        </w:rPr>
      </w:pPr>
    </w:p>
    <w:p>
      <w:pPr>
        <w:ind w:left="500"/>
        <w:spacing w:after="0"/>
        <w:rPr>
          <w:sz w:val="20"/>
          <w:szCs w:val="20"/>
          <w:color w:val="auto"/>
        </w:rPr>
      </w:pPr>
      <w:r>
        <w:rPr>
          <w:rFonts w:ascii="Arial" w:cs="Arial" w:eastAsia="Arial" w:hAnsi="Arial"/>
          <w:sz w:val="20"/>
          <w:szCs w:val="20"/>
          <w:color w:val="auto"/>
        </w:rPr>
        <w:t>The company used $1.80 billion to repurchase 59.8 million shares of its common stock and paid dividends of $819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179070</wp:posOffset>
            </wp:positionH>
            <wp:positionV relativeFrom="paragraph">
              <wp:posOffset>-88900</wp:posOffset>
            </wp:positionV>
            <wp:extent cx="65405" cy="654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405" cy="6540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Outlook</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color w:val="auto"/>
        </w:rPr>
        <w:t>For the first quarter of 2013, TI expects:</w:t>
      </w:r>
    </w:p>
    <w:p>
      <w:pPr>
        <w:spacing w:after="0" w:line="198" w:lineRule="exact"/>
        <w:rPr>
          <w:sz w:val="20"/>
          <w:szCs w:val="20"/>
          <w:color w:val="auto"/>
        </w:rPr>
      </w:pPr>
    </w:p>
    <w:p>
      <w:pPr>
        <w:ind w:left="500"/>
        <w:spacing w:after="0"/>
        <w:rPr>
          <w:sz w:val="20"/>
          <w:szCs w:val="20"/>
          <w:color w:val="auto"/>
        </w:rPr>
      </w:pPr>
      <w:r>
        <w:rPr>
          <w:rFonts w:ascii="Arial" w:cs="Arial" w:eastAsia="Arial" w:hAnsi="Arial"/>
          <w:sz w:val="20"/>
          <w:szCs w:val="20"/>
          <w:color w:val="auto"/>
        </w:rPr>
        <w:t>Revenue: $2.69 – 2.91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179070</wp:posOffset>
            </wp:positionH>
            <wp:positionV relativeFrom="paragraph">
              <wp:posOffset>-88900</wp:posOffset>
            </wp:positionV>
            <wp:extent cx="65405" cy="654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405" cy="65405"/>
                    </a:xfrm>
                    <a:prstGeom prst="rect">
                      <a:avLst/>
                    </a:prstGeom>
                    <a:noFill/>
                  </pic:spPr>
                </pic:pic>
              </a:graphicData>
            </a:graphic>
          </wp:anchor>
        </w:drawing>
      </w:r>
    </w:p>
    <w:p>
      <w:pPr>
        <w:ind w:left="500"/>
        <w:spacing w:after="0"/>
        <w:rPr>
          <w:sz w:val="20"/>
          <w:szCs w:val="20"/>
          <w:color w:val="auto"/>
        </w:rPr>
      </w:pPr>
      <w:r>
        <w:rPr>
          <w:rFonts w:ascii="Arial" w:cs="Arial" w:eastAsia="Arial" w:hAnsi="Arial"/>
          <w:sz w:val="20"/>
          <w:szCs w:val="20"/>
          <w:color w:val="auto"/>
        </w:rPr>
        <w:t>Earnings per share: $0.24 – 0.32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179070</wp:posOffset>
            </wp:positionH>
            <wp:positionV relativeFrom="paragraph">
              <wp:posOffset>-100330</wp:posOffset>
            </wp:positionV>
            <wp:extent cx="65405" cy="654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405" cy="65405"/>
                    </a:xfrm>
                    <a:prstGeom prst="rect">
                      <a:avLst/>
                    </a:prstGeom>
                    <a:noFill/>
                  </pic:spPr>
                </pic:pic>
              </a:graphicData>
            </a:graphic>
          </wp:anchor>
        </w:drawing>
      </w:r>
    </w:p>
    <w:p>
      <w:pPr>
        <w:spacing w:after="0" w:line="168"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At the middle of this range, revenue is expected to be down $179 million sequentially. About $135 million, or about 75 percent, of this decline is expected to come from Wireless products for the smartphone and consumer tablet markets from which the company is exiting.</w:t>
      </w:r>
    </w:p>
    <w:p>
      <w:pPr>
        <w:spacing w:after="0" w:line="192"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The first quarter’s EPS will be negatively affected by about 6 cents from acquisition and restructuring charges. EPS will include a discrete tax benefit of 6 cents resulting from the reinstatement of the R&amp;D tax credit that was retroactive to the beginning of 2012.</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TI will update its first-quarter outlook on March 7, 2013.</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For the full year of 2013, TI expects approximately the following:</w:t>
      </w:r>
    </w:p>
    <w:p>
      <w:pPr>
        <w:spacing w:after="0" w:line="232" w:lineRule="exact"/>
        <w:rPr>
          <w:sz w:val="20"/>
          <w:szCs w:val="20"/>
          <w:color w:val="auto"/>
        </w:rPr>
      </w:pPr>
    </w:p>
    <w:p>
      <w:pPr>
        <w:ind w:left="460" w:hanging="212"/>
        <w:spacing w:after="0"/>
        <w:tabs>
          <w:tab w:leader="none" w:pos="460" w:val="left"/>
        </w:tabs>
        <w:numPr>
          <w:ilvl w:val="0"/>
          <w:numId w:val="9"/>
        </w:numPr>
        <w:rPr>
          <w:rFonts w:ascii="Arial" w:cs="Arial" w:eastAsia="Arial" w:hAnsi="Arial"/>
          <w:sz w:val="17"/>
          <w:szCs w:val="17"/>
          <w:color w:val="auto"/>
        </w:rPr>
      </w:pPr>
      <w:r>
        <w:rPr>
          <w:rFonts w:ascii="Arial" w:cs="Arial" w:eastAsia="Arial" w:hAnsi="Arial"/>
          <w:sz w:val="17"/>
          <w:szCs w:val="17"/>
          <w:color w:val="auto"/>
        </w:rPr>
        <w:t>R&amp;D expense: $1.6 billion</w:t>
      </w:r>
    </w:p>
    <w:p>
      <w:pPr>
        <w:spacing w:after="0" w:line="17" w:lineRule="exact"/>
        <w:rPr>
          <w:rFonts w:ascii="Arial" w:cs="Arial" w:eastAsia="Arial" w:hAnsi="Arial"/>
          <w:sz w:val="17"/>
          <w:szCs w:val="17"/>
          <w:color w:val="auto"/>
        </w:rPr>
      </w:pPr>
    </w:p>
    <w:p>
      <w:pPr>
        <w:ind w:left="460" w:hanging="212"/>
        <w:spacing w:after="0"/>
        <w:tabs>
          <w:tab w:leader="none" w:pos="460" w:val="left"/>
        </w:tabs>
        <w:numPr>
          <w:ilvl w:val="0"/>
          <w:numId w:val="9"/>
        </w:numPr>
        <w:rPr>
          <w:rFonts w:ascii="Arial" w:cs="Arial" w:eastAsia="Arial" w:hAnsi="Arial"/>
          <w:sz w:val="17"/>
          <w:szCs w:val="17"/>
          <w:color w:val="auto"/>
        </w:rPr>
      </w:pPr>
      <w:r>
        <w:rPr>
          <w:rFonts w:ascii="Arial" w:cs="Arial" w:eastAsia="Arial" w:hAnsi="Arial"/>
          <w:sz w:val="17"/>
          <w:szCs w:val="17"/>
          <w:color w:val="auto"/>
        </w:rPr>
        <w:t>Capital expenditures: $0.5 billion</w:t>
      </w:r>
    </w:p>
    <w:p>
      <w:pPr>
        <w:spacing w:after="0" w:line="5" w:lineRule="exact"/>
        <w:rPr>
          <w:rFonts w:ascii="Arial" w:cs="Arial" w:eastAsia="Arial" w:hAnsi="Arial"/>
          <w:sz w:val="17"/>
          <w:szCs w:val="17"/>
          <w:color w:val="auto"/>
        </w:rPr>
      </w:pPr>
    </w:p>
    <w:p>
      <w:pPr>
        <w:ind w:left="460" w:hanging="212"/>
        <w:spacing w:after="0"/>
        <w:tabs>
          <w:tab w:leader="none" w:pos="460" w:val="left"/>
        </w:tabs>
        <w:numPr>
          <w:ilvl w:val="0"/>
          <w:numId w:val="9"/>
        </w:numPr>
        <w:rPr>
          <w:rFonts w:ascii="Arial" w:cs="Arial" w:eastAsia="Arial" w:hAnsi="Arial"/>
          <w:sz w:val="17"/>
          <w:szCs w:val="17"/>
          <w:color w:val="auto"/>
        </w:rPr>
      </w:pPr>
      <w:r>
        <w:rPr>
          <w:rFonts w:ascii="Arial" w:cs="Arial" w:eastAsia="Arial" w:hAnsi="Arial"/>
          <w:sz w:val="17"/>
          <w:szCs w:val="17"/>
          <w:color w:val="auto"/>
        </w:rPr>
        <w:t>Depreciation: $0.9 billion</w:t>
      </w:r>
    </w:p>
    <w:p>
      <w:pPr>
        <w:spacing w:after="0" w:line="5" w:lineRule="exact"/>
        <w:rPr>
          <w:rFonts w:ascii="Arial" w:cs="Arial" w:eastAsia="Arial" w:hAnsi="Arial"/>
          <w:sz w:val="17"/>
          <w:szCs w:val="17"/>
          <w:color w:val="auto"/>
        </w:rPr>
      </w:pPr>
    </w:p>
    <w:p>
      <w:pPr>
        <w:ind w:left="460" w:hanging="212"/>
        <w:spacing w:after="0"/>
        <w:tabs>
          <w:tab w:leader="none" w:pos="460" w:val="left"/>
        </w:tabs>
        <w:numPr>
          <w:ilvl w:val="0"/>
          <w:numId w:val="9"/>
        </w:numPr>
        <w:rPr>
          <w:rFonts w:ascii="Arial" w:cs="Arial" w:eastAsia="Arial" w:hAnsi="Arial"/>
          <w:sz w:val="17"/>
          <w:szCs w:val="17"/>
          <w:color w:val="auto"/>
        </w:rPr>
      </w:pPr>
      <w:r>
        <w:rPr>
          <w:rFonts w:ascii="Arial" w:cs="Arial" w:eastAsia="Arial" w:hAnsi="Arial"/>
          <w:sz w:val="17"/>
          <w:szCs w:val="17"/>
          <w:color w:val="auto"/>
        </w:rPr>
        <w:t>Annual effective tax rate: 22%</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color w:val="auto"/>
        </w:rPr>
        <w:t>The tax rate estimate is based on current law and includes the reinstatement of the federal R&amp;D tax credit for 2013.</w:t>
      </w:r>
    </w:p>
    <w:p>
      <w:pPr>
        <w:sectPr>
          <w:pgSz w:w="11900" w:h="16838" w:orient="portrait"/>
          <w:cols w:equalWidth="0" w:num="1">
            <w:col w:w="11420"/>
          </w:cols>
          <w:pgMar w:left="240" w:top="127"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7"/>
          <w:szCs w:val="17"/>
          <w:b w:val="1"/>
          <w:bCs w:val="1"/>
          <w:color w:val="auto"/>
        </w:rPr>
        <w:t>TEXAS INSTRUMENTS INCORPORATED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Income</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(Millions of dollars, except share and per-share amounts)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780" w:type="dxa"/>
            <w:vAlign w:val="bottom"/>
            <w:gridSpan w:val="6"/>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For Three Months Ended</w:t>
            </w:r>
          </w:p>
        </w:tc>
        <w:tc>
          <w:tcPr>
            <w:tcW w:w="94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80" w:type="dxa"/>
            <w:vAlign w:val="bottom"/>
            <w:gridSpan w:val="5"/>
            <w:shd w:val="clear" w:color="auto" w:fill="CCEEFF"/>
          </w:tcPr>
          <w:p>
            <w:pPr>
              <w:jc w:val="right"/>
              <w:ind w:right="800"/>
              <w:spacing w:after="0"/>
              <w:rPr>
                <w:sz w:val="20"/>
                <w:szCs w:val="20"/>
                <w:color w:val="auto"/>
              </w:rPr>
            </w:pPr>
            <w:r>
              <w:rPr>
                <w:rFonts w:ascii="Arial" w:cs="Arial" w:eastAsia="Arial" w:hAnsi="Arial"/>
                <w:sz w:val="17"/>
                <w:szCs w:val="17"/>
                <w:b w:val="1"/>
                <w:bCs w:val="1"/>
                <w:color w:val="auto"/>
              </w:rPr>
              <w:t>For Years Ended</w:t>
            </w:r>
          </w:p>
        </w:tc>
      </w:tr>
      <w:tr>
        <w:trPr>
          <w:trHeight w:val="201"/>
        </w:trPr>
        <w:tc>
          <w:tcPr>
            <w:tcW w:w="45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r>
      <w:tr>
        <w:trPr>
          <w:trHeight w:val="185"/>
        </w:trPr>
        <w:tc>
          <w:tcPr>
            <w:tcW w:w="45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20" w:type="dxa"/>
            <w:vAlign w:val="bottom"/>
            <w:tcBorders>
              <w:right w:val="single" w:sz="8" w:color="CCEEFF"/>
            </w:tcBorders>
            <w:gridSpan w:val="2"/>
            <w:shd w:val="clear" w:color="auto" w:fill="CCEEFF"/>
          </w:tcPr>
          <w:p>
            <w:pPr>
              <w:jc w:val="right"/>
              <w:ind w:right="560"/>
              <w:spacing w:after="0" w:line="185" w:lineRule="exact"/>
              <w:rPr>
                <w:sz w:val="20"/>
                <w:szCs w:val="20"/>
                <w:color w:val="auto"/>
              </w:rPr>
            </w:pPr>
            <w:r>
              <w:rPr>
                <w:rFonts w:ascii="Arial" w:cs="Arial" w:eastAsia="Arial" w:hAnsi="Arial"/>
                <w:sz w:val="17"/>
                <w:szCs w:val="17"/>
                <w:b w:val="1"/>
                <w:bCs w:val="1"/>
                <w:color w:val="auto"/>
                <w:w w:val="99"/>
              </w:rPr>
              <w:t>Dec. 31,</w:t>
            </w:r>
          </w:p>
        </w:tc>
        <w:tc>
          <w:tcPr>
            <w:tcW w:w="180" w:type="dxa"/>
            <w:vAlign w:val="bottom"/>
            <w:shd w:val="clear" w:color="auto" w:fill="CCEEFF"/>
          </w:tcPr>
          <w:p>
            <w:pPr>
              <w:spacing w:after="0"/>
              <w:rPr>
                <w:sz w:val="16"/>
                <w:szCs w:val="16"/>
                <w:color w:val="auto"/>
              </w:rPr>
            </w:pPr>
          </w:p>
        </w:tc>
        <w:tc>
          <w:tcPr>
            <w:tcW w:w="1200" w:type="dxa"/>
            <w:vAlign w:val="bottom"/>
            <w:tcBorders>
              <w:right w:val="single" w:sz="8" w:color="CCEEFF"/>
            </w:tcBorders>
            <w:gridSpan w:val="2"/>
            <w:shd w:val="clear" w:color="auto" w:fill="CCEEFF"/>
          </w:tcPr>
          <w:p>
            <w:pPr>
              <w:jc w:val="right"/>
              <w:ind w:right="540"/>
              <w:spacing w:after="0" w:line="185" w:lineRule="exact"/>
              <w:rPr>
                <w:sz w:val="20"/>
                <w:szCs w:val="20"/>
                <w:color w:val="auto"/>
              </w:rPr>
            </w:pPr>
            <w:r>
              <w:rPr>
                <w:rFonts w:ascii="Arial" w:cs="Arial" w:eastAsia="Arial" w:hAnsi="Arial"/>
                <w:sz w:val="17"/>
                <w:szCs w:val="17"/>
                <w:b w:val="1"/>
                <w:bCs w:val="1"/>
                <w:color w:val="auto"/>
                <w:w w:val="99"/>
              </w:rPr>
              <w:t>Dec. 31,</w:t>
            </w:r>
          </w:p>
        </w:tc>
        <w:tc>
          <w:tcPr>
            <w:tcW w:w="180" w:type="dxa"/>
            <w:vAlign w:val="bottom"/>
            <w:shd w:val="clear" w:color="auto" w:fill="CCEEFF"/>
          </w:tcPr>
          <w:p>
            <w:pPr>
              <w:spacing w:after="0"/>
              <w:rPr>
                <w:sz w:val="16"/>
                <w:szCs w:val="16"/>
                <w:color w:val="auto"/>
              </w:rPr>
            </w:pPr>
          </w:p>
        </w:tc>
        <w:tc>
          <w:tcPr>
            <w:tcW w:w="1200" w:type="dxa"/>
            <w:vAlign w:val="bottom"/>
            <w:tcBorders>
              <w:right w:val="single" w:sz="8" w:color="CCEEFF"/>
            </w:tcBorders>
            <w:gridSpan w:val="2"/>
            <w:shd w:val="clear" w:color="auto" w:fill="CCEEFF"/>
          </w:tcPr>
          <w:p>
            <w:pPr>
              <w:jc w:val="right"/>
              <w:ind w:right="500"/>
              <w:spacing w:after="0" w:line="185" w:lineRule="exact"/>
              <w:rPr>
                <w:sz w:val="20"/>
                <w:szCs w:val="20"/>
                <w:color w:val="auto"/>
              </w:rPr>
            </w:pPr>
            <w:r>
              <w:rPr>
                <w:rFonts w:ascii="Arial" w:cs="Arial" w:eastAsia="Arial" w:hAnsi="Arial"/>
                <w:sz w:val="17"/>
                <w:szCs w:val="17"/>
                <w:b w:val="1"/>
                <w:bCs w:val="1"/>
                <w:color w:val="auto"/>
                <w:w w:val="97"/>
              </w:rPr>
              <w:t>Sept. 30,</w:t>
            </w:r>
          </w:p>
        </w:tc>
        <w:tc>
          <w:tcPr>
            <w:tcW w:w="20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560"/>
              <w:spacing w:after="0" w:line="185" w:lineRule="exact"/>
              <w:rPr>
                <w:sz w:val="20"/>
                <w:szCs w:val="20"/>
                <w:color w:val="auto"/>
              </w:rPr>
            </w:pPr>
            <w:r>
              <w:rPr>
                <w:rFonts w:ascii="Arial" w:cs="Arial" w:eastAsia="Arial" w:hAnsi="Arial"/>
                <w:sz w:val="17"/>
                <w:szCs w:val="17"/>
                <w:b w:val="1"/>
                <w:bCs w:val="1"/>
                <w:color w:val="auto"/>
                <w:w w:val="99"/>
              </w:rPr>
              <w:t>Dec. 31,</w:t>
            </w:r>
          </w:p>
        </w:tc>
        <w:tc>
          <w:tcPr>
            <w:tcW w:w="1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420"/>
              <w:spacing w:after="0" w:line="185" w:lineRule="exact"/>
              <w:rPr>
                <w:sz w:val="20"/>
                <w:szCs w:val="20"/>
                <w:color w:val="auto"/>
              </w:rPr>
            </w:pPr>
            <w:r>
              <w:rPr>
                <w:rFonts w:ascii="Arial" w:cs="Arial" w:eastAsia="Arial" w:hAnsi="Arial"/>
                <w:sz w:val="17"/>
                <w:szCs w:val="17"/>
                <w:b w:val="1"/>
                <w:bCs w:val="1"/>
                <w:color w:val="auto"/>
                <w:w w:val="99"/>
              </w:rPr>
              <w:t>Dec. 31,</w:t>
            </w:r>
          </w:p>
        </w:tc>
      </w:tr>
      <w:tr>
        <w:trPr>
          <w:trHeight w:val="223"/>
        </w:trPr>
        <w:tc>
          <w:tcPr>
            <w:tcW w:w="45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7"/>
                <w:szCs w:val="17"/>
                <w:b w:val="1"/>
                <w:bCs w:val="1"/>
                <w:color w:val="auto"/>
              </w:rPr>
              <w:t>2012</w:t>
            </w:r>
          </w:p>
        </w:tc>
        <w:tc>
          <w:tcPr>
            <w:tcW w:w="280" w:type="dxa"/>
            <w:vAlign w:val="bottom"/>
            <w:tcBorders>
              <w:bottom w:val="single" w:sz="8" w:color="CCEEFF"/>
              <w:right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7"/>
                <w:szCs w:val="17"/>
                <w:b w:val="1"/>
                <w:bCs w:val="1"/>
                <w:color w:val="auto"/>
              </w:rPr>
              <w:t>2011</w:t>
            </w:r>
          </w:p>
        </w:tc>
        <w:tc>
          <w:tcPr>
            <w:tcW w:w="260" w:type="dxa"/>
            <w:vAlign w:val="bottom"/>
            <w:tcBorders>
              <w:bottom w:val="single" w:sz="8" w:color="CCEEFF"/>
              <w:right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7"/>
                <w:szCs w:val="17"/>
                <w:b w:val="1"/>
                <w:bCs w:val="1"/>
                <w:color w:val="auto"/>
              </w:rPr>
              <w:t>2012</w:t>
            </w:r>
          </w:p>
        </w:tc>
        <w:tc>
          <w:tcPr>
            <w:tcW w:w="260" w:type="dxa"/>
            <w:vAlign w:val="bottom"/>
            <w:tcBorders>
              <w:bottom w:val="single" w:sz="8" w:color="CCEEFF"/>
              <w:right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7"/>
                <w:szCs w:val="17"/>
                <w:b w:val="1"/>
                <w:bCs w:val="1"/>
                <w:color w:val="auto"/>
              </w:rPr>
              <w:t>2012</w:t>
            </w:r>
          </w:p>
        </w:tc>
        <w:tc>
          <w:tcPr>
            <w:tcW w:w="3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7"/>
                <w:szCs w:val="17"/>
                <w:b w:val="1"/>
                <w:bCs w:val="1"/>
                <w:color w:val="auto"/>
              </w:rPr>
              <w:t>2011</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01"/>
        </w:trPr>
        <w:tc>
          <w:tcPr>
            <w:tcW w:w="4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1"/>
        </w:trPr>
        <w:tc>
          <w:tcPr>
            <w:tcW w:w="4580" w:type="dxa"/>
            <w:vAlign w:val="bottom"/>
            <w:shd w:val="clear" w:color="auto" w:fill="CCEEFF"/>
          </w:tcPr>
          <w:p>
            <w:pPr>
              <w:spacing w:after="0"/>
              <w:rPr>
                <w:sz w:val="20"/>
                <w:szCs w:val="20"/>
                <w:color w:val="auto"/>
              </w:rPr>
            </w:pPr>
            <w:r>
              <w:rPr>
                <w:rFonts w:ascii="Arial" w:cs="Arial" w:eastAsia="Arial" w:hAnsi="Arial"/>
                <w:sz w:val="17"/>
                <w:szCs w:val="17"/>
                <w:color w:val="auto"/>
              </w:rPr>
              <w:t>Revenue</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122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7"/>
                <w:szCs w:val="17"/>
                <w:b w:val="1"/>
                <w:bCs w:val="1"/>
                <w:color w:val="auto"/>
              </w:rPr>
              <w:t>2,979</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3,420</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3,390</w:t>
            </w: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7"/>
                <w:szCs w:val="17"/>
                <w:b w:val="1"/>
                <w:bCs w:val="1"/>
                <w:color w:val="auto"/>
                <w:w w:val="84"/>
              </w:rPr>
              <w:t>$</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b w:val="1"/>
                <w:bCs w:val="1"/>
                <w:color w:val="auto"/>
              </w:rPr>
              <w:t>12,825</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13,735</w:t>
            </w:r>
          </w:p>
        </w:tc>
      </w:tr>
      <w:tr>
        <w:trPr>
          <w:trHeight w:val="201"/>
        </w:trPr>
        <w:tc>
          <w:tcPr>
            <w:tcW w:w="4580" w:type="dxa"/>
            <w:vAlign w:val="bottom"/>
          </w:tcPr>
          <w:p>
            <w:pPr>
              <w:spacing w:after="0"/>
              <w:rPr>
                <w:sz w:val="20"/>
                <w:szCs w:val="20"/>
                <w:color w:val="auto"/>
              </w:rPr>
            </w:pPr>
            <w:r>
              <w:rPr>
                <w:rFonts w:ascii="Arial" w:cs="Arial" w:eastAsia="Arial" w:hAnsi="Arial"/>
                <w:sz w:val="17"/>
                <w:szCs w:val="17"/>
                <w:color w:val="auto"/>
              </w:rPr>
              <w:t>Cost of revenue</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b w:val="1"/>
                <w:bCs w:val="1"/>
                <w:color w:val="auto"/>
              </w:rPr>
              <w:t>1,534</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7"/>
                <w:szCs w:val="17"/>
                <w:color w:val="auto"/>
              </w:rPr>
              <w:t>1,872</w:t>
            </w:r>
          </w:p>
        </w:tc>
        <w:tc>
          <w:tcPr>
            <w:tcW w:w="180" w:type="dxa"/>
            <w:vAlign w:val="bottom"/>
          </w:tcPr>
          <w:p>
            <w:pPr>
              <w:spacing w:after="0"/>
              <w:rPr>
                <w:sz w:val="17"/>
                <w:szCs w:val="17"/>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7"/>
                <w:szCs w:val="17"/>
                <w:color w:val="auto"/>
              </w:rPr>
              <w:t>1,650</w:t>
            </w:r>
          </w:p>
        </w:tc>
        <w:tc>
          <w:tcPr>
            <w:tcW w:w="200" w:type="dxa"/>
            <w:vAlign w:val="bottom"/>
          </w:tcPr>
          <w:p>
            <w:pPr>
              <w:spacing w:after="0"/>
              <w:rPr>
                <w:sz w:val="17"/>
                <w:szCs w:val="17"/>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7"/>
                <w:szCs w:val="17"/>
                <w:b w:val="1"/>
                <w:bCs w:val="1"/>
                <w:color w:val="auto"/>
              </w:rPr>
              <w:t>6,457</w:t>
            </w:r>
          </w:p>
        </w:tc>
        <w:tc>
          <w:tcPr>
            <w:tcW w:w="18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6,963</w:t>
            </w:r>
          </w:p>
        </w:tc>
      </w:tr>
      <w:tr>
        <w:trPr>
          <w:trHeight w:val="25"/>
        </w:trPr>
        <w:tc>
          <w:tcPr>
            <w:tcW w:w="45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01"/>
        </w:trPr>
        <w:tc>
          <w:tcPr>
            <w:tcW w:w="4580" w:type="dxa"/>
            <w:vAlign w:val="bottom"/>
            <w:shd w:val="clear" w:color="auto" w:fill="CCEEFF"/>
          </w:tcPr>
          <w:p>
            <w:pPr>
              <w:spacing w:after="0"/>
              <w:rPr>
                <w:sz w:val="20"/>
                <w:szCs w:val="20"/>
                <w:color w:val="auto"/>
              </w:rPr>
            </w:pPr>
            <w:r>
              <w:rPr>
                <w:rFonts w:ascii="Arial" w:cs="Arial" w:eastAsia="Arial" w:hAnsi="Arial"/>
                <w:sz w:val="17"/>
                <w:szCs w:val="17"/>
                <w:color w:val="auto"/>
              </w:rPr>
              <w:t>Gross profit</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1,445</w:t>
            </w:r>
          </w:p>
        </w:tc>
        <w:tc>
          <w:tcPr>
            <w:tcW w:w="2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1,548</w:t>
            </w:r>
          </w:p>
        </w:tc>
        <w:tc>
          <w:tcPr>
            <w:tcW w:w="180" w:type="dxa"/>
            <w:vAlign w:val="bottom"/>
            <w:shd w:val="clear" w:color="auto" w:fill="CCEEFF"/>
          </w:tcPr>
          <w:p>
            <w:pPr>
              <w:spacing w:after="0"/>
              <w:rPr>
                <w:sz w:val="17"/>
                <w:szCs w:val="17"/>
                <w:color w:val="auto"/>
              </w:rPr>
            </w:pPr>
          </w:p>
        </w:tc>
        <w:tc>
          <w:tcPr>
            <w:tcW w:w="12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1,740</w:t>
            </w:r>
          </w:p>
        </w:tc>
        <w:tc>
          <w:tcPr>
            <w:tcW w:w="2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b w:val="1"/>
                <w:bCs w:val="1"/>
                <w:color w:val="auto"/>
              </w:rPr>
              <w:t>6,368</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6,772</w:t>
            </w:r>
          </w:p>
        </w:tc>
      </w:tr>
      <w:tr>
        <w:trPr>
          <w:trHeight w:val="201"/>
        </w:trPr>
        <w:tc>
          <w:tcPr>
            <w:tcW w:w="4580" w:type="dxa"/>
            <w:vAlign w:val="bottom"/>
          </w:tcPr>
          <w:p>
            <w:pPr>
              <w:spacing w:after="0"/>
              <w:rPr>
                <w:sz w:val="20"/>
                <w:szCs w:val="20"/>
                <w:color w:val="auto"/>
              </w:rPr>
            </w:pPr>
            <w:r>
              <w:rPr>
                <w:rFonts w:ascii="Arial" w:cs="Arial" w:eastAsia="Arial" w:hAnsi="Arial"/>
                <w:sz w:val="17"/>
                <w:szCs w:val="17"/>
                <w:color w:val="auto"/>
              </w:rPr>
              <w:t>Research and development (R&amp;D)</w:t>
            </w:r>
          </w:p>
        </w:tc>
        <w:tc>
          <w:tcPr>
            <w:tcW w:w="180" w:type="dxa"/>
            <w:vAlign w:val="bottom"/>
          </w:tcPr>
          <w:p>
            <w:pPr>
              <w:spacing w:after="0"/>
              <w:rPr>
                <w:sz w:val="17"/>
                <w:szCs w:val="17"/>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7"/>
                <w:szCs w:val="17"/>
                <w:b w:val="1"/>
                <w:bCs w:val="1"/>
                <w:color w:val="auto"/>
              </w:rPr>
              <w:t>425</w:t>
            </w:r>
          </w:p>
        </w:tc>
        <w:tc>
          <w:tcPr>
            <w:tcW w:w="180" w:type="dxa"/>
            <w:vAlign w:val="bottom"/>
          </w:tcPr>
          <w:p>
            <w:pPr>
              <w:spacing w:after="0"/>
              <w:rPr>
                <w:sz w:val="17"/>
                <w:szCs w:val="17"/>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7"/>
                <w:szCs w:val="17"/>
                <w:color w:val="auto"/>
              </w:rPr>
              <w:t>475</w:t>
            </w:r>
          </w:p>
        </w:tc>
        <w:tc>
          <w:tcPr>
            <w:tcW w:w="180" w:type="dxa"/>
            <w:vAlign w:val="bottom"/>
          </w:tcPr>
          <w:p>
            <w:pPr>
              <w:spacing w:after="0"/>
              <w:rPr>
                <w:sz w:val="17"/>
                <w:szCs w:val="17"/>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7"/>
                <w:szCs w:val="17"/>
                <w:color w:val="auto"/>
              </w:rPr>
              <w:t>463</w:t>
            </w:r>
          </w:p>
        </w:tc>
        <w:tc>
          <w:tcPr>
            <w:tcW w:w="200" w:type="dxa"/>
            <w:vAlign w:val="bottom"/>
          </w:tcPr>
          <w:p>
            <w:pPr>
              <w:spacing w:after="0"/>
              <w:rPr>
                <w:sz w:val="17"/>
                <w:szCs w:val="17"/>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7"/>
                <w:szCs w:val="17"/>
                <w:b w:val="1"/>
                <w:bCs w:val="1"/>
                <w:color w:val="auto"/>
              </w:rPr>
              <w:t>1,877</w:t>
            </w:r>
          </w:p>
        </w:tc>
        <w:tc>
          <w:tcPr>
            <w:tcW w:w="18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1,715</w:t>
            </w:r>
          </w:p>
        </w:tc>
      </w:tr>
      <w:tr>
        <w:trPr>
          <w:trHeight w:val="201"/>
        </w:trPr>
        <w:tc>
          <w:tcPr>
            <w:tcW w:w="4580" w:type="dxa"/>
            <w:vAlign w:val="bottom"/>
            <w:shd w:val="clear" w:color="auto" w:fill="CCEEFF"/>
          </w:tcPr>
          <w:p>
            <w:pPr>
              <w:spacing w:after="0"/>
              <w:rPr>
                <w:sz w:val="20"/>
                <w:szCs w:val="20"/>
                <w:color w:val="auto"/>
              </w:rPr>
            </w:pPr>
            <w:r>
              <w:rPr>
                <w:rFonts w:ascii="Arial" w:cs="Arial" w:eastAsia="Arial" w:hAnsi="Arial"/>
                <w:sz w:val="17"/>
                <w:szCs w:val="17"/>
                <w:color w:val="auto"/>
              </w:rPr>
              <w:t>Selling, general and administrative (SG&amp;A)</w:t>
            </w:r>
          </w:p>
        </w:tc>
        <w:tc>
          <w:tcPr>
            <w:tcW w:w="180" w:type="dxa"/>
            <w:vAlign w:val="bottom"/>
            <w:shd w:val="clear" w:color="auto" w:fill="CCEEFF"/>
          </w:tcPr>
          <w:p>
            <w:pPr>
              <w:spacing w:after="0"/>
              <w:rPr>
                <w:sz w:val="17"/>
                <w:szCs w:val="17"/>
                <w:color w:val="auto"/>
              </w:rPr>
            </w:pPr>
          </w:p>
        </w:tc>
        <w:tc>
          <w:tcPr>
            <w:tcW w:w="122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7"/>
                <w:szCs w:val="17"/>
                <w:b w:val="1"/>
                <w:bCs w:val="1"/>
                <w:color w:val="auto"/>
              </w:rPr>
              <w:t>430</w:t>
            </w:r>
          </w:p>
        </w:tc>
        <w:tc>
          <w:tcPr>
            <w:tcW w:w="180" w:type="dxa"/>
            <w:vAlign w:val="bottom"/>
            <w:shd w:val="clear" w:color="auto" w:fill="CCEEFF"/>
          </w:tcPr>
          <w:p>
            <w:pPr>
              <w:spacing w:after="0"/>
              <w:rPr>
                <w:sz w:val="17"/>
                <w:szCs w:val="17"/>
                <w:color w:val="auto"/>
              </w:rPr>
            </w:pPr>
          </w:p>
        </w:tc>
        <w:tc>
          <w:tcPr>
            <w:tcW w:w="12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443</w:t>
            </w:r>
          </w:p>
        </w:tc>
        <w:tc>
          <w:tcPr>
            <w:tcW w:w="180" w:type="dxa"/>
            <w:vAlign w:val="bottom"/>
            <w:shd w:val="clear" w:color="auto" w:fill="CCEEFF"/>
          </w:tcPr>
          <w:p>
            <w:pPr>
              <w:spacing w:after="0"/>
              <w:rPr>
                <w:sz w:val="17"/>
                <w:szCs w:val="17"/>
                <w:color w:val="auto"/>
              </w:rPr>
            </w:pPr>
          </w:p>
        </w:tc>
        <w:tc>
          <w:tcPr>
            <w:tcW w:w="12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453</w:t>
            </w:r>
          </w:p>
        </w:tc>
        <w:tc>
          <w:tcPr>
            <w:tcW w:w="2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b w:val="1"/>
                <w:bCs w:val="1"/>
                <w:color w:val="auto"/>
              </w:rPr>
              <w:t>1,804</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1,638</w:t>
            </w:r>
          </w:p>
        </w:tc>
      </w:tr>
      <w:tr>
        <w:trPr>
          <w:trHeight w:val="201"/>
        </w:trPr>
        <w:tc>
          <w:tcPr>
            <w:tcW w:w="4580" w:type="dxa"/>
            <w:vAlign w:val="bottom"/>
          </w:tcPr>
          <w:p>
            <w:pPr>
              <w:spacing w:after="0"/>
              <w:rPr>
                <w:sz w:val="20"/>
                <w:szCs w:val="20"/>
                <w:color w:val="auto"/>
              </w:rPr>
            </w:pPr>
            <w:r>
              <w:rPr>
                <w:rFonts w:ascii="Arial" w:cs="Arial" w:eastAsia="Arial" w:hAnsi="Arial"/>
                <w:sz w:val="17"/>
                <w:szCs w:val="17"/>
                <w:color w:val="auto"/>
              </w:rPr>
              <w:t>Acquisition charges</w:t>
            </w:r>
          </w:p>
        </w:tc>
        <w:tc>
          <w:tcPr>
            <w:tcW w:w="180" w:type="dxa"/>
            <w:vAlign w:val="bottom"/>
          </w:tcPr>
          <w:p>
            <w:pPr>
              <w:spacing w:after="0"/>
              <w:rPr>
                <w:sz w:val="17"/>
                <w:szCs w:val="17"/>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7"/>
                <w:szCs w:val="17"/>
                <w:b w:val="1"/>
                <w:bCs w:val="1"/>
                <w:color w:val="auto"/>
              </w:rPr>
              <w:t>88</w:t>
            </w:r>
          </w:p>
        </w:tc>
        <w:tc>
          <w:tcPr>
            <w:tcW w:w="180" w:type="dxa"/>
            <w:vAlign w:val="bottom"/>
          </w:tcPr>
          <w:p>
            <w:pPr>
              <w:spacing w:after="0"/>
              <w:rPr>
                <w:sz w:val="17"/>
                <w:szCs w:val="17"/>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7"/>
                <w:szCs w:val="17"/>
                <w:color w:val="auto"/>
              </w:rPr>
              <w:t>153</w:t>
            </w:r>
          </w:p>
        </w:tc>
        <w:tc>
          <w:tcPr>
            <w:tcW w:w="180" w:type="dxa"/>
            <w:vAlign w:val="bottom"/>
          </w:tcPr>
          <w:p>
            <w:pPr>
              <w:spacing w:after="0"/>
              <w:rPr>
                <w:sz w:val="17"/>
                <w:szCs w:val="17"/>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7"/>
                <w:szCs w:val="17"/>
                <w:color w:val="auto"/>
              </w:rPr>
              <w:t>106</w:t>
            </w:r>
          </w:p>
        </w:tc>
        <w:tc>
          <w:tcPr>
            <w:tcW w:w="200" w:type="dxa"/>
            <w:vAlign w:val="bottom"/>
          </w:tcPr>
          <w:p>
            <w:pPr>
              <w:spacing w:after="0"/>
              <w:rPr>
                <w:sz w:val="17"/>
                <w:szCs w:val="17"/>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7"/>
                <w:szCs w:val="17"/>
                <w:b w:val="1"/>
                <w:bCs w:val="1"/>
                <w:color w:val="auto"/>
              </w:rPr>
              <w:t>450</w:t>
            </w:r>
          </w:p>
        </w:tc>
        <w:tc>
          <w:tcPr>
            <w:tcW w:w="18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315</w:t>
            </w:r>
          </w:p>
        </w:tc>
      </w:tr>
      <w:tr>
        <w:trPr>
          <w:trHeight w:val="201"/>
        </w:trPr>
        <w:tc>
          <w:tcPr>
            <w:tcW w:w="4580" w:type="dxa"/>
            <w:vAlign w:val="bottom"/>
            <w:shd w:val="clear" w:color="auto" w:fill="CCEEFF"/>
          </w:tcPr>
          <w:p>
            <w:pPr>
              <w:spacing w:after="0"/>
              <w:rPr>
                <w:sz w:val="20"/>
                <w:szCs w:val="20"/>
                <w:color w:val="auto"/>
              </w:rPr>
            </w:pPr>
            <w:r>
              <w:rPr>
                <w:rFonts w:ascii="Arial" w:cs="Arial" w:eastAsia="Arial" w:hAnsi="Arial"/>
                <w:sz w:val="17"/>
                <w:szCs w:val="17"/>
                <w:color w:val="auto"/>
              </w:rPr>
              <w:t>Restructuring charges/other</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363</w:t>
            </w:r>
          </w:p>
        </w:tc>
        <w:tc>
          <w:tcPr>
            <w:tcW w:w="2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112</w:t>
            </w:r>
          </w:p>
        </w:tc>
        <w:tc>
          <w:tcPr>
            <w:tcW w:w="180" w:type="dxa"/>
            <w:vAlign w:val="bottom"/>
            <w:shd w:val="clear" w:color="auto" w:fill="CCEEFF"/>
          </w:tcPr>
          <w:p>
            <w:pPr>
              <w:spacing w:after="0"/>
              <w:rPr>
                <w:sz w:val="17"/>
                <w:szCs w:val="17"/>
                <w:color w:val="auto"/>
              </w:rPr>
            </w:pPr>
          </w:p>
        </w:tc>
        <w:tc>
          <w:tcPr>
            <w:tcW w:w="12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(122)</w:t>
            </w:r>
          </w:p>
        </w:tc>
        <w:tc>
          <w:tcPr>
            <w:tcW w:w="2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b w:val="1"/>
                <w:bCs w:val="1"/>
                <w:color w:val="auto"/>
              </w:rPr>
              <w:t>264</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112</w:t>
            </w:r>
          </w:p>
        </w:tc>
      </w:tr>
      <w:tr>
        <w:trPr>
          <w:trHeight w:val="25"/>
        </w:trPr>
        <w:tc>
          <w:tcPr>
            <w:tcW w:w="45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8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01"/>
        </w:trPr>
        <w:tc>
          <w:tcPr>
            <w:tcW w:w="4580" w:type="dxa"/>
            <w:vAlign w:val="bottom"/>
          </w:tcPr>
          <w:p>
            <w:pPr>
              <w:spacing w:after="0"/>
              <w:rPr>
                <w:sz w:val="20"/>
                <w:szCs w:val="20"/>
                <w:color w:val="auto"/>
              </w:rPr>
            </w:pPr>
            <w:r>
              <w:rPr>
                <w:rFonts w:ascii="Arial" w:cs="Arial" w:eastAsia="Arial" w:hAnsi="Arial"/>
                <w:sz w:val="17"/>
                <w:szCs w:val="17"/>
                <w:color w:val="auto"/>
              </w:rPr>
              <w:t>Operating profit</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b w:val="1"/>
                <w:bCs w:val="1"/>
                <w:color w:val="auto"/>
              </w:rPr>
              <w:t>139</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7"/>
                <w:szCs w:val="17"/>
                <w:color w:val="auto"/>
              </w:rPr>
              <w:t>365</w:t>
            </w:r>
          </w:p>
        </w:tc>
        <w:tc>
          <w:tcPr>
            <w:tcW w:w="180" w:type="dxa"/>
            <w:vAlign w:val="bottom"/>
          </w:tcPr>
          <w:p>
            <w:pPr>
              <w:spacing w:after="0"/>
              <w:rPr>
                <w:sz w:val="17"/>
                <w:szCs w:val="17"/>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7"/>
                <w:szCs w:val="17"/>
                <w:color w:val="auto"/>
              </w:rPr>
              <w:t>840</w:t>
            </w:r>
          </w:p>
        </w:tc>
        <w:tc>
          <w:tcPr>
            <w:tcW w:w="200" w:type="dxa"/>
            <w:vAlign w:val="bottom"/>
          </w:tcPr>
          <w:p>
            <w:pPr>
              <w:spacing w:after="0"/>
              <w:rPr>
                <w:sz w:val="17"/>
                <w:szCs w:val="17"/>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7"/>
                <w:szCs w:val="17"/>
                <w:b w:val="1"/>
                <w:bCs w:val="1"/>
                <w:color w:val="auto"/>
              </w:rPr>
              <w:t>1,973</w:t>
            </w:r>
          </w:p>
        </w:tc>
        <w:tc>
          <w:tcPr>
            <w:tcW w:w="18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2,992</w:t>
            </w:r>
          </w:p>
        </w:tc>
      </w:tr>
      <w:tr>
        <w:trPr>
          <w:trHeight w:val="201"/>
        </w:trPr>
        <w:tc>
          <w:tcPr>
            <w:tcW w:w="4580" w:type="dxa"/>
            <w:vAlign w:val="bottom"/>
            <w:shd w:val="clear" w:color="auto" w:fill="CCEEFF"/>
          </w:tcPr>
          <w:p>
            <w:pPr>
              <w:spacing w:after="0"/>
              <w:rPr>
                <w:sz w:val="20"/>
                <w:szCs w:val="20"/>
                <w:color w:val="auto"/>
              </w:rPr>
            </w:pPr>
            <w:r>
              <w:rPr>
                <w:rFonts w:ascii="Arial" w:cs="Arial" w:eastAsia="Arial" w:hAnsi="Arial"/>
                <w:sz w:val="17"/>
                <w:szCs w:val="17"/>
                <w:color w:val="auto"/>
              </w:rPr>
              <w:t>Other income (expense), net</w:t>
            </w:r>
          </w:p>
        </w:tc>
        <w:tc>
          <w:tcPr>
            <w:tcW w:w="180" w:type="dxa"/>
            <w:vAlign w:val="bottom"/>
            <w:shd w:val="clear" w:color="auto" w:fill="CCEEFF"/>
          </w:tcPr>
          <w:p>
            <w:pPr>
              <w:spacing w:after="0"/>
              <w:rPr>
                <w:sz w:val="17"/>
                <w:szCs w:val="17"/>
                <w:color w:val="auto"/>
              </w:rPr>
            </w:pPr>
          </w:p>
        </w:tc>
        <w:tc>
          <w:tcPr>
            <w:tcW w:w="122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7"/>
                <w:szCs w:val="17"/>
                <w:b w:val="1"/>
                <w:bCs w:val="1"/>
                <w:color w:val="auto"/>
              </w:rPr>
              <w:t>39</w:t>
            </w:r>
          </w:p>
        </w:tc>
        <w:tc>
          <w:tcPr>
            <w:tcW w:w="180" w:type="dxa"/>
            <w:vAlign w:val="bottom"/>
            <w:shd w:val="clear" w:color="auto" w:fill="CCEEFF"/>
          </w:tcPr>
          <w:p>
            <w:pPr>
              <w:spacing w:after="0"/>
              <w:rPr>
                <w:sz w:val="17"/>
                <w:szCs w:val="17"/>
                <w:color w:val="auto"/>
              </w:rPr>
            </w:pPr>
          </w:p>
        </w:tc>
        <w:tc>
          <w:tcPr>
            <w:tcW w:w="12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5</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26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47</w:t>
            </w: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w:t>
            </w:r>
          </w:p>
        </w:tc>
      </w:tr>
      <w:tr>
        <w:trPr>
          <w:trHeight w:val="206"/>
        </w:trPr>
        <w:tc>
          <w:tcPr>
            <w:tcW w:w="4580" w:type="dxa"/>
            <w:vAlign w:val="bottom"/>
          </w:tcPr>
          <w:p>
            <w:pPr>
              <w:spacing w:after="0"/>
              <w:rPr>
                <w:sz w:val="20"/>
                <w:szCs w:val="20"/>
                <w:color w:val="auto"/>
              </w:rPr>
            </w:pPr>
            <w:r>
              <w:rPr>
                <w:rFonts w:ascii="Arial" w:cs="Arial" w:eastAsia="Arial" w:hAnsi="Arial"/>
                <w:sz w:val="17"/>
                <w:szCs w:val="17"/>
                <w:color w:val="auto"/>
              </w:rPr>
              <w:t>Interest and debt expense</w:t>
            </w: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23</w:t>
            </w:r>
          </w:p>
        </w:tc>
        <w:tc>
          <w:tcPr>
            <w:tcW w:w="2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w:t>
            </w:r>
          </w:p>
        </w:tc>
        <w:tc>
          <w:tcPr>
            <w:tcW w:w="2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w:t>
            </w:r>
          </w:p>
        </w:tc>
        <w:tc>
          <w:tcPr>
            <w:tcW w:w="2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85</w:t>
            </w:r>
          </w:p>
        </w:tc>
        <w:tc>
          <w:tcPr>
            <w:tcW w:w="3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w:t>
            </w:r>
          </w:p>
        </w:tc>
        <w:tc>
          <w:tcPr>
            <w:tcW w:w="140" w:type="dxa"/>
            <w:vAlign w:val="bottom"/>
          </w:tcPr>
          <w:p>
            <w:pPr>
              <w:spacing w:after="0"/>
              <w:rPr>
                <w:sz w:val="17"/>
                <w:szCs w:val="17"/>
                <w:color w:val="auto"/>
              </w:rPr>
            </w:pPr>
          </w:p>
        </w:tc>
      </w:tr>
      <w:tr>
        <w:trPr>
          <w:trHeight w:val="201"/>
        </w:trPr>
        <w:tc>
          <w:tcPr>
            <w:tcW w:w="4580" w:type="dxa"/>
            <w:vAlign w:val="bottom"/>
            <w:shd w:val="clear" w:color="auto" w:fill="CCEEFF"/>
          </w:tcPr>
          <w:p>
            <w:pPr>
              <w:spacing w:after="0"/>
              <w:rPr>
                <w:sz w:val="20"/>
                <w:szCs w:val="20"/>
                <w:color w:val="auto"/>
              </w:rPr>
            </w:pPr>
            <w:r>
              <w:rPr>
                <w:rFonts w:ascii="Arial" w:cs="Arial" w:eastAsia="Arial" w:hAnsi="Arial"/>
                <w:sz w:val="17"/>
                <w:szCs w:val="17"/>
                <w:color w:val="auto"/>
              </w:rPr>
              <w:t>Income before income taxes</w:t>
            </w:r>
          </w:p>
        </w:tc>
        <w:tc>
          <w:tcPr>
            <w:tcW w:w="180" w:type="dxa"/>
            <w:vAlign w:val="bottom"/>
            <w:shd w:val="clear" w:color="auto" w:fill="CCEEFF"/>
          </w:tcPr>
          <w:p>
            <w:pPr>
              <w:spacing w:after="0"/>
              <w:rPr>
                <w:sz w:val="17"/>
                <w:szCs w:val="17"/>
                <w:color w:val="auto"/>
              </w:rPr>
            </w:pPr>
          </w:p>
        </w:tc>
        <w:tc>
          <w:tcPr>
            <w:tcW w:w="122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7"/>
                <w:szCs w:val="17"/>
                <w:b w:val="1"/>
                <w:bCs w:val="1"/>
                <w:color w:val="auto"/>
              </w:rPr>
              <w:t>155</w:t>
            </w:r>
          </w:p>
        </w:tc>
        <w:tc>
          <w:tcPr>
            <w:tcW w:w="180" w:type="dxa"/>
            <w:vAlign w:val="bottom"/>
            <w:shd w:val="clear" w:color="auto" w:fill="CCEEFF"/>
          </w:tcPr>
          <w:p>
            <w:pPr>
              <w:spacing w:after="0"/>
              <w:rPr>
                <w:sz w:val="17"/>
                <w:szCs w:val="17"/>
                <w:color w:val="auto"/>
              </w:rPr>
            </w:pPr>
          </w:p>
        </w:tc>
        <w:tc>
          <w:tcPr>
            <w:tcW w:w="12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349</w:t>
            </w:r>
          </w:p>
        </w:tc>
        <w:tc>
          <w:tcPr>
            <w:tcW w:w="180" w:type="dxa"/>
            <w:vAlign w:val="bottom"/>
            <w:shd w:val="clear" w:color="auto" w:fill="CCEEFF"/>
          </w:tcPr>
          <w:p>
            <w:pPr>
              <w:spacing w:after="0"/>
              <w:rPr>
                <w:sz w:val="17"/>
                <w:szCs w:val="17"/>
                <w:color w:val="auto"/>
              </w:rPr>
            </w:pPr>
          </w:p>
        </w:tc>
        <w:tc>
          <w:tcPr>
            <w:tcW w:w="12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843</w:t>
            </w:r>
          </w:p>
        </w:tc>
        <w:tc>
          <w:tcPr>
            <w:tcW w:w="2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b w:val="1"/>
                <w:bCs w:val="1"/>
                <w:color w:val="auto"/>
              </w:rPr>
              <w:t>1,935</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2,955</w:t>
            </w:r>
          </w:p>
        </w:tc>
      </w:tr>
      <w:tr>
        <w:trPr>
          <w:trHeight w:val="201"/>
        </w:trPr>
        <w:tc>
          <w:tcPr>
            <w:tcW w:w="4580" w:type="dxa"/>
            <w:vAlign w:val="bottom"/>
          </w:tcPr>
          <w:p>
            <w:pPr>
              <w:spacing w:after="0"/>
              <w:rPr>
                <w:sz w:val="20"/>
                <w:szCs w:val="20"/>
                <w:color w:val="auto"/>
              </w:rPr>
            </w:pPr>
            <w:r>
              <w:rPr>
                <w:rFonts w:ascii="Arial" w:cs="Arial" w:eastAsia="Arial" w:hAnsi="Arial"/>
                <w:sz w:val="17"/>
                <w:szCs w:val="17"/>
                <w:color w:val="auto"/>
              </w:rPr>
              <w:t>Provision (benefit) for income taxes</w:t>
            </w:r>
          </w:p>
        </w:tc>
        <w:tc>
          <w:tcPr>
            <w:tcW w:w="18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(109)</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51</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59</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7"/>
                <w:szCs w:val="17"/>
                <w:b w:val="1"/>
                <w:bCs w:val="1"/>
                <w:color w:val="auto"/>
              </w:rPr>
              <w:t>176</w:t>
            </w:r>
          </w:p>
        </w:tc>
        <w:tc>
          <w:tcPr>
            <w:tcW w:w="18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719</w:t>
            </w:r>
          </w:p>
        </w:tc>
      </w:tr>
      <w:tr>
        <w:trPr>
          <w:trHeight w:val="25"/>
        </w:trPr>
        <w:tc>
          <w:tcPr>
            <w:tcW w:w="45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41"/>
        </w:trPr>
        <w:tc>
          <w:tcPr>
            <w:tcW w:w="4580" w:type="dxa"/>
            <w:vAlign w:val="bottom"/>
            <w:shd w:val="clear" w:color="auto" w:fill="CCEEFF"/>
          </w:tcPr>
          <w:p>
            <w:pPr>
              <w:spacing w:after="0"/>
              <w:rPr>
                <w:sz w:val="20"/>
                <w:szCs w:val="20"/>
                <w:color w:val="auto"/>
              </w:rPr>
            </w:pPr>
            <w:r>
              <w:rPr>
                <w:rFonts w:ascii="Arial" w:cs="Arial" w:eastAsia="Arial" w:hAnsi="Arial"/>
                <w:sz w:val="17"/>
                <w:szCs w:val="17"/>
                <w:color w:val="auto"/>
              </w:rPr>
              <w:t>Net income</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264</w:t>
            </w:r>
          </w:p>
        </w:tc>
        <w:tc>
          <w:tcPr>
            <w:tcW w:w="28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298</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784</w:t>
            </w: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7"/>
                <w:szCs w:val="17"/>
                <w:b w:val="1"/>
                <w:bCs w:val="1"/>
                <w:color w:val="auto"/>
                <w:w w:val="84"/>
              </w:rPr>
              <w:t>$</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b w:val="1"/>
                <w:bCs w:val="1"/>
                <w:color w:val="auto"/>
              </w:rPr>
              <w:t>1,759</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2,236</w:t>
            </w:r>
          </w:p>
        </w:tc>
      </w:tr>
      <w:tr>
        <w:trPr>
          <w:trHeight w:val="191"/>
        </w:trPr>
        <w:tc>
          <w:tcPr>
            <w:tcW w:w="458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r>
      <w:tr>
        <w:trPr>
          <w:trHeight w:val="201"/>
        </w:trPr>
        <w:tc>
          <w:tcPr>
            <w:tcW w:w="4580" w:type="dxa"/>
            <w:vAlign w:val="bottom"/>
            <w:shd w:val="clear" w:color="auto" w:fill="CCEEFF"/>
          </w:tcPr>
          <w:p>
            <w:pPr>
              <w:spacing w:after="0"/>
              <w:rPr>
                <w:sz w:val="20"/>
                <w:szCs w:val="20"/>
                <w:color w:val="auto"/>
              </w:rPr>
            </w:pPr>
            <w:r>
              <w:rPr>
                <w:rFonts w:ascii="Arial" w:cs="Arial" w:eastAsia="Arial" w:hAnsi="Arial"/>
                <w:sz w:val="17"/>
                <w:szCs w:val="17"/>
                <w:color w:val="auto"/>
              </w:rPr>
              <w:t>Earnings per common share:</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1"/>
        </w:trPr>
        <w:tc>
          <w:tcPr>
            <w:tcW w:w="4580" w:type="dxa"/>
            <w:vAlign w:val="bottom"/>
          </w:tcPr>
          <w:p>
            <w:pPr>
              <w:ind w:left="80"/>
              <w:spacing w:after="0"/>
              <w:rPr>
                <w:sz w:val="20"/>
                <w:szCs w:val="20"/>
                <w:color w:val="auto"/>
              </w:rPr>
            </w:pPr>
            <w:r>
              <w:rPr>
                <w:rFonts w:ascii="Arial" w:cs="Arial" w:eastAsia="Arial" w:hAnsi="Arial"/>
                <w:sz w:val="17"/>
                <w:szCs w:val="17"/>
                <w:color w:val="auto"/>
              </w:rPr>
              <w:t>Basic</w:t>
            </w:r>
          </w:p>
        </w:tc>
        <w:tc>
          <w:tcPr>
            <w:tcW w:w="180" w:type="dxa"/>
            <w:vAlign w:val="bottom"/>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1220" w:type="dxa"/>
            <w:vAlign w:val="bottom"/>
            <w:gridSpan w:val="2"/>
          </w:tcPr>
          <w:p>
            <w:pPr>
              <w:jc w:val="right"/>
              <w:ind w:right="280"/>
              <w:spacing w:after="0"/>
              <w:rPr>
                <w:sz w:val="20"/>
                <w:szCs w:val="20"/>
                <w:color w:val="auto"/>
              </w:rPr>
            </w:pPr>
            <w:r>
              <w:rPr>
                <w:rFonts w:ascii="Arial" w:cs="Arial" w:eastAsia="Arial" w:hAnsi="Arial"/>
                <w:sz w:val="17"/>
                <w:szCs w:val="17"/>
                <w:b w:val="1"/>
                <w:bCs w:val="1"/>
                <w:color w:val="auto"/>
              </w:rPr>
              <w:t>.23</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60"/>
              <w:spacing w:after="0"/>
              <w:rPr>
                <w:sz w:val="20"/>
                <w:szCs w:val="20"/>
                <w:color w:val="auto"/>
              </w:rPr>
            </w:pPr>
            <w:r>
              <w:rPr>
                <w:rFonts w:ascii="Arial" w:cs="Arial" w:eastAsia="Arial" w:hAnsi="Arial"/>
                <w:sz w:val="17"/>
                <w:szCs w:val="17"/>
                <w:color w:val="auto"/>
              </w:rPr>
              <w:t>.26</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gridSpan w:val="2"/>
          </w:tcPr>
          <w:p>
            <w:pPr>
              <w:jc w:val="right"/>
              <w:ind w:right="260"/>
              <w:spacing w:after="0"/>
              <w:rPr>
                <w:sz w:val="20"/>
                <w:szCs w:val="20"/>
                <w:color w:val="auto"/>
              </w:rPr>
            </w:pPr>
            <w:r>
              <w:rPr>
                <w:rFonts w:ascii="Arial" w:cs="Arial" w:eastAsia="Arial" w:hAnsi="Arial"/>
                <w:sz w:val="17"/>
                <w:szCs w:val="17"/>
                <w:color w:val="auto"/>
              </w:rPr>
              <w:t>.68</w:t>
            </w:r>
          </w:p>
        </w:tc>
        <w:tc>
          <w:tcPr>
            <w:tcW w:w="200" w:type="dxa"/>
            <w:vAlign w:val="bottom"/>
          </w:tcPr>
          <w:p>
            <w:pPr>
              <w:jc w:val="right"/>
              <w:ind w:right="16"/>
              <w:spacing w:after="0"/>
              <w:rPr>
                <w:sz w:val="20"/>
                <w:szCs w:val="20"/>
                <w:color w:val="auto"/>
              </w:rPr>
            </w:pPr>
            <w:r>
              <w:rPr>
                <w:rFonts w:ascii="Arial" w:cs="Arial" w:eastAsia="Arial" w:hAnsi="Arial"/>
                <w:sz w:val="17"/>
                <w:szCs w:val="17"/>
                <w:b w:val="1"/>
                <w:bCs w:val="1"/>
                <w:color w:val="auto"/>
                <w:w w:val="84"/>
              </w:rPr>
              <w:t>$</w:t>
            </w:r>
          </w:p>
        </w:tc>
        <w:tc>
          <w:tcPr>
            <w:tcW w:w="1220" w:type="dxa"/>
            <w:vAlign w:val="bottom"/>
            <w:gridSpan w:val="2"/>
          </w:tcPr>
          <w:p>
            <w:pPr>
              <w:jc w:val="right"/>
              <w:ind w:right="300"/>
              <w:spacing w:after="0"/>
              <w:rPr>
                <w:sz w:val="20"/>
                <w:szCs w:val="20"/>
                <w:color w:val="auto"/>
              </w:rPr>
            </w:pPr>
            <w:r>
              <w:rPr>
                <w:rFonts w:ascii="Arial" w:cs="Arial" w:eastAsia="Arial" w:hAnsi="Arial"/>
                <w:sz w:val="17"/>
                <w:szCs w:val="17"/>
                <w:b w:val="1"/>
                <w:bCs w:val="1"/>
                <w:color w:val="auto"/>
              </w:rPr>
              <w:t>1.53</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1.91</w:t>
            </w:r>
          </w:p>
        </w:tc>
      </w:tr>
      <w:tr>
        <w:trPr>
          <w:trHeight w:val="20"/>
        </w:trPr>
        <w:tc>
          <w:tcPr>
            <w:tcW w:w="4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1"/>
        </w:trPr>
        <w:tc>
          <w:tcPr>
            <w:tcW w:w="4580" w:type="dxa"/>
            <w:vAlign w:val="bottom"/>
            <w:shd w:val="clear" w:color="auto" w:fill="CCEEFF"/>
          </w:tcPr>
          <w:p>
            <w:pPr>
              <w:ind w:left="80"/>
              <w:spacing w:after="0" w:line="192" w:lineRule="exact"/>
              <w:rPr>
                <w:sz w:val="20"/>
                <w:szCs w:val="20"/>
                <w:color w:val="auto"/>
              </w:rPr>
            </w:pPr>
            <w:r>
              <w:rPr>
                <w:rFonts w:ascii="Arial" w:cs="Arial" w:eastAsia="Arial" w:hAnsi="Arial"/>
                <w:sz w:val="17"/>
                <w:szCs w:val="17"/>
                <w:color w:val="auto"/>
              </w:rPr>
              <w:t>Diluted</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1220" w:type="dxa"/>
            <w:vAlign w:val="bottom"/>
            <w:tcBorders>
              <w:right w:val="single" w:sz="8" w:color="CCEEFF"/>
            </w:tcBorders>
            <w:gridSpan w:val="2"/>
            <w:shd w:val="clear" w:color="auto" w:fill="CCEEFF"/>
          </w:tcPr>
          <w:p>
            <w:pPr>
              <w:jc w:val="right"/>
              <w:ind w:right="280"/>
              <w:spacing w:after="0" w:line="192" w:lineRule="exact"/>
              <w:rPr>
                <w:sz w:val="20"/>
                <w:szCs w:val="20"/>
                <w:color w:val="auto"/>
              </w:rPr>
            </w:pPr>
            <w:r>
              <w:rPr>
                <w:rFonts w:ascii="Arial" w:cs="Arial" w:eastAsia="Arial" w:hAnsi="Arial"/>
                <w:sz w:val="17"/>
                <w:szCs w:val="17"/>
                <w:b w:val="1"/>
                <w:bCs w:val="1"/>
                <w:color w:val="auto"/>
              </w:rPr>
              <w:t>.23</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tcBorders>
              <w:right w:val="single" w:sz="8" w:color="CCEEFF"/>
            </w:tcBorders>
            <w:gridSpan w:val="2"/>
            <w:shd w:val="clear" w:color="auto" w:fill="CCEEFF"/>
          </w:tcPr>
          <w:p>
            <w:pPr>
              <w:jc w:val="right"/>
              <w:ind w:right="260"/>
              <w:spacing w:after="0" w:line="192" w:lineRule="exact"/>
              <w:rPr>
                <w:sz w:val="20"/>
                <w:szCs w:val="20"/>
                <w:color w:val="auto"/>
              </w:rPr>
            </w:pPr>
            <w:r>
              <w:rPr>
                <w:rFonts w:ascii="Arial" w:cs="Arial" w:eastAsia="Arial" w:hAnsi="Arial"/>
                <w:sz w:val="17"/>
                <w:szCs w:val="17"/>
                <w:color w:val="auto"/>
              </w:rPr>
              <w:t>.25</w:t>
            </w:r>
          </w:p>
        </w:tc>
        <w:tc>
          <w:tcPr>
            <w:tcW w:w="180" w:type="dxa"/>
            <w:vAlign w:val="bottom"/>
            <w:shd w:val="clear" w:color="auto" w:fill="CCEEFF"/>
          </w:tcPr>
          <w:p>
            <w:pPr>
              <w:jc w:val="right"/>
              <w:spacing w:after="0" w:line="192" w:lineRule="exact"/>
              <w:rPr>
                <w:sz w:val="20"/>
                <w:szCs w:val="20"/>
                <w:color w:val="auto"/>
              </w:rPr>
            </w:pPr>
            <w:r>
              <w:rPr>
                <w:rFonts w:ascii="Arial" w:cs="Arial" w:eastAsia="Arial" w:hAnsi="Arial"/>
                <w:sz w:val="17"/>
                <w:szCs w:val="17"/>
                <w:color w:val="auto"/>
                <w:w w:val="84"/>
              </w:rPr>
              <w:t>$</w:t>
            </w:r>
          </w:p>
        </w:tc>
        <w:tc>
          <w:tcPr>
            <w:tcW w:w="1200" w:type="dxa"/>
            <w:vAlign w:val="bottom"/>
            <w:tcBorders>
              <w:right w:val="single" w:sz="8" w:color="CCEEFF"/>
            </w:tcBorders>
            <w:gridSpan w:val="2"/>
            <w:shd w:val="clear" w:color="auto" w:fill="CCEEFF"/>
          </w:tcPr>
          <w:p>
            <w:pPr>
              <w:jc w:val="right"/>
              <w:ind w:right="260"/>
              <w:spacing w:after="0" w:line="192" w:lineRule="exact"/>
              <w:rPr>
                <w:sz w:val="20"/>
                <w:szCs w:val="20"/>
                <w:color w:val="auto"/>
              </w:rPr>
            </w:pPr>
            <w:r>
              <w:rPr>
                <w:rFonts w:ascii="Arial" w:cs="Arial" w:eastAsia="Arial" w:hAnsi="Arial"/>
                <w:sz w:val="17"/>
                <w:szCs w:val="17"/>
                <w:color w:val="auto"/>
              </w:rPr>
              <w:t>.67</w:t>
            </w:r>
          </w:p>
        </w:tc>
        <w:tc>
          <w:tcPr>
            <w:tcW w:w="200" w:type="dxa"/>
            <w:vAlign w:val="bottom"/>
            <w:shd w:val="clear" w:color="auto" w:fill="CCEEFF"/>
          </w:tcPr>
          <w:p>
            <w:pPr>
              <w:jc w:val="right"/>
              <w:ind w:right="16"/>
              <w:spacing w:after="0" w:line="192" w:lineRule="exact"/>
              <w:rPr>
                <w:sz w:val="20"/>
                <w:szCs w:val="20"/>
                <w:color w:val="auto"/>
              </w:rPr>
            </w:pPr>
            <w:r>
              <w:rPr>
                <w:rFonts w:ascii="Arial" w:cs="Arial" w:eastAsia="Arial" w:hAnsi="Arial"/>
                <w:sz w:val="17"/>
                <w:szCs w:val="17"/>
                <w:b w:val="1"/>
                <w:bCs w:val="1"/>
                <w:color w:val="auto"/>
                <w:w w:val="84"/>
              </w:rPr>
              <w:t>$</w:t>
            </w:r>
          </w:p>
        </w:tc>
        <w:tc>
          <w:tcPr>
            <w:tcW w:w="1220" w:type="dxa"/>
            <w:vAlign w:val="bottom"/>
            <w:gridSpan w:val="2"/>
            <w:shd w:val="clear" w:color="auto" w:fill="CCEEFF"/>
          </w:tcPr>
          <w:p>
            <w:pPr>
              <w:jc w:val="right"/>
              <w:ind w:right="300"/>
              <w:spacing w:after="0" w:line="192" w:lineRule="exact"/>
              <w:rPr>
                <w:sz w:val="20"/>
                <w:szCs w:val="20"/>
                <w:color w:val="auto"/>
              </w:rPr>
            </w:pPr>
            <w:r>
              <w:rPr>
                <w:rFonts w:ascii="Arial" w:cs="Arial" w:eastAsia="Arial" w:hAnsi="Arial"/>
                <w:sz w:val="17"/>
                <w:szCs w:val="17"/>
                <w:b w:val="1"/>
                <w:bCs w:val="1"/>
                <w:color w:val="auto"/>
              </w:rPr>
              <w:t>1.51</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40"/>
              <w:spacing w:after="0" w:line="192" w:lineRule="exact"/>
              <w:rPr>
                <w:sz w:val="20"/>
                <w:szCs w:val="20"/>
                <w:color w:val="auto"/>
              </w:rPr>
            </w:pPr>
            <w:r>
              <w:rPr>
                <w:rFonts w:ascii="Arial" w:cs="Arial" w:eastAsia="Arial" w:hAnsi="Arial"/>
                <w:sz w:val="17"/>
                <w:szCs w:val="17"/>
                <w:color w:val="auto"/>
              </w:rPr>
              <w:t>1.88</w:t>
            </w:r>
          </w:p>
        </w:tc>
      </w:tr>
      <w:tr>
        <w:trPr>
          <w:trHeight w:val="191"/>
        </w:trPr>
        <w:tc>
          <w:tcPr>
            <w:tcW w:w="458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r>
      <w:tr>
        <w:trPr>
          <w:trHeight w:val="201"/>
        </w:trPr>
        <w:tc>
          <w:tcPr>
            <w:tcW w:w="4580" w:type="dxa"/>
            <w:vAlign w:val="bottom"/>
            <w:shd w:val="clear" w:color="auto" w:fill="CCEEFF"/>
          </w:tcPr>
          <w:p>
            <w:pPr>
              <w:spacing w:after="0"/>
              <w:rPr>
                <w:sz w:val="20"/>
                <w:szCs w:val="20"/>
                <w:color w:val="auto"/>
              </w:rPr>
            </w:pPr>
            <w:r>
              <w:rPr>
                <w:rFonts w:ascii="Arial" w:cs="Arial" w:eastAsia="Arial" w:hAnsi="Arial"/>
                <w:sz w:val="17"/>
                <w:szCs w:val="17"/>
                <w:color w:val="auto"/>
              </w:rPr>
              <w:t>Average shares outstanding (millions):</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1"/>
        </w:trPr>
        <w:tc>
          <w:tcPr>
            <w:tcW w:w="4580" w:type="dxa"/>
            <w:vAlign w:val="bottom"/>
          </w:tcPr>
          <w:p>
            <w:pPr>
              <w:ind w:left="80"/>
              <w:spacing w:after="0"/>
              <w:rPr>
                <w:sz w:val="20"/>
                <w:szCs w:val="20"/>
                <w:color w:val="auto"/>
              </w:rPr>
            </w:pPr>
            <w:r>
              <w:rPr>
                <w:rFonts w:ascii="Arial" w:cs="Arial" w:eastAsia="Arial" w:hAnsi="Arial"/>
                <w:sz w:val="17"/>
                <w:szCs w:val="17"/>
                <w:color w:val="auto"/>
              </w:rPr>
              <w:t>Basic</w:t>
            </w:r>
          </w:p>
        </w:tc>
        <w:tc>
          <w:tcPr>
            <w:tcW w:w="180" w:type="dxa"/>
            <w:vAlign w:val="bottom"/>
          </w:tcPr>
          <w:p>
            <w:pPr>
              <w:spacing w:after="0"/>
              <w:rPr>
                <w:sz w:val="17"/>
                <w:szCs w:val="17"/>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7"/>
                <w:szCs w:val="17"/>
                <w:b w:val="1"/>
                <w:bCs w:val="1"/>
                <w:color w:val="auto"/>
              </w:rPr>
              <w:t>1,113</w:t>
            </w:r>
          </w:p>
        </w:tc>
        <w:tc>
          <w:tcPr>
            <w:tcW w:w="180" w:type="dxa"/>
            <w:vAlign w:val="bottom"/>
          </w:tcPr>
          <w:p>
            <w:pPr>
              <w:spacing w:after="0"/>
              <w:rPr>
                <w:sz w:val="17"/>
                <w:szCs w:val="17"/>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7"/>
                <w:szCs w:val="17"/>
                <w:color w:val="auto"/>
              </w:rPr>
              <w:t>1,138</w:t>
            </w:r>
          </w:p>
        </w:tc>
        <w:tc>
          <w:tcPr>
            <w:tcW w:w="180" w:type="dxa"/>
            <w:vAlign w:val="bottom"/>
          </w:tcPr>
          <w:p>
            <w:pPr>
              <w:spacing w:after="0"/>
              <w:rPr>
                <w:sz w:val="17"/>
                <w:szCs w:val="17"/>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7"/>
                <w:szCs w:val="17"/>
                <w:color w:val="auto"/>
              </w:rPr>
              <w:t>1,130</w:t>
            </w:r>
          </w:p>
        </w:tc>
        <w:tc>
          <w:tcPr>
            <w:tcW w:w="200" w:type="dxa"/>
            <w:vAlign w:val="bottom"/>
          </w:tcPr>
          <w:p>
            <w:pPr>
              <w:spacing w:after="0"/>
              <w:rPr>
                <w:sz w:val="17"/>
                <w:szCs w:val="17"/>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7"/>
                <w:szCs w:val="17"/>
                <w:b w:val="1"/>
                <w:bCs w:val="1"/>
                <w:color w:val="auto"/>
              </w:rPr>
              <w:t>1,132</w:t>
            </w:r>
          </w:p>
        </w:tc>
        <w:tc>
          <w:tcPr>
            <w:tcW w:w="18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1,151</w:t>
            </w:r>
          </w:p>
        </w:tc>
      </w:tr>
      <w:tr>
        <w:trPr>
          <w:trHeight w:val="20"/>
        </w:trPr>
        <w:tc>
          <w:tcPr>
            <w:tcW w:w="4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1"/>
        </w:trPr>
        <w:tc>
          <w:tcPr>
            <w:tcW w:w="4580" w:type="dxa"/>
            <w:vAlign w:val="bottom"/>
            <w:shd w:val="clear" w:color="auto" w:fill="CCEEFF"/>
          </w:tcPr>
          <w:p>
            <w:pPr>
              <w:ind w:left="80"/>
              <w:spacing w:after="0" w:line="192" w:lineRule="exact"/>
              <w:rPr>
                <w:sz w:val="20"/>
                <w:szCs w:val="20"/>
                <w:color w:val="auto"/>
              </w:rPr>
            </w:pPr>
            <w:r>
              <w:rPr>
                <w:rFonts w:ascii="Arial" w:cs="Arial" w:eastAsia="Arial" w:hAnsi="Arial"/>
                <w:sz w:val="17"/>
                <w:szCs w:val="17"/>
                <w:color w:val="auto"/>
              </w:rPr>
              <w:t>Diluted</w:t>
            </w:r>
          </w:p>
        </w:tc>
        <w:tc>
          <w:tcPr>
            <w:tcW w:w="180" w:type="dxa"/>
            <w:vAlign w:val="bottom"/>
            <w:shd w:val="clear" w:color="auto" w:fill="CCEEFF"/>
          </w:tcPr>
          <w:p>
            <w:pPr>
              <w:spacing w:after="0"/>
              <w:rPr>
                <w:sz w:val="20"/>
                <w:szCs w:val="20"/>
                <w:color w:val="auto"/>
              </w:rPr>
            </w:pPr>
          </w:p>
        </w:tc>
        <w:tc>
          <w:tcPr>
            <w:tcW w:w="1220" w:type="dxa"/>
            <w:vAlign w:val="bottom"/>
            <w:tcBorders>
              <w:right w:val="single" w:sz="8" w:color="CCEEFF"/>
            </w:tcBorders>
            <w:gridSpan w:val="2"/>
            <w:shd w:val="clear" w:color="auto" w:fill="CCEEFF"/>
          </w:tcPr>
          <w:p>
            <w:pPr>
              <w:jc w:val="right"/>
              <w:ind w:right="280"/>
              <w:spacing w:after="0" w:line="192" w:lineRule="exact"/>
              <w:rPr>
                <w:sz w:val="20"/>
                <w:szCs w:val="20"/>
                <w:color w:val="auto"/>
              </w:rPr>
            </w:pPr>
            <w:r>
              <w:rPr>
                <w:rFonts w:ascii="Arial" w:cs="Arial" w:eastAsia="Arial" w:hAnsi="Arial"/>
                <w:sz w:val="17"/>
                <w:szCs w:val="17"/>
                <w:b w:val="1"/>
                <w:bCs w:val="1"/>
                <w:color w:val="auto"/>
              </w:rPr>
              <w:t>1,124</w:t>
            </w:r>
          </w:p>
        </w:tc>
        <w:tc>
          <w:tcPr>
            <w:tcW w:w="180" w:type="dxa"/>
            <w:vAlign w:val="bottom"/>
            <w:shd w:val="clear" w:color="auto" w:fill="CCEEFF"/>
          </w:tcPr>
          <w:p>
            <w:pPr>
              <w:spacing w:after="0"/>
              <w:rPr>
                <w:sz w:val="20"/>
                <w:szCs w:val="20"/>
                <w:color w:val="auto"/>
              </w:rPr>
            </w:pPr>
          </w:p>
        </w:tc>
        <w:tc>
          <w:tcPr>
            <w:tcW w:w="1200" w:type="dxa"/>
            <w:vAlign w:val="bottom"/>
            <w:tcBorders>
              <w:right w:val="single" w:sz="8" w:color="CCEEFF"/>
            </w:tcBorders>
            <w:gridSpan w:val="2"/>
            <w:shd w:val="clear" w:color="auto" w:fill="CCEEFF"/>
          </w:tcPr>
          <w:p>
            <w:pPr>
              <w:jc w:val="right"/>
              <w:ind w:right="260"/>
              <w:spacing w:after="0" w:line="192" w:lineRule="exact"/>
              <w:rPr>
                <w:sz w:val="20"/>
                <w:szCs w:val="20"/>
                <w:color w:val="auto"/>
              </w:rPr>
            </w:pPr>
            <w:r>
              <w:rPr>
                <w:rFonts w:ascii="Arial" w:cs="Arial" w:eastAsia="Arial" w:hAnsi="Arial"/>
                <w:sz w:val="17"/>
                <w:szCs w:val="17"/>
                <w:color w:val="auto"/>
              </w:rPr>
              <w:t>1,155</w:t>
            </w:r>
          </w:p>
        </w:tc>
        <w:tc>
          <w:tcPr>
            <w:tcW w:w="180" w:type="dxa"/>
            <w:vAlign w:val="bottom"/>
            <w:shd w:val="clear" w:color="auto" w:fill="CCEEFF"/>
          </w:tcPr>
          <w:p>
            <w:pPr>
              <w:spacing w:after="0"/>
              <w:rPr>
                <w:sz w:val="20"/>
                <w:szCs w:val="20"/>
                <w:color w:val="auto"/>
              </w:rPr>
            </w:pPr>
          </w:p>
        </w:tc>
        <w:tc>
          <w:tcPr>
            <w:tcW w:w="1200" w:type="dxa"/>
            <w:vAlign w:val="bottom"/>
            <w:tcBorders>
              <w:right w:val="single" w:sz="8" w:color="CCEEFF"/>
            </w:tcBorders>
            <w:gridSpan w:val="2"/>
            <w:shd w:val="clear" w:color="auto" w:fill="CCEEFF"/>
          </w:tcPr>
          <w:p>
            <w:pPr>
              <w:jc w:val="right"/>
              <w:ind w:right="260"/>
              <w:spacing w:after="0" w:line="192" w:lineRule="exact"/>
              <w:rPr>
                <w:sz w:val="20"/>
                <w:szCs w:val="20"/>
                <w:color w:val="auto"/>
              </w:rPr>
            </w:pPr>
            <w:r>
              <w:rPr>
                <w:rFonts w:ascii="Arial" w:cs="Arial" w:eastAsia="Arial" w:hAnsi="Arial"/>
                <w:sz w:val="17"/>
                <w:szCs w:val="17"/>
                <w:color w:val="auto"/>
              </w:rPr>
              <w:t>1,141</w:t>
            </w:r>
          </w:p>
        </w:tc>
        <w:tc>
          <w:tcPr>
            <w:tcW w:w="2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300"/>
              <w:spacing w:after="0" w:line="192" w:lineRule="exact"/>
              <w:rPr>
                <w:sz w:val="20"/>
                <w:szCs w:val="20"/>
                <w:color w:val="auto"/>
              </w:rPr>
            </w:pPr>
            <w:r>
              <w:rPr>
                <w:rFonts w:ascii="Arial" w:cs="Arial" w:eastAsia="Arial" w:hAnsi="Arial"/>
                <w:sz w:val="17"/>
                <w:szCs w:val="17"/>
                <w:b w:val="1"/>
                <w:bCs w:val="1"/>
                <w:color w:val="auto"/>
              </w:rPr>
              <w:t>1,146</w:t>
            </w:r>
          </w:p>
        </w:tc>
        <w:tc>
          <w:tcPr>
            <w:tcW w:w="1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line="192" w:lineRule="exact"/>
              <w:rPr>
                <w:sz w:val="20"/>
                <w:szCs w:val="20"/>
                <w:color w:val="auto"/>
              </w:rPr>
            </w:pPr>
            <w:r>
              <w:rPr>
                <w:rFonts w:ascii="Arial" w:cs="Arial" w:eastAsia="Arial" w:hAnsi="Arial"/>
                <w:sz w:val="17"/>
                <w:szCs w:val="17"/>
                <w:color w:val="auto"/>
              </w:rPr>
              <w:t>1,171</w:t>
            </w:r>
          </w:p>
        </w:tc>
      </w:tr>
      <w:tr>
        <w:trPr>
          <w:trHeight w:val="191"/>
        </w:trPr>
        <w:tc>
          <w:tcPr>
            <w:tcW w:w="458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r>
      <w:tr>
        <w:trPr>
          <w:trHeight w:val="241"/>
        </w:trPr>
        <w:tc>
          <w:tcPr>
            <w:tcW w:w="4580" w:type="dxa"/>
            <w:vAlign w:val="bottom"/>
            <w:shd w:val="clear" w:color="auto" w:fill="CCEEFF"/>
          </w:tcPr>
          <w:p>
            <w:pPr>
              <w:spacing w:after="0"/>
              <w:rPr>
                <w:sz w:val="20"/>
                <w:szCs w:val="20"/>
                <w:color w:val="auto"/>
              </w:rPr>
            </w:pPr>
            <w:r>
              <w:rPr>
                <w:rFonts w:ascii="Arial" w:cs="Arial" w:eastAsia="Arial" w:hAnsi="Arial"/>
                <w:sz w:val="17"/>
                <w:szCs w:val="17"/>
                <w:color w:val="auto"/>
              </w:rPr>
              <w:t>Cash dividends declared per share of common stock</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122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7"/>
                <w:szCs w:val="17"/>
                <w:b w:val="1"/>
                <w:bCs w:val="1"/>
                <w:color w:val="auto"/>
              </w:rPr>
              <w:t>.21</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.17</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.17</w:t>
            </w: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7"/>
                <w:szCs w:val="17"/>
                <w:b w:val="1"/>
                <w:bCs w:val="1"/>
                <w:color w:val="auto"/>
                <w:w w:val="84"/>
              </w:rPr>
              <w:t>$</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b w:val="1"/>
                <w:bCs w:val="1"/>
                <w:color w:val="auto"/>
              </w:rPr>
              <w:t>.72</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.56</w:t>
            </w:r>
          </w:p>
        </w:tc>
      </w:tr>
      <w:tr>
        <w:trPr>
          <w:trHeight w:val="191"/>
        </w:trPr>
        <w:tc>
          <w:tcPr>
            <w:tcW w:w="458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r>
      <w:tr>
        <w:trPr>
          <w:trHeight w:val="201"/>
        </w:trPr>
        <w:tc>
          <w:tcPr>
            <w:tcW w:w="4580" w:type="dxa"/>
            <w:vAlign w:val="bottom"/>
            <w:shd w:val="clear" w:color="auto" w:fill="CCEEFF"/>
          </w:tcPr>
          <w:p>
            <w:pPr>
              <w:spacing w:after="0"/>
              <w:rPr>
                <w:sz w:val="20"/>
                <w:szCs w:val="20"/>
                <w:color w:val="auto"/>
              </w:rPr>
            </w:pPr>
            <w:r>
              <w:rPr>
                <w:rFonts w:ascii="Arial" w:cs="Arial" w:eastAsia="Arial" w:hAnsi="Arial"/>
                <w:sz w:val="17"/>
                <w:szCs w:val="17"/>
                <w:color w:val="auto"/>
              </w:rPr>
              <w:t>Percentage of revenue:</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1"/>
        </w:trPr>
        <w:tc>
          <w:tcPr>
            <w:tcW w:w="4580" w:type="dxa"/>
            <w:vAlign w:val="bottom"/>
          </w:tcPr>
          <w:p>
            <w:pPr>
              <w:spacing w:after="0"/>
              <w:rPr>
                <w:sz w:val="20"/>
                <w:szCs w:val="20"/>
                <w:color w:val="auto"/>
              </w:rPr>
            </w:pPr>
            <w:r>
              <w:rPr>
                <w:rFonts w:ascii="Arial" w:cs="Arial" w:eastAsia="Arial" w:hAnsi="Arial"/>
                <w:sz w:val="17"/>
                <w:szCs w:val="17"/>
                <w:color w:val="auto"/>
              </w:rPr>
              <w:t>Gross profit</w:t>
            </w:r>
          </w:p>
        </w:tc>
        <w:tc>
          <w:tcPr>
            <w:tcW w:w="180" w:type="dxa"/>
            <w:vAlign w:val="bottom"/>
          </w:tcPr>
          <w:p>
            <w:pPr>
              <w:spacing w:after="0"/>
              <w:rPr>
                <w:sz w:val="17"/>
                <w:szCs w:val="17"/>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7"/>
                <w:szCs w:val="17"/>
                <w:b w:val="1"/>
                <w:bCs w:val="1"/>
                <w:color w:val="auto"/>
              </w:rPr>
              <w:t>48.5%</w:t>
            </w:r>
          </w:p>
        </w:tc>
        <w:tc>
          <w:tcPr>
            <w:tcW w:w="180" w:type="dxa"/>
            <w:vAlign w:val="bottom"/>
          </w:tcPr>
          <w:p>
            <w:pPr>
              <w:spacing w:after="0"/>
              <w:rPr>
                <w:sz w:val="17"/>
                <w:szCs w:val="17"/>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7"/>
                <w:szCs w:val="17"/>
                <w:color w:val="auto"/>
              </w:rPr>
              <w:t>45.3%</w:t>
            </w:r>
          </w:p>
        </w:tc>
        <w:tc>
          <w:tcPr>
            <w:tcW w:w="180" w:type="dxa"/>
            <w:vAlign w:val="bottom"/>
          </w:tcPr>
          <w:p>
            <w:pPr>
              <w:spacing w:after="0"/>
              <w:rPr>
                <w:sz w:val="17"/>
                <w:szCs w:val="17"/>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7"/>
                <w:szCs w:val="17"/>
                <w:color w:val="auto"/>
              </w:rPr>
              <w:t>51.3%</w:t>
            </w:r>
          </w:p>
        </w:tc>
        <w:tc>
          <w:tcPr>
            <w:tcW w:w="200" w:type="dxa"/>
            <w:vAlign w:val="bottom"/>
          </w:tcPr>
          <w:p>
            <w:pPr>
              <w:spacing w:after="0"/>
              <w:rPr>
                <w:sz w:val="17"/>
                <w:szCs w:val="17"/>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7"/>
                <w:szCs w:val="17"/>
                <w:b w:val="1"/>
                <w:bCs w:val="1"/>
                <w:color w:val="auto"/>
              </w:rPr>
              <w:t>49.6%</w:t>
            </w:r>
          </w:p>
        </w:tc>
        <w:tc>
          <w:tcPr>
            <w:tcW w:w="180" w:type="dxa"/>
            <w:vAlign w:val="bottom"/>
          </w:tcPr>
          <w:p>
            <w:pPr>
              <w:spacing w:after="0"/>
              <w:rPr>
                <w:sz w:val="17"/>
                <w:szCs w:val="17"/>
                <w:color w:val="auto"/>
              </w:rPr>
            </w:pP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49.3%</w:t>
            </w:r>
          </w:p>
        </w:tc>
      </w:tr>
      <w:tr>
        <w:trPr>
          <w:trHeight w:val="201"/>
        </w:trPr>
        <w:tc>
          <w:tcPr>
            <w:tcW w:w="4580" w:type="dxa"/>
            <w:vAlign w:val="bottom"/>
            <w:shd w:val="clear" w:color="auto" w:fill="CCEEFF"/>
          </w:tcPr>
          <w:p>
            <w:pPr>
              <w:spacing w:after="0"/>
              <w:rPr>
                <w:sz w:val="20"/>
                <w:szCs w:val="20"/>
                <w:color w:val="auto"/>
              </w:rPr>
            </w:pPr>
            <w:r>
              <w:rPr>
                <w:rFonts w:ascii="Arial" w:cs="Arial" w:eastAsia="Arial" w:hAnsi="Arial"/>
                <w:sz w:val="17"/>
                <w:szCs w:val="17"/>
                <w:color w:val="auto"/>
              </w:rPr>
              <w:t>R&amp;D</w:t>
            </w:r>
          </w:p>
        </w:tc>
        <w:tc>
          <w:tcPr>
            <w:tcW w:w="180" w:type="dxa"/>
            <w:vAlign w:val="bottom"/>
            <w:shd w:val="clear" w:color="auto" w:fill="CCEEFF"/>
          </w:tcPr>
          <w:p>
            <w:pPr>
              <w:spacing w:after="0"/>
              <w:rPr>
                <w:sz w:val="17"/>
                <w:szCs w:val="17"/>
                <w:color w:val="auto"/>
              </w:rPr>
            </w:pPr>
          </w:p>
        </w:tc>
        <w:tc>
          <w:tcPr>
            <w:tcW w:w="12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b w:val="1"/>
                <w:bCs w:val="1"/>
                <w:color w:val="auto"/>
              </w:rPr>
              <w:t>14.3%</w:t>
            </w:r>
          </w:p>
        </w:tc>
        <w:tc>
          <w:tcPr>
            <w:tcW w:w="180" w:type="dxa"/>
            <w:vAlign w:val="bottom"/>
            <w:shd w:val="clear" w:color="auto" w:fill="CCEEFF"/>
          </w:tcPr>
          <w:p>
            <w:pPr>
              <w:spacing w:after="0"/>
              <w:rPr>
                <w:sz w:val="17"/>
                <w:szCs w:val="17"/>
                <w:color w:val="auto"/>
              </w:rPr>
            </w:pPr>
          </w:p>
        </w:tc>
        <w:tc>
          <w:tcPr>
            <w:tcW w:w="12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13.9%</w:t>
            </w:r>
          </w:p>
        </w:tc>
        <w:tc>
          <w:tcPr>
            <w:tcW w:w="180" w:type="dxa"/>
            <w:vAlign w:val="bottom"/>
            <w:shd w:val="clear" w:color="auto" w:fill="CCEEFF"/>
          </w:tcPr>
          <w:p>
            <w:pPr>
              <w:spacing w:after="0"/>
              <w:rPr>
                <w:sz w:val="17"/>
                <w:szCs w:val="17"/>
                <w:color w:val="auto"/>
              </w:rPr>
            </w:pPr>
          </w:p>
        </w:tc>
        <w:tc>
          <w:tcPr>
            <w:tcW w:w="12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13.6%</w:t>
            </w:r>
          </w:p>
        </w:tc>
        <w:tc>
          <w:tcPr>
            <w:tcW w:w="2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b w:val="1"/>
                <w:bCs w:val="1"/>
                <w:color w:val="auto"/>
              </w:rPr>
              <w:t>14.6%</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12.5%</w:t>
            </w:r>
          </w:p>
        </w:tc>
      </w:tr>
      <w:tr>
        <w:trPr>
          <w:trHeight w:val="201"/>
        </w:trPr>
        <w:tc>
          <w:tcPr>
            <w:tcW w:w="4580" w:type="dxa"/>
            <w:vAlign w:val="bottom"/>
          </w:tcPr>
          <w:p>
            <w:pPr>
              <w:spacing w:after="0"/>
              <w:rPr>
                <w:sz w:val="20"/>
                <w:szCs w:val="20"/>
                <w:color w:val="auto"/>
              </w:rPr>
            </w:pPr>
            <w:r>
              <w:rPr>
                <w:rFonts w:ascii="Arial" w:cs="Arial" w:eastAsia="Arial" w:hAnsi="Arial"/>
                <w:sz w:val="17"/>
                <w:szCs w:val="17"/>
                <w:color w:val="auto"/>
              </w:rPr>
              <w:t>SG&amp;A</w:t>
            </w:r>
          </w:p>
        </w:tc>
        <w:tc>
          <w:tcPr>
            <w:tcW w:w="180" w:type="dxa"/>
            <w:vAlign w:val="bottom"/>
          </w:tcPr>
          <w:p>
            <w:pPr>
              <w:spacing w:after="0"/>
              <w:rPr>
                <w:sz w:val="17"/>
                <w:szCs w:val="17"/>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7"/>
                <w:szCs w:val="17"/>
                <w:b w:val="1"/>
                <w:bCs w:val="1"/>
                <w:color w:val="auto"/>
              </w:rPr>
              <w:t>14.4%</w:t>
            </w:r>
          </w:p>
        </w:tc>
        <w:tc>
          <w:tcPr>
            <w:tcW w:w="180" w:type="dxa"/>
            <w:vAlign w:val="bottom"/>
          </w:tcPr>
          <w:p>
            <w:pPr>
              <w:spacing w:after="0"/>
              <w:rPr>
                <w:sz w:val="17"/>
                <w:szCs w:val="17"/>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7"/>
                <w:szCs w:val="17"/>
                <w:color w:val="auto"/>
              </w:rPr>
              <w:t>13.0%</w:t>
            </w:r>
          </w:p>
        </w:tc>
        <w:tc>
          <w:tcPr>
            <w:tcW w:w="180" w:type="dxa"/>
            <w:vAlign w:val="bottom"/>
          </w:tcPr>
          <w:p>
            <w:pPr>
              <w:spacing w:after="0"/>
              <w:rPr>
                <w:sz w:val="17"/>
                <w:szCs w:val="17"/>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7"/>
                <w:szCs w:val="17"/>
                <w:color w:val="auto"/>
              </w:rPr>
              <w:t>13.4%</w:t>
            </w:r>
          </w:p>
        </w:tc>
        <w:tc>
          <w:tcPr>
            <w:tcW w:w="200" w:type="dxa"/>
            <w:vAlign w:val="bottom"/>
          </w:tcPr>
          <w:p>
            <w:pPr>
              <w:spacing w:after="0"/>
              <w:rPr>
                <w:sz w:val="17"/>
                <w:szCs w:val="17"/>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7"/>
                <w:szCs w:val="17"/>
                <w:b w:val="1"/>
                <w:bCs w:val="1"/>
                <w:color w:val="auto"/>
              </w:rPr>
              <w:t>14.1%</w:t>
            </w:r>
          </w:p>
        </w:tc>
        <w:tc>
          <w:tcPr>
            <w:tcW w:w="180" w:type="dxa"/>
            <w:vAlign w:val="bottom"/>
          </w:tcPr>
          <w:p>
            <w:pPr>
              <w:spacing w:after="0"/>
              <w:rPr>
                <w:sz w:val="17"/>
                <w:szCs w:val="17"/>
                <w:color w:val="auto"/>
              </w:rPr>
            </w:pP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11.9%</w:t>
            </w:r>
          </w:p>
        </w:tc>
      </w:tr>
      <w:tr>
        <w:trPr>
          <w:trHeight w:val="201"/>
        </w:trPr>
        <w:tc>
          <w:tcPr>
            <w:tcW w:w="4580" w:type="dxa"/>
            <w:vAlign w:val="bottom"/>
            <w:shd w:val="clear" w:color="auto" w:fill="CCEEFF"/>
          </w:tcPr>
          <w:p>
            <w:pPr>
              <w:spacing w:after="0"/>
              <w:rPr>
                <w:sz w:val="20"/>
                <w:szCs w:val="20"/>
                <w:color w:val="auto"/>
              </w:rPr>
            </w:pPr>
            <w:r>
              <w:rPr>
                <w:rFonts w:ascii="Arial" w:cs="Arial" w:eastAsia="Arial" w:hAnsi="Arial"/>
                <w:sz w:val="17"/>
                <w:szCs w:val="17"/>
                <w:color w:val="auto"/>
              </w:rPr>
              <w:t>Operating profit</w:t>
            </w:r>
          </w:p>
        </w:tc>
        <w:tc>
          <w:tcPr>
            <w:tcW w:w="180" w:type="dxa"/>
            <w:vAlign w:val="bottom"/>
            <w:shd w:val="clear" w:color="auto" w:fill="CCEEFF"/>
          </w:tcPr>
          <w:p>
            <w:pPr>
              <w:spacing w:after="0"/>
              <w:rPr>
                <w:sz w:val="17"/>
                <w:szCs w:val="17"/>
                <w:color w:val="auto"/>
              </w:rPr>
            </w:pPr>
          </w:p>
        </w:tc>
        <w:tc>
          <w:tcPr>
            <w:tcW w:w="12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b w:val="1"/>
                <w:bCs w:val="1"/>
                <w:color w:val="auto"/>
              </w:rPr>
              <w:t>4.7%</w:t>
            </w:r>
          </w:p>
        </w:tc>
        <w:tc>
          <w:tcPr>
            <w:tcW w:w="180" w:type="dxa"/>
            <w:vAlign w:val="bottom"/>
            <w:shd w:val="clear" w:color="auto" w:fill="CCEEFF"/>
          </w:tcPr>
          <w:p>
            <w:pPr>
              <w:spacing w:after="0"/>
              <w:rPr>
                <w:sz w:val="17"/>
                <w:szCs w:val="17"/>
                <w:color w:val="auto"/>
              </w:rPr>
            </w:pPr>
          </w:p>
        </w:tc>
        <w:tc>
          <w:tcPr>
            <w:tcW w:w="12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10.7%</w:t>
            </w:r>
          </w:p>
        </w:tc>
        <w:tc>
          <w:tcPr>
            <w:tcW w:w="180" w:type="dxa"/>
            <w:vAlign w:val="bottom"/>
            <w:shd w:val="clear" w:color="auto" w:fill="CCEEFF"/>
          </w:tcPr>
          <w:p>
            <w:pPr>
              <w:spacing w:after="0"/>
              <w:rPr>
                <w:sz w:val="17"/>
                <w:szCs w:val="17"/>
                <w:color w:val="auto"/>
              </w:rPr>
            </w:pPr>
          </w:p>
        </w:tc>
        <w:tc>
          <w:tcPr>
            <w:tcW w:w="12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24.8%</w:t>
            </w:r>
          </w:p>
        </w:tc>
        <w:tc>
          <w:tcPr>
            <w:tcW w:w="2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b w:val="1"/>
                <w:bCs w:val="1"/>
                <w:color w:val="auto"/>
              </w:rPr>
              <w:t>15.4%</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21.8%</w:t>
            </w:r>
          </w:p>
        </w:tc>
      </w:tr>
    </w:tbl>
    <w:p>
      <w:pPr>
        <w:spacing w:after="0" w:line="214" w:lineRule="exact"/>
        <w:rPr>
          <w:sz w:val="20"/>
          <w:szCs w:val="20"/>
          <w:color w:val="auto"/>
        </w:rPr>
      </w:pPr>
    </w:p>
    <w:p>
      <w:pPr>
        <w:ind w:right="180"/>
        <w:spacing w:after="0" w:line="281" w:lineRule="auto"/>
        <w:rPr>
          <w:sz w:val="20"/>
          <w:szCs w:val="20"/>
          <w:color w:val="auto"/>
        </w:rPr>
      </w:pPr>
      <w:r>
        <w:rPr>
          <w:rFonts w:ascii="Arial" w:cs="Arial" w:eastAsia="Arial" w:hAnsi="Arial"/>
          <w:sz w:val="16"/>
          <w:szCs w:val="16"/>
          <w:color w:val="auto"/>
        </w:rPr>
        <w:t>As required by accounting rule ASC 260, net income allocated to unvested restricted stock units (RSUs), on which we pay dividend equivalents, is excluded from the calculation of EPS. The amount excluded is $4 million, $5 million and $14 million for the quarters ending December 31, 2012, December 31, 2011, and September 30, 2012, respectively; and $31 million and $34 million for years ending December 31, 2012, and December 31, 2011, respectively.</w:t>
      </w:r>
    </w:p>
    <w:p>
      <w:pPr>
        <w:sectPr>
          <w:pgSz w:w="11900" w:h="16838" w:orient="portrait"/>
          <w:cols w:equalWidth="0" w:num="1">
            <w:col w:w="11420"/>
          </w:cols>
          <w:pgMar w:left="240" w:top="261"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7"/>
          <w:szCs w:val="17"/>
          <w:b w:val="1"/>
          <w:bCs w:val="1"/>
          <w:color w:val="auto"/>
        </w:rPr>
        <w:t>TEXAS INSTRUMENTS INCORPORATED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Balance Sheets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(Millions of dollars, except share amounts)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b w:val="1"/>
                <w:bCs w:val="1"/>
                <w:color w:val="auto"/>
                <w:w w:val="99"/>
              </w:rPr>
              <w:t>Dec. 31,</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b w:val="1"/>
                <w:bCs w:val="1"/>
                <w:color w:val="auto"/>
              </w:rPr>
              <w:t>Dec. 31,</w:t>
            </w:r>
          </w:p>
        </w:tc>
        <w:tc>
          <w:tcPr>
            <w:tcW w:w="1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b w:val="1"/>
                <w:bCs w:val="1"/>
                <w:color w:val="auto"/>
                <w:w w:val="97"/>
              </w:rPr>
              <w:t>Sept. 30,</w:t>
            </w:r>
          </w:p>
        </w:tc>
        <w:tc>
          <w:tcPr>
            <w:tcW w:w="0" w:type="dxa"/>
            <w:vAlign w:val="bottom"/>
          </w:tcPr>
          <w:p>
            <w:pPr>
              <w:spacing w:after="0"/>
              <w:rPr>
                <w:sz w:val="1"/>
                <w:szCs w:val="1"/>
                <w:color w:val="auto"/>
              </w:rPr>
            </w:pPr>
          </w:p>
        </w:tc>
      </w:tr>
      <w:tr>
        <w:trPr>
          <w:trHeight w:val="223"/>
        </w:trPr>
        <w:tc>
          <w:tcPr>
            <w:tcW w:w="73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7"/>
                <w:szCs w:val="17"/>
                <w:b w:val="1"/>
                <w:bCs w:val="1"/>
                <w:color w:val="auto"/>
              </w:rPr>
              <w:t>2012</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7"/>
                <w:szCs w:val="17"/>
                <w:b w:val="1"/>
                <w:bCs w:val="1"/>
                <w:color w:val="auto"/>
              </w:rPr>
              <w:t>2011</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7"/>
                <w:szCs w:val="17"/>
                <w:b w:val="1"/>
                <w:bCs w:val="1"/>
                <w:color w:val="auto"/>
              </w:rPr>
              <w:t>2012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7360" w:type="dxa"/>
            <w:vAlign w:val="bottom"/>
          </w:tcPr>
          <w:p>
            <w:pPr>
              <w:spacing w:after="0"/>
              <w:rPr>
                <w:sz w:val="20"/>
                <w:szCs w:val="20"/>
                <w:color w:val="auto"/>
              </w:rPr>
            </w:pPr>
            <w:r>
              <w:rPr>
                <w:rFonts w:ascii="Arial" w:cs="Arial" w:eastAsia="Arial" w:hAnsi="Arial"/>
                <w:sz w:val="17"/>
                <w:szCs w:val="17"/>
                <w:b w:val="1"/>
                <w:bCs w:val="1"/>
                <w:color w:val="auto"/>
              </w:rPr>
              <w:t>Assets</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360" w:type="dxa"/>
            <w:vAlign w:val="bottom"/>
            <w:shd w:val="clear" w:color="auto" w:fill="CCEEFF"/>
          </w:tcPr>
          <w:p>
            <w:pPr>
              <w:spacing w:after="0"/>
              <w:rPr>
                <w:sz w:val="20"/>
                <w:szCs w:val="20"/>
                <w:color w:val="auto"/>
              </w:rPr>
            </w:pPr>
            <w:r>
              <w:rPr>
                <w:rFonts w:ascii="Arial" w:cs="Arial" w:eastAsia="Arial" w:hAnsi="Arial"/>
                <w:sz w:val="17"/>
                <w:szCs w:val="17"/>
                <w:color w:val="auto"/>
              </w:rPr>
              <w:t>Current assets:</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360" w:type="dxa"/>
            <w:vAlign w:val="bottom"/>
          </w:tcPr>
          <w:p>
            <w:pPr>
              <w:ind w:left="160"/>
              <w:spacing w:after="0"/>
              <w:rPr>
                <w:sz w:val="20"/>
                <w:szCs w:val="20"/>
                <w:color w:val="auto"/>
              </w:rPr>
            </w:pPr>
            <w:r>
              <w:rPr>
                <w:rFonts w:ascii="Arial" w:cs="Arial" w:eastAsia="Arial" w:hAnsi="Arial"/>
                <w:sz w:val="17"/>
                <w:szCs w:val="17"/>
                <w:color w:val="auto"/>
              </w:rPr>
              <w:t>Cash and cash equivalents</w:t>
            </w:r>
          </w:p>
        </w:tc>
        <w:tc>
          <w:tcPr>
            <w:tcW w:w="280" w:type="dxa"/>
            <w:vAlign w:val="bottom"/>
            <w:gridSpan w:val="2"/>
          </w:tcPr>
          <w:p>
            <w:pPr>
              <w:jc w:val="right"/>
              <w:ind w:right="47"/>
              <w:spacing w:after="0"/>
              <w:rPr>
                <w:sz w:val="20"/>
                <w:szCs w:val="20"/>
                <w:color w:val="auto"/>
              </w:rPr>
            </w:pPr>
            <w:r>
              <w:rPr>
                <w:rFonts w:ascii="Arial" w:cs="Arial" w:eastAsia="Arial" w:hAnsi="Arial"/>
                <w:sz w:val="17"/>
                <w:szCs w:val="17"/>
                <w:b w:val="1"/>
                <w:bCs w:val="1"/>
                <w:color w:val="auto"/>
              </w:rPr>
              <w:t>$</w:t>
            </w:r>
          </w:p>
        </w:tc>
        <w:tc>
          <w:tcPr>
            <w:tcW w:w="960" w:type="dxa"/>
            <w:vAlign w:val="bottom"/>
          </w:tcPr>
          <w:p>
            <w:pPr>
              <w:jc w:val="right"/>
              <w:spacing w:after="0"/>
              <w:rPr>
                <w:sz w:val="20"/>
                <w:szCs w:val="20"/>
                <w:color w:val="auto"/>
              </w:rPr>
            </w:pPr>
            <w:r>
              <w:rPr>
                <w:rFonts w:ascii="Arial" w:cs="Arial" w:eastAsia="Arial" w:hAnsi="Arial"/>
                <w:sz w:val="17"/>
                <w:szCs w:val="17"/>
                <w:b w:val="1"/>
                <w:bCs w:val="1"/>
                <w:color w:val="auto"/>
              </w:rPr>
              <w:t>1,416</w:t>
            </w:r>
          </w:p>
        </w:tc>
        <w:tc>
          <w:tcPr>
            <w:tcW w:w="140" w:type="dxa"/>
            <w:vAlign w:val="bottom"/>
          </w:tcPr>
          <w:p>
            <w:pPr>
              <w:spacing w:after="0"/>
              <w:rPr>
                <w:sz w:val="17"/>
                <w:szCs w:val="17"/>
                <w:color w:val="auto"/>
              </w:rPr>
            </w:pPr>
          </w:p>
        </w:tc>
        <w:tc>
          <w:tcPr>
            <w:tcW w:w="260" w:type="dxa"/>
            <w:vAlign w:val="bottom"/>
            <w:gridSpan w:val="2"/>
          </w:tcPr>
          <w:p>
            <w:pPr>
              <w:jc w:val="right"/>
              <w:ind w:right="27"/>
              <w:spacing w:after="0"/>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7"/>
                <w:szCs w:val="17"/>
                <w:color w:val="auto"/>
              </w:rPr>
              <w:t>992</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1,210</w:t>
            </w:r>
          </w:p>
        </w:tc>
        <w:tc>
          <w:tcPr>
            <w:tcW w:w="0" w:type="dxa"/>
            <w:vAlign w:val="bottom"/>
          </w:tcPr>
          <w:p>
            <w:pPr>
              <w:spacing w:after="0"/>
              <w:rPr>
                <w:sz w:val="1"/>
                <w:szCs w:val="1"/>
                <w:color w:val="auto"/>
              </w:rPr>
            </w:pPr>
          </w:p>
        </w:tc>
      </w:tr>
      <w:tr>
        <w:trPr>
          <w:trHeight w:val="201"/>
        </w:trPr>
        <w:tc>
          <w:tcPr>
            <w:tcW w:w="73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Short-term investments</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2,549</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1,943</w:t>
            </w: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2,451</w:t>
            </w:r>
          </w:p>
        </w:tc>
        <w:tc>
          <w:tcPr>
            <w:tcW w:w="0" w:type="dxa"/>
            <w:vAlign w:val="bottom"/>
          </w:tcPr>
          <w:p>
            <w:pPr>
              <w:spacing w:after="0"/>
              <w:rPr>
                <w:sz w:val="1"/>
                <w:szCs w:val="1"/>
                <w:color w:val="auto"/>
              </w:rPr>
            </w:pPr>
          </w:p>
        </w:tc>
      </w:tr>
      <w:tr>
        <w:trPr>
          <w:trHeight w:val="201"/>
        </w:trPr>
        <w:tc>
          <w:tcPr>
            <w:tcW w:w="7360" w:type="dxa"/>
            <w:vAlign w:val="bottom"/>
          </w:tcPr>
          <w:p>
            <w:pPr>
              <w:ind w:left="160"/>
              <w:spacing w:after="0"/>
              <w:rPr>
                <w:sz w:val="20"/>
                <w:szCs w:val="20"/>
                <w:color w:val="auto"/>
              </w:rPr>
            </w:pPr>
            <w:r>
              <w:rPr>
                <w:rFonts w:ascii="Arial" w:cs="Arial" w:eastAsia="Arial" w:hAnsi="Arial"/>
                <w:sz w:val="17"/>
                <w:szCs w:val="17"/>
                <w:color w:val="auto"/>
              </w:rPr>
              <w:t>Accounts receivable, net of allowances of ($31), ($19) and ($23)</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b w:val="1"/>
                <w:bCs w:val="1"/>
                <w:color w:val="auto"/>
              </w:rPr>
              <w:t>1,230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7"/>
                <w:szCs w:val="17"/>
                <w:color w:val="auto"/>
              </w:rPr>
              <w:t>1,545</w:t>
            </w:r>
          </w:p>
        </w:tc>
        <w:tc>
          <w:tcPr>
            <w:tcW w:w="18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1,623</w:t>
            </w:r>
          </w:p>
        </w:tc>
        <w:tc>
          <w:tcPr>
            <w:tcW w:w="0" w:type="dxa"/>
            <w:vAlign w:val="bottom"/>
          </w:tcPr>
          <w:p>
            <w:pPr>
              <w:spacing w:after="0"/>
              <w:rPr>
                <w:sz w:val="1"/>
                <w:szCs w:val="1"/>
                <w:color w:val="auto"/>
              </w:rPr>
            </w:pPr>
          </w:p>
        </w:tc>
      </w:tr>
      <w:tr>
        <w:trPr>
          <w:trHeight w:val="201"/>
        </w:trPr>
        <w:tc>
          <w:tcPr>
            <w:tcW w:w="73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Raw materials</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116</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115</w:t>
            </w: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124</w:t>
            </w:r>
          </w:p>
        </w:tc>
        <w:tc>
          <w:tcPr>
            <w:tcW w:w="0" w:type="dxa"/>
            <w:vAlign w:val="bottom"/>
          </w:tcPr>
          <w:p>
            <w:pPr>
              <w:spacing w:after="0"/>
              <w:rPr>
                <w:sz w:val="1"/>
                <w:szCs w:val="1"/>
                <w:color w:val="auto"/>
              </w:rPr>
            </w:pPr>
          </w:p>
        </w:tc>
      </w:tr>
      <w:tr>
        <w:trPr>
          <w:trHeight w:val="201"/>
        </w:trPr>
        <w:tc>
          <w:tcPr>
            <w:tcW w:w="7360" w:type="dxa"/>
            <w:vAlign w:val="bottom"/>
          </w:tcPr>
          <w:p>
            <w:pPr>
              <w:ind w:left="160"/>
              <w:spacing w:after="0"/>
              <w:rPr>
                <w:sz w:val="20"/>
                <w:szCs w:val="20"/>
                <w:color w:val="auto"/>
              </w:rPr>
            </w:pPr>
            <w:r>
              <w:rPr>
                <w:rFonts w:ascii="Arial" w:cs="Arial" w:eastAsia="Arial" w:hAnsi="Arial"/>
                <w:sz w:val="17"/>
                <w:szCs w:val="17"/>
                <w:color w:val="auto"/>
              </w:rPr>
              <w:t>Work in process</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b w:val="1"/>
                <w:bCs w:val="1"/>
                <w:color w:val="auto"/>
              </w:rPr>
              <w:t>935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7"/>
                <w:szCs w:val="17"/>
                <w:color w:val="auto"/>
              </w:rPr>
              <w:t>1,004</w:t>
            </w:r>
          </w:p>
        </w:tc>
        <w:tc>
          <w:tcPr>
            <w:tcW w:w="18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988</w:t>
            </w:r>
          </w:p>
        </w:tc>
        <w:tc>
          <w:tcPr>
            <w:tcW w:w="0" w:type="dxa"/>
            <w:vAlign w:val="bottom"/>
          </w:tcPr>
          <w:p>
            <w:pPr>
              <w:spacing w:after="0"/>
              <w:rPr>
                <w:sz w:val="1"/>
                <w:szCs w:val="1"/>
                <w:color w:val="auto"/>
              </w:rPr>
            </w:pPr>
          </w:p>
        </w:tc>
      </w:tr>
      <w:tr>
        <w:trPr>
          <w:trHeight w:val="206"/>
        </w:trPr>
        <w:tc>
          <w:tcPr>
            <w:tcW w:w="73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Finished goods</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706</w:t>
            </w: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669</w:t>
            </w:r>
          </w:p>
        </w:tc>
        <w:tc>
          <w:tcPr>
            <w:tcW w:w="2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736</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360" w:type="dxa"/>
            <w:vAlign w:val="bottom"/>
          </w:tcPr>
          <w:p>
            <w:pPr>
              <w:ind w:left="160"/>
              <w:spacing w:after="0"/>
              <w:rPr>
                <w:sz w:val="20"/>
                <w:szCs w:val="20"/>
                <w:color w:val="auto"/>
              </w:rPr>
            </w:pPr>
            <w:r>
              <w:rPr>
                <w:rFonts w:ascii="Arial" w:cs="Arial" w:eastAsia="Arial" w:hAnsi="Arial"/>
                <w:sz w:val="17"/>
                <w:szCs w:val="17"/>
                <w:color w:val="auto"/>
              </w:rPr>
              <w:t>Inventories</w:t>
            </w: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1,757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1,788</w:t>
            </w:r>
          </w:p>
        </w:tc>
        <w:tc>
          <w:tcPr>
            <w:tcW w:w="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1,848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3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Deferred income taxes</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1,044</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1,174</w:t>
            </w: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1,043</w:t>
            </w:r>
          </w:p>
        </w:tc>
        <w:tc>
          <w:tcPr>
            <w:tcW w:w="0" w:type="dxa"/>
            <w:vAlign w:val="bottom"/>
          </w:tcPr>
          <w:p>
            <w:pPr>
              <w:spacing w:after="0"/>
              <w:rPr>
                <w:sz w:val="1"/>
                <w:szCs w:val="1"/>
                <w:color w:val="auto"/>
              </w:rPr>
            </w:pPr>
          </w:p>
        </w:tc>
      </w:tr>
      <w:tr>
        <w:trPr>
          <w:trHeight w:val="206"/>
        </w:trPr>
        <w:tc>
          <w:tcPr>
            <w:tcW w:w="7360" w:type="dxa"/>
            <w:vAlign w:val="bottom"/>
          </w:tcPr>
          <w:p>
            <w:pPr>
              <w:ind w:left="160"/>
              <w:spacing w:after="0"/>
              <w:rPr>
                <w:sz w:val="20"/>
                <w:szCs w:val="20"/>
                <w:color w:val="auto"/>
              </w:rPr>
            </w:pPr>
            <w:r>
              <w:rPr>
                <w:rFonts w:ascii="Arial" w:cs="Arial" w:eastAsia="Arial" w:hAnsi="Arial"/>
                <w:sz w:val="17"/>
                <w:szCs w:val="17"/>
                <w:color w:val="auto"/>
              </w:rPr>
              <w:t>Prepaid expenses and other current assets</w:t>
            </w: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277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386</w:t>
            </w:r>
          </w:p>
        </w:tc>
        <w:tc>
          <w:tcPr>
            <w:tcW w:w="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3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Total current assets</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8,273</w:t>
            </w: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7,828</w:t>
            </w:r>
          </w:p>
        </w:tc>
        <w:tc>
          <w:tcPr>
            <w:tcW w:w="2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8,584</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360" w:type="dxa"/>
            <w:vAlign w:val="bottom"/>
          </w:tcPr>
          <w:p>
            <w:pPr>
              <w:spacing w:after="0"/>
              <w:rPr>
                <w:sz w:val="20"/>
                <w:szCs w:val="20"/>
                <w:color w:val="auto"/>
              </w:rPr>
            </w:pPr>
            <w:r>
              <w:rPr>
                <w:rFonts w:ascii="Arial" w:cs="Arial" w:eastAsia="Arial" w:hAnsi="Arial"/>
                <w:sz w:val="17"/>
                <w:szCs w:val="17"/>
                <w:color w:val="auto"/>
              </w:rPr>
              <w:t>Property, plant and equipment at cost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b w:val="1"/>
                <w:bCs w:val="1"/>
                <w:color w:val="auto"/>
              </w:rPr>
              <w:t>6,891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7"/>
                <w:szCs w:val="17"/>
                <w:color w:val="auto"/>
              </w:rPr>
              <w:t>7,133</w:t>
            </w:r>
          </w:p>
        </w:tc>
        <w:tc>
          <w:tcPr>
            <w:tcW w:w="18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6,806</w:t>
            </w:r>
          </w:p>
        </w:tc>
        <w:tc>
          <w:tcPr>
            <w:tcW w:w="0" w:type="dxa"/>
            <w:vAlign w:val="bottom"/>
          </w:tcPr>
          <w:p>
            <w:pPr>
              <w:spacing w:after="0"/>
              <w:rPr>
                <w:sz w:val="1"/>
                <w:szCs w:val="1"/>
                <w:color w:val="auto"/>
              </w:rPr>
            </w:pPr>
          </w:p>
        </w:tc>
      </w:tr>
      <w:tr>
        <w:trPr>
          <w:trHeight w:val="206"/>
        </w:trPr>
        <w:tc>
          <w:tcPr>
            <w:tcW w:w="73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Less accumulated depreciation</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b w:val="1"/>
                <w:bCs w:val="1"/>
                <w:color w:val="auto"/>
              </w:rPr>
              <w:t>(2,979)</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(2,705)</w:t>
            </w: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(2,751)</w:t>
            </w:r>
          </w:p>
        </w:tc>
        <w:tc>
          <w:tcPr>
            <w:tcW w:w="0" w:type="dxa"/>
            <w:vAlign w:val="bottom"/>
          </w:tcPr>
          <w:p>
            <w:pPr>
              <w:spacing w:after="0"/>
              <w:rPr>
                <w:sz w:val="1"/>
                <w:szCs w:val="1"/>
                <w:color w:val="auto"/>
              </w:rPr>
            </w:pPr>
          </w:p>
        </w:tc>
      </w:tr>
      <w:tr>
        <w:trPr>
          <w:trHeight w:val="206"/>
        </w:trPr>
        <w:tc>
          <w:tcPr>
            <w:tcW w:w="7360" w:type="dxa"/>
            <w:vAlign w:val="bottom"/>
            <w:tcBorders>
              <w:top w:val="single" w:sz="8" w:color="CCEEFF"/>
            </w:tcBorders>
          </w:tcPr>
          <w:p>
            <w:pPr>
              <w:ind w:left="160"/>
              <w:spacing w:after="0"/>
              <w:rPr>
                <w:sz w:val="20"/>
                <w:szCs w:val="20"/>
                <w:color w:val="auto"/>
              </w:rPr>
            </w:pPr>
            <w:r>
              <w:rPr>
                <w:rFonts w:ascii="Arial" w:cs="Arial" w:eastAsia="Arial" w:hAnsi="Arial"/>
                <w:sz w:val="17"/>
                <w:szCs w:val="17"/>
                <w:color w:val="auto"/>
              </w:rPr>
              <w:t>Property, plant and equipment, net</w:t>
            </w:r>
          </w:p>
        </w:tc>
        <w:tc>
          <w:tcPr>
            <w:tcW w:w="80" w:type="dxa"/>
            <w:vAlign w:val="bottom"/>
            <w:tcBorders>
              <w:top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3,912</w:t>
            </w: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4,428</w:t>
            </w: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4,055</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360" w:type="dxa"/>
            <w:vAlign w:val="bottom"/>
            <w:shd w:val="clear" w:color="auto" w:fill="CCEEFF"/>
          </w:tcPr>
          <w:p>
            <w:pPr>
              <w:spacing w:after="0"/>
              <w:rPr>
                <w:sz w:val="20"/>
                <w:szCs w:val="20"/>
                <w:color w:val="auto"/>
              </w:rPr>
            </w:pPr>
            <w:r>
              <w:rPr>
                <w:rFonts w:ascii="Arial" w:cs="Arial" w:eastAsia="Arial" w:hAnsi="Arial"/>
                <w:sz w:val="17"/>
                <w:szCs w:val="17"/>
                <w:color w:val="auto"/>
              </w:rPr>
              <w:t>Long-term investments</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b w:val="1"/>
                <w:bCs w:val="1"/>
                <w:color w:val="auto"/>
              </w:rPr>
              <w:t>215</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265</w:t>
            </w: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225</w:t>
            </w:r>
          </w:p>
        </w:tc>
        <w:tc>
          <w:tcPr>
            <w:tcW w:w="0" w:type="dxa"/>
            <w:vAlign w:val="bottom"/>
          </w:tcPr>
          <w:p>
            <w:pPr>
              <w:spacing w:after="0"/>
              <w:rPr>
                <w:sz w:val="1"/>
                <w:szCs w:val="1"/>
                <w:color w:val="auto"/>
              </w:rPr>
            </w:pPr>
          </w:p>
        </w:tc>
      </w:tr>
      <w:tr>
        <w:trPr>
          <w:trHeight w:val="201"/>
        </w:trPr>
        <w:tc>
          <w:tcPr>
            <w:tcW w:w="7360" w:type="dxa"/>
            <w:vAlign w:val="bottom"/>
          </w:tcPr>
          <w:p>
            <w:pPr>
              <w:spacing w:after="0"/>
              <w:rPr>
                <w:sz w:val="20"/>
                <w:szCs w:val="20"/>
                <w:color w:val="auto"/>
              </w:rPr>
            </w:pPr>
            <w:r>
              <w:rPr>
                <w:rFonts w:ascii="Arial" w:cs="Arial" w:eastAsia="Arial" w:hAnsi="Arial"/>
                <w:sz w:val="17"/>
                <w:szCs w:val="17"/>
                <w:color w:val="auto"/>
              </w:rPr>
              <w:t>Goodwill</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b w:val="1"/>
                <w:bCs w:val="1"/>
                <w:color w:val="auto"/>
              </w:rPr>
              <w:t>4,362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7"/>
                <w:szCs w:val="17"/>
                <w:color w:val="auto"/>
              </w:rPr>
              <w:t>4,452</w:t>
            </w:r>
          </w:p>
        </w:tc>
        <w:tc>
          <w:tcPr>
            <w:tcW w:w="18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4,452</w:t>
            </w:r>
          </w:p>
        </w:tc>
        <w:tc>
          <w:tcPr>
            <w:tcW w:w="0" w:type="dxa"/>
            <w:vAlign w:val="bottom"/>
          </w:tcPr>
          <w:p>
            <w:pPr>
              <w:spacing w:after="0"/>
              <w:rPr>
                <w:sz w:val="1"/>
                <w:szCs w:val="1"/>
                <w:color w:val="auto"/>
              </w:rPr>
            </w:pPr>
          </w:p>
        </w:tc>
      </w:tr>
      <w:tr>
        <w:trPr>
          <w:trHeight w:val="201"/>
        </w:trPr>
        <w:tc>
          <w:tcPr>
            <w:tcW w:w="7360" w:type="dxa"/>
            <w:vAlign w:val="bottom"/>
            <w:shd w:val="clear" w:color="auto" w:fill="CCEEFF"/>
          </w:tcPr>
          <w:p>
            <w:pPr>
              <w:spacing w:after="0"/>
              <w:rPr>
                <w:sz w:val="20"/>
                <w:szCs w:val="20"/>
                <w:color w:val="auto"/>
              </w:rPr>
            </w:pPr>
            <w:r>
              <w:rPr>
                <w:rFonts w:ascii="Arial" w:cs="Arial" w:eastAsia="Arial" w:hAnsi="Arial"/>
                <w:sz w:val="17"/>
                <w:szCs w:val="17"/>
                <w:color w:val="auto"/>
              </w:rPr>
              <w:t>Acquisition-related intangibles, net</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2,558</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2,900</w:t>
            </w: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2,643</w:t>
            </w:r>
          </w:p>
        </w:tc>
        <w:tc>
          <w:tcPr>
            <w:tcW w:w="0" w:type="dxa"/>
            <w:vAlign w:val="bottom"/>
          </w:tcPr>
          <w:p>
            <w:pPr>
              <w:spacing w:after="0"/>
              <w:rPr>
                <w:sz w:val="1"/>
                <w:szCs w:val="1"/>
                <w:color w:val="auto"/>
              </w:rPr>
            </w:pPr>
          </w:p>
        </w:tc>
      </w:tr>
      <w:tr>
        <w:trPr>
          <w:trHeight w:val="201"/>
        </w:trPr>
        <w:tc>
          <w:tcPr>
            <w:tcW w:w="7360" w:type="dxa"/>
            <w:vAlign w:val="bottom"/>
          </w:tcPr>
          <w:p>
            <w:pPr>
              <w:spacing w:after="0"/>
              <w:rPr>
                <w:sz w:val="20"/>
                <w:szCs w:val="20"/>
                <w:color w:val="auto"/>
              </w:rPr>
            </w:pPr>
            <w:r>
              <w:rPr>
                <w:rFonts w:ascii="Arial" w:cs="Arial" w:eastAsia="Arial" w:hAnsi="Arial"/>
                <w:sz w:val="17"/>
                <w:szCs w:val="17"/>
                <w:color w:val="auto"/>
              </w:rPr>
              <w:t>Deferred income taxes</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b w:val="1"/>
                <w:bCs w:val="1"/>
                <w:color w:val="auto"/>
              </w:rPr>
              <w:t>280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7"/>
                <w:szCs w:val="17"/>
                <w:color w:val="auto"/>
              </w:rPr>
              <w:t>321</w:t>
            </w:r>
          </w:p>
        </w:tc>
        <w:tc>
          <w:tcPr>
            <w:tcW w:w="18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199</w:t>
            </w:r>
          </w:p>
        </w:tc>
        <w:tc>
          <w:tcPr>
            <w:tcW w:w="0" w:type="dxa"/>
            <w:vAlign w:val="bottom"/>
          </w:tcPr>
          <w:p>
            <w:pPr>
              <w:spacing w:after="0"/>
              <w:rPr>
                <w:sz w:val="1"/>
                <w:szCs w:val="1"/>
                <w:color w:val="auto"/>
              </w:rPr>
            </w:pPr>
          </w:p>
        </w:tc>
      </w:tr>
      <w:tr>
        <w:trPr>
          <w:trHeight w:val="201"/>
        </w:trPr>
        <w:tc>
          <w:tcPr>
            <w:tcW w:w="7360" w:type="dxa"/>
            <w:vAlign w:val="bottom"/>
            <w:shd w:val="clear" w:color="auto" w:fill="CCEEFF"/>
          </w:tcPr>
          <w:p>
            <w:pPr>
              <w:spacing w:after="0"/>
              <w:rPr>
                <w:sz w:val="20"/>
                <w:szCs w:val="20"/>
                <w:color w:val="auto"/>
              </w:rPr>
            </w:pPr>
            <w:r>
              <w:rPr>
                <w:rFonts w:ascii="Arial" w:cs="Arial" w:eastAsia="Arial" w:hAnsi="Arial"/>
                <w:sz w:val="17"/>
                <w:szCs w:val="17"/>
                <w:color w:val="auto"/>
              </w:rPr>
              <w:t>Capitalized software licenses, net</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b w:val="1"/>
                <w:bCs w:val="1"/>
                <w:color w:val="auto"/>
              </w:rPr>
              <w:t>142</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206</w:t>
            </w: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166</w:t>
            </w:r>
          </w:p>
        </w:tc>
        <w:tc>
          <w:tcPr>
            <w:tcW w:w="0" w:type="dxa"/>
            <w:vAlign w:val="bottom"/>
          </w:tcPr>
          <w:p>
            <w:pPr>
              <w:spacing w:after="0"/>
              <w:rPr>
                <w:sz w:val="1"/>
                <w:szCs w:val="1"/>
                <w:color w:val="auto"/>
              </w:rPr>
            </w:pPr>
          </w:p>
        </w:tc>
      </w:tr>
      <w:tr>
        <w:trPr>
          <w:trHeight w:val="201"/>
        </w:trPr>
        <w:tc>
          <w:tcPr>
            <w:tcW w:w="7360" w:type="dxa"/>
            <w:vAlign w:val="bottom"/>
          </w:tcPr>
          <w:p>
            <w:pPr>
              <w:spacing w:after="0"/>
              <w:rPr>
                <w:sz w:val="20"/>
                <w:szCs w:val="20"/>
                <w:color w:val="auto"/>
              </w:rPr>
            </w:pPr>
            <w:r>
              <w:rPr>
                <w:rFonts w:ascii="Arial" w:cs="Arial" w:eastAsia="Arial" w:hAnsi="Arial"/>
                <w:sz w:val="17"/>
                <w:szCs w:val="17"/>
                <w:color w:val="auto"/>
              </w:rPr>
              <w:t>Overfunded retirement plans</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b w:val="1"/>
                <w:bCs w:val="1"/>
                <w:color w:val="auto"/>
              </w:rPr>
              <w:t>68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40</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r>
        <w:trPr>
          <w:trHeight w:val="206"/>
        </w:trPr>
        <w:tc>
          <w:tcPr>
            <w:tcW w:w="7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Other assets</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254</w:t>
            </w: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w:t>
            </w:r>
          </w:p>
        </w:tc>
        <w:tc>
          <w:tcPr>
            <w:tcW w:w="2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161</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360" w:type="dxa"/>
            <w:vAlign w:val="bottom"/>
          </w:tcPr>
          <w:p>
            <w:pPr>
              <w:spacing w:after="0"/>
              <w:rPr>
                <w:sz w:val="20"/>
                <w:szCs w:val="20"/>
                <w:color w:val="auto"/>
              </w:rPr>
            </w:pPr>
            <w:r>
              <w:rPr>
                <w:rFonts w:ascii="Arial" w:cs="Arial" w:eastAsia="Arial" w:hAnsi="Arial"/>
                <w:sz w:val="17"/>
                <w:szCs w:val="17"/>
                <w:color w:val="auto"/>
              </w:rPr>
              <w:t>Total assets</w:t>
            </w:r>
          </w:p>
        </w:tc>
        <w:tc>
          <w:tcPr>
            <w:tcW w:w="280" w:type="dxa"/>
            <w:vAlign w:val="bottom"/>
            <w:gridSpan w:val="2"/>
          </w:tcPr>
          <w:p>
            <w:pPr>
              <w:jc w:val="right"/>
              <w:ind w:right="47"/>
              <w:spacing w:after="0"/>
              <w:rPr>
                <w:sz w:val="20"/>
                <w:szCs w:val="20"/>
                <w:color w:val="auto"/>
              </w:rPr>
            </w:pPr>
            <w:r>
              <w:rPr>
                <w:rFonts w:ascii="Arial" w:cs="Arial" w:eastAsia="Arial" w:hAnsi="Arial"/>
                <w:sz w:val="17"/>
                <w:szCs w:val="17"/>
                <w:b w:val="1"/>
                <w:bCs w:val="1"/>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7"/>
                <w:szCs w:val="17"/>
                <w:b w:val="1"/>
                <w:bCs w:val="1"/>
                <w:color w:val="auto"/>
              </w:rPr>
              <w:t>20,064</w:t>
            </w:r>
          </w:p>
        </w:tc>
        <w:tc>
          <w:tcPr>
            <w:tcW w:w="260" w:type="dxa"/>
            <w:vAlign w:val="bottom"/>
            <w:gridSpan w:val="2"/>
          </w:tcPr>
          <w:p>
            <w:pPr>
              <w:jc w:val="right"/>
              <w:ind w:right="27"/>
              <w:spacing w:after="0"/>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7"/>
                <w:szCs w:val="17"/>
                <w:color w:val="auto"/>
              </w:rPr>
              <w:t>20,497</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20,514</w:t>
            </w: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7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7360" w:type="dxa"/>
            <w:vAlign w:val="bottom"/>
          </w:tcPr>
          <w:p>
            <w:pPr>
              <w:spacing w:after="0"/>
              <w:rPr>
                <w:sz w:val="20"/>
                <w:szCs w:val="20"/>
                <w:color w:val="auto"/>
              </w:rPr>
            </w:pPr>
            <w:r>
              <w:rPr>
                <w:rFonts w:ascii="Arial" w:cs="Arial" w:eastAsia="Arial" w:hAnsi="Arial"/>
                <w:sz w:val="17"/>
                <w:szCs w:val="17"/>
                <w:b w:val="1"/>
                <w:bCs w:val="1"/>
                <w:color w:val="auto"/>
              </w:rPr>
              <w:t>Liabilities and Stockholders’ Equity</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360" w:type="dxa"/>
            <w:vAlign w:val="bottom"/>
            <w:shd w:val="clear" w:color="auto" w:fill="CCEEFF"/>
          </w:tcPr>
          <w:p>
            <w:pPr>
              <w:spacing w:after="0"/>
              <w:rPr>
                <w:sz w:val="20"/>
                <w:szCs w:val="20"/>
                <w:color w:val="auto"/>
              </w:rPr>
            </w:pPr>
            <w:r>
              <w:rPr>
                <w:rFonts w:ascii="Arial" w:cs="Arial" w:eastAsia="Arial" w:hAnsi="Arial"/>
                <w:sz w:val="17"/>
                <w:szCs w:val="17"/>
                <w:color w:val="auto"/>
              </w:rPr>
              <w:t>Current liabilities:</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360" w:type="dxa"/>
            <w:vAlign w:val="bottom"/>
          </w:tcPr>
          <w:p>
            <w:pPr>
              <w:ind w:left="160"/>
              <w:spacing w:after="0"/>
              <w:rPr>
                <w:sz w:val="20"/>
                <w:szCs w:val="20"/>
                <w:color w:val="auto"/>
              </w:rPr>
            </w:pPr>
            <w:r>
              <w:rPr>
                <w:rFonts w:ascii="Arial" w:cs="Arial" w:eastAsia="Arial" w:hAnsi="Arial"/>
                <w:sz w:val="17"/>
                <w:szCs w:val="17"/>
                <w:color w:val="auto"/>
              </w:rPr>
              <w:t>Commercial paper borrowings</w:t>
            </w:r>
          </w:p>
        </w:tc>
        <w:tc>
          <w:tcPr>
            <w:tcW w:w="280" w:type="dxa"/>
            <w:vAlign w:val="bottom"/>
            <w:gridSpan w:val="2"/>
          </w:tcPr>
          <w:p>
            <w:pPr>
              <w:jc w:val="right"/>
              <w:ind w:right="47"/>
              <w:spacing w:after="0"/>
              <w:rPr>
                <w:sz w:val="20"/>
                <w:szCs w:val="20"/>
                <w:color w:val="auto"/>
              </w:rPr>
            </w:pPr>
            <w:r>
              <w:rPr>
                <w:rFonts w:ascii="Arial" w:cs="Arial" w:eastAsia="Arial" w:hAnsi="Arial"/>
                <w:sz w:val="17"/>
                <w:szCs w:val="17"/>
                <w:b w:val="1"/>
                <w:bCs w:val="1"/>
                <w:color w:val="auto"/>
              </w:rPr>
              <w:t>$</w:t>
            </w:r>
          </w:p>
        </w:tc>
        <w:tc>
          <w:tcPr>
            <w:tcW w:w="96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40" w:type="dxa"/>
            <w:vAlign w:val="bottom"/>
          </w:tcPr>
          <w:p>
            <w:pPr>
              <w:spacing w:after="0"/>
              <w:rPr>
                <w:sz w:val="17"/>
                <w:szCs w:val="17"/>
                <w:color w:val="auto"/>
              </w:rPr>
            </w:pPr>
          </w:p>
        </w:tc>
        <w:tc>
          <w:tcPr>
            <w:tcW w:w="260" w:type="dxa"/>
            <w:vAlign w:val="bottom"/>
            <w:gridSpan w:val="2"/>
          </w:tcPr>
          <w:p>
            <w:pPr>
              <w:jc w:val="right"/>
              <w:ind w:right="27"/>
              <w:spacing w:after="0"/>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7"/>
                <w:szCs w:val="17"/>
                <w:color w:val="auto"/>
              </w:rPr>
              <w:t>999</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1"/>
        </w:trPr>
        <w:tc>
          <w:tcPr>
            <w:tcW w:w="73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Current portion of long-term debt</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1,500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382</w:t>
            </w: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1,500</w:t>
            </w:r>
          </w:p>
        </w:tc>
        <w:tc>
          <w:tcPr>
            <w:tcW w:w="0" w:type="dxa"/>
            <w:vAlign w:val="bottom"/>
          </w:tcPr>
          <w:p>
            <w:pPr>
              <w:spacing w:after="0"/>
              <w:rPr>
                <w:sz w:val="1"/>
                <w:szCs w:val="1"/>
                <w:color w:val="auto"/>
              </w:rPr>
            </w:pPr>
          </w:p>
        </w:tc>
      </w:tr>
      <w:tr>
        <w:trPr>
          <w:trHeight w:val="201"/>
        </w:trPr>
        <w:tc>
          <w:tcPr>
            <w:tcW w:w="7360" w:type="dxa"/>
            <w:vAlign w:val="bottom"/>
          </w:tcPr>
          <w:p>
            <w:pPr>
              <w:ind w:left="160"/>
              <w:spacing w:after="0"/>
              <w:rPr>
                <w:sz w:val="20"/>
                <w:szCs w:val="20"/>
                <w:color w:val="auto"/>
              </w:rPr>
            </w:pPr>
            <w:r>
              <w:rPr>
                <w:rFonts w:ascii="Arial" w:cs="Arial" w:eastAsia="Arial" w:hAnsi="Arial"/>
                <w:sz w:val="17"/>
                <w:szCs w:val="17"/>
                <w:color w:val="auto"/>
              </w:rPr>
              <w:t>Accounts payable</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b w:val="1"/>
                <w:bCs w:val="1"/>
                <w:color w:val="auto"/>
              </w:rPr>
              <w:t>444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7"/>
                <w:szCs w:val="17"/>
                <w:color w:val="auto"/>
              </w:rPr>
              <w:t>625</w:t>
            </w:r>
          </w:p>
        </w:tc>
        <w:tc>
          <w:tcPr>
            <w:tcW w:w="18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501</w:t>
            </w:r>
          </w:p>
        </w:tc>
        <w:tc>
          <w:tcPr>
            <w:tcW w:w="0" w:type="dxa"/>
            <w:vAlign w:val="bottom"/>
          </w:tcPr>
          <w:p>
            <w:pPr>
              <w:spacing w:after="0"/>
              <w:rPr>
                <w:sz w:val="1"/>
                <w:szCs w:val="1"/>
                <w:color w:val="auto"/>
              </w:rPr>
            </w:pPr>
          </w:p>
        </w:tc>
      </w:tr>
      <w:tr>
        <w:trPr>
          <w:trHeight w:val="201"/>
        </w:trPr>
        <w:tc>
          <w:tcPr>
            <w:tcW w:w="73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Accrued compensation</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b w:val="1"/>
                <w:bCs w:val="1"/>
                <w:color w:val="auto"/>
              </w:rPr>
              <w:t>524</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597</w:t>
            </w: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552</w:t>
            </w:r>
          </w:p>
        </w:tc>
        <w:tc>
          <w:tcPr>
            <w:tcW w:w="0" w:type="dxa"/>
            <w:vAlign w:val="bottom"/>
          </w:tcPr>
          <w:p>
            <w:pPr>
              <w:spacing w:after="0"/>
              <w:rPr>
                <w:sz w:val="1"/>
                <w:szCs w:val="1"/>
                <w:color w:val="auto"/>
              </w:rPr>
            </w:pPr>
          </w:p>
        </w:tc>
      </w:tr>
      <w:tr>
        <w:trPr>
          <w:trHeight w:val="201"/>
        </w:trPr>
        <w:tc>
          <w:tcPr>
            <w:tcW w:w="7360" w:type="dxa"/>
            <w:vAlign w:val="bottom"/>
          </w:tcPr>
          <w:p>
            <w:pPr>
              <w:ind w:left="160"/>
              <w:spacing w:after="0"/>
              <w:rPr>
                <w:sz w:val="20"/>
                <w:szCs w:val="20"/>
                <w:color w:val="auto"/>
              </w:rPr>
            </w:pPr>
            <w:r>
              <w:rPr>
                <w:rFonts w:ascii="Arial" w:cs="Arial" w:eastAsia="Arial" w:hAnsi="Arial"/>
                <w:sz w:val="17"/>
                <w:szCs w:val="17"/>
                <w:color w:val="auto"/>
              </w:rPr>
              <w:t>Income taxes payable</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b w:val="1"/>
                <w:bCs w:val="1"/>
                <w:color w:val="auto"/>
              </w:rPr>
              <w:t>122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7"/>
                <w:szCs w:val="17"/>
                <w:color w:val="auto"/>
              </w:rPr>
              <w:t>101</w:t>
            </w:r>
          </w:p>
        </w:tc>
        <w:tc>
          <w:tcPr>
            <w:tcW w:w="18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106</w:t>
            </w:r>
          </w:p>
        </w:tc>
        <w:tc>
          <w:tcPr>
            <w:tcW w:w="0" w:type="dxa"/>
            <w:vAlign w:val="bottom"/>
          </w:tcPr>
          <w:p>
            <w:pPr>
              <w:spacing w:after="0"/>
              <w:rPr>
                <w:sz w:val="1"/>
                <w:szCs w:val="1"/>
                <w:color w:val="auto"/>
              </w:rPr>
            </w:pPr>
          </w:p>
        </w:tc>
      </w:tr>
      <w:tr>
        <w:trPr>
          <w:trHeight w:val="201"/>
        </w:trPr>
        <w:tc>
          <w:tcPr>
            <w:tcW w:w="73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Deferred income taxes</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b w:val="1"/>
                <w:bCs w:val="1"/>
                <w:color w:val="auto"/>
              </w:rPr>
              <w:t>2</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7360" w:type="dxa"/>
            <w:vAlign w:val="bottom"/>
          </w:tcPr>
          <w:p>
            <w:pPr>
              <w:ind w:left="160"/>
              <w:spacing w:after="0"/>
              <w:rPr>
                <w:sz w:val="20"/>
                <w:szCs w:val="20"/>
                <w:color w:val="auto"/>
              </w:rPr>
            </w:pPr>
            <w:r>
              <w:rPr>
                <w:rFonts w:ascii="Arial" w:cs="Arial" w:eastAsia="Arial" w:hAnsi="Arial"/>
                <w:sz w:val="17"/>
                <w:szCs w:val="17"/>
                <w:color w:val="auto"/>
              </w:rPr>
              <w:t>Accrued expenses and other liabilities</w:t>
            </w: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881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795</w:t>
            </w:r>
          </w:p>
        </w:tc>
        <w:tc>
          <w:tcPr>
            <w:tcW w:w="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3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Total current liabilities</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3,473</w:t>
            </w: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3,499</w:t>
            </w:r>
          </w:p>
        </w:tc>
        <w:tc>
          <w:tcPr>
            <w:tcW w:w="2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3,425</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360" w:type="dxa"/>
            <w:vAlign w:val="bottom"/>
          </w:tcPr>
          <w:p>
            <w:pPr>
              <w:spacing w:after="0"/>
              <w:rPr>
                <w:sz w:val="20"/>
                <w:szCs w:val="20"/>
                <w:color w:val="auto"/>
              </w:rPr>
            </w:pPr>
            <w:r>
              <w:rPr>
                <w:rFonts w:ascii="Arial" w:cs="Arial" w:eastAsia="Arial" w:hAnsi="Arial"/>
                <w:sz w:val="17"/>
                <w:szCs w:val="17"/>
                <w:color w:val="auto"/>
              </w:rPr>
              <w:t>Long-term debt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b w:val="1"/>
                <w:bCs w:val="1"/>
                <w:color w:val="auto"/>
              </w:rPr>
              <w:t>4,186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7"/>
                <w:szCs w:val="17"/>
                <w:color w:val="auto"/>
              </w:rPr>
              <w:t>4,211</w:t>
            </w:r>
          </w:p>
        </w:tc>
        <w:tc>
          <w:tcPr>
            <w:tcW w:w="18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4,190</w:t>
            </w:r>
          </w:p>
        </w:tc>
        <w:tc>
          <w:tcPr>
            <w:tcW w:w="0" w:type="dxa"/>
            <w:vAlign w:val="bottom"/>
          </w:tcPr>
          <w:p>
            <w:pPr>
              <w:spacing w:after="0"/>
              <w:rPr>
                <w:sz w:val="1"/>
                <w:szCs w:val="1"/>
                <w:color w:val="auto"/>
              </w:rPr>
            </w:pPr>
          </w:p>
        </w:tc>
      </w:tr>
      <w:tr>
        <w:trPr>
          <w:trHeight w:val="201"/>
        </w:trPr>
        <w:tc>
          <w:tcPr>
            <w:tcW w:w="7360" w:type="dxa"/>
            <w:vAlign w:val="bottom"/>
            <w:shd w:val="clear" w:color="auto" w:fill="CCEEFF"/>
          </w:tcPr>
          <w:p>
            <w:pPr>
              <w:spacing w:after="0"/>
              <w:rPr>
                <w:sz w:val="20"/>
                <w:szCs w:val="20"/>
                <w:color w:val="auto"/>
              </w:rPr>
            </w:pPr>
            <w:r>
              <w:rPr>
                <w:rFonts w:ascii="Arial" w:cs="Arial" w:eastAsia="Arial" w:hAnsi="Arial"/>
                <w:sz w:val="17"/>
                <w:szCs w:val="17"/>
                <w:color w:val="auto"/>
              </w:rPr>
              <w:t>Underfunded retirement plans</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b w:val="1"/>
                <w:bCs w:val="1"/>
                <w:color w:val="auto"/>
              </w:rPr>
              <w:t>269</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701</w:t>
            </w: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350</w:t>
            </w:r>
          </w:p>
        </w:tc>
        <w:tc>
          <w:tcPr>
            <w:tcW w:w="0" w:type="dxa"/>
            <w:vAlign w:val="bottom"/>
          </w:tcPr>
          <w:p>
            <w:pPr>
              <w:spacing w:after="0"/>
              <w:rPr>
                <w:sz w:val="1"/>
                <w:szCs w:val="1"/>
                <w:color w:val="auto"/>
              </w:rPr>
            </w:pPr>
          </w:p>
        </w:tc>
      </w:tr>
      <w:tr>
        <w:trPr>
          <w:trHeight w:val="201"/>
        </w:trPr>
        <w:tc>
          <w:tcPr>
            <w:tcW w:w="7360" w:type="dxa"/>
            <w:vAlign w:val="bottom"/>
          </w:tcPr>
          <w:p>
            <w:pPr>
              <w:spacing w:after="0"/>
              <w:rPr>
                <w:sz w:val="20"/>
                <w:szCs w:val="20"/>
                <w:color w:val="auto"/>
              </w:rPr>
            </w:pPr>
            <w:r>
              <w:rPr>
                <w:rFonts w:ascii="Arial" w:cs="Arial" w:eastAsia="Arial" w:hAnsi="Arial"/>
                <w:sz w:val="17"/>
                <w:szCs w:val="17"/>
                <w:color w:val="auto"/>
              </w:rPr>
              <w:t>Deferred income taxes</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b w:val="1"/>
                <w:bCs w:val="1"/>
                <w:color w:val="auto"/>
              </w:rPr>
              <w:t>572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7"/>
                <w:szCs w:val="17"/>
                <w:color w:val="auto"/>
              </w:rPr>
              <w:t>607</w:t>
            </w:r>
          </w:p>
        </w:tc>
        <w:tc>
          <w:tcPr>
            <w:tcW w:w="18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596</w:t>
            </w:r>
          </w:p>
        </w:tc>
        <w:tc>
          <w:tcPr>
            <w:tcW w:w="0" w:type="dxa"/>
            <w:vAlign w:val="bottom"/>
          </w:tcPr>
          <w:p>
            <w:pPr>
              <w:spacing w:after="0"/>
              <w:rPr>
                <w:sz w:val="1"/>
                <w:szCs w:val="1"/>
                <w:color w:val="auto"/>
              </w:rPr>
            </w:pPr>
          </w:p>
        </w:tc>
      </w:tr>
      <w:tr>
        <w:trPr>
          <w:trHeight w:val="206"/>
        </w:trPr>
        <w:tc>
          <w:tcPr>
            <w:tcW w:w="7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Deferred credits and other liabilities</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603</w:t>
            </w: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527</w:t>
            </w:r>
          </w:p>
        </w:tc>
        <w:tc>
          <w:tcPr>
            <w:tcW w:w="2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550</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360" w:type="dxa"/>
            <w:vAlign w:val="bottom"/>
          </w:tcPr>
          <w:p>
            <w:pPr>
              <w:spacing w:after="0"/>
              <w:rPr>
                <w:sz w:val="20"/>
                <w:szCs w:val="20"/>
                <w:color w:val="auto"/>
              </w:rPr>
            </w:pPr>
            <w:r>
              <w:rPr>
                <w:rFonts w:ascii="Arial" w:cs="Arial" w:eastAsia="Arial" w:hAnsi="Arial"/>
                <w:sz w:val="17"/>
                <w:szCs w:val="17"/>
                <w:color w:val="auto"/>
              </w:rPr>
              <w:t>Total liabilities</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b w:val="1"/>
                <w:bCs w:val="1"/>
                <w:color w:val="auto"/>
              </w:rPr>
              <w:t>9,103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7"/>
                <w:szCs w:val="17"/>
                <w:color w:val="auto"/>
              </w:rPr>
              <w:t>9,545</w:t>
            </w:r>
          </w:p>
        </w:tc>
        <w:tc>
          <w:tcPr>
            <w:tcW w:w="18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9,111</w:t>
            </w:r>
          </w:p>
        </w:tc>
        <w:tc>
          <w:tcPr>
            <w:tcW w:w="0" w:type="dxa"/>
            <w:vAlign w:val="bottom"/>
          </w:tcPr>
          <w:p>
            <w:pPr>
              <w:spacing w:after="0"/>
              <w:rPr>
                <w:sz w:val="1"/>
                <w:szCs w:val="1"/>
                <w:color w:val="auto"/>
              </w:rPr>
            </w:pPr>
          </w:p>
        </w:tc>
      </w:tr>
      <w:tr>
        <w:trPr>
          <w:trHeight w:val="201"/>
        </w:trPr>
        <w:tc>
          <w:tcPr>
            <w:tcW w:w="7360" w:type="dxa"/>
            <w:vAlign w:val="bottom"/>
            <w:shd w:val="clear" w:color="auto" w:fill="CCEEFF"/>
          </w:tcPr>
          <w:p>
            <w:pPr>
              <w:spacing w:after="0"/>
              <w:rPr>
                <w:sz w:val="20"/>
                <w:szCs w:val="20"/>
                <w:color w:val="auto"/>
              </w:rPr>
            </w:pPr>
            <w:r>
              <w:rPr>
                <w:rFonts w:ascii="Arial" w:cs="Arial" w:eastAsia="Arial" w:hAnsi="Arial"/>
                <w:sz w:val="17"/>
                <w:szCs w:val="17"/>
                <w:color w:val="auto"/>
              </w:rPr>
              <w:t>Stockholders’ equity:</w:t>
            </w:r>
          </w:p>
        </w:tc>
        <w:tc>
          <w:tcPr>
            <w:tcW w:w="8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360" w:type="dxa"/>
            <w:vAlign w:val="bottom"/>
          </w:tcPr>
          <w:p>
            <w:pPr>
              <w:ind w:left="160"/>
              <w:spacing w:after="0" w:line="189" w:lineRule="exact"/>
              <w:rPr>
                <w:sz w:val="20"/>
                <w:szCs w:val="20"/>
                <w:color w:val="auto"/>
              </w:rPr>
            </w:pPr>
            <w:r>
              <w:rPr>
                <w:rFonts w:ascii="Arial" w:cs="Arial" w:eastAsia="Arial" w:hAnsi="Arial"/>
                <w:sz w:val="17"/>
                <w:szCs w:val="17"/>
                <w:color w:val="auto"/>
                <w:w w:val="90"/>
              </w:rPr>
              <w:t>Preferred stock, $25 par value. Authorized – 10,000,000 shares. Participating cumulative preferred. None</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7360" w:type="dxa"/>
            <w:vAlign w:val="bottom"/>
          </w:tcPr>
          <w:p>
            <w:pPr>
              <w:ind w:left="300"/>
              <w:spacing w:after="0"/>
              <w:rPr>
                <w:sz w:val="20"/>
                <w:szCs w:val="20"/>
                <w:color w:val="auto"/>
              </w:rPr>
            </w:pPr>
            <w:r>
              <w:rPr>
                <w:rFonts w:ascii="Arial" w:cs="Arial" w:eastAsia="Arial" w:hAnsi="Arial"/>
                <w:sz w:val="17"/>
                <w:szCs w:val="17"/>
                <w:color w:val="auto"/>
              </w:rPr>
              <w:t>issued.</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7360" w:type="dxa"/>
            <w:vAlign w:val="bottom"/>
            <w:shd w:val="clear" w:color="auto" w:fill="CCEEFF"/>
          </w:tcPr>
          <w:p>
            <w:pPr>
              <w:ind w:left="160"/>
              <w:spacing w:after="0" w:line="189" w:lineRule="exact"/>
              <w:rPr>
                <w:sz w:val="20"/>
                <w:szCs w:val="20"/>
                <w:color w:val="auto"/>
              </w:rPr>
            </w:pPr>
            <w:r>
              <w:rPr>
                <w:rFonts w:ascii="Arial" w:cs="Arial" w:eastAsia="Arial" w:hAnsi="Arial"/>
                <w:sz w:val="17"/>
                <w:szCs w:val="17"/>
                <w:color w:val="auto"/>
                <w:w w:val="97"/>
              </w:rPr>
              <w:t>Common stock, $1 par value. Authorized – 2,400,000,000 shares. Shares issued: Dec. 31, 2012 –</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1,741</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7360" w:type="dxa"/>
            <w:vAlign w:val="bottom"/>
            <w:shd w:val="clear" w:color="auto" w:fill="CCEEFF"/>
          </w:tcPr>
          <w:p>
            <w:pPr>
              <w:ind w:left="300"/>
              <w:spacing w:after="0"/>
              <w:rPr>
                <w:sz w:val="20"/>
                <w:szCs w:val="20"/>
                <w:color w:val="auto"/>
              </w:rPr>
            </w:pPr>
            <w:r>
              <w:rPr>
                <w:rFonts w:ascii="Arial" w:cs="Arial" w:eastAsia="Arial" w:hAnsi="Arial"/>
                <w:sz w:val="17"/>
                <w:szCs w:val="17"/>
                <w:color w:val="auto"/>
              </w:rPr>
              <w:t>1,740,815,939; Dec. 31, 2011 – 1,740,630,391; Sept. 30, 2012 – 1,740,815,939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1,741</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1,741</w:t>
            </w:r>
          </w:p>
        </w:tc>
        <w:tc>
          <w:tcPr>
            <w:tcW w:w="0" w:type="dxa"/>
            <w:vAlign w:val="bottom"/>
          </w:tcPr>
          <w:p>
            <w:pPr>
              <w:spacing w:after="0"/>
              <w:rPr>
                <w:sz w:val="1"/>
                <w:szCs w:val="1"/>
                <w:color w:val="auto"/>
              </w:rPr>
            </w:pPr>
          </w:p>
        </w:tc>
      </w:tr>
      <w:tr>
        <w:trPr>
          <w:trHeight w:val="201"/>
        </w:trPr>
        <w:tc>
          <w:tcPr>
            <w:tcW w:w="7360" w:type="dxa"/>
            <w:vAlign w:val="bottom"/>
          </w:tcPr>
          <w:p>
            <w:pPr>
              <w:ind w:left="160"/>
              <w:spacing w:after="0"/>
              <w:rPr>
                <w:sz w:val="20"/>
                <w:szCs w:val="20"/>
                <w:color w:val="auto"/>
              </w:rPr>
            </w:pPr>
            <w:r>
              <w:rPr>
                <w:rFonts w:ascii="Arial" w:cs="Arial" w:eastAsia="Arial" w:hAnsi="Arial"/>
                <w:sz w:val="17"/>
                <w:szCs w:val="17"/>
                <w:color w:val="auto"/>
              </w:rPr>
              <w:t>Paid-in capital</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b w:val="1"/>
                <w:bCs w:val="1"/>
                <w:color w:val="auto"/>
              </w:rPr>
              <w:t>1,176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7"/>
                <w:szCs w:val="17"/>
                <w:color w:val="auto"/>
              </w:rPr>
              <w:t>1,194</w:t>
            </w:r>
          </w:p>
        </w:tc>
        <w:tc>
          <w:tcPr>
            <w:tcW w:w="18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1,193</w:t>
            </w:r>
          </w:p>
        </w:tc>
        <w:tc>
          <w:tcPr>
            <w:tcW w:w="0" w:type="dxa"/>
            <w:vAlign w:val="bottom"/>
          </w:tcPr>
          <w:p>
            <w:pPr>
              <w:spacing w:after="0"/>
              <w:rPr>
                <w:sz w:val="1"/>
                <w:szCs w:val="1"/>
                <w:color w:val="auto"/>
              </w:rPr>
            </w:pPr>
          </w:p>
        </w:tc>
      </w:tr>
      <w:tr>
        <w:trPr>
          <w:trHeight w:val="201"/>
        </w:trPr>
        <w:tc>
          <w:tcPr>
            <w:tcW w:w="73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Retained earnings</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b w:val="1"/>
                <w:bCs w:val="1"/>
                <w:color w:val="auto"/>
              </w:rPr>
              <w:t>27,205</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26,278</w:t>
            </w: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27,179</w:t>
            </w:r>
          </w:p>
        </w:tc>
        <w:tc>
          <w:tcPr>
            <w:tcW w:w="0" w:type="dxa"/>
            <w:vAlign w:val="bottom"/>
          </w:tcPr>
          <w:p>
            <w:pPr>
              <w:spacing w:after="0"/>
              <w:rPr>
                <w:sz w:val="1"/>
                <w:szCs w:val="1"/>
                <w:color w:val="auto"/>
              </w:rPr>
            </w:pPr>
          </w:p>
        </w:tc>
      </w:tr>
      <w:tr>
        <w:trPr>
          <w:trHeight w:val="189"/>
        </w:trPr>
        <w:tc>
          <w:tcPr>
            <w:tcW w:w="7360" w:type="dxa"/>
            <w:vAlign w:val="bottom"/>
          </w:tcPr>
          <w:p>
            <w:pPr>
              <w:ind w:left="160"/>
              <w:spacing w:after="0" w:line="189" w:lineRule="exact"/>
              <w:rPr>
                <w:sz w:val="20"/>
                <w:szCs w:val="20"/>
                <w:color w:val="auto"/>
              </w:rPr>
            </w:pPr>
            <w:r>
              <w:rPr>
                <w:rFonts w:ascii="Arial" w:cs="Arial" w:eastAsia="Arial" w:hAnsi="Arial"/>
                <w:sz w:val="17"/>
                <w:szCs w:val="17"/>
                <w:color w:val="auto"/>
              </w:rPr>
              <w:t>Less treasury common stock at cost:</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7360" w:type="dxa"/>
            <w:vAlign w:val="bottom"/>
          </w:tcPr>
          <w:p>
            <w:pPr>
              <w:ind w:left="160"/>
              <w:spacing w:after="0"/>
              <w:rPr>
                <w:sz w:val="20"/>
                <w:szCs w:val="20"/>
                <w:color w:val="auto"/>
              </w:rPr>
            </w:pPr>
            <w:r>
              <w:rPr>
                <w:rFonts w:ascii="Arial" w:cs="Arial" w:eastAsia="Arial" w:hAnsi="Arial"/>
                <w:sz w:val="17"/>
                <w:szCs w:val="17"/>
                <w:color w:val="auto"/>
              </w:rPr>
              <w:t>Shares: Dec. 31, 2012 – 632,636,970; Dec. 31, 2011 –</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2"/>
            <w:vMerge w:val="restart"/>
          </w:tcPr>
          <w:p>
            <w:pPr>
              <w:jc w:val="right"/>
              <w:ind w:right="80"/>
              <w:spacing w:after="0"/>
              <w:rPr>
                <w:sz w:val="20"/>
                <w:szCs w:val="20"/>
                <w:color w:val="auto"/>
              </w:rPr>
            </w:pPr>
            <w:r>
              <w:rPr>
                <w:rFonts w:ascii="Arial" w:cs="Arial" w:eastAsia="Arial" w:hAnsi="Arial"/>
                <w:sz w:val="17"/>
                <w:szCs w:val="17"/>
                <w:b w:val="1"/>
                <w:bCs w:val="1"/>
                <w:color w:val="auto"/>
              </w:rPr>
              <w:t>(18,462)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360" w:type="dxa"/>
            <w:vAlign w:val="bottom"/>
          </w:tcPr>
          <w:p>
            <w:pPr>
              <w:ind w:left="280"/>
              <w:spacing w:after="0"/>
              <w:rPr>
                <w:sz w:val="20"/>
                <w:szCs w:val="20"/>
                <w:color w:val="auto"/>
              </w:rPr>
            </w:pPr>
            <w:r>
              <w:rPr>
                <w:rFonts w:ascii="Arial" w:cs="Arial" w:eastAsia="Arial" w:hAnsi="Arial"/>
                <w:sz w:val="17"/>
                <w:szCs w:val="17"/>
                <w:color w:val="auto"/>
              </w:rPr>
              <w:t>601,131,631; Sept. 30, 2012 – 620,012,959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(17,485)</w:t>
            </w: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7"/>
                <w:szCs w:val="17"/>
                <w:color w:val="auto"/>
              </w:rPr>
              <w:t>(18,093)</w:t>
            </w:r>
          </w:p>
        </w:tc>
        <w:tc>
          <w:tcPr>
            <w:tcW w:w="0" w:type="dxa"/>
            <w:vAlign w:val="bottom"/>
          </w:tcPr>
          <w:p>
            <w:pPr>
              <w:spacing w:after="0"/>
              <w:rPr>
                <w:sz w:val="1"/>
                <w:szCs w:val="1"/>
                <w:color w:val="auto"/>
              </w:rPr>
            </w:pPr>
          </w:p>
        </w:tc>
      </w:tr>
      <w:tr>
        <w:trPr>
          <w:trHeight w:val="206"/>
        </w:trPr>
        <w:tc>
          <w:tcPr>
            <w:tcW w:w="73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Accumulated other comprehensive income (loss), net of taxes</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b w:val="1"/>
                <w:bCs w:val="1"/>
                <w:color w:val="auto"/>
              </w:rPr>
              <w:t>(699)</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(776)</w:t>
            </w: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(617)</w:t>
            </w:r>
          </w:p>
        </w:tc>
        <w:tc>
          <w:tcPr>
            <w:tcW w:w="0" w:type="dxa"/>
            <w:vAlign w:val="bottom"/>
          </w:tcPr>
          <w:p>
            <w:pPr>
              <w:spacing w:after="0"/>
              <w:rPr>
                <w:sz w:val="1"/>
                <w:szCs w:val="1"/>
                <w:color w:val="auto"/>
              </w:rPr>
            </w:pPr>
          </w:p>
        </w:tc>
      </w:tr>
      <w:tr>
        <w:trPr>
          <w:trHeight w:val="206"/>
        </w:trPr>
        <w:tc>
          <w:tcPr>
            <w:tcW w:w="7360" w:type="dxa"/>
            <w:vAlign w:val="bottom"/>
            <w:tcBorders>
              <w:top w:val="single" w:sz="8" w:color="CCEEFF"/>
            </w:tcBorders>
          </w:tcPr>
          <w:p>
            <w:pPr>
              <w:ind w:left="160"/>
              <w:spacing w:after="0"/>
              <w:rPr>
                <w:sz w:val="20"/>
                <w:szCs w:val="20"/>
                <w:color w:val="auto"/>
              </w:rPr>
            </w:pPr>
            <w:r>
              <w:rPr>
                <w:rFonts w:ascii="Arial" w:cs="Arial" w:eastAsia="Arial" w:hAnsi="Arial"/>
                <w:sz w:val="17"/>
                <w:szCs w:val="17"/>
                <w:color w:val="auto"/>
              </w:rPr>
              <w:t>Total stockholders’ equity</w:t>
            </w:r>
          </w:p>
        </w:tc>
        <w:tc>
          <w:tcPr>
            <w:tcW w:w="80" w:type="dxa"/>
            <w:vAlign w:val="bottom"/>
            <w:tcBorders>
              <w:top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10,961</w:t>
            </w: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10,952</w:t>
            </w: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11,403</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7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 liabilities and stockholders’ equity</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20,064</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20,497</w:t>
            </w:r>
          </w:p>
        </w:tc>
        <w:tc>
          <w:tcPr>
            <w:tcW w:w="2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20,514</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61"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7"/>
          <w:szCs w:val="17"/>
          <w:b w:val="1"/>
          <w:bCs w:val="1"/>
          <w:color w:val="auto"/>
        </w:rPr>
        <w:t>TEXAS INSTRUMENTS INCORPORATED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(Millions of dollars)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7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2740" w:type="dxa"/>
            <w:vAlign w:val="bottom"/>
            <w:tcBorders>
              <w:bottom w:val="single" w:sz="8" w:color="auto"/>
            </w:tcBorders>
            <w:gridSpan w:val="7"/>
            <w:shd w:val="clear" w:color="auto" w:fill="CCEEFF"/>
          </w:tcPr>
          <w:p>
            <w:pPr>
              <w:jc w:val="right"/>
              <w:ind w:right="80"/>
              <w:spacing w:after="0"/>
              <w:rPr>
                <w:sz w:val="20"/>
                <w:szCs w:val="20"/>
                <w:color w:val="auto"/>
              </w:rPr>
            </w:pPr>
            <w:r>
              <w:rPr>
                <w:rFonts w:ascii="Arial" w:cs="Arial" w:eastAsia="Arial" w:hAnsi="Arial"/>
                <w:sz w:val="17"/>
                <w:szCs w:val="17"/>
                <w:b w:val="1"/>
                <w:bCs w:val="1"/>
                <w:color w:val="auto"/>
              </w:rPr>
              <w:t>For Three Months Ended</w:t>
            </w:r>
          </w:p>
        </w:tc>
        <w:tc>
          <w:tcPr>
            <w:tcW w:w="96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2320" w:type="dxa"/>
            <w:vAlign w:val="bottom"/>
            <w:tcBorders>
              <w:bottom w:val="single" w:sz="8" w:color="auto"/>
            </w:tcBorders>
            <w:gridSpan w:val="4"/>
            <w:shd w:val="clear" w:color="auto" w:fill="CCEEFF"/>
          </w:tcPr>
          <w:p>
            <w:pPr>
              <w:jc w:val="right"/>
              <w:ind w:right="556"/>
              <w:spacing w:after="0"/>
              <w:rPr>
                <w:sz w:val="20"/>
                <w:szCs w:val="20"/>
                <w:color w:val="auto"/>
              </w:rPr>
            </w:pPr>
            <w:r>
              <w:rPr>
                <w:rFonts w:ascii="Arial" w:cs="Arial" w:eastAsia="Arial" w:hAnsi="Arial"/>
                <w:sz w:val="17"/>
                <w:szCs w:val="17"/>
                <w:b w:val="1"/>
                <w:bCs w:val="1"/>
                <w:color w:val="auto"/>
              </w:rPr>
              <w:t>For Years Ended</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85"/>
        </w:trPr>
        <w:tc>
          <w:tcPr>
            <w:tcW w:w="4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jc w:val="right"/>
              <w:ind w:right="540"/>
              <w:spacing w:after="0" w:line="185" w:lineRule="exact"/>
              <w:rPr>
                <w:sz w:val="20"/>
                <w:szCs w:val="20"/>
                <w:color w:val="auto"/>
              </w:rPr>
            </w:pPr>
            <w:r>
              <w:rPr>
                <w:rFonts w:ascii="Arial" w:cs="Arial" w:eastAsia="Arial" w:hAnsi="Arial"/>
                <w:sz w:val="17"/>
                <w:szCs w:val="17"/>
                <w:b w:val="1"/>
                <w:bCs w:val="1"/>
                <w:color w:val="auto"/>
                <w:w w:val="99"/>
              </w:rPr>
              <w:t>Dec. 31,</w:t>
            </w:r>
          </w:p>
        </w:tc>
        <w:tc>
          <w:tcPr>
            <w:tcW w:w="200" w:type="dxa"/>
            <w:vAlign w:val="bottom"/>
          </w:tcPr>
          <w:p>
            <w:pPr>
              <w:spacing w:after="0"/>
              <w:rPr>
                <w:sz w:val="16"/>
                <w:szCs w:val="16"/>
                <w:color w:val="auto"/>
              </w:rPr>
            </w:pPr>
          </w:p>
        </w:tc>
        <w:tc>
          <w:tcPr>
            <w:tcW w:w="1080" w:type="dxa"/>
            <w:vAlign w:val="bottom"/>
            <w:gridSpan w:val="2"/>
          </w:tcPr>
          <w:p>
            <w:pPr>
              <w:jc w:val="center"/>
              <w:ind w:right="320"/>
              <w:spacing w:after="0" w:line="185" w:lineRule="exact"/>
              <w:rPr>
                <w:sz w:val="20"/>
                <w:szCs w:val="20"/>
                <w:color w:val="auto"/>
              </w:rPr>
            </w:pPr>
            <w:r>
              <w:rPr>
                <w:rFonts w:ascii="Arial" w:cs="Arial" w:eastAsia="Arial" w:hAnsi="Arial"/>
                <w:sz w:val="17"/>
                <w:szCs w:val="17"/>
                <w:b w:val="1"/>
                <w:bCs w:val="1"/>
                <w:color w:val="auto"/>
                <w:w w:val="87"/>
              </w:rPr>
              <w:t>Dec. 31,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jc w:val="right"/>
              <w:ind w:right="400"/>
              <w:spacing w:after="0" w:line="185" w:lineRule="exact"/>
              <w:rPr>
                <w:sz w:val="20"/>
                <w:szCs w:val="20"/>
                <w:color w:val="auto"/>
              </w:rPr>
            </w:pPr>
            <w:r>
              <w:rPr>
                <w:rFonts w:ascii="Arial" w:cs="Arial" w:eastAsia="Arial" w:hAnsi="Arial"/>
                <w:sz w:val="17"/>
                <w:szCs w:val="17"/>
                <w:b w:val="1"/>
                <w:bCs w:val="1"/>
                <w:color w:val="auto"/>
                <w:w w:val="97"/>
              </w:rPr>
              <w:t>Sept. 30,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right"/>
              <w:ind w:right="500"/>
              <w:spacing w:after="0" w:line="185" w:lineRule="exact"/>
              <w:rPr>
                <w:sz w:val="20"/>
                <w:szCs w:val="20"/>
                <w:color w:val="auto"/>
              </w:rPr>
            </w:pPr>
            <w:r>
              <w:rPr>
                <w:rFonts w:ascii="Arial" w:cs="Arial" w:eastAsia="Arial" w:hAnsi="Arial"/>
                <w:sz w:val="17"/>
                <w:szCs w:val="17"/>
                <w:b w:val="1"/>
                <w:bCs w:val="1"/>
                <w:color w:val="auto"/>
              </w:rPr>
              <w:t>Dec. 31,</w:t>
            </w:r>
          </w:p>
        </w:tc>
        <w:tc>
          <w:tcPr>
            <w:tcW w:w="180" w:type="dxa"/>
            <w:vAlign w:val="bottom"/>
          </w:tcPr>
          <w:p>
            <w:pPr>
              <w:spacing w:after="0"/>
              <w:rPr>
                <w:sz w:val="16"/>
                <w:szCs w:val="16"/>
                <w:color w:val="auto"/>
              </w:rPr>
            </w:pPr>
          </w:p>
        </w:tc>
        <w:tc>
          <w:tcPr>
            <w:tcW w:w="1060" w:type="dxa"/>
            <w:vAlign w:val="bottom"/>
            <w:gridSpan w:val="2"/>
          </w:tcPr>
          <w:p>
            <w:pPr>
              <w:jc w:val="right"/>
              <w:ind w:right="380"/>
              <w:spacing w:after="0" w:line="185" w:lineRule="exact"/>
              <w:rPr>
                <w:sz w:val="20"/>
                <w:szCs w:val="20"/>
                <w:color w:val="auto"/>
              </w:rPr>
            </w:pPr>
            <w:r>
              <w:rPr>
                <w:rFonts w:ascii="Arial" w:cs="Arial" w:eastAsia="Arial" w:hAnsi="Arial"/>
                <w:sz w:val="17"/>
                <w:szCs w:val="17"/>
                <w:b w:val="1"/>
                <w:bCs w:val="1"/>
                <w:color w:val="auto"/>
              </w:rPr>
              <w:t>Dec. 31,</w:t>
            </w:r>
          </w:p>
        </w:tc>
      </w:tr>
      <w:tr>
        <w:trPr>
          <w:trHeight w:val="223"/>
        </w:trPr>
        <w:tc>
          <w:tcPr>
            <w:tcW w:w="47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6"/>
              <w:spacing w:after="0"/>
              <w:rPr>
                <w:sz w:val="20"/>
                <w:szCs w:val="20"/>
                <w:color w:val="auto"/>
              </w:rPr>
            </w:pPr>
            <w:r>
              <w:rPr>
                <w:rFonts w:ascii="Arial" w:cs="Arial" w:eastAsia="Arial" w:hAnsi="Arial"/>
                <w:sz w:val="17"/>
                <w:szCs w:val="17"/>
                <w:b w:val="1"/>
                <w:bCs w:val="1"/>
                <w:color w:val="auto"/>
              </w:rPr>
              <w:t>2012</w:t>
            </w:r>
          </w:p>
        </w:tc>
        <w:tc>
          <w:tcPr>
            <w:tcW w:w="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2011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2012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2012</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2011</w:t>
            </w:r>
          </w:p>
        </w:tc>
        <w:tc>
          <w:tcPr>
            <w:tcW w:w="100" w:type="dxa"/>
            <w:vAlign w:val="bottom"/>
          </w:tcPr>
          <w:p>
            <w:pPr>
              <w:spacing w:after="0"/>
              <w:rPr>
                <w:sz w:val="19"/>
                <w:szCs w:val="19"/>
                <w:color w:val="auto"/>
              </w:rPr>
            </w:pPr>
          </w:p>
        </w:tc>
      </w:tr>
      <w:tr>
        <w:trPr>
          <w:trHeight w:val="201"/>
        </w:trPr>
        <w:tc>
          <w:tcPr>
            <w:tcW w:w="47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 flows from operating activities:</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1"/>
        </w:trPr>
        <w:tc>
          <w:tcPr>
            <w:tcW w:w="4700" w:type="dxa"/>
            <w:vAlign w:val="bottom"/>
          </w:tcPr>
          <w:p>
            <w:pPr>
              <w:ind w:left="160"/>
              <w:spacing w:after="0"/>
              <w:rPr>
                <w:sz w:val="20"/>
                <w:szCs w:val="20"/>
                <w:color w:val="auto"/>
              </w:rPr>
            </w:pPr>
            <w:r>
              <w:rPr>
                <w:rFonts w:ascii="Arial" w:cs="Arial" w:eastAsia="Arial" w:hAnsi="Arial"/>
                <w:sz w:val="17"/>
                <w:szCs w:val="17"/>
                <w:color w:val="auto"/>
              </w:rPr>
              <w:t>Net income</w:t>
            </w:r>
          </w:p>
        </w:tc>
        <w:tc>
          <w:tcPr>
            <w:tcW w:w="200" w:type="dxa"/>
            <w:vAlign w:val="bottom"/>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960" w:type="dxa"/>
            <w:vAlign w:val="bottom"/>
          </w:tcPr>
          <w:p>
            <w:pPr>
              <w:jc w:val="right"/>
              <w:spacing w:after="0"/>
              <w:rPr>
                <w:sz w:val="20"/>
                <w:szCs w:val="20"/>
                <w:color w:val="auto"/>
              </w:rPr>
            </w:pPr>
            <w:r>
              <w:rPr>
                <w:rFonts w:ascii="Arial" w:cs="Arial" w:eastAsia="Arial" w:hAnsi="Arial"/>
                <w:sz w:val="17"/>
                <w:szCs w:val="17"/>
                <w:b w:val="1"/>
                <w:bCs w:val="1"/>
                <w:color w:val="auto"/>
              </w:rPr>
              <w:t>264</w:t>
            </w:r>
          </w:p>
        </w:tc>
        <w:tc>
          <w:tcPr>
            <w:tcW w:w="240" w:type="dxa"/>
            <w:vAlign w:val="bottom"/>
          </w:tcPr>
          <w:p>
            <w:pPr>
              <w:spacing w:after="0"/>
              <w:rPr>
                <w:sz w:val="17"/>
                <w:szCs w:val="17"/>
                <w:color w:val="auto"/>
              </w:rPr>
            </w:pPr>
          </w:p>
        </w:tc>
        <w:tc>
          <w:tcPr>
            <w:tcW w:w="200" w:type="dxa"/>
            <w:vAlign w:val="bottom"/>
          </w:tcPr>
          <w:p>
            <w:pPr>
              <w:jc w:val="right"/>
              <w:ind w:right="16"/>
              <w:spacing w:after="0"/>
              <w:rPr>
                <w:sz w:val="20"/>
                <w:szCs w:val="20"/>
                <w:color w:val="auto"/>
              </w:rPr>
            </w:pPr>
            <w:r>
              <w:rPr>
                <w:rFonts w:ascii="Arial" w:cs="Arial" w:eastAsia="Arial" w:hAnsi="Arial"/>
                <w:sz w:val="17"/>
                <w:szCs w:val="17"/>
                <w:color w:val="auto"/>
                <w:w w:val="84"/>
              </w:rPr>
              <w:t>$</w:t>
            </w: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298</w:t>
            </w:r>
          </w:p>
        </w:tc>
        <w:tc>
          <w:tcPr>
            <w:tcW w:w="26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784</w:t>
            </w:r>
          </w:p>
        </w:tc>
        <w:tc>
          <w:tcPr>
            <w:tcW w:w="26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1,759</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2,236</w:t>
            </w:r>
          </w:p>
        </w:tc>
      </w:tr>
      <w:tr>
        <w:trPr>
          <w:trHeight w:val="201"/>
        </w:trPr>
        <w:tc>
          <w:tcPr>
            <w:tcW w:w="47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Adjustments to net income:</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1"/>
        </w:trPr>
        <w:tc>
          <w:tcPr>
            <w:tcW w:w="4700" w:type="dxa"/>
            <w:vAlign w:val="bottom"/>
          </w:tcPr>
          <w:p>
            <w:pPr>
              <w:ind w:left="240"/>
              <w:spacing w:after="0"/>
              <w:rPr>
                <w:sz w:val="20"/>
                <w:szCs w:val="20"/>
                <w:color w:val="auto"/>
              </w:rPr>
            </w:pPr>
            <w:r>
              <w:rPr>
                <w:rFonts w:ascii="Arial" w:cs="Arial" w:eastAsia="Arial" w:hAnsi="Arial"/>
                <w:sz w:val="17"/>
                <w:szCs w:val="17"/>
                <w:color w:val="auto"/>
              </w:rPr>
              <w:t>Depreciation</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b w:val="1"/>
                <w:bCs w:val="1"/>
                <w:color w:val="auto"/>
              </w:rPr>
              <w:t>232</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247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241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957</w:t>
            </w:r>
          </w:p>
        </w:tc>
        <w:tc>
          <w:tcPr>
            <w:tcW w:w="18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904</w:t>
            </w:r>
          </w:p>
        </w:tc>
      </w:tr>
      <w:tr>
        <w:trPr>
          <w:trHeight w:val="201"/>
        </w:trPr>
        <w:tc>
          <w:tcPr>
            <w:tcW w:w="47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Amortization of acquisition-related intangibles</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85</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86</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342</w:t>
            </w: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111</w:t>
            </w:r>
          </w:p>
        </w:tc>
      </w:tr>
      <w:tr>
        <w:trPr>
          <w:trHeight w:val="201"/>
        </w:trPr>
        <w:tc>
          <w:tcPr>
            <w:tcW w:w="4700" w:type="dxa"/>
            <w:vAlign w:val="bottom"/>
          </w:tcPr>
          <w:p>
            <w:pPr>
              <w:ind w:left="240"/>
              <w:spacing w:after="0"/>
              <w:rPr>
                <w:sz w:val="20"/>
                <w:szCs w:val="20"/>
                <w:color w:val="auto"/>
              </w:rPr>
            </w:pPr>
            <w:r>
              <w:rPr>
                <w:rFonts w:ascii="Arial" w:cs="Arial" w:eastAsia="Arial" w:hAnsi="Arial"/>
                <w:sz w:val="17"/>
                <w:szCs w:val="17"/>
                <w:color w:val="auto"/>
              </w:rPr>
              <w:t>Stock-based compensation</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b w:val="1"/>
                <w:bCs w:val="1"/>
                <w:color w:val="auto"/>
              </w:rPr>
              <w:t>64</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66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66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263</w:t>
            </w:r>
          </w:p>
        </w:tc>
        <w:tc>
          <w:tcPr>
            <w:tcW w:w="18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269</w:t>
            </w:r>
          </w:p>
        </w:tc>
      </w:tr>
      <w:tr>
        <w:trPr>
          <w:trHeight w:val="201"/>
        </w:trPr>
        <w:tc>
          <w:tcPr>
            <w:tcW w:w="4700" w:type="dxa"/>
            <w:vAlign w:val="bottom"/>
            <w:shd w:val="clear" w:color="auto" w:fill="CCEEFF"/>
          </w:tcPr>
          <w:p>
            <w:pPr>
              <w:ind w:left="240"/>
              <w:spacing w:after="0"/>
              <w:rPr>
                <w:sz w:val="20"/>
                <w:szCs w:val="20"/>
                <w:color w:val="auto"/>
              </w:rPr>
            </w:pPr>
            <w:r>
              <w:rPr>
                <w:rFonts w:ascii="Arial" w:cs="Arial" w:eastAsia="Arial" w:hAnsi="Arial"/>
                <w:sz w:val="17"/>
                <w:szCs w:val="17"/>
                <w:color w:val="auto"/>
              </w:rPr>
              <w:t>Gains on sales of assets</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w:t>
            </w:r>
          </w:p>
        </w:tc>
      </w:tr>
      <w:tr>
        <w:trPr>
          <w:trHeight w:val="201"/>
        </w:trPr>
        <w:tc>
          <w:tcPr>
            <w:tcW w:w="4700" w:type="dxa"/>
            <w:vAlign w:val="bottom"/>
          </w:tcPr>
          <w:p>
            <w:pPr>
              <w:ind w:left="240"/>
              <w:spacing w:after="0"/>
              <w:rPr>
                <w:sz w:val="20"/>
                <w:szCs w:val="20"/>
                <w:color w:val="auto"/>
              </w:rPr>
            </w:pPr>
            <w:r>
              <w:rPr>
                <w:rFonts w:ascii="Arial" w:cs="Arial" w:eastAsia="Arial" w:hAnsi="Arial"/>
                <w:sz w:val="17"/>
                <w:szCs w:val="17"/>
                <w:color w:val="auto"/>
              </w:rPr>
              <w:t>Deferred income taxes</w:t>
            </w:r>
          </w:p>
        </w:tc>
        <w:tc>
          <w:tcPr>
            <w:tcW w:w="200" w:type="dxa"/>
            <w:vAlign w:val="bottom"/>
          </w:tcPr>
          <w:p>
            <w:pPr>
              <w:spacing w:after="0"/>
              <w:rPr>
                <w:sz w:val="17"/>
                <w:szCs w:val="17"/>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(72)</w:t>
            </w:r>
          </w:p>
        </w:tc>
        <w:tc>
          <w:tcPr>
            <w:tcW w:w="200" w:type="dxa"/>
            <w:vAlign w:val="bottom"/>
          </w:tcPr>
          <w:p>
            <w:pPr>
              <w:spacing w:after="0"/>
              <w:rPr>
                <w:sz w:val="17"/>
                <w:szCs w:val="17"/>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7"/>
                <w:szCs w:val="17"/>
                <w:color w:val="auto"/>
              </w:rPr>
              <w:t>(110)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119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b w:val="1"/>
                <w:bCs w:val="1"/>
                <w:color w:val="auto"/>
              </w:rPr>
              <w:t>65</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7"/>
                <w:szCs w:val="17"/>
                <w:color w:val="auto"/>
              </w:rPr>
              <w:t>(119)</w:t>
            </w:r>
          </w:p>
        </w:tc>
      </w:tr>
      <w:tr>
        <w:trPr>
          <w:trHeight w:val="201"/>
        </w:trPr>
        <w:tc>
          <w:tcPr>
            <w:tcW w:w="4700" w:type="dxa"/>
            <w:vAlign w:val="bottom"/>
            <w:shd w:val="clear" w:color="auto" w:fill="CCEEFF"/>
          </w:tcPr>
          <w:p>
            <w:pPr>
              <w:ind w:left="240"/>
              <w:spacing w:after="0"/>
              <w:rPr>
                <w:sz w:val="20"/>
                <w:szCs w:val="20"/>
                <w:color w:val="auto"/>
              </w:rPr>
            </w:pPr>
            <w:r>
              <w:rPr>
                <w:rFonts w:ascii="Arial" w:cs="Arial" w:eastAsia="Arial" w:hAnsi="Arial"/>
                <w:sz w:val="17"/>
                <w:szCs w:val="17"/>
                <w:color w:val="auto"/>
              </w:rPr>
              <w:t>Gain on transfer of Japan substitutional pension</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(144)</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(144)</w:t>
            </w: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01"/>
        </w:trPr>
        <w:tc>
          <w:tcPr>
            <w:tcW w:w="4700" w:type="dxa"/>
            <w:vAlign w:val="bottom"/>
          </w:tcPr>
          <w:p>
            <w:pPr>
              <w:ind w:left="160"/>
              <w:spacing w:after="0"/>
              <w:rPr>
                <w:sz w:val="20"/>
                <w:szCs w:val="20"/>
                <w:color w:val="auto"/>
              </w:rPr>
            </w:pPr>
            <w:r>
              <w:rPr>
                <w:rFonts w:ascii="Arial" w:cs="Arial" w:eastAsia="Arial" w:hAnsi="Arial"/>
                <w:sz w:val="17"/>
                <w:szCs w:val="17"/>
                <w:color w:val="auto"/>
              </w:rPr>
              <w:t>Increase (decrease) from changes in:</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47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Accounts receivable</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381</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236</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311</w:t>
            </w: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112</w:t>
            </w:r>
          </w:p>
        </w:tc>
      </w:tr>
      <w:tr>
        <w:trPr>
          <w:trHeight w:val="201"/>
        </w:trPr>
        <w:tc>
          <w:tcPr>
            <w:tcW w:w="4700" w:type="dxa"/>
            <w:vAlign w:val="bottom"/>
          </w:tcPr>
          <w:p>
            <w:pPr>
              <w:ind w:left="240"/>
              <w:spacing w:after="0"/>
              <w:rPr>
                <w:sz w:val="20"/>
                <w:szCs w:val="20"/>
                <w:color w:val="auto"/>
              </w:rPr>
            </w:pPr>
            <w:r>
              <w:rPr>
                <w:rFonts w:ascii="Arial" w:cs="Arial" w:eastAsia="Arial" w:hAnsi="Arial"/>
                <w:sz w:val="17"/>
                <w:szCs w:val="17"/>
                <w:color w:val="auto"/>
              </w:rPr>
              <w:t>Inventories</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b w:val="1"/>
                <w:bCs w:val="1"/>
                <w:color w:val="auto"/>
              </w:rPr>
              <w:t>91</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203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5</w:t>
            </w:r>
          </w:p>
        </w:tc>
        <w:tc>
          <w:tcPr>
            <w:tcW w:w="180" w:type="dxa"/>
            <w:vAlign w:val="bottom"/>
          </w:tcPr>
          <w:p>
            <w:pPr>
              <w:spacing w:after="0"/>
              <w:rPr>
                <w:sz w:val="17"/>
                <w:szCs w:val="17"/>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7"/>
                <w:szCs w:val="17"/>
                <w:color w:val="auto"/>
              </w:rPr>
              <w:t>(17)</w:t>
            </w:r>
          </w:p>
        </w:tc>
      </w:tr>
      <w:tr>
        <w:trPr>
          <w:trHeight w:val="201"/>
        </w:trPr>
        <w:tc>
          <w:tcPr>
            <w:tcW w:w="4700" w:type="dxa"/>
            <w:vAlign w:val="bottom"/>
            <w:shd w:val="clear" w:color="auto" w:fill="CCEEFF"/>
          </w:tcPr>
          <w:p>
            <w:pPr>
              <w:ind w:left="240"/>
              <w:spacing w:after="0"/>
              <w:rPr>
                <w:sz w:val="20"/>
                <w:szCs w:val="20"/>
                <w:color w:val="auto"/>
              </w:rPr>
            </w:pPr>
            <w:r>
              <w:rPr>
                <w:rFonts w:ascii="Arial" w:cs="Arial" w:eastAsia="Arial" w:hAnsi="Arial"/>
                <w:sz w:val="17"/>
                <w:szCs w:val="17"/>
                <w:color w:val="auto"/>
              </w:rPr>
              <w:t>Prepaid expenses and other current assets</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147</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(18)</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227</w:t>
            </w: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(29)</w:t>
            </w:r>
          </w:p>
        </w:tc>
      </w:tr>
      <w:tr>
        <w:trPr>
          <w:trHeight w:val="201"/>
        </w:trPr>
        <w:tc>
          <w:tcPr>
            <w:tcW w:w="4700" w:type="dxa"/>
            <w:vAlign w:val="bottom"/>
          </w:tcPr>
          <w:p>
            <w:pPr>
              <w:ind w:left="220"/>
              <w:spacing w:after="0"/>
              <w:rPr>
                <w:sz w:val="20"/>
                <w:szCs w:val="20"/>
                <w:color w:val="auto"/>
              </w:rPr>
            </w:pPr>
            <w:r>
              <w:rPr>
                <w:rFonts w:ascii="Arial" w:cs="Arial" w:eastAsia="Arial" w:hAnsi="Arial"/>
                <w:sz w:val="17"/>
                <w:szCs w:val="17"/>
                <w:color w:val="auto"/>
              </w:rPr>
              <w:t>Accounts payable and accrued expenses</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b w:val="1"/>
                <w:bCs w:val="1"/>
                <w:color w:val="auto"/>
              </w:rPr>
              <w:t>222</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7"/>
                <w:szCs w:val="17"/>
                <w:color w:val="auto"/>
              </w:rPr>
              <w:t>(68)</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7"/>
                <w:szCs w:val="17"/>
                <w:color w:val="auto"/>
              </w:rPr>
              <w:t>(9)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b w:val="1"/>
                <w:bCs w:val="1"/>
                <w:color w:val="auto"/>
              </w:rPr>
              <w:t>99</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2</w:t>
            </w:r>
          </w:p>
        </w:tc>
      </w:tr>
      <w:tr>
        <w:trPr>
          <w:trHeight w:val="201"/>
        </w:trPr>
        <w:tc>
          <w:tcPr>
            <w:tcW w:w="47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Accrued compensation</w:t>
            </w:r>
          </w:p>
        </w:tc>
        <w:tc>
          <w:tcPr>
            <w:tcW w:w="2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b w:val="1"/>
                <w:bCs w:val="1"/>
                <w:color w:val="auto"/>
              </w:rPr>
              <w:t>(41)</w:t>
            </w:r>
          </w:p>
        </w:tc>
        <w:tc>
          <w:tcPr>
            <w:tcW w:w="2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65</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(82)</w:t>
            </w: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(77)</w:t>
            </w:r>
          </w:p>
        </w:tc>
      </w:tr>
      <w:tr>
        <w:trPr>
          <w:trHeight w:val="201"/>
        </w:trPr>
        <w:tc>
          <w:tcPr>
            <w:tcW w:w="4700" w:type="dxa"/>
            <w:vAlign w:val="bottom"/>
          </w:tcPr>
          <w:p>
            <w:pPr>
              <w:ind w:left="240"/>
              <w:spacing w:after="0"/>
              <w:rPr>
                <w:sz w:val="20"/>
                <w:szCs w:val="20"/>
                <w:color w:val="auto"/>
              </w:rPr>
            </w:pPr>
            <w:r>
              <w:rPr>
                <w:rFonts w:ascii="Arial" w:cs="Arial" w:eastAsia="Arial" w:hAnsi="Arial"/>
                <w:sz w:val="17"/>
                <w:szCs w:val="17"/>
                <w:color w:val="auto"/>
              </w:rPr>
              <w:t>Income taxes payable</w:t>
            </w:r>
          </w:p>
        </w:tc>
        <w:tc>
          <w:tcPr>
            <w:tcW w:w="200" w:type="dxa"/>
            <w:vAlign w:val="bottom"/>
          </w:tcPr>
          <w:p>
            <w:pPr>
              <w:spacing w:after="0"/>
              <w:rPr>
                <w:sz w:val="17"/>
                <w:szCs w:val="17"/>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(52)</w:t>
            </w:r>
          </w:p>
        </w:tc>
        <w:tc>
          <w:tcPr>
            <w:tcW w:w="20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7"/>
                <w:szCs w:val="17"/>
                <w:color w:val="auto"/>
              </w:rPr>
              <w:t>(141)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(229)</w:t>
            </w:r>
          </w:p>
        </w:tc>
        <w:tc>
          <w:tcPr>
            <w:tcW w:w="180" w:type="dxa"/>
            <w:vAlign w:val="bottom"/>
          </w:tcPr>
          <w:p>
            <w:pPr>
              <w:spacing w:after="0"/>
              <w:rPr>
                <w:sz w:val="17"/>
                <w:szCs w:val="17"/>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7"/>
                <w:szCs w:val="17"/>
                <w:color w:val="auto"/>
              </w:rPr>
              <w:t>(85)</w:t>
            </w:r>
          </w:p>
        </w:tc>
      </w:tr>
      <w:tr>
        <w:trPr>
          <w:trHeight w:val="201"/>
        </w:trPr>
        <w:tc>
          <w:tcPr>
            <w:tcW w:w="47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Changes in funded status of retirement plans</w:t>
            </w:r>
          </w:p>
        </w:tc>
        <w:tc>
          <w:tcPr>
            <w:tcW w:w="2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b w:val="1"/>
                <w:bCs w:val="1"/>
                <w:color w:val="auto"/>
              </w:rPr>
              <w:t>(257)</w:t>
            </w:r>
          </w:p>
        </w:tc>
        <w:tc>
          <w:tcPr>
            <w:tcW w:w="2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(63)</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(198)</w:t>
            </w: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(7)</w:t>
            </w:r>
          </w:p>
        </w:tc>
      </w:tr>
      <w:tr>
        <w:trPr>
          <w:trHeight w:val="201"/>
        </w:trPr>
        <w:tc>
          <w:tcPr>
            <w:tcW w:w="4700" w:type="dxa"/>
            <w:vAlign w:val="bottom"/>
          </w:tcPr>
          <w:p>
            <w:pPr>
              <w:ind w:left="160"/>
              <w:spacing w:after="0"/>
              <w:rPr>
                <w:sz w:val="20"/>
                <w:szCs w:val="20"/>
                <w:color w:val="auto"/>
              </w:rPr>
            </w:pPr>
            <w:r>
              <w:rPr>
                <w:rFonts w:ascii="Arial" w:cs="Arial" w:eastAsia="Arial" w:hAnsi="Arial"/>
                <w:sz w:val="17"/>
                <w:szCs w:val="17"/>
                <w:color w:val="auto"/>
              </w:rPr>
              <w:t>Other</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b w:val="1"/>
                <w:bCs w:val="1"/>
                <w:color w:val="auto"/>
              </w:rPr>
              <w:t>21</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24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b w:val="1"/>
                <w:bCs w:val="1"/>
                <w:color w:val="auto"/>
              </w:rPr>
              <w:t>39</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7"/>
                <w:szCs w:val="17"/>
                <w:color w:val="auto"/>
              </w:rPr>
              <w:t>(39)</w:t>
            </w:r>
          </w:p>
        </w:tc>
      </w:tr>
      <w:tr>
        <w:trPr>
          <w:trHeight w:val="25"/>
        </w:trPr>
        <w:tc>
          <w:tcPr>
            <w:tcW w:w="47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6"/>
        </w:trPr>
        <w:tc>
          <w:tcPr>
            <w:tcW w:w="4700" w:type="dxa"/>
            <w:vAlign w:val="bottom"/>
            <w:shd w:val="clear" w:color="auto" w:fill="CCEEFF"/>
          </w:tcPr>
          <w:p>
            <w:pPr>
              <w:spacing w:after="0"/>
              <w:rPr>
                <w:sz w:val="20"/>
                <w:szCs w:val="20"/>
                <w:color w:val="auto"/>
              </w:rPr>
            </w:pPr>
            <w:r>
              <w:rPr>
                <w:rFonts w:ascii="Arial" w:cs="Arial" w:eastAsia="Arial" w:hAnsi="Arial"/>
                <w:sz w:val="17"/>
                <w:szCs w:val="17"/>
                <w:color w:val="auto"/>
              </w:rPr>
              <w:t>Cash flows from operating activities</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1,085</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970</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1,204</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3,414</w:t>
            </w: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3,256</w:t>
            </w:r>
          </w:p>
        </w:tc>
      </w:tr>
      <w:tr>
        <w:trPr>
          <w:trHeight w:val="201"/>
        </w:trPr>
        <w:tc>
          <w:tcPr>
            <w:tcW w:w="47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01"/>
        </w:trPr>
        <w:tc>
          <w:tcPr>
            <w:tcW w:w="47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 flows from investing activities:</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1"/>
        </w:trPr>
        <w:tc>
          <w:tcPr>
            <w:tcW w:w="4700" w:type="dxa"/>
            <w:vAlign w:val="bottom"/>
          </w:tcPr>
          <w:p>
            <w:pPr>
              <w:ind w:left="160"/>
              <w:spacing w:after="0"/>
              <w:rPr>
                <w:sz w:val="20"/>
                <w:szCs w:val="20"/>
                <w:color w:val="auto"/>
              </w:rPr>
            </w:pPr>
            <w:r>
              <w:rPr>
                <w:rFonts w:ascii="Arial" w:cs="Arial" w:eastAsia="Arial" w:hAnsi="Arial"/>
                <w:sz w:val="17"/>
                <w:szCs w:val="17"/>
                <w:color w:val="auto"/>
              </w:rPr>
              <w:t>Additions to property, plant and equipment</w:t>
            </w:r>
          </w:p>
        </w:tc>
        <w:tc>
          <w:tcPr>
            <w:tcW w:w="200" w:type="dxa"/>
            <w:vAlign w:val="bottom"/>
          </w:tcPr>
          <w:p>
            <w:pPr>
              <w:spacing w:after="0"/>
              <w:rPr>
                <w:sz w:val="17"/>
                <w:szCs w:val="17"/>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(96)</w:t>
            </w:r>
          </w:p>
        </w:tc>
        <w:tc>
          <w:tcPr>
            <w:tcW w:w="200" w:type="dxa"/>
            <w:vAlign w:val="bottom"/>
          </w:tcPr>
          <w:p>
            <w:pPr>
              <w:spacing w:after="0"/>
              <w:rPr>
                <w:sz w:val="17"/>
                <w:szCs w:val="17"/>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7"/>
                <w:szCs w:val="17"/>
                <w:color w:val="auto"/>
              </w:rPr>
              <w:t>(152)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7"/>
                <w:szCs w:val="17"/>
                <w:color w:val="auto"/>
              </w:rPr>
              <w:t>(149)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(495)</w:t>
            </w:r>
          </w:p>
        </w:tc>
        <w:tc>
          <w:tcPr>
            <w:tcW w:w="180" w:type="dxa"/>
            <w:vAlign w:val="bottom"/>
          </w:tcPr>
          <w:p>
            <w:pPr>
              <w:spacing w:after="0"/>
              <w:rPr>
                <w:sz w:val="17"/>
                <w:szCs w:val="17"/>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7"/>
                <w:szCs w:val="17"/>
                <w:color w:val="auto"/>
              </w:rPr>
              <w:t>(816)</w:t>
            </w:r>
          </w:p>
        </w:tc>
      </w:tr>
      <w:tr>
        <w:trPr>
          <w:trHeight w:val="201"/>
        </w:trPr>
        <w:tc>
          <w:tcPr>
            <w:tcW w:w="47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Proceeds from asset sales and insurance recovery</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16</w:t>
            </w:r>
          </w:p>
        </w:tc>
      </w:tr>
      <w:tr>
        <w:trPr>
          <w:trHeight w:val="201"/>
        </w:trPr>
        <w:tc>
          <w:tcPr>
            <w:tcW w:w="4700" w:type="dxa"/>
            <w:vAlign w:val="bottom"/>
          </w:tcPr>
          <w:p>
            <w:pPr>
              <w:ind w:left="160"/>
              <w:spacing w:after="0"/>
              <w:rPr>
                <w:sz w:val="20"/>
                <w:szCs w:val="20"/>
                <w:color w:val="auto"/>
              </w:rPr>
            </w:pPr>
            <w:r>
              <w:rPr>
                <w:rFonts w:ascii="Arial" w:cs="Arial" w:eastAsia="Arial" w:hAnsi="Arial"/>
                <w:sz w:val="17"/>
                <w:szCs w:val="17"/>
                <w:color w:val="auto"/>
              </w:rPr>
              <w:t>Purchases of short-term investments</w:t>
            </w:r>
          </w:p>
        </w:tc>
        <w:tc>
          <w:tcPr>
            <w:tcW w:w="200" w:type="dxa"/>
            <w:vAlign w:val="bottom"/>
          </w:tcPr>
          <w:p>
            <w:pPr>
              <w:spacing w:after="0"/>
              <w:rPr>
                <w:sz w:val="17"/>
                <w:szCs w:val="17"/>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(661)</w:t>
            </w:r>
          </w:p>
        </w:tc>
        <w:tc>
          <w:tcPr>
            <w:tcW w:w="200" w:type="dxa"/>
            <w:vAlign w:val="bottom"/>
          </w:tcPr>
          <w:p>
            <w:pPr>
              <w:spacing w:after="0"/>
              <w:rPr>
                <w:sz w:val="17"/>
                <w:szCs w:val="17"/>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7"/>
                <w:szCs w:val="17"/>
                <w:color w:val="auto"/>
              </w:rPr>
              <w:t>(1,190)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7"/>
                <w:szCs w:val="17"/>
                <w:color w:val="auto"/>
              </w:rPr>
              <w:t>(1,484)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(2,802)</w:t>
            </w:r>
          </w:p>
        </w:tc>
        <w:tc>
          <w:tcPr>
            <w:tcW w:w="180" w:type="dxa"/>
            <w:vAlign w:val="bottom"/>
          </w:tcPr>
          <w:p>
            <w:pPr>
              <w:spacing w:after="0"/>
              <w:rPr>
                <w:sz w:val="17"/>
                <w:szCs w:val="17"/>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7"/>
                <w:szCs w:val="17"/>
                <w:color w:val="auto"/>
              </w:rPr>
              <w:t>(3,653)</w:t>
            </w:r>
          </w:p>
        </w:tc>
      </w:tr>
      <w:tr>
        <w:trPr>
          <w:trHeight w:val="201"/>
        </w:trPr>
        <w:tc>
          <w:tcPr>
            <w:tcW w:w="47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Proceeds from short-term investments</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559</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301</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173</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2,198</w:t>
            </w: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3,555</w:t>
            </w:r>
          </w:p>
        </w:tc>
      </w:tr>
      <w:tr>
        <w:trPr>
          <w:trHeight w:val="201"/>
        </w:trPr>
        <w:tc>
          <w:tcPr>
            <w:tcW w:w="4700" w:type="dxa"/>
            <w:vAlign w:val="bottom"/>
          </w:tcPr>
          <w:p>
            <w:pPr>
              <w:ind w:left="160"/>
              <w:spacing w:after="0"/>
              <w:rPr>
                <w:sz w:val="20"/>
                <w:szCs w:val="20"/>
                <w:color w:val="auto"/>
              </w:rPr>
            </w:pPr>
            <w:r>
              <w:rPr>
                <w:rFonts w:ascii="Arial" w:cs="Arial" w:eastAsia="Arial" w:hAnsi="Arial"/>
                <w:sz w:val="17"/>
                <w:szCs w:val="17"/>
                <w:color w:val="auto"/>
              </w:rPr>
              <w:t>Purchases of long-term investments</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7"/>
                <w:szCs w:val="17"/>
                <w:color w:val="auto"/>
              </w:rPr>
              <w:t>(2)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(1)</w:t>
            </w:r>
          </w:p>
        </w:tc>
        <w:tc>
          <w:tcPr>
            <w:tcW w:w="180" w:type="dxa"/>
            <w:vAlign w:val="bottom"/>
          </w:tcPr>
          <w:p>
            <w:pPr>
              <w:spacing w:after="0"/>
              <w:rPr>
                <w:sz w:val="17"/>
                <w:szCs w:val="17"/>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7"/>
                <w:szCs w:val="17"/>
                <w:color w:val="auto"/>
              </w:rPr>
              <w:t>(6)</w:t>
            </w:r>
          </w:p>
        </w:tc>
      </w:tr>
      <w:tr>
        <w:trPr>
          <w:trHeight w:val="201"/>
        </w:trPr>
        <w:tc>
          <w:tcPr>
            <w:tcW w:w="47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Proceeds from long-term investments</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9</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82</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61</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157</w:t>
            </w:r>
          </w:p>
        </w:tc>
      </w:tr>
      <w:tr>
        <w:trPr>
          <w:trHeight w:val="201"/>
        </w:trPr>
        <w:tc>
          <w:tcPr>
            <w:tcW w:w="4700" w:type="dxa"/>
            <w:vAlign w:val="bottom"/>
          </w:tcPr>
          <w:p>
            <w:pPr>
              <w:ind w:left="160"/>
              <w:spacing w:after="0"/>
              <w:rPr>
                <w:sz w:val="20"/>
                <w:szCs w:val="20"/>
                <w:color w:val="auto"/>
              </w:rPr>
            </w:pPr>
            <w:r>
              <w:rPr>
                <w:rFonts w:ascii="Arial" w:cs="Arial" w:eastAsia="Arial" w:hAnsi="Arial"/>
                <w:sz w:val="17"/>
                <w:szCs w:val="17"/>
                <w:color w:val="auto"/>
              </w:rPr>
              <w:t>Business acquisitions, net of cash acquired</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7"/>
                <w:szCs w:val="17"/>
                <w:color w:val="auto"/>
              </w:rPr>
              <w:t>(35)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7"/>
                <w:szCs w:val="17"/>
                <w:color w:val="auto"/>
              </w:rPr>
              <w:t>(5,425)</w:t>
            </w:r>
          </w:p>
        </w:tc>
      </w:tr>
      <w:tr>
        <w:trPr>
          <w:trHeight w:val="25"/>
        </w:trPr>
        <w:tc>
          <w:tcPr>
            <w:tcW w:w="47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6"/>
        </w:trPr>
        <w:tc>
          <w:tcPr>
            <w:tcW w:w="4700" w:type="dxa"/>
            <w:vAlign w:val="bottom"/>
            <w:shd w:val="clear" w:color="auto" w:fill="CCEEFF"/>
          </w:tcPr>
          <w:p>
            <w:pPr>
              <w:spacing w:after="0"/>
              <w:rPr>
                <w:sz w:val="20"/>
                <w:szCs w:val="20"/>
                <w:color w:val="auto"/>
              </w:rPr>
            </w:pPr>
            <w:r>
              <w:rPr>
                <w:rFonts w:ascii="Arial" w:cs="Arial" w:eastAsia="Arial" w:hAnsi="Arial"/>
                <w:sz w:val="17"/>
                <w:szCs w:val="17"/>
                <w:color w:val="auto"/>
              </w:rPr>
              <w:t>Cash flows from investing activities</w:t>
            </w:r>
          </w:p>
        </w:tc>
        <w:tc>
          <w:tcPr>
            <w:tcW w:w="2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b w:val="1"/>
                <w:bCs w:val="1"/>
                <w:color w:val="auto"/>
              </w:rPr>
              <w:t>(189)</w:t>
            </w:r>
          </w:p>
        </w:tc>
        <w:tc>
          <w:tcPr>
            <w:tcW w:w="2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(996)</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(1,440)</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(1,039)</w:t>
            </w: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(6,172)</w:t>
            </w:r>
          </w:p>
        </w:tc>
      </w:tr>
      <w:tr>
        <w:trPr>
          <w:trHeight w:val="201"/>
        </w:trPr>
        <w:tc>
          <w:tcPr>
            <w:tcW w:w="47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01"/>
        </w:trPr>
        <w:tc>
          <w:tcPr>
            <w:tcW w:w="47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 flows from financing activities:</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1"/>
        </w:trPr>
        <w:tc>
          <w:tcPr>
            <w:tcW w:w="4700" w:type="dxa"/>
            <w:vAlign w:val="bottom"/>
          </w:tcPr>
          <w:p>
            <w:pPr>
              <w:ind w:left="160"/>
              <w:spacing w:after="0"/>
              <w:rPr>
                <w:sz w:val="20"/>
                <w:szCs w:val="20"/>
                <w:color w:val="auto"/>
              </w:rPr>
            </w:pPr>
            <w:r>
              <w:rPr>
                <w:rFonts w:ascii="Arial" w:cs="Arial" w:eastAsia="Arial" w:hAnsi="Arial"/>
                <w:sz w:val="17"/>
                <w:szCs w:val="17"/>
                <w:color w:val="auto"/>
              </w:rPr>
              <w:t>Proceeds from issuance of debt</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1,492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1,492</w:t>
            </w:r>
          </w:p>
        </w:tc>
        <w:tc>
          <w:tcPr>
            <w:tcW w:w="18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4,697</w:t>
            </w:r>
          </w:p>
        </w:tc>
      </w:tr>
      <w:tr>
        <w:trPr>
          <w:trHeight w:val="201"/>
        </w:trPr>
        <w:tc>
          <w:tcPr>
            <w:tcW w:w="47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Repayment of debt and commercial paper borrowings</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(200)</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(500)</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(1,375)</w:t>
            </w: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(200)</w:t>
            </w:r>
          </w:p>
        </w:tc>
      </w:tr>
      <w:tr>
        <w:trPr>
          <w:trHeight w:val="201"/>
        </w:trPr>
        <w:tc>
          <w:tcPr>
            <w:tcW w:w="4700" w:type="dxa"/>
            <w:vAlign w:val="bottom"/>
          </w:tcPr>
          <w:p>
            <w:pPr>
              <w:ind w:left="160"/>
              <w:spacing w:after="0"/>
              <w:rPr>
                <w:sz w:val="20"/>
                <w:szCs w:val="20"/>
                <w:color w:val="auto"/>
              </w:rPr>
            </w:pPr>
            <w:r>
              <w:rPr>
                <w:rFonts w:ascii="Arial" w:cs="Arial" w:eastAsia="Arial" w:hAnsi="Arial"/>
                <w:sz w:val="17"/>
                <w:szCs w:val="17"/>
                <w:color w:val="auto"/>
              </w:rPr>
              <w:t>Dividends paid</w:t>
            </w:r>
          </w:p>
        </w:tc>
        <w:tc>
          <w:tcPr>
            <w:tcW w:w="200" w:type="dxa"/>
            <w:vAlign w:val="bottom"/>
          </w:tcPr>
          <w:p>
            <w:pPr>
              <w:spacing w:after="0"/>
              <w:rPr>
                <w:sz w:val="17"/>
                <w:szCs w:val="17"/>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(235)</w:t>
            </w:r>
          </w:p>
        </w:tc>
        <w:tc>
          <w:tcPr>
            <w:tcW w:w="200" w:type="dxa"/>
            <w:vAlign w:val="bottom"/>
          </w:tcPr>
          <w:p>
            <w:pPr>
              <w:spacing w:after="0"/>
              <w:rPr>
                <w:sz w:val="17"/>
                <w:szCs w:val="17"/>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7"/>
                <w:szCs w:val="17"/>
                <w:color w:val="auto"/>
              </w:rPr>
              <w:t>(193)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7"/>
                <w:szCs w:val="17"/>
                <w:color w:val="auto"/>
              </w:rPr>
              <w:t>(194)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(819)</w:t>
            </w:r>
          </w:p>
        </w:tc>
        <w:tc>
          <w:tcPr>
            <w:tcW w:w="180" w:type="dxa"/>
            <w:vAlign w:val="bottom"/>
          </w:tcPr>
          <w:p>
            <w:pPr>
              <w:spacing w:after="0"/>
              <w:rPr>
                <w:sz w:val="17"/>
                <w:szCs w:val="17"/>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7"/>
                <w:szCs w:val="17"/>
                <w:color w:val="auto"/>
              </w:rPr>
              <w:t>(644)</w:t>
            </w:r>
          </w:p>
        </w:tc>
      </w:tr>
      <w:tr>
        <w:trPr>
          <w:trHeight w:val="201"/>
        </w:trPr>
        <w:tc>
          <w:tcPr>
            <w:tcW w:w="47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Stock repurchases</w:t>
            </w:r>
          </w:p>
        </w:tc>
        <w:tc>
          <w:tcPr>
            <w:tcW w:w="2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b w:val="1"/>
                <w:bCs w:val="1"/>
                <w:color w:val="auto"/>
              </w:rPr>
              <w:t>(600)</w:t>
            </w:r>
          </w:p>
        </w:tc>
        <w:tc>
          <w:tcPr>
            <w:tcW w:w="2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(300)</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(600)</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(1,800)</w:t>
            </w: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(1,973)</w:t>
            </w:r>
          </w:p>
        </w:tc>
      </w:tr>
      <w:tr>
        <w:trPr>
          <w:trHeight w:val="201"/>
        </w:trPr>
        <w:tc>
          <w:tcPr>
            <w:tcW w:w="4700" w:type="dxa"/>
            <w:vAlign w:val="bottom"/>
          </w:tcPr>
          <w:p>
            <w:pPr>
              <w:ind w:left="160"/>
              <w:spacing w:after="0"/>
              <w:rPr>
                <w:sz w:val="20"/>
                <w:szCs w:val="20"/>
                <w:color w:val="auto"/>
              </w:rPr>
            </w:pPr>
            <w:r>
              <w:rPr>
                <w:rFonts w:ascii="Arial" w:cs="Arial" w:eastAsia="Arial" w:hAnsi="Arial"/>
                <w:sz w:val="17"/>
                <w:szCs w:val="17"/>
                <w:color w:val="auto"/>
              </w:rPr>
              <w:t>Proceeds from common stock transactions</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b w:val="1"/>
                <w:bCs w:val="1"/>
                <w:color w:val="auto"/>
              </w:rPr>
              <w:t>133</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127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63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523</w:t>
            </w:r>
          </w:p>
        </w:tc>
        <w:tc>
          <w:tcPr>
            <w:tcW w:w="18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690</w:t>
            </w:r>
          </w:p>
        </w:tc>
      </w:tr>
      <w:tr>
        <w:trPr>
          <w:trHeight w:val="201"/>
        </w:trPr>
        <w:tc>
          <w:tcPr>
            <w:tcW w:w="47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Excess tax benefit from share-based payments</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12</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38</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31</w:t>
            </w:r>
          </w:p>
        </w:tc>
      </w:tr>
      <w:tr>
        <w:trPr>
          <w:trHeight w:val="201"/>
        </w:trPr>
        <w:tc>
          <w:tcPr>
            <w:tcW w:w="4700" w:type="dxa"/>
            <w:vAlign w:val="bottom"/>
          </w:tcPr>
          <w:p>
            <w:pPr>
              <w:ind w:left="160"/>
              <w:spacing w:after="0"/>
              <w:rPr>
                <w:sz w:val="20"/>
                <w:szCs w:val="20"/>
                <w:color w:val="auto"/>
              </w:rPr>
            </w:pPr>
            <w:r>
              <w:rPr>
                <w:rFonts w:ascii="Arial" w:cs="Arial" w:eastAsia="Arial" w:hAnsi="Arial"/>
                <w:sz w:val="17"/>
                <w:szCs w:val="17"/>
                <w:color w:val="auto"/>
              </w:rPr>
              <w:t>Other</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7"/>
                <w:szCs w:val="17"/>
                <w:color w:val="auto"/>
              </w:rPr>
              <w:t>(10)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(10)</w:t>
            </w:r>
          </w:p>
        </w:tc>
        <w:tc>
          <w:tcPr>
            <w:tcW w:w="180" w:type="dxa"/>
            <w:vAlign w:val="bottom"/>
          </w:tcPr>
          <w:p>
            <w:pPr>
              <w:spacing w:after="0"/>
              <w:rPr>
                <w:sz w:val="17"/>
                <w:szCs w:val="17"/>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7"/>
                <w:szCs w:val="17"/>
                <w:color w:val="auto"/>
              </w:rPr>
              <w:t>(12)</w:t>
            </w:r>
          </w:p>
        </w:tc>
      </w:tr>
      <w:tr>
        <w:trPr>
          <w:trHeight w:val="25"/>
        </w:trPr>
        <w:tc>
          <w:tcPr>
            <w:tcW w:w="47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1"/>
        </w:trPr>
        <w:tc>
          <w:tcPr>
            <w:tcW w:w="4700" w:type="dxa"/>
            <w:vAlign w:val="bottom"/>
            <w:shd w:val="clear" w:color="auto" w:fill="CCEEFF"/>
          </w:tcPr>
          <w:p>
            <w:pPr>
              <w:spacing w:after="0"/>
              <w:rPr>
                <w:sz w:val="20"/>
                <w:szCs w:val="20"/>
                <w:color w:val="auto"/>
              </w:rPr>
            </w:pPr>
            <w:r>
              <w:rPr>
                <w:rFonts w:ascii="Arial" w:cs="Arial" w:eastAsia="Arial" w:hAnsi="Arial"/>
                <w:sz w:val="17"/>
                <w:szCs w:val="17"/>
                <w:color w:val="auto"/>
              </w:rPr>
              <w:t>Cash flows from financing activities</w:t>
            </w:r>
          </w:p>
        </w:tc>
        <w:tc>
          <w:tcPr>
            <w:tcW w:w="2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b w:val="1"/>
                <w:bCs w:val="1"/>
                <w:color w:val="auto"/>
              </w:rPr>
              <w:t>(690)</w:t>
            </w:r>
          </w:p>
        </w:tc>
        <w:tc>
          <w:tcPr>
            <w:tcW w:w="2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(563)</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254</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(1,951)</w:t>
            </w: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2,589</w:t>
            </w:r>
          </w:p>
        </w:tc>
      </w:tr>
      <w:tr>
        <w:trPr>
          <w:trHeight w:val="25"/>
        </w:trPr>
        <w:tc>
          <w:tcPr>
            <w:tcW w:w="47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1"/>
        </w:trPr>
        <w:tc>
          <w:tcPr>
            <w:tcW w:w="4700" w:type="dxa"/>
            <w:vAlign w:val="bottom"/>
          </w:tcPr>
          <w:p>
            <w:pPr>
              <w:spacing w:after="0"/>
              <w:rPr>
                <w:sz w:val="20"/>
                <w:szCs w:val="20"/>
                <w:color w:val="auto"/>
              </w:rPr>
            </w:pPr>
            <w:r>
              <w:rPr>
                <w:rFonts w:ascii="Arial" w:cs="Arial" w:eastAsia="Arial" w:hAnsi="Arial"/>
                <w:sz w:val="17"/>
                <w:szCs w:val="17"/>
                <w:color w:val="auto"/>
              </w:rPr>
              <w:t>Net change in cash and cash equivalents</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b w:val="1"/>
                <w:bCs w:val="1"/>
                <w:color w:val="auto"/>
              </w:rPr>
              <w:t>206</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7"/>
                <w:szCs w:val="17"/>
                <w:color w:val="auto"/>
              </w:rPr>
              <w:t>(589)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424</w:t>
            </w:r>
          </w:p>
        </w:tc>
        <w:tc>
          <w:tcPr>
            <w:tcW w:w="180" w:type="dxa"/>
            <w:vAlign w:val="bottom"/>
          </w:tcPr>
          <w:p>
            <w:pPr>
              <w:spacing w:after="0"/>
              <w:rPr>
                <w:sz w:val="17"/>
                <w:szCs w:val="17"/>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7"/>
                <w:szCs w:val="17"/>
                <w:color w:val="auto"/>
              </w:rPr>
              <w:t>(327)</w:t>
            </w:r>
          </w:p>
        </w:tc>
      </w:tr>
      <w:tr>
        <w:trPr>
          <w:trHeight w:val="201"/>
        </w:trPr>
        <w:tc>
          <w:tcPr>
            <w:tcW w:w="4700" w:type="dxa"/>
            <w:vAlign w:val="bottom"/>
            <w:shd w:val="clear" w:color="auto" w:fill="CCEEFF"/>
          </w:tcPr>
          <w:p>
            <w:pPr>
              <w:spacing w:after="0"/>
              <w:rPr>
                <w:sz w:val="20"/>
                <w:szCs w:val="20"/>
                <w:color w:val="auto"/>
              </w:rPr>
            </w:pPr>
            <w:r>
              <w:rPr>
                <w:rFonts w:ascii="Arial" w:cs="Arial" w:eastAsia="Arial" w:hAnsi="Arial"/>
                <w:sz w:val="17"/>
                <w:szCs w:val="17"/>
                <w:color w:val="auto"/>
              </w:rPr>
              <w:t>Cash and cash equivalents, beginning of period</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1,210</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1,581</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1,192</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992</w:t>
            </w: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1,319</w:t>
            </w:r>
          </w:p>
        </w:tc>
      </w:tr>
      <w:tr>
        <w:trPr>
          <w:trHeight w:val="25"/>
        </w:trPr>
        <w:tc>
          <w:tcPr>
            <w:tcW w:w="47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1"/>
        </w:trPr>
        <w:tc>
          <w:tcPr>
            <w:tcW w:w="4700" w:type="dxa"/>
            <w:vAlign w:val="bottom"/>
          </w:tcPr>
          <w:p>
            <w:pPr>
              <w:spacing w:after="0"/>
              <w:rPr>
                <w:sz w:val="20"/>
                <w:szCs w:val="20"/>
                <w:color w:val="auto"/>
              </w:rPr>
            </w:pPr>
            <w:r>
              <w:rPr>
                <w:rFonts w:ascii="Arial" w:cs="Arial" w:eastAsia="Arial" w:hAnsi="Arial"/>
                <w:sz w:val="17"/>
                <w:szCs w:val="17"/>
                <w:color w:val="auto"/>
              </w:rPr>
              <w:t>Cash and cash equivalents, end of period</w:t>
            </w:r>
          </w:p>
        </w:tc>
        <w:tc>
          <w:tcPr>
            <w:tcW w:w="200" w:type="dxa"/>
            <w:vAlign w:val="bottom"/>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960" w:type="dxa"/>
            <w:vAlign w:val="bottom"/>
          </w:tcPr>
          <w:p>
            <w:pPr>
              <w:jc w:val="right"/>
              <w:spacing w:after="0"/>
              <w:rPr>
                <w:sz w:val="20"/>
                <w:szCs w:val="20"/>
                <w:color w:val="auto"/>
              </w:rPr>
            </w:pPr>
            <w:r>
              <w:rPr>
                <w:rFonts w:ascii="Arial" w:cs="Arial" w:eastAsia="Arial" w:hAnsi="Arial"/>
                <w:sz w:val="17"/>
                <w:szCs w:val="17"/>
                <w:b w:val="1"/>
                <w:bCs w:val="1"/>
                <w:color w:val="auto"/>
              </w:rPr>
              <w:t>1,416</w:t>
            </w:r>
          </w:p>
        </w:tc>
        <w:tc>
          <w:tcPr>
            <w:tcW w:w="240" w:type="dxa"/>
            <w:vAlign w:val="bottom"/>
          </w:tcPr>
          <w:p>
            <w:pPr>
              <w:spacing w:after="0"/>
              <w:rPr>
                <w:sz w:val="17"/>
                <w:szCs w:val="17"/>
                <w:color w:val="auto"/>
              </w:rPr>
            </w:pPr>
          </w:p>
        </w:tc>
        <w:tc>
          <w:tcPr>
            <w:tcW w:w="200" w:type="dxa"/>
            <w:vAlign w:val="bottom"/>
          </w:tcPr>
          <w:p>
            <w:pPr>
              <w:jc w:val="right"/>
              <w:ind w:right="16"/>
              <w:spacing w:after="0"/>
              <w:rPr>
                <w:sz w:val="20"/>
                <w:szCs w:val="20"/>
                <w:color w:val="auto"/>
              </w:rPr>
            </w:pPr>
            <w:r>
              <w:rPr>
                <w:rFonts w:ascii="Arial" w:cs="Arial" w:eastAsia="Arial" w:hAnsi="Arial"/>
                <w:sz w:val="17"/>
                <w:szCs w:val="17"/>
                <w:color w:val="auto"/>
                <w:w w:val="84"/>
              </w:rPr>
              <w:t>$</w:t>
            </w: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992</w:t>
            </w:r>
          </w:p>
        </w:tc>
        <w:tc>
          <w:tcPr>
            <w:tcW w:w="26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1,210</w:t>
            </w:r>
          </w:p>
        </w:tc>
        <w:tc>
          <w:tcPr>
            <w:tcW w:w="140" w:type="dxa"/>
            <w:vAlign w:val="bottom"/>
          </w:tcPr>
          <w:p>
            <w:pPr>
              <w:spacing w:after="0"/>
              <w:rPr>
                <w:sz w:val="17"/>
                <w:szCs w:val="17"/>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1,416</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992</w:t>
            </w:r>
          </w:p>
        </w:tc>
      </w:tr>
      <w:tr>
        <w:trPr>
          <w:trHeight w:val="20"/>
        </w:trPr>
        <w:tc>
          <w:tcPr>
            <w:tcW w:w="47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Certain amounts in prior periods’ financial statements have been reclassified to conform to the current presentation.</w:t>
      </w:r>
    </w:p>
    <w:p>
      <w:pPr>
        <w:sectPr>
          <w:pgSz w:w="11900" w:h="16838" w:orient="portrait"/>
          <w:cols w:equalWidth="0" w:num="1">
            <w:col w:w="11420"/>
          </w:cols>
          <w:pgMar w:left="240" w:top="488" w:right="239" w:bottom="1440" w:gutter="0" w:footer="0" w:header="0"/>
        </w:sectPr>
      </w:pPr>
    </w:p>
    <w:bookmarkStart w:id="9" w:name="page10"/>
    <w:bookmarkEnd w:id="9"/>
    <w:p>
      <w:pPr>
        <w:spacing w:after="0"/>
        <w:rPr>
          <w:sz w:val="20"/>
          <w:szCs w:val="20"/>
          <w:color w:val="auto"/>
        </w:rPr>
      </w:pPr>
      <w:r>
        <w:rPr>
          <w:rFonts w:ascii="Arial" w:cs="Arial" w:eastAsia="Arial" w:hAnsi="Arial"/>
          <w:sz w:val="17"/>
          <w:szCs w:val="17"/>
          <w:b w:val="1"/>
          <w:bCs w:val="1"/>
          <w:u w:val="single" w:color="auto"/>
          <w:color w:val="auto"/>
        </w:rPr>
        <w:t>Non-GAAP financial information</w:t>
      </w:r>
    </w:p>
    <w:p>
      <w:pPr>
        <w:spacing w:after="0" w:line="236" w:lineRule="exact"/>
        <w:rPr>
          <w:sz w:val="20"/>
          <w:szCs w:val="20"/>
          <w:color w:val="auto"/>
        </w:rPr>
      </w:pPr>
    </w:p>
    <w:p>
      <w:pPr>
        <w:ind w:right="120"/>
        <w:spacing w:after="0" w:line="257" w:lineRule="auto"/>
        <w:rPr>
          <w:sz w:val="20"/>
          <w:szCs w:val="20"/>
          <w:color w:val="auto"/>
        </w:rPr>
      </w:pPr>
      <w:r>
        <w:rPr>
          <w:rFonts w:ascii="Arial" w:cs="Arial" w:eastAsia="Arial" w:hAnsi="Arial"/>
          <w:sz w:val="17"/>
          <w:szCs w:val="17"/>
          <w:color w:val="auto"/>
        </w:rPr>
        <w:t>This earnings release includes two measures that were not prepared in accordance with generally accepted accounting principles in the United States (non-GAAP measures): diluted earnings per share excluding the effects of certain costs, and free cash flow. These non-GAAP measures are supplemental to the comparable GAAP measures.</w:t>
      </w:r>
    </w:p>
    <w:p>
      <w:pPr>
        <w:spacing w:after="0" w:line="202" w:lineRule="exact"/>
        <w:rPr>
          <w:sz w:val="20"/>
          <w:szCs w:val="20"/>
          <w:color w:val="auto"/>
        </w:rPr>
      </w:pPr>
    </w:p>
    <w:p>
      <w:pPr>
        <w:ind w:right="60"/>
        <w:spacing w:after="0" w:line="308" w:lineRule="auto"/>
        <w:rPr>
          <w:sz w:val="20"/>
          <w:szCs w:val="20"/>
          <w:color w:val="auto"/>
        </w:rPr>
      </w:pPr>
      <w:r>
        <w:rPr>
          <w:rFonts w:ascii="Arial" w:cs="Arial" w:eastAsia="Arial" w:hAnsi="Arial"/>
          <w:sz w:val="15"/>
          <w:szCs w:val="15"/>
          <w:color w:val="auto"/>
        </w:rPr>
        <w:t>Free cash flow was calculated as noted in the body of the release by subtracting capital expenditures (Additions to property, plant and equipment) from the GAAP-based Cash flows from operating activities. The components of this calculation are included in the tables in the body of the release. We provide this non-GAAP measure of free cash flow to give investors insight into the company’s liquidity, cash-generating capability and the amount of cash available to return to investors.</w:t>
      </w:r>
    </w:p>
    <w:p>
      <w:pPr>
        <w:spacing w:after="0" w:line="166"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Results for the fourth quarter of 2012 include charges for the 2011 acquisition of National Semiconductor and various restructuring actions, as well as a discrete tax benefit. A non-GAAP measure of EPS excluding these items provides investors insight into TI’s underlying business results. The table below reconciles this non-GAAP measure to results prepared in accordance with GAAP.</w:t>
      </w:r>
    </w:p>
    <w:p>
      <w:pPr>
        <w:sectPr>
          <w:pgSz w:w="11900" w:h="16838" w:orient="portrait"/>
          <w:cols w:equalWidth="0" w:num="1">
            <w:col w:w="11360"/>
          </w:cols>
          <w:pgMar w:left="240" w:top="714" w:right="299" w:bottom="1440" w:gutter="0" w:footer="0" w:header="0"/>
        </w:sectPr>
      </w:pPr>
    </w:p>
    <w:bookmarkStart w:id="10" w:name="page11"/>
    <w:bookmarkEnd w:id="10"/>
    <w:p>
      <w:pPr>
        <w:ind w:left="4540"/>
        <w:spacing w:after="0"/>
        <w:rPr>
          <w:sz w:val="20"/>
          <w:szCs w:val="20"/>
          <w:color w:val="auto"/>
        </w:rPr>
      </w:pPr>
      <w:r>
        <w:rPr>
          <w:rFonts w:ascii="Arial" w:cs="Arial" w:eastAsia="Arial" w:hAnsi="Arial"/>
          <w:sz w:val="17"/>
          <w:szCs w:val="17"/>
          <w:b w:val="1"/>
          <w:bCs w:val="1"/>
          <w:color w:val="auto"/>
        </w:rPr>
        <w:t>TEXAS INSTRUMENTS INCORPORATED</w:t>
      </w:r>
    </w:p>
    <w:p>
      <w:pPr>
        <w:spacing w:after="0" w:line="22" w:lineRule="exact"/>
        <w:rPr>
          <w:sz w:val="20"/>
          <w:szCs w:val="20"/>
          <w:color w:val="auto"/>
        </w:rPr>
      </w:pPr>
    </w:p>
    <w:p>
      <w:pPr>
        <w:ind w:left="4520"/>
        <w:spacing w:after="0"/>
        <w:rPr>
          <w:sz w:val="20"/>
          <w:szCs w:val="20"/>
          <w:color w:val="auto"/>
        </w:rPr>
      </w:pPr>
      <w:r>
        <w:rPr>
          <w:rFonts w:ascii="Arial" w:cs="Arial" w:eastAsia="Arial" w:hAnsi="Arial"/>
          <w:sz w:val="17"/>
          <w:szCs w:val="17"/>
          <w:b w:val="1"/>
          <w:bCs w:val="1"/>
          <w:color w:val="auto"/>
        </w:rPr>
        <w:t>(Millions of dollars, except per-share amounts)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720" w:type="dxa"/>
            <w:vAlign w:val="bottom"/>
            <w:gridSpan w:val="7"/>
            <w:shd w:val="clear" w:color="auto" w:fill="CCEEFF"/>
          </w:tcPr>
          <w:p>
            <w:pPr>
              <w:jc w:val="right"/>
              <w:spacing w:after="0"/>
              <w:rPr>
                <w:sz w:val="20"/>
                <w:szCs w:val="20"/>
                <w:color w:val="auto"/>
              </w:rPr>
            </w:pPr>
            <w:r>
              <w:rPr>
                <w:rFonts w:ascii="Arial" w:cs="Arial" w:eastAsia="Arial" w:hAnsi="Arial"/>
                <w:sz w:val="17"/>
                <w:szCs w:val="17"/>
                <w:b w:val="1"/>
                <w:bCs w:val="1"/>
                <w:color w:val="auto"/>
              </w:rPr>
              <w:t>For Three Months Ended</w:t>
            </w:r>
          </w:p>
        </w:tc>
        <w:tc>
          <w:tcPr>
            <w:tcW w:w="10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23"/>
        </w:trPr>
        <w:tc>
          <w:tcPr>
            <w:tcW w:w="404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right w:val="single" w:sz="8" w:color="CCEEFF"/>
            </w:tcBorders>
            <w:gridSpan w:val="4"/>
            <w:shd w:val="clear" w:color="auto" w:fill="CCEEFF"/>
          </w:tcPr>
          <w:p>
            <w:pPr>
              <w:jc w:val="right"/>
              <w:ind w:right="140"/>
              <w:spacing w:after="0"/>
              <w:rPr>
                <w:sz w:val="20"/>
                <w:szCs w:val="20"/>
                <w:color w:val="auto"/>
              </w:rPr>
            </w:pPr>
            <w:r>
              <w:rPr>
                <w:rFonts w:ascii="Arial" w:cs="Arial" w:eastAsia="Arial" w:hAnsi="Arial"/>
                <w:sz w:val="17"/>
                <w:szCs w:val="17"/>
                <w:b w:val="1"/>
                <w:bCs w:val="1"/>
                <w:color w:val="auto"/>
                <w:w w:val="87"/>
              </w:rPr>
              <w:t>December 31, 2012</w:t>
            </w: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r>
        <w:trPr>
          <w:trHeight w:val="201"/>
        </w:trPr>
        <w:tc>
          <w:tcPr>
            <w:tcW w:w="40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85"/>
        </w:trPr>
        <w:tc>
          <w:tcPr>
            <w:tcW w:w="40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center"/>
              <w:ind w:right="200"/>
              <w:spacing w:after="0" w:line="185" w:lineRule="exact"/>
              <w:rPr>
                <w:sz w:val="20"/>
                <w:szCs w:val="20"/>
                <w:color w:val="auto"/>
              </w:rPr>
            </w:pPr>
            <w:r>
              <w:rPr>
                <w:rFonts w:ascii="Arial" w:cs="Arial" w:eastAsia="Arial" w:hAnsi="Arial"/>
                <w:sz w:val="17"/>
                <w:szCs w:val="17"/>
                <w:b w:val="1"/>
                <w:bCs w:val="1"/>
                <w:color w:val="auto"/>
                <w:w w:val="88"/>
              </w:rPr>
              <w:t>Acquisition/</w:t>
            </w: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tcBorders>
              <w:right w:val="single" w:sz="8" w:color="CCEEFF"/>
            </w:tcBorders>
            <w:gridSpan w:val="2"/>
            <w:shd w:val="clear" w:color="auto" w:fill="CCEEFF"/>
          </w:tcPr>
          <w:p>
            <w:pPr>
              <w:jc w:val="right"/>
              <w:ind w:right="480"/>
              <w:spacing w:after="0" w:line="185" w:lineRule="exact"/>
              <w:rPr>
                <w:sz w:val="20"/>
                <w:szCs w:val="20"/>
                <w:color w:val="auto"/>
              </w:rPr>
            </w:pPr>
            <w:r>
              <w:rPr>
                <w:rFonts w:ascii="Arial" w:cs="Arial" w:eastAsia="Arial" w:hAnsi="Arial"/>
                <w:sz w:val="17"/>
                <w:szCs w:val="17"/>
                <w:b w:val="1"/>
                <w:bCs w:val="1"/>
                <w:color w:val="auto"/>
                <w:w w:val="97"/>
              </w:rPr>
              <w:t>Wireless</w:t>
            </w:r>
          </w:p>
        </w:tc>
        <w:tc>
          <w:tcPr>
            <w:tcW w:w="1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center"/>
              <w:ind w:right="340"/>
              <w:spacing w:after="0" w:line="185" w:lineRule="exact"/>
              <w:rPr>
                <w:sz w:val="20"/>
                <w:szCs w:val="20"/>
                <w:color w:val="auto"/>
              </w:rPr>
            </w:pPr>
            <w:r>
              <w:rPr>
                <w:rFonts w:ascii="Arial" w:cs="Arial" w:eastAsia="Arial" w:hAnsi="Arial"/>
                <w:sz w:val="17"/>
                <w:szCs w:val="17"/>
                <w:b w:val="1"/>
                <w:bCs w:val="1"/>
                <w:color w:val="auto"/>
                <w:w w:val="88"/>
              </w:rPr>
              <w:t>Discrete Tax</w:t>
            </w: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1"/>
        </w:trPr>
        <w:tc>
          <w:tcPr>
            <w:tcW w:w="40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b w:val="1"/>
                <w:bCs w:val="1"/>
                <w:color w:val="auto"/>
                <w:w w:val="93"/>
              </w:rPr>
              <w:t>TI as Reported</w:t>
            </w:r>
          </w:p>
        </w:tc>
        <w:tc>
          <w:tcPr>
            <w:tcW w:w="1220" w:type="dxa"/>
            <w:vAlign w:val="bottom"/>
            <w:gridSpan w:val="3"/>
            <w:shd w:val="clear" w:color="auto" w:fill="CCEEFF"/>
          </w:tcPr>
          <w:p>
            <w:pPr>
              <w:jc w:val="center"/>
              <w:ind w:right="60"/>
              <w:spacing w:after="0"/>
              <w:rPr>
                <w:sz w:val="20"/>
                <w:szCs w:val="20"/>
                <w:color w:val="auto"/>
              </w:rPr>
            </w:pPr>
            <w:r>
              <w:rPr>
                <w:rFonts w:ascii="Arial" w:cs="Arial" w:eastAsia="Arial" w:hAnsi="Arial"/>
                <w:sz w:val="17"/>
                <w:szCs w:val="17"/>
                <w:b w:val="1"/>
                <w:bCs w:val="1"/>
                <w:color w:val="auto"/>
                <w:w w:val="89"/>
              </w:rPr>
              <w:t>Restructuring</w:t>
            </w:r>
          </w:p>
        </w:tc>
        <w:tc>
          <w:tcPr>
            <w:tcW w:w="140" w:type="dxa"/>
            <w:vAlign w:val="bottom"/>
            <w:shd w:val="clear" w:color="auto" w:fill="CCEEFF"/>
          </w:tcPr>
          <w:p>
            <w:pPr>
              <w:spacing w:after="0"/>
              <w:rPr>
                <w:sz w:val="17"/>
                <w:szCs w:val="17"/>
                <w:color w:val="auto"/>
              </w:rPr>
            </w:pPr>
          </w:p>
        </w:tc>
        <w:tc>
          <w:tcPr>
            <w:tcW w:w="1360" w:type="dxa"/>
            <w:vAlign w:val="bottom"/>
            <w:tcBorders>
              <w:right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7"/>
                <w:szCs w:val="17"/>
                <w:b w:val="1"/>
                <w:bCs w:val="1"/>
                <w:color w:val="auto"/>
                <w:w w:val="95"/>
              </w:rPr>
              <w:t>Restructuring</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center"/>
              <w:ind w:right="340"/>
              <w:spacing w:after="0"/>
              <w:rPr>
                <w:sz w:val="20"/>
                <w:szCs w:val="20"/>
                <w:color w:val="auto"/>
              </w:rPr>
            </w:pPr>
            <w:r>
              <w:rPr>
                <w:rFonts w:ascii="Arial" w:cs="Arial" w:eastAsia="Arial" w:hAnsi="Arial"/>
                <w:sz w:val="17"/>
                <w:szCs w:val="17"/>
                <w:b w:val="1"/>
                <w:bCs w:val="1"/>
                <w:color w:val="auto"/>
                <w:w w:val="88"/>
              </w:rPr>
              <w:t>Benefit and</w:t>
            </w:r>
          </w:p>
        </w:tc>
        <w:tc>
          <w:tcPr>
            <w:tcW w:w="124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b w:val="1"/>
                <w:bCs w:val="1"/>
                <w:color w:val="auto"/>
                <w:w w:val="92"/>
              </w:rPr>
              <w:t>TI as Adjusted</w:t>
            </w:r>
          </w:p>
        </w:tc>
      </w:tr>
      <w:tr>
        <w:trPr>
          <w:trHeight w:val="223"/>
        </w:trPr>
        <w:tc>
          <w:tcPr>
            <w:tcW w:w="40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b w:val="1"/>
                <w:bCs w:val="1"/>
                <w:color w:val="auto"/>
              </w:rPr>
              <w:t>(GAAP)</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center"/>
              <w:ind w:right="180"/>
              <w:spacing w:after="0"/>
              <w:rPr>
                <w:sz w:val="20"/>
                <w:szCs w:val="20"/>
                <w:color w:val="auto"/>
              </w:rPr>
            </w:pPr>
            <w:r>
              <w:rPr>
                <w:rFonts w:ascii="Arial" w:cs="Arial" w:eastAsia="Arial" w:hAnsi="Arial"/>
                <w:sz w:val="17"/>
                <w:szCs w:val="17"/>
                <w:b w:val="1"/>
                <w:bCs w:val="1"/>
                <w:color w:val="auto"/>
                <w:w w:val="90"/>
              </w:rPr>
              <w:t>Charges *</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tcBorders>
              <w:right w:val="single" w:sz="8" w:color="CCEEFF"/>
            </w:tcBorders>
            <w:gridSpan w:val="2"/>
            <w:shd w:val="clear" w:color="auto" w:fill="CCEEFF"/>
          </w:tcPr>
          <w:p>
            <w:pPr>
              <w:jc w:val="right"/>
              <w:ind w:right="480"/>
              <w:spacing w:after="0"/>
              <w:rPr>
                <w:sz w:val="20"/>
                <w:szCs w:val="20"/>
                <w:color w:val="auto"/>
              </w:rPr>
            </w:pPr>
            <w:r>
              <w:rPr>
                <w:rFonts w:ascii="Arial" w:cs="Arial" w:eastAsia="Arial" w:hAnsi="Arial"/>
                <w:sz w:val="17"/>
                <w:szCs w:val="17"/>
                <w:b w:val="1"/>
                <w:bCs w:val="1"/>
                <w:color w:val="auto"/>
                <w:w w:val="99"/>
              </w:rPr>
              <w:t>Charges</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center"/>
              <w:ind w:right="340"/>
              <w:spacing w:after="0"/>
              <w:rPr>
                <w:sz w:val="20"/>
                <w:szCs w:val="20"/>
                <w:color w:val="auto"/>
              </w:rPr>
            </w:pPr>
            <w:r>
              <w:rPr>
                <w:rFonts w:ascii="Arial" w:cs="Arial" w:eastAsia="Arial" w:hAnsi="Arial"/>
                <w:sz w:val="17"/>
                <w:szCs w:val="17"/>
                <w:b w:val="1"/>
                <w:bCs w:val="1"/>
                <w:color w:val="auto"/>
                <w:w w:val="87"/>
              </w:rPr>
              <w:t>Interest</w:t>
            </w: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b w:val="1"/>
                <w:bCs w:val="1"/>
                <w:color w:val="auto"/>
                <w:w w:val="92"/>
              </w:rPr>
              <w:t>(Non-GAAP)</w:t>
            </w:r>
          </w:p>
        </w:tc>
      </w:tr>
      <w:tr>
        <w:trPr>
          <w:trHeight w:val="201"/>
        </w:trPr>
        <w:tc>
          <w:tcPr>
            <w:tcW w:w="4040" w:type="dxa"/>
            <w:vAlign w:val="bottom"/>
            <w:tcBorders>
              <w:top w:val="single" w:sz="8" w:color="CCEEFF"/>
            </w:tcBorders>
          </w:tcPr>
          <w:p>
            <w:pPr>
              <w:spacing w:after="0"/>
              <w:rPr>
                <w:sz w:val="17"/>
                <w:szCs w:val="17"/>
                <w:color w:val="auto"/>
              </w:rPr>
            </w:pPr>
          </w:p>
        </w:tc>
        <w:tc>
          <w:tcPr>
            <w:tcW w:w="66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01"/>
        </w:trPr>
        <w:tc>
          <w:tcPr>
            <w:tcW w:w="4040" w:type="dxa"/>
            <w:vAlign w:val="bottom"/>
            <w:shd w:val="clear" w:color="auto" w:fill="CCEEFF"/>
          </w:tcPr>
          <w:p>
            <w:pPr>
              <w:spacing w:after="0"/>
              <w:rPr>
                <w:sz w:val="20"/>
                <w:szCs w:val="20"/>
                <w:color w:val="auto"/>
              </w:rPr>
            </w:pPr>
            <w:r>
              <w:rPr>
                <w:rFonts w:ascii="Arial" w:cs="Arial" w:eastAsia="Arial" w:hAnsi="Arial"/>
                <w:sz w:val="17"/>
                <w:szCs w:val="17"/>
                <w:color w:val="auto"/>
              </w:rPr>
              <w:t>Net income (GAAP basis)</w:t>
            </w:r>
          </w:p>
        </w:tc>
        <w:tc>
          <w:tcPr>
            <w:tcW w:w="840" w:type="dxa"/>
            <w:vAlign w:val="bottom"/>
            <w:gridSpan w:val="2"/>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264</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264</w:t>
            </w:r>
          </w:p>
        </w:tc>
      </w:tr>
      <w:tr>
        <w:trPr>
          <w:trHeight w:val="201"/>
        </w:trPr>
        <w:tc>
          <w:tcPr>
            <w:tcW w:w="4040" w:type="dxa"/>
            <w:vAlign w:val="bottom"/>
          </w:tcPr>
          <w:p>
            <w:pPr>
              <w:spacing w:after="0"/>
              <w:rPr>
                <w:sz w:val="20"/>
                <w:szCs w:val="20"/>
                <w:color w:val="auto"/>
              </w:rPr>
            </w:pPr>
            <w:r>
              <w:rPr>
                <w:rFonts w:ascii="Arial" w:cs="Arial" w:eastAsia="Arial" w:hAnsi="Arial"/>
                <w:sz w:val="17"/>
                <w:szCs w:val="17"/>
                <w:color w:val="auto"/>
              </w:rPr>
              <w:t>Adjustments to net income for charges/(benefits):</w:t>
            </w: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4040" w:type="dxa"/>
            <w:vAlign w:val="bottom"/>
            <w:shd w:val="clear" w:color="auto" w:fill="CCEEFF"/>
          </w:tcPr>
          <w:p>
            <w:pPr>
              <w:spacing w:after="0"/>
              <w:rPr>
                <w:sz w:val="20"/>
                <w:szCs w:val="20"/>
                <w:color w:val="auto"/>
              </w:rPr>
            </w:pPr>
            <w:r>
              <w:rPr>
                <w:rFonts w:ascii="Arial" w:cs="Arial" w:eastAsia="Arial" w:hAnsi="Arial"/>
                <w:sz w:val="17"/>
                <w:szCs w:val="17"/>
                <w:color w:val="auto"/>
              </w:rPr>
              <w:t>Taxable:</w:t>
            </w: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1"/>
        </w:trPr>
        <w:tc>
          <w:tcPr>
            <w:tcW w:w="4040" w:type="dxa"/>
            <w:vAlign w:val="bottom"/>
          </w:tcPr>
          <w:p>
            <w:pPr>
              <w:spacing w:after="0"/>
              <w:rPr>
                <w:sz w:val="20"/>
                <w:szCs w:val="20"/>
                <w:color w:val="auto"/>
              </w:rPr>
            </w:pPr>
            <w:r>
              <w:rPr>
                <w:rFonts w:ascii="Arial" w:cs="Arial" w:eastAsia="Arial" w:hAnsi="Arial"/>
                <w:sz w:val="17"/>
                <w:szCs w:val="17"/>
                <w:color w:val="auto"/>
              </w:rPr>
              <w:t>Acquisition charges</w:t>
            </w: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7"/>
                <w:szCs w:val="17"/>
                <w:color w:val="auto"/>
              </w:rPr>
              <w:t>88</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88</w:t>
            </w:r>
          </w:p>
        </w:tc>
      </w:tr>
      <w:tr>
        <w:trPr>
          <w:trHeight w:val="201"/>
        </w:trPr>
        <w:tc>
          <w:tcPr>
            <w:tcW w:w="4040" w:type="dxa"/>
            <w:vAlign w:val="bottom"/>
            <w:shd w:val="clear" w:color="auto" w:fill="CCEEFF"/>
          </w:tcPr>
          <w:p>
            <w:pPr>
              <w:spacing w:after="0"/>
              <w:rPr>
                <w:sz w:val="20"/>
                <w:szCs w:val="20"/>
                <w:color w:val="auto"/>
              </w:rPr>
            </w:pPr>
            <w:r>
              <w:rPr>
                <w:rFonts w:ascii="Arial" w:cs="Arial" w:eastAsia="Arial" w:hAnsi="Arial"/>
                <w:sz w:val="17"/>
                <w:szCs w:val="17"/>
                <w:color w:val="auto"/>
              </w:rPr>
              <w:t>Restructuring charges</w:t>
            </w: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12</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261</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273 #</w:t>
            </w:r>
          </w:p>
        </w:tc>
      </w:tr>
      <w:tr>
        <w:trPr>
          <w:trHeight w:val="201"/>
        </w:trPr>
        <w:tc>
          <w:tcPr>
            <w:tcW w:w="4040" w:type="dxa"/>
            <w:vAlign w:val="bottom"/>
          </w:tcPr>
          <w:p>
            <w:pPr>
              <w:spacing w:after="0"/>
              <w:rPr>
                <w:sz w:val="20"/>
                <w:szCs w:val="20"/>
                <w:color w:val="auto"/>
              </w:rPr>
            </w:pPr>
            <w:r>
              <w:rPr>
                <w:rFonts w:ascii="Arial" w:cs="Arial" w:eastAsia="Arial" w:hAnsi="Arial"/>
                <w:sz w:val="17"/>
                <w:szCs w:val="17"/>
                <w:color w:val="auto"/>
              </w:rPr>
              <w:t>Tax interest (in OI&amp;E)</w:t>
            </w: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(38)</w:t>
            </w:r>
          </w:p>
        </w:tc>
        <w:tc>
          <w:tcPr>
            <w:tcW w:w="100" w:type="dxa"/>
            <w:vAlign w:val="bottom"/>
          </w:tcPr>
          <w:p>
            <w:pPr>
              <w:spacing w:after="0"/>
              <w:rPr>
                <w:sz w:val="17"/>
                <w:szCs w:val="17"/>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7"/>
                <w:szCs w:val="17"/>
                <w:color w:val="auto"/>
              </w:rPr>
              <w:t>(38)</w:t>
            </w:r>
          </w:p>
        </w:tc>
      </w:tr>
      <w:tr>
        <w:trPr>
          <w:trHeight w:val="25"/>
        </w:trPr>
        <w:tc>
          <w:tcPr>
            <w:tcW w:w="4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6"/>
        </w:trPr>
        <w:tc>
          <w:tcPr>
            <w:tcW w:w="4040" w:type="dxa"/>
            <w:vAlign w:val="bottom"/>
            <w:shd w:val="clear" w:color="auto" w:fill="CCEEFF"/>
          </w:tcPr>
          <w:p>
            <w:pPr>
              <w:spacing w:after="0"/>
              <w:rPr>
                <w:sz w:val="20"/>
                <w:szCs w:val="20"/>
                <w:color w:val="auto"/>
              </w:rPr>
            </w:pPr>
            <w:r>
              <w:rPr>
                <w:rFonts w:ascii="Arial" w:cs="Arial" w:eastAsia="Arial" w:hAnsi="Arial"/>
                <w:sz w:val="17"/>
                <w:szCs w:val="17"/>
                <w:color w:val="auto"/>
              </w:rPr>
              <w:t>Total taxable adjustments</w:t>
            </w: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100</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261</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(38)</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323</w:t>
            </w:r>
          </w:p>
        </w:tc>
      </w:tr>
      <w:tr>
        <w:trPr>
          <w:trHeight w:val="201"/>
        </w:trPr>
        <w:tc>
          <w:tcPr>
            <w:tcW w:w="4040" w:type="dxa"/>
            <w:vAlign w:val="bottom"/>
            <w:tcBorders>
              <w:top w:val="single" w:sz="8" w:color="CCEEFF"/>
            </w:tcBorders>
          </w:tcPr>
          <w:p>
            <w:pPr>
              <w:spacing w:after="0"/>
              <w:rPr>
                <w:sz w:val="17"/>
                <w:szCs w:val="17"/>
                <w:color w:val="auto"/>
              </w:rPr>
            </w:pPr>
          </w:p>
        </w:tc>
        <w:tc>
          <w:tcPr>
            <w:tcW w:w="66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01"/>
        </w:trPr>
        <w:tc>
          <w:tcPr>
            <w:tcW w:w="4040" w:type="dxa"/>
            <w:vAlign w:val="bottom"/>
            <w:shd w:val="clear" w:color="auto" w:fill="CCEEFF"/>
          </w:tcPr>
          <w:p>
            <w:pPr>
              <w:spacing w:after="0"/>
              <w:rPr>
                <w:sz w:val="20"/>
                <w:szCs w:val="20"/>
                <w:color w:val="auto"/>
              </w:rPr>
            </w:pPr>
            <w:r>
              <w:rPr>
                <w:rFonts w:ascii="Arial" w:cs="Arial" w:eastAsia="Arial" w:hAnsi="Arial"/>
                <w:sz w:val="17"/>
                <w:szCs w:val="17"/>
                <w:color w:val="auto"/>
              </w:rPr>
              <w:t>Total taxable adjustments tax-effected at 35%</w:t>
            </w: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65</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170</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(25)</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210</w:t>
            </w:r>
          </w:p>
        </w:tc>
      </w:tr>
      <w:tr>
        <w:trPr>
          <w:trHeight w:val="201"/>
        </w:trPr>
        <w:tc>
          <w:tcPr>
            <w:tcW w:w="40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4040" w:type="dxa"/>
            <w:vAlign w:val="bottom"/>
            <w:shd w:val="clear" w:color="auto" w:fill="CCEEFF"/>
          </w:tcPr>
          <w:p>
            <w:pPr>
              <w:spacing w:after="0"/>
              <w:rPr>
                <w:sz w:val="20"/>
                <w:szCs w:val="20"/>
                <w:color w:val="auto"/>
              </w:rPr>
            </w:pPr>
            <w:r>
              <w:rPr>
                <w:rFonts w:ascii="Arial" w:cs="Arial" w:eastAsia="Arial" w:hAnsi="Arial"/>
                <w:sz w:val="17"/>
                <w:szCs w:val="17"/>
                <w:color w:val="auto"/>
              </w:rPr>
              <w:t>Non-taxable:</w:t>
            </w: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1"/>
        </w:trPr>
        <w:tc>
          <w:tcPr>
            <w:tcW w:w="4040" w:type="dxa"/>
            <w:vAlign w:val="bottom"/>
          </w:tcPr>
          <w:p>
            <w:pPr>
              <w:spacing w:after="0"/>
              <w:rPr>
                <w:sz w:val="20"/>
                <w:szCs w:val="20"/>
                <w:color w:val="auto"/>
              </w:rPr>
            </w:pPr>
            <w:r>
              <w:rPr>
                <w:rFonts w:ascii="Arial" w:cs="Arial" w:eastAsia="Arial" w:hAnsi="Arial"/>
                <w:sz w:val="17"/>
                <w:szCs w:val="17"/>
                <w:color w:val="auto"/>
              </w:rPr>
              <w:t>Goodwill impairment</w:t>
            </w: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90</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90 #</w:t>
            </w:r>
          </w:p>
        </w:tc>
      </w:tr>
      <w:tr>
        <w:trPr>
          <w:trHeight w:val="201"/>
        </w:trPr>
        <w:tc>
          <w:tcPr>
            <w:tcW w:w="4040" w:type="dxa"/>
            <w:vAlign w:val="bottom"/>
            <w:shd w:val="clear" w:color="auto" w:fill="CCEEFF"/>
          </w:tcPr>
          <w:p>
            <w:pPr>
              <w:spacing w:after="0"/>
              <w:rPr>
                <w:sz w:val="20"/>
                <w:szCs w:val="20"/>
                <w:color w:val="auto"/>
              </w:rPr>
            </w:pPr>
            <w:r>
              <w:rPr>
                <w:rFonts w:ascii="Arial" w:cs="Arial" w:eastAsia="Arial" w:hAnsi="Arial"/>
                <w:sz w:val="17"/>
                <w:szCs w:val="17"/>
                <w:color w:val="auto"/>
              </w:rPr>
              <w:t>Discrete tax benefit</w:t>
            </w: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(147)</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(147)</w:t>
            </w:r>
          </w:p>
        </w:tc>
      </w:tr>
      <w:tr>
        <w:trPr>
          <w:trHeight w:val="25"/>
        </w:trPr>
        <w:tc>
          <w:tcPr>
            <w:tcW w:w="40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6"/>
        </w:trPr>
        <w:tc>
          <w:tcPr>
            <w:tcW w:w="4040" w:type="dxa"/>
            <w:vAlign w:val="bottom"/>
          </w:tcPr>
          <w:p>
            <w:pPr>
              <w:spacing w:after="0"/>
              <w:rPr>
                <w:sz w:val="20"/>
                <w:szCs w:val="20"/>
                <w:color w:val="auto"/>
              </w:rPr>
            </w:pPr>
            <w:r>
              <w:rPr>
                <w:rFonts w:ascii="Arial" w:cs="Arial" w:eastAsia="Arial" w:hAnsi="Arial"/>
                <w:sz w:val="17"/>
                <w:szCs w:val="17"/>
                <w:color w:val="auto"/>
              </w:rPr>
              <w:t>Adjusted Net income (non-GAAP)</w:t>
            </w: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264</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7"/>
                <w:szCs w:val="17"/>
                <w:color w:val="auto"/>
              </w:rPr>
              <w:t>65</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7"/>
                <w:szCs w:val="17"/>
                <w:color w:val="auto"/>
              </w:rPr>
              <w:t>260</w:t>
            </w:r>
          </w:p>
        </w:tc>
        <w:tc>
          <w:tcPr>
            <w:tcW w:w="12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(172)</w:t>
            </w:r>
          </w:p>
        </w:tc>
        <w:tc>
          <w:tcPr>
            <w:tcW w:w="10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417</w:t>
            </w:r>
          </w:p>
        </w:tc>
      </w:tr>
      <w:tr>
        <w:trPr>
          <w:trHeight w:val="201"/>
        </w:trPr>
        <w:tc>
          <w:tcPr>
            <w:tcW w:w="40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6"/>
        </w:trPr>
        <w:tc>
          <w:tcPr>
            <w:tcW w:w="4040" w:type="dxa"/>
            <w:vAlign w:val="bottom"/>
          </w:tcPr>
          <w:p>
            <w:pPr>
              <w:spacing w:after="0"/>
              <w:rPr>
                <w:sz w:val="20"/>
                <w:szCs w:val="20"/>
                <w:color w:val="auto"/>
              </w:rPr>
            </w:pPr>
            <w:r>
              <w:rPr>
                <w:rFonts w:ascii="Arial" w:cs="Arial" w:eastAsia="Arial" w:hAnsi="Arial"/>
                <w:sz w:val="17"/>
                <w:szCs w:val="17"/>
                <w:color w:val="auto"/>
              </w:rPr>
              <w:t>ASC 260 Net income allocated to unvested RSUs</w:t>
            </w: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(4)</w:t>
            </w:r>
          </w:p>
        </w:tc>
        <w:tc>
          <w:tcPr>
            <w:tcW w:w="120" w:type="dxa"/>
            <w:vAlign w:val="bottom"/>
          </w:tcPr>
          <w:p>
            <w:pPr>
              <w:spacing w:after="0"/>
              <w:rPr>
                <w:sz w:val="17"/>
                <w:szCs w:val="17"/>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7"/>
                <w:szCs w:val="17"/>
                <w:color w:val="auto"/>
              </w:rPr>
              <w:t>(1)</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(5)</w:t>
            </w:r>
          </w:p>
        </w:tc>
        <w:tc>
          <w:tcPr>
            <w:tcW w:w="12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7"/>
                <w:szCs w:val="17"/>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7"/>
                <w:szCs w:val="17"/>
                <w:color w:val="auto"/>
              </w:rPr>
              <w:t>(7)</w:t>
            </w:r>
          </w:p>
        </w:tc>
      </w:tr>
      <w:tr>
        <w:trPr>
          <w:trHeight w:val="201"/>
        </w:trPr>
        <w:tc>
          <w:tcPr>
            <w:tcW w:w="4040" w:type="dxa"/>
            <w:vAlign w:val="bottom"/>
            <w:shd w:val="clear" w:color="auto" w:fill="CCEEFF"/>
          </w:tcPr>
          <w:p>
            <w:pPr>
              <w:ind w:left="300"/>
              <w:spacing w:after="0"/>
              <w:rPr>
                <w:sz w:val="20"/>
                <w:szCs w:val="20"/>
                <w:color w:val="auto"/>
              </w:rPr>
            </w:pPr>
            <w:r>
              <w:rPr>
                <w:rFonts w:ascii="Arial" w:cs="Arial" w:eastAsia="Arial" w:hAnsi="Arial"/>
                <w:sz w:val="17"/>
                <w:szCs w:val="17"/>
                <w:color w:val="auto"/>
              </w:rPr>
              <w:t>Adjusted Net income less amount allocated to</w:t>
            </w:r>
          </w:p>
        </w:tc>
        <w:tc>
          <w:tcPr>
            <w:tcW w:w="66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1"/>
        </w:trPr>
        <w:tc>
          <w:tcPr>
            <w:tcW w:w="4040" w:type="dxa"/>
            <w:vAlign w:val="bottom"/>
          </w:tcPr>
          <w:p>
            <w:pPr>
              <w:spacing w:after="0"/>
              <w:rPr>
                <w:sz w:val="20"/>
                <w:szCs w:val="20"/>
                <w:color w:val="auto"/>
              </w:rPr>
            </w:pPr>
            <w:r>
              <w:rPr>
                <w:rFonts w:ascii="Arial" w:cs="Arial" w:eastAsia="Arial" w:hAnsi="Arial"/>
                <w:sz w:val="17"/>
                <w:szCs w:val="17"/>
                <w:color w:val="auto"/>
              </w:rPr>
              <w:t>unvested RSUs (non-GAAP)</w:t>
            </w: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260</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7"/>
                <w:szCs w:val="17"/>
                <w:color w:val="auto"/>
              </w:rPr>
              <w:t>64</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7"/>
                <w:szCs w:val="17"/>
                <w:color w:val="auto"/>
              </w:rPr>
              <w:t>255</w:t>
            </w:r>
          </w:p>
        </w:tc>
        <w:tc>
          <w:tcPr>
            <w:tcW w:w="12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(169)</w:t>
            </w:r>
          </w:p>
        </w:tc>
        <w:tc>
          <w:tcPr>
            <w:tcW w:w="10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410</w:t>
            </w:r>
          </w:p>
        </w:tc>
      </w:tr>
      <w:tr>
        <w:trPr>
          <w:trHeight w:val="25"/>
        </w:trPr>
        <w:tc>
          <w:tcPr>
            <w:tcW w:w="4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1"/>
        </w:trPr>
        <w:tc>
          <w:tcPr>
            <w:tcW w:w="4040" w:type="dxa"/>
            <w:vAlign w:val="bottom"/>
            <w:shd w:val="clear" w:color="auto" w:fill="CCEEFF"/>
          </w:tcPr>
          <w:p>
            <w:pPr>
              <w:spacing w:after="0"/>
              <w:rPr>
                <w:sz w:val="20"/>
                <w:szCs w:val="20"/>
                <w:color w:val="auto"/>
              </w:rPr>
            </w:pPr>
            <w:r>
              <w:rPr>
                <w:rFonts w:ascii="Arial" w:cs="Arial" w:eastAsia="Arial" w:hAnsi="Arial"/>
                <w:sz w:val="17"/>
                <w:szCs w:val="17"/>
                <w:color w:val="auto"/>
              </w:rPr>
              <w:t>Average shares outstanding (millions) - Diluted</w:t>
            </w: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1,124</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1,124</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1,124</w:t>
            </w:r>
          </w:p>
        </w:tc>
        <w:tc>
          <w:tcPr>
            <w:tcW w:w="2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1,124</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1,124</w:t>
            </w:r>
          </w:p>
        </w:tc>
      </w:tr>
      <w:tr>
        <w:trPr>
          <w:trHeight w:val="213"/>
        </w:trPr>
        <w:tc>
          <w:tcPr>
            <w:tcW w:w="4040" w:type="dxa"/>
            <w:vAlign w:val="bottom"/>
          </w:tcPr>
          <w:p>
            <w:pPr>
              <w:spacing w:after="0"/>
              <w:rPr>
                <w:sz w:val="20"/>
                <w:szCs w:val="20"/>
                <w:color w:val="auto"/>
              </w:rPr>
            </w:pPr>
            <w:r>
              <w:rPr>
                <w:rFonts w:ascii="Arial" w:cs="Arial" w:eastAsia="Arial" w:hAnsi="Arial"/>
                <w:sz w:val="17"/>
                <w:szCs w:val="17"/>
                <w:color w:val="auto"/>
              </w:rPr>
              <w:t>Earnings per common share</w:t>
            </w:r>
          </w:p>
        </w:tc>
        <w:tc>
          <w:tcPr>
            <w:tcW w:w="840" w:type="dxa"/>
            <w:vAlign w:val="bottom"/>
            <w:gridSpan w:val="2"/>
          </w:tcPr>
          <w:p>
            <w:pPr>
              <w:jc w:val="right"/>
              <w:ind w:right="16"/>
              <w:spacing w:after="0"/>
              <w:rPr>
                <w:sz w:val="20"/>
                <w:szCs w:val="20"/>
                <w:color w:val="auto"/>
              </w:rPr>
            </w:pPr>
            <w:r>
              <w:rPr>
                <w:rFonts w:ascii="Arial" w:cs="Arial" w:eastAsia="Arial" w:hAnsi="Arial"/>
                <w:sz w:val="17"/>
                <w:szCs w:val="17"/>
                <w:color w:val="auto"/>
              </w:rPr>
              <w:t>$</w:t>
            </w:r>
          </w:p>
        </w:tc>
        <w:tc>
          <w:tcPr>
            <w:tcW w:w="1220" w:type="dxa"/>
            <w:vAlign w:val="bottom"/>
            <w:gridSpan w:val="2"/>
          </w:tcPr>
          <w:p>
            <w:pPr>
              <w:jc w:val="right"/>
              <w:ind w:right="240"/>
              <w:spacing w:after="0"/>
              <w:rPr>
                <w:sz w:val="20"/>
                <w:szCs w:val="20"/>
                <w:color w:val="auto"/>
              </w:rPr>
            </w:pPr>
            <w:r>
              <w:rPr>
                <w:rFonts w:ascii="Arial" w:cs="Arial" w:eastAsia="Arial" w:hAnsi="Arial"/>
                <w:sz w:val="17"/>
                <w:szCs w:val="17"/>
                <w:color w:val="auto"/>
              </w:rPr>
              <w:t>.23</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gridSpan w:val="2"/>
          </w:tcPr>
          <w:p>
            <w:pPr>
              <w:jc w:val="right"/>
              <w:ind w:right="80"/>
              <w:spacing w:after="0"/>
              <w:rPr>
                <w:sz w:val="20"/>
                <w:szCs w:val="20"/>
                <w:color w:val="auto"/>
              </w:rPr>
            </w:pPr>
            <w:r>
              <w:rPr>
                <w:rFonts w:ascii="Arial" w:cs="Arial" w:eastAsia="Arial" w:hAnsi="Arial"/>
                <w:sz w:val="17"/>
                <w:szCs w:val="17"/>
                <w:color w:val="auto"/>
              </w:rPr>
              <w:t>.06</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.23</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(.15)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.36</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 reported EPS and the adjustments provided in the above chart will not sum to the adjusted (non-GAAP) EPS due to rounding.</w:t>
      </w:r>
    </w:p>
    <w:p>
      <w:pPr>
        <w:spacing w:after="0" w:line="232" w:lineRule="exact"/>
        <w:rPr>
          <w:sz w:val="20"/>
          <w:szCs w:val="20"/>
          <w:color w:val="auto"/>
        </w:rPr>
      </w:pPr>
    </w:p>
    <w:p>
      <w:pPr>
        <w:jc w:val="both"/>
        <w:ind w:right="380" w:firstLine="1"/>
        <w:spacing w:after="0" w:line="257" w:lineRule="auto"/>
        <w:tabs>
          <w:tab w:leader="none" w:pos="168"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Includes $88 million of Acquisition charges as seen on the Consolidated Statements of Income and $12 million of Restructuring charges/other associated with the previously announced planned closure of several older factories. This $12 million is a subset of the Restructuring charges/other of $363 million on the Consolidated Statements of Income.</w:t>
      </w:r>
    </w:p>
    <w:p>
      <w:pPr>
        <w:spacing w:after="0" w:line="202" w:lineRule="exact"/>
        <w:rPr>
          <w:sz w:val="20"/>
          <w:szCs w:val="20"/>
          <w:color w:val="auto"/>
        </w:rPr>
      </w:pPr>
    </w:p>
    <w:p>
      <w:pPr>
        <w:ind w:right="380" w:firstLine="1"/>
        <w:spacing w:after="0" w:line="268" w:lineRule="auto"/>
        <w:tabs>
          <w:tab w:leader="none" w:pos="168" w:val="left"/>
        </w:tabs>
        <w:numPr>
          <w:ilvl w:val="0"/>
          <w:numId w:val="11"/>
        </w:numPr>
        <w:rPr>
          <w:rFonts w:ascii="Arial" w:cs="Arial" w:eastAsia="Arial" w:hAnsi="Arial"/>
          <w:sz w:val="17"/>
          <w:szCs w:val="17"/>
          <w:color w:val="auto"/>
        </w:rPr>
      </w:pPr>
      <w:r>
        <w:rPr>
          <w:rFonts w:ascii="Arial" w:cs="Arial" w:eastAsia="Arial" w:hAnsi="Arial"/>
          <w:sz w:val="17"/>
          <w:szCs w:val="17"/>
          <w:color w:val="auto"/>
        </w:rPr>
        <w:t>Restructuring charges of $273 million plus non-tax deductible goodwill impairment of $90 million is shown as Restructuring charges/other of $363 million on the Consolidated Statements of Income.</w:t>
      </w:r>
    </w:p>
    <w:p>
      <w:pPr>
        <w:sectPr>
          <w:pgSz w:w="11900" w:h="16838" w:orient="portrait"/>
          <w:cols w:equalWidth="0" w:num="1">
            <w:col w:w="11420"/>
          </w:cols>
          <w:pgMar w:left="240" w:top="940"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7"/>
          <w:szCs w:val="17"/>
          <w:b w:val="1"/>
          <w:bCs w:val="1"/>
          <w:color w:val="auto"/>
        </w:rPr>
        <w:t>#  #  #</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Safe Harbor Statement</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color w:val="auto"/>
        </w:rPr>
        <w:t>“Safe Harbor” Statement under the Private Securities Litigation Reform Act of 1995:</w:t>
      </w:r>
    </w:p>
    <w:p>
      <w:pPr>
        <w:spacing w:after="0" w:line="207"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color w:val="auto"/>
        </w:rPr>
        <w:t>This release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We urge you to carefully consider the following important factors that could cause actual results to differ materially from the expectations of TI or its management:</w:t>
      </w:r>
    </w:p>
    <w:p>
      <w:pPr>
        <w:spacing w:after="0" w:line="243" w:lineRule="exact"/>
        <w:rPr>
          <w:sz w:val="20"/>
          <w:szCs w:val="20"/>
          <w:color w:val="auto"/>
        </w:rPr>
      </w:pPr>
    </w:p>
    <w:p>
      <w:pPr>
        <w:ind w:left="600" w:hanging="122"/>
        <w:spacing w:after="0"/>
        <w:tabs>
          <w:tab w:leader="none" w:pos="6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Market demand for semiconductors, particularly in key markets such as communications, computing, industrial and consumer electronics;</w:t>
      </w:r>
    </w:p>
    <w:p>
      <w:pPr>
        <w:spacing w:after="0" w:line="17" w:lineRule="exact"/>
        <w:rPr>
          <w:rFonts w:ascii="Arial" w:cs="Arial" w:eastAsia="Arial" w:hAnsi="Arial"/>
          <w:sz w:val="17"/>
          <w:szCs w:val="17"/>
          <w:color w:val="auto"/>
        </w:rPr>
      </w:pPr>
    </w:p>
    <w:p>
      <w:pPr>
        <w:ind w:left="600" w:hanging="122"/>
        <w:spacing w:after="0" w:line="246" w:lineRule="auto"/>
        <w:tabs>
          <w:tab w:leader="none" w:pos="6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TI’s ability to maintain or improve profit margins, including its ability to utilize its manufacturing facilities at sufficient levels to cover its fixed operating costs, in an intensely competitive and cyclical industry;</w:t>
      </w:r>
    </w:p>
    <w:p>
      <w:pPr>
        <w:spacing w:after="0" w:line="1" w:lineRule="exact"/>
        <w:rPr>
          <w:rFonts w:ascii="Arial" w:cs="Arial" w:eastAsia="Arial" w:hAnsi="Arial"/>
          <w:sz w:val="17"/>
          <w:szCs w:val="17"/>
          <w:color w:val="auto"/>
        </w:rPr>
      </w:pPr>
    </w:p>
    <w:p>
      <w:pPr>
        <w:ind w:left="600" w:hanging="122"/>
        <w:spacing w:after="0"/>
        <w:tabs>
          <w:tab w:leader="none" w:pos="6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TI’s ability to develop, manufacture and market innovative products in a rapidly changing technological environment;</w:t>
      </w:r>
    </w:p>
    <w:p>
      <w:pPr>
        <w:spacing w:after="0" w:line="5" w:lineRule="exact"/>
        <w:rPr>
          <w:rFonts w:ascii="Arial" w:cs="Arial" w:eastAsia="Arial" w:hAnsi="Arial"/>
          <w:sz w:val="17"/>
          <w:szCs w:val="17"/>
          <w:color w:val="auto"/>
        </w:rPr>
      </w:pPr>
    </w:p>
    <w:p>
      <w:pPr>
        <w:ind w:left="600" w:hanging="122"/>
        <w:spacing w:after="0"/>
        <w:tabs>
          <w:tab w:leader="none" w:pos="6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TI’s ability to compete in products and prices in an intensely competitive industry;</w:t>
      </w:r>
    </w:p>
    <w:p>
      <w:pPr>
        <w:spacing w:after="0" w:line="5" w:lineRule="exact"/>
        <w:rPr>
          <w:rFonts w:ascii="Arial" w:cs="Arial" w:eastAsia="Arial" w:hAnsi="Arial"/>
          <w:sz w:val="17"/>
          <w:szCs w:val="17"/>
          <w:color w:val="auto"/>
        </w:rPr>
      </w:pPr>
    </w:p>
    <w:p>
      <w:pPr>
        <w:ind w:left="600" w:hanging="122"/>
        <w:spacing w:after="0"/>
        <w:tabs>
          <w:tab w:leader="none" w:pos="6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TI’s ability to maintain and enforce a strong intellectual property portfolio and obtain needed licenses from third parties;</w:t>
      </w:r>
    </w:p>
    <w:p>
      <w:pPr>
        <w:spacing w:after="0" w:line="5" w:lineRule="exact"/>
        <w:rPr>
          <w:rFonts w:ascii="Arial" w:cs="Arial" w:eastAsia="Arial" w:hAnsi="Arial"/>
          <w:sz w:val="17"/>
          <w:szCs w:val="17"/>
          <w:color w:val="auto"/>
        </w:rPr>
      </w:pPr>
    </w:p>
    <w:p>
      <w:pPr>
        <w:ind w:left="600" w:hanging="122"/>
        <w:spacing w:after="0"/>
        <w:tabs>
          <w:tab w:leader="none" w:pos="6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Expiration of license agreements between TI and its patent licensees, and market conditions reducing royalty payments to TI;</w:t>
      </w:r>
    </w:p>
    <w:p>
      <w:pPr>
        <w:spacing w:after="0" w:line="5" w:lineRule="exact"/>
        <w:rPr>
          <w:rFonts w:ascii="Arial" w:cs="Arial" w:eastAsia="Arial" w:hAnsi="Arial"/>
          <w:sz w:val="17"/>
          <w:szCs w:val="17"/>
          <w:color w:val="auto"/>
        </w:rPr>
      </w:pPr>
    </w:p>
    <w:p>
      <w:pPr>
        <w:ind w:left="600" w:hanging="122"/>
        <w:spacing w:after="0" w:line="262" w:lineRule="auto"/>
        <w:tabs>
          <w:tab w:leader="none" w:pos="6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Economic, social and political conditions in the countries in which TI, its customers or its suppliers operate, including security risks, health conditions, possible disruptions in transportation, communications and information technology networks and fluctuations in foreign currency exchange rates;</w:t>
      </w:r>
    </w:p>
    <w:p>
      <w:pPr>
        <w:ind w:left="600" w:hanging="122"/>
        <w:spacing w:after="0"/>
        <w:tabs>
          <w:tab w:leader="none" w:pos="6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Natural events such as severe weather and earthquakes in the locations in which TI, its customers or its suppliers operate;</w:t>
      </w:r>
    </w:p>
    <w:p>
      <w:pPr>
        <w:spacing w:after="0" w:line="5" w:lineRule="exact"/>
        <w:rPr>
          <w:rFonts w:ascii="Arial" w:cs="Arial" w:eastAsia="Arial" w:hAnsi="Arial"/>
          <w:sz w:val="17"/>
          <w:szCs w:val="17"/>
          <w:color w:val="auto"/>
        </w:rPr>
      </w:pPr>
    </w:p>
    <w:p>
      <w:pPr>
        <w:ind w:left="600" w:hanging="122"/>
        <w:spacing w:after="0"/>
        <w:tabs>
          <w:tab w:leader="none" w:pos="6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Availability and cost of raw materials, utilities, manufacturing equipment, third-party manufacturing services and manufacturing technology;</w:t>
      </w:r>
    </w:p>
    <w:p>
      <w:pPr>
        <w:spacing w:after="0" w:line="5" w:lineRule="exact"/>
        <w:rPr>
          <w:rFonts w:ascii="Arial" w:cs="Arial" w:eastAsia="Arial" w:hAnsi="Arial"/>
          <w:sz w:val="17"/>
          <w:szCs w:val="17"/>
          <w:color w:val="auto"/>
        </w:rPr>
      </w:pPr>
    </w:p>
    <w:p>
      <w:pPr>
        <w:ind w:left="600" w:hanging="122"/>
        <w:spacing w:after="0" w:line="246" w:lineRule="auto"/>
        <w:tabs>
          <w:tab w:leader="none" w:pos="6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Changes in the tax rate applicable to TI as the result of changes in tax law, the jurisdictions in which profits are determined to be earned and taxed, the outcome of tax audits and the ability to realize deferred tax assets;</w:t>
      </w:r>
    </w:p>
    <w:p>
      <w:pPr>
        <w:spacing w:after="0" w:line="1" w:lineRule="exact"/>
        <w:rPr>
          <w:rFonts w:ascii="Arial" w:cs="Arial" w:eastAsia="Arial" w:hAnsi="Arial"/>
          <w:sz w:val="17"/>
          <w:szCs w:val="17"/>
          <w:color w:val="auto"/>
        </w:rPr>
      </w:pPr>
    </w:p>
    <w:p>
      <w:pPr>
        <w:ind w:left="600" w:hanging="122"/>
        <w:spacing w:after="0" w:line="246" w:lineRule="auto"/>
        <w:tabs>
          <w:tab w:leader="none" w:pos="6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Changes in laws and regulations to which TI or its suppliers are or may become subject, such as those imposing fees or reporting or substitution costs relating to the discharge of emissions into the environment or the use of certain raw materials in our manufacturing processes;</w:t>
      </w:r>
    </w:p>
    <w:p>
      <w:pPr>
        <w:spacing w:after="0" w:line="1" w:lineRule="exact"/>
        <w:rPr>
          <w:rFonts w:ascii="Arial" w:cs="Arial" w:eastAsia="Arial" w:hAnsi="Arial"/>
          <w:sz w:val="17"/>
          <w:szCs w:val="17"/>
          <w:color w:val="auto"/>
        </w:rPr>
      </w:pPr>
    </w:p>
    <w:p>
      <w:pPr>
        <w:ind w:left="600" w:hanging="122"/>
        <w:spacing w:after="0"/>
        <w:tabs>
          <w:tab w:leader="none" w:pos="6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Losses or curtailments of purchases from key customers and the timing and amount of distributor and other customer inventory adjustments;</w:t>
      </w:r>
    </w:p>
    <w:p>
      <w:pPr>
        <w:spacing w:after="0" w:line="5" w:lineRule="exact"/>
        <w:rPr>
          <w:rFonts w:ascii="Arial" w:cs="Arial" w:eastAsia="Arial" w:hAnsi="Arial"/>
          <w:sz w:val="17"/>
          <w:szCs w:val="17"/>
          <w:color w:val="auto"/>
        </w:rPr>
      </w:pPr>
    </w:p>
    <w:p>
      <w:pPr>
        <w:ind w:left="600" w:hanging="122"/>
        <w:spacing w:after="0"/>
        <w:tabs>
          <w:tab w:leader="none" w:pos="6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Customer demand that differs from our forecasts;</w:t>
      </w:r>
    </w:p>
    <w:p>
      <w:pPr>
        <w:spacing w:after="0" w:line="5" w:lineRule="exact"/>
        <w:rPr>
          <w:rFonts w:ascii="Arial" w:cs="Arial" w:eastAsia="Arial" w:hAnsi="Arial"/>
          <w:sz w:val="17"/>
          <w:szCs w:val="17"/>
          <w:color w:val="auto"/>
        </w:rPr>
      </w:pPr>
    </w:p>
    <w:p>
      <w:pPr>
        <w:ind w:left="600" w:hanging="122"/>
        <w:spacing w:after="0"/>
        <w:tabs>
          <w:tab w:leader="none" w:pos="6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financial impact of inadequate or excess TI inventory that results from demand that differs from projections;</w:t>
      </w:r>
    </w:p>
    <w:p>
      <w:pPr>
        <w:spacing w:after="0" w:line="5" w:lineRule="exact"/>
        <w:rPr>
          <w:rFonts w:ascii="Arial" w:cs="Arial" w:eastAsia="Arial" w:hAnsi="Arial"/>
          <w:sz w:val="17"/>
          <w:szCs w:val="17"/>
          <w:color w:val="auto"/>
        </w:rPr>
      </w:pPr>
    </w:p>
    <w:p>
      <w:pPr>
        <w:ind w:left="600" w:hanging="122"/>
        <w:spacing w:after="0"/>
        <w:tabs>
          <w:tab w:leader="none" w:pos="6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Impairments of our non-financial assets;</w:t>
      </w:r>
    </w:p>
    <w:p>
      <w:pPr>
        <w:spacing w:after="0" w:line="5" w:lineRule="exact"/>
        <w:rPr>
          <w:rFonts w:ascii="Arial" w:cs="Arial" w:eastAsia="Arial" w:hAnsi="Arial"/>
          <w:sz w:val="17"/>
          <w:szCs w:val="17"/>
          <w:color w:val="auto"/>
        </w:rPr>
      </w:pPr>
    </w:p>
    <w:p>
      <w:pPr>
        <w:ind w:left="600" w:hanging="122"/>
        <w:spacing w:after="0"/>
        <w:tabs>
          <w:tab w:leader="none" w:pos="6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Product liability or warranty claims, claims based on epidemic or delivery failure or recalls by TI customers for a product containing a TI part;</w:t>
      </w:r>
    </w:p>
    <w:p>
      <w:pPr>
        <w:spacing w:after="0" w:line="5" w:lineRule="exact"/>
        <w:rPr>
          <w:rFonts w:ascii="Arial" w:cs="Arial" w:eastAsia="Arial" w:hAnsi="Arial"/>
          <w:sz w:val="17"/>
          <w:szCs w:val="17"/>
          <w:color w:val="auto"/>
        </w:rPr>
      </w:pPr>
    </w:p>
    <w:p>
      <w:pPr>
        <w:ind w:left="600" w:hanging="122"/>
        <w:spacing w:after="0"/>
        <w:tabs>
          <w:tab w:leader="none" w:pos="6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TI’s ability to recruit and retain skilled personnel;</w:t>
      </w:r>
    </w:p>
    <w:p>
      <w:pPr>
        <w:spacing w:after="0" w:line="5" w:lineRule="exact"/>
        <w:rPr>
          <w:rFonts w:ascii="Arial" w:cs="Arial" w:eastAsia="Arial" w:hAnsi="Arial"/>
          <w:sz w:val="17"/>
          <w:szCs w:val="17"/>
          <w:color w:val="auto"/>
        </w:rPr>
      </w:pPr>
    </w:p>
    <w:p>
      <w:pPr>
        <w:ind w:left="600" w:hanging="122"/>
        <w:spacing w:after="0" w:line="246" w:lineRule="auto"/>
        <w:tabs>
          <w:tab w:leader="none" w:pos="6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Timely implementation of new manufacturing technologies, installation of manufacturing equipment and the ability to obtain needed third-party foundry and assembly/test subcontract services;</w:t>
      </w:r>
    </w:p>
    <w:p>
      <w:pPr>
        <w:spacing w:after="0" w:line="1" w:lineRule="exact"/>
        <w:rPr>
          <w:rFonts w:ascii="Arial" w:cs="Arial" w:eastAsia="Arial" w:hAnsi="Arial"/>
          <w:sz w:val="17"/>
          <w:szCs w:val="17"/>
          <w:color w:val="auto"/>
        </w:rPr>
      </w:pPr>
    </w:p>
    <w:p>
      <w:pPr>
        <w:ind w:left="600" w:hanging="122"/>
        <w:spacing w:after="0"/>
        <w:tabs>
          <w:tab w:leader="none" w:pos="6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TI’s obligation to make principal and interest payments on its debt;</w:t>
      </w:r>
    </w:p>
    <w:p>
      <w:pPr>
        <w:spacing w:after="0" w:line="5" w:lineRule="exact"/>
        <w:rPr>
          <w:rFonts w:ascii="Arial" w:cs="Arial" w:eastAsia="Arial" w:hAnsi="Arial"/>
          <w:sz w:val="17"/>
          <w:szCs w:val="17"/>
          <w:color w:val="auto"/>
        </w:rPr>
      </w:pPr>
    </w:p>
    <w:p>
      <w:pPr>
        <w:ind w:left="600" w:hanging="122"/>
        <w:spacing w:after="0"/>
        <w:tabs>
          <w:tab w:leader="none" w:pos="6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TI’s ability to realize opportunities for growth from our acquisition of National Semiconductor;</w:t>
      </w:r>
    </w:p>
    <w:p>
      <w:pPr>
        <w:spacing w:after="0" w:line="5" w:lineRule="exact"/>
        <w:rPr>
          <w:rFonts w:ascii="Arial" w:cs="Arial" w:eastAsia="Arial" w:hAnsi="Arial"/>
          <w:sz w:val="17"/>
          <w:szCs w:val="17"/>
          <w:color w:val="auto"/>
        </w:rPr>
      </w:pPr>
    </w:p>
    <w:p>
      <w:pPr>
        <w:ind w:left="600" w:hanging="122"/>
        <w:spacing w:after="0"/>
        <w:tabs>
          <w:tab w:leader="none" w:pos="6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Restructuring charges and associated cost savings that differ in amount or timing from our estimates; and</w:t>
      </w:r>
    </w:p>
    <w:p>
      <w:pPr>
        <w:spacing w:after="0" w:line="5" w:lineRule="exact"/>
        <w:rPr>
          <w:rFonts w:ascii="Arial" w:cs="Arial" w:eastAsia="Arial" w:hAnsi="Arial"/>
          <w:sz w:val="17"/>
          <w:szCs w:val="17"/>
          <w:color w:val="auto"/>
        </w:rPr>
      </w:pPr>
    </w:p>
    <w:p>
      <w:pPr>
        <w:ind w:left="600" w:hanging="122"/>
        <w:spacing w:after="0"/>
        <w:tabs>
          <w:tab w:leader="none" w:pos="6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Breaches of our information technology systems.</w:t>
      </w:r>
    </w:p>
    <w:p>
      <w:pPr>
        <w:spacing w:after="0" w:line="220"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For a more detailed discussion of these factors, see the Risk Factors discussion in Item 1A of TI’s Form 10-Q for the quarter ended March 31, 2012. The forward-looking statements included in this release are made only as of the date of this release, and TI undertakes no obligation to update the forward-looking statements to reflect subsequent events or circumstances.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About Texas Instruments</w:t>
      </w:r>
    </w:p>
    <w:p>
      <w:pPr>
        <w:spacing w:after="0" w:line="236" w:lineRule="exact"/>
        <w:rPr>
          <w:sz w:val="20"/>
          <w:szCs w:val="20"/>
          <w:color w:val="auto"/>
        </w:rPr>
      </w:pPr>
    </w:p>
    <w:p>
      <w:pPr>
        <w:jc w:val="both"/>
        <w:ind w:right="60"/>
        <w:spacing w:after="0" w:line="257" w:lineRule="auto"/>
        <w:rPr>
          <w:sz w:val="20"/>
          <w:szCs w:val="20"/>
          <w:color w:val="auto"/>
        </w:rPr>
      </w:pPr>
      <w:r>
        <w:rPr>
          <w:rFonts w:ascii="Arial" w:cs="Arial" w:eastAsia="Arial" w:hAnsi="Arial"/>
          <w:sz w:val="17"/>
          <w:szCs w:val="17"/>
          <w:color w:val="auto"/>
        </w:rPr>
        <w:t>Texas Instruments semiconductor innovations help 90,000 customers unlock the possibilities of the world as it could be – smarter, safer, greener, healthier and more fun. Our commitment to building a better future is ingrained in everything we do – from the responsible manufacturing of our semiconductors, to caring for our employees, to giving back inside our communities. This is just the beginning of our story. Learn more at www.ti.com.</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TI trademarks:</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OMAP</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DLP</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Other trademarks are the property of their respective owners.</w:t>
      </w:r>
    </w:p>
    <w:sectPr>
      <w:pgSz w:w="11900" w:h="16838" w:orient="portrait"/>
      <w:cols w:equalWidth="0" w:num="1">
        <w:col w:w="11420"/>
      </w:cols>
      <w:pgMar w:left="240" w:top="26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decimal"/>
      <w:start w:val="99"/>
    </w:lvl>
  </w:abstractNum>
  <w:abstractNum w:abstractNumId="2">
    <w:nsid w:val="79E2A9E3"/>
    <w:multiLevelType w:val="hybridMultilevel"/>
    <w:lvl w:ilvl="0">
      <w:lvlJc w:val="left"/>
      <w:lvlText w:val="Ÿ"/>
      <w:numFmt w:val="bullet"/>
      <w:start w:val="1"/>
    </w:lvl>
  </w:abstractNum>
  <w:abstractNum w:abstractNumId="3">
    <w:nsid w:val="7545E146"/>
    <w:multiLevelType w:val="hybridMultilevel"/>
    <w:lvl w:ilvl="0">
      <w:lvlJc w:val="left"/>
      <w:lvlText w:val="Ÿ"/>
      <w:numFmt w:val="bullet"/>
      <w:start w:val="1"/>
    </w:lvl>
  </w:abstractNum>
  <w:abstractNum w:abstractNumId="4">
    <w:nsid w:val="515F007C"/>
    <w:multiLevelType w:val="hybridMultilevel"/>
    <w:lvl w:ilvl="0">
      <w:lvlJc w:val="left"/>
      <w:lvlText w:val="Ÿ"/>
      <w:numFmt w:val="bullet"/>
      <w:start w:val="1"/>
    </w:lvl>
  </w:abstractNum>
  <w:abstractNum w:abstractNumId="5">
    <w:nsid w:val="5BD062C2"/>
    <w:multiLevelType w:val="hybridMultilevel"/>
    <w:lvl w:ilvl="0">
      <w:lvlJc w:val="left"/>
      <w:lvlText w:val="Ÿ"/>
      <w:numFmt w:val="bullet"/>
      <w:start w:val="1"/>
    </w:lvl>
  </w:abstractNum>
  <w:abstractNum w:abstractNumId="6">
    <w:nsid w:val="12200854"/>
    <w:multiLevelType w:val="hybridMultilevel"/>
    <w:lvl w:ilvl="0">
      <w:lvlJc w:val="left"/>
      <w:lvlText w:val="Ÿ"/>
      <w:numFmt w:val="bullet"/>
      <w:start w:val="1"/>
    </w:lvl>
  </w:abstractNum>
  <w:abstractNum w:abstractNumId="7">
    <w:nsid w:val="4DB127F8"/>
    <w:multiLevelType w:val="hybridMultilevel"/>
    <w:lvl w:ilvl="0">
      <w:lvlJc w:val="left"/>
      <w:lvlText w:val="(%1)"/>
      <w:numFmt w:val="decimal"/>
      <w:start w:val="1"/>
    </w:lvl>
  </w:abstractNum>
  <w:abstractNum w:abstractNumId="8">
    <w:nsid w:val="216231B"/>
    <w:multiLevelType w:val="hybridMultilevel"/>
    <w:lvl w:ilvl="0">
      <w:lvlJc w:val="left"/>
      <w:lvlText w:val="Ÿ"/>
      <w:numFmt w:val="bullet"/>
      <w:start w:val="1"/>
    </w:lvl>
  </w:abstractNum>
  <w:abstractNum w:abstractNumId="9">
    <w:nsid w:val="1F16E9E8"/>
    <w:multiLevelType w:val="hybridMultilevel"/>
    <w:lvl w:ilvl="0">
      <w:lvlJc w:val="left"/>
      <w:lvlText w:val="*"/>
      <w:numFmt w:val="bullet"/>
      <w:start w:val="1"/>
    </w:lvl>
  </w:abstractNum>
  <w:abstractNum w:abstractNumId="10">
    <w:nsid w:val="1190CDE7"/>
    <w:multiLevelType w:val="hybridMultilevel"/>
    <w:lvl w:ilvl="0">
      <w:lvlJc w:val="left"/>
      <w:lvlText w:val="#"/>
      <w:numFmt w:val="bullet"/>
      <w:start w:val="1"/>
    </w:lvl>
  </w:abstractNum>
  <w:abstractNum w:abstractNumId="11">
    <w:nsid w:val="66EF438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2019-12-05T16:12:44Z</dcterms:created>
  <dcterms:modified xsi:type="dcterms:W3CDTF">2019-12-05T16:12:44Z</dcterms:modified>
</cp:coreProperties>
</file>