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62"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4"/>
          <w:szCs w:val="24"/>
          <w:color w:val="auto"/>
        </w:rPr>
      </w:pPr>
    </w:p>
    <w:p>
      <w:pPr>
        <w:ind w:right="4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6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720" w:right="219" w:bottom="1440" w:gutter="0" w:footer="0" w:header="0"/>
        </w:sectPr>
      </w:pP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440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4400" w:type="dxa"/>
            <w:vAlign w:val="bottom"/>
          </w:tcPr>
          <w:p>
            <w:pPr>
              <w:ind w:left="2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 xml:space="preserve"> (Do not check if a smaller reporting company)</w:t>
            </w:r>
          </w:p>
        </w:tc>
        <w:tc>
          <w:tcPr>
            <w:tcW w:w="356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4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2">
            <w:col w:w="1980" w:space="480"/>
            <w:col w:w="8980"/>
          </w:cols>
          <w:pgMar w:left="240" w:top="720" w:right="219" w:bottom="144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11180" w:type="dxa"/>
            <w:vAlign w:val="bottom"/>
          </w:tcPr>
          <w:p>
            <w:pPr>
              <w:ind w:left="4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 new</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11180" w:type="dxa"/>
            <w:vAlign w:val="bottom"/>
          </w:tcPr>
          <w:p>
            <w:pPr>
              <w:ind w:left="40"/>
              <w:spacing w:after="0"/>
              <w:rPr>
                <w:sz w:val="20"/>
                <w:szCs w:val="20"/>
                <w:color w:val="auto"/>
              </w:rPr>
            </w:pPr>
            <w:r>
              <w:rPr>
                <w:rFonts w:ascii="Arial" w:cs="Arial" w:eastAsia="Arial" w:hAnsi="Arial"/>
                <w:sz w:val="18"/>
                <w:szCs w:val="18"/>
                <w:color w:val="auto"/>
              </w:rPr>
              <w:t>or revised financial accounting standards provided pursuant to Section 13(a) of the Exchange Act</w:t>
            </w:r>
          </w:p>
        </w:tc>
        <w:tc>
          <w:tcPr>
            <w:tcW w:w="260" w:type="dxa"/>
            <w:vAlign w:val="bottom"/>
          </w:tcPr>
          <w:p>
            <w:pPr>
              <w:spacing w:after="0"/>
              <w:rPr>
                <w:sz w:val="20"/>
                <w:szCs w:val="20"/>
                <w:color w:val="auto"/>
              </w:rPr>
            </w:pPr>
          </w:p>
        </w:tc>
      </w:tr>
      <w:tr>
        <w:trPr>
          <w:trHeight w:val="240"/>
        </w:trPr>
        <w:tc>
          <w:tcPr>
            <w:tcW w:w="111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tc>
        <w:tc>
          <w:tcPr>
            <w:tcW w:w="260" w:type="dxa"/>
            <w:vAlign w:val="bottom"/>
          </w:tcPr>
          <w:p>
            <w:pPr>
              <w:spacing w:after="0"/>
              <w:rPr>
                <w:sz w:val="20"/>
                <w:szCs w:val="20"/>
                <w:color w:val="auto"/>
              </w:rPr>
            </w:pPr>
          </w:p>
        </w:tc>
      </w:tr>
      <w:tr>
        <w:trPr>
          <w:trHeight w:val="216"/>
        </w:trPr>
        <w:tc>
          <w:tcPr>
            <w:tcW w:w="11180" w:type="dxa"/>
            <w:vAlign w:val="bottom"/>
          </w:tcPr>
          <w:p>
            <w:pPr>
              <w:jc w:val="center"/>
              <w:ind w:left="150"/>
              <w:spacing w:after="0"/>
              <w:rPr>
                <w:sz w:val="20"/>
                <w:szCs w:val="20"/>
                <w:color w:val="auto"/>
              </w:rPr>
            </w:pPr>
            <w:r>
              <w:rPr>
                <w:rFonts w:ascii="Arial" w:cs="Arial" w:eastAsia="Arial" w:hAnsi="Arial"/>
                <w:sz w:val="18"/>
                <w:szCs w:val="18"/>
                <w:color w:val="auto"/>
                <w:w w:val="89"/>
              </w:rPr>
              <w:t>996,323,814</w:t>
            </w:r>
          </w:p>
        </w:tc>
        <w:tc>
          <w:tcPr>
            <w:tcW w:w="260" w:type="dxa"/>
            <w:vAlign w:val="bottom"/>
          </w:tcPr>
          <w:p>
            <w:pPr>
              <w:spacing w:after="0"/>
              <w:rPr>
                <w:sz w:val="18"/>
                <w:szCs w:val="18"/>
                <w:color w:val="auto"/>
              </w:rPr>
            </w:pPr>
          </w:p>
        </w:tc>
      </w:tr>
      <w:tr>
        <w:trPr>
          <w:trHeight w:val="216"/>
        </w:trPr>
        <w:tc>
          <w:tcPr>
            <w:tcW w:w="11180" w:type="dxa"/>
            <w:vAlign w:val="bottom"/>
          </w:tcPr>
          <w:p>
            <w:pPr>
              <w:jc w:val="center"/>
              <w:ind w:left="170"/>
              <w:spacing w:after="0"/>
              <w:rPr>
                <w:sz w:val="20"/>
                <w:szCs w:val="20"/>
                <w:color w:val="auto"/>
              </w:rPr>
            </w:pPr>
            <w:r>
              <w:rPr>
                <w:rFonts w:ascii="Arial" w:cs="Arial" w:eastAsia="Arial" w:hAnsi="Arial"/>
                <w:sz w:val="18"/>
                <w:szCs w:val="18"/>
                <w:color w:val="auto"/>
                <w:w w:val="90"/>
              </w:rPr>
              <w:t>Number of shares of Registrant’s common stock outstanding as of</w:t>
            </w:r>
          </w:p>
        </w:tc>
        <w:tc>
          <w:tcPr>
            <w:tcW w:w="260" w:type="dxa"/>
            <w:vAlign w:val="bottom"/>
          </w:tcPr>
          <w:p>
            <w:pPr>
              <w:spacing w:after="0"/>
              <w:rPr>
                <w:sz w:val="18"/>
                <w:szCs w:val="18"/>
                <w:color w:val="auto"/>
              </w:rPr>
            </w:pPr>
          </w:p>
        </w:tc>
      </w:tr>
      <w:tr>
        <w:trPr>
          <w:trHeight w:val="230"/>
        </w:trPr>
        <w:tc>
          <w:tcPr>
            <w:tcW w:w="11180" w:type="dxa"/>
            <w:vAlign w:val="bottom"/>
          </w:tcPr>
          <w:p>
            <w:pPr>
              <w:jc w:val="center"/>
              <w:ind w:left="150"/>
              <w:spacing w:after="0"/>
              <w:rPr>
                <w:sz w:val="20"/>
                <w:szCs w:val="20"/>
                <w:color w:val="auto"/>
              </w:rPr>
            </w:pPr>
            <w:r>
              <w:rPr>
                <w:rFonts w:ascii="Arial" w:cs="Arial" w:eastAsia="Arial" w:hAnsi="Arial"/>
                <w:sz w:val="18"/>
                <w:szCs w:val="18"/>
                <w:color w:val="auto"/>
                <w:w w:val="95"/>
              </w:rPr>
              <w:t>April 25, 2017</w:t>
            </w:r>
          </w:p>
        </w:tc>
        <w:tc>
          <w:tcPr>
            <w:tcW w:w="260" w:type="dxa"/>
            <w:vAlign w:val="bottom"/>
          </w:tcPr>
          <w:p>
            <w:pPr>
              <w:spacing w:after="0"/>
              <w:rPr>
                <w:sz w:val="20"/>
                <w:szCs w:val="20"/>
                <w:color w:val="auto"/>
              </w:rPr>
            </w:pPr>
          </w:p>
        </w:tc>
      </w:tr>
      <w:tr>
        <w:trPr>
          <w:trHeight w:val="966"/>
        </w:trPr>
        <w:tc>
          <w:tcPr>
            <w:tcW w:w="1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w w:val="93"/>
              </w:rPr>
              <w:t>For Three Months Ended</w:t>
            </w:r>
          </w:p>
        </w:tc>
      </w:tr>
      <w:tr>
        <w:trPr>
          <w:trHeight w:val="219"/>
        </w:trPr>
        <w:tc>
          <w:tcPr>
            <w:tcW w:w="83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340" w:type="dxa"/>
            <w:vAlign w:val="bottom"/>
          </w:tcPr>
          <w:p>
            <w:pPr>
              <w:spacing w:after="0"/>
              <w:rPr>
                <w:sz w:val="19"/>
                <w:szCs w:val="19"/>
                <w:color w:val="auto"/>
              </w:rPr>
            </w:pPr>
          </w:p>
        </w:tc>
        <w:tc>
          <w:tcPr>
            <w:tcW w:w="1480" w:type="dxa"/>
            <w:vAlign w:val="bottom"/>
            <w:gridSpan w:val="3"/>
          </w:tcPr>
          <w:p>
            <w:pPr>
              <w:jc w:val="center"/>
              <w:ind w:left="679"/>
              <w:spacing w:after="0"/>
              <w:rPr>
                <w:sz w:val="20"/>
                <w:szCs w:val="20"/>
                <w:color w:val="auto"/>
              </w:rPr>
            </w:pPr>
            <w:r>
              <w:rPr>
                <w:rFonts w:ascii="Arial" w:cs="Arial" w:eastAsia="Arial" w:hAnsi="Arial"/>
                <w:sz w:val="16"/>
                <w:szCs w:val="16"/>
                <w:b w:val="1"/>
                <w:bCs w:val="1"/>
                <w:color w:val="auto"/>
                <w:w w:val="97"/>
              </w:rPr>
              <w:t>March 31,</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3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3,402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00" w:type="dxa"/>
            <w:vAlign w:val="bottom"/>
            <w:shd w:val="clear" w:color="auto" w:fill="CCEEFF"/>
          </w:tcPr>
          <w:p>
            <w:pPr>
              <w:spacing w:after="0"/>
              <w:rPr>
                <w:sz w:val="18"/>
                <w:szCs w:val="18"/>
                <w:color w:val="auto"/>
              </w:rPr>
            </w:pPr>
          </w:p>
        </w:tc>
      </w:tr>
      <w:tr>
        <w:trPr>
          <w:trHeight w:val="213"/>
        </w:trPr>
        <w:tc>
          <w:tcPr>
            <w:tcW w:w="838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1,258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1,179</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2,144</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838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9"/>
                <w:szCs w:val="19"/>
                <w:color w:val="auto"/>
              </w:rPr>
            </w:pPr>
          </w:p>
        </w:tc>
      </w:tr>
      <w:tr>
        <w:trPr>
          <w:trHeight w:val="213"/>
        </w:trPr>
        <w:tc>
          <w:tcPr>
            <w:tcW w:w="838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r>
      <w:tr>
        <w:trPr>
          <w:trHeight w:val="207"/>
        </w:trPr>
        <w:tc>
          <w:tcPr>
            <w:tcW w:w="838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1,252</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r>
      <w:tr>
        <w:trPr>
          <w:trHeight w:val="213"/>
        </w:trPr>
        <w:tc>
          <w:tcPr>
            <w:tcW w:w="838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1,255</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838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8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8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8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998</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8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1,019</w:t>
            </w:r>
          </w:p>
        </w:tc>
        <w:tc>
          <w:tcPr>
            <w:tcW w:w="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2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r>
      <w:tr>
        <w:trPr>
          <w:trHeight w:val="213"/>
        </w:trPr>
        <w:tc>
          <w:tcPr>
            <w:tcW w:w="838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6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(10)</w:t>
            </w: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210"/>
        </w:trPr>
        <w:tc>
          <w:tcPr>
            <w:tcW w:w="8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62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987</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For Three Months Ended</w:t>
            </w:r>
          </w:p>
        </w:tc>
        <w:tc>
          <w:tcPr>
            <w:tcW w:w="0" w:type="dxa"/>
            <w:vAlign w:val="bottom"/>
          </w:tcPr>
          <w:p>
            <w:pPr>
              <w:spacing w:after="0"/>
              <w:rPr>
                <w:sz w:val="1"/>
                <w:szCs w:val="1"/>
                <w:color w:val="auto"/>
              </w:rPr>
            </w:pPr>
          </w:p>
        </w:tc>
      </w:tr>
      <w:tr>
        <w:trPr>
          <w:trHeight w:val="219"/>
        </w:trPr>
        <w:tc>
          <w:tcPr>
            <w:tcW w:w="840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320" w:type="dxa"/>
            <w:vAlign w:val="bottom"/>
          </w:tcPr>
          <w:p>
            <w:pPr>
              <w:spacing w:after="0"/>
              <w:rPr>
                <w:sz w:val="19"/>
                <w:szCs w:val="19"/>
                <w:color w:val="auto"/>
              </w:rPr>
            </w:pPr>
          </w:p>
        </w:tc>
        <w:tc>
          <w:tcPr>
            <w:tcW w:w="16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gridSpan w:val="3"/>
          </w:tcPr>
          <w:p>
            <w:pPr>
              <w:spacing w:after="0"/>
              <w:rPr>
                <w:sz w:val="20"/>
                <w:szCs w:val="20"/>
                <w:color w:val="auto"/>
              </w:rPr>
            </w:pPr>
            <w:r>
              <w:rPr>
                <w:rFonts w:ascii="Arial" w:cs="Arial" w:eastAsia="Arial" w:hAnsi="Arial"/>
                <w:sz w:val="16"/>
                <w:szCs w:val="16"/>
                <w:color w:val="auto"/>
              </w:rPr>
              <w:t>Other comprehensive income (loss), net of taxes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gains (losses) of defined benefit plans: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(12)</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gridSpan w:val="2"/>
          </w:tcPr>
          <w:p>
            <w:pPr>
              <w:ind w:left="120"/>
              <w:spacing w:after="0"/>
              <w:rPr>
                <w:sz w:val="20"/>
                <w:szCs w:val="20"/>
                <w:color w:val="auto"/>
              </w:rPr>
            </w:pPr>
            <w:r>
              <w:rPr>
                <w:rFonts w:ascii="Arial" w:cs="Arial" w:eastAsia="Arial" w:hAnsi="Arial"/>
                <w:sz w:val="16"/>
                <w:szCs w:val="16"/>
                <w:color w:val="auto"/>
              </w:rPr>
              <w:t>Prior service (cost) credit of defined benefit plans: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gridSpan w:val="2"/>
            <w:vMerge w:val="restart"/>
          </w:tcPr>
          <w:p>
            <w:pPr>
              <w:ind w:left="1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3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3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996</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9"/>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240" w:type="dxa"/>
            <w:vAlign w:val="bottom"/>
          </w:tcPr>
          <w:p>
            <w:pPr>
              <w:spacing w:after="0"/>
              <w:rPr>
                <w:sz w:val="19"/>
                <w:szCs w:val="19"/>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1,073</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1,976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($11) and ($17)</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724</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1,843</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811</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7,040</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4,833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(2,332)</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2,501</w:t>
            </w:r>
          </w:p>
        </w:tc>
        <w:tc>
          <w:tcPr>
            <w:tcW w:w="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2,512</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Goodwill, net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361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15,978</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378</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352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1,602</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2,980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credits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624</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5,339</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1,597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33,595</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March 31, 2017 – 743,085,976; December 31, 2016 – 744,831,978</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(25,767)</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(25,523)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(527)</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10,639</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15,978</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w w:val="95"/>
              </w:rPr>
              <w:t>For Three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997</w:t>
            </w:r>
          </w:p>
        </w:tc>
        <w:tc>
          <w:tcPr>
            <w:tcW w:w="3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Increase (decrease) from changes in:</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(68)</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(53)</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(71)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(78)</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(356)</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taxes payable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(18)</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795</w:t>
            </w: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(127)</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asset sales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Purchases of short-term investments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(757)</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short-term investments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1,120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267</w:t>
            </w: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(250)</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(500)</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(550)</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161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(1,143)</w:t>
            </w:r>
          </w:p>
        </w:tc>
        <w:tc>
          <w:tcPr>
            <w:tcW w:w="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Net change in Cash and cash equivalents</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(81)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1,154</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1,073</w:t>
            </w:r>
          </w:p>
        </w:tc>
        <w:tc>
          <w:tcPr>
            <w:tcW w:w="36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information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design, make and sell semiconductors to electronics designers and manufacturers all over the world. Beginning January 2017, we reorganized the product lines within our two reportable segments – Analog and Embedded Processing – to realign our business structure with the way our customers select and buy products. These changes had no effect on either our previously reported consolidated financial statements or on our reportable segment amounts. Our two reportable segments are established along major categories of products as follows:</w:t>
      </w:r>
    </w:p>
    <w:p>
      <w:pPr>
        <w:spacing w:after="0" w:line="63"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 products, calculators and custom ASIC products. We no longer recognize royalties as revenue. We continue to receive royalties from arrangements involving license rights to our patent portfolio. Although we expect royalties to continue for many years, they are of decreasing significance to our core operations and are now recorded as OI&amp;E rather than in revenue as of January 1, 2017. Prior period amounts were not material.</w:t>
      </w:r>
    </w:p>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90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For 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Analog</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2,256</w:t>
            </w:r>
          </w:p>
        </w:tc>
        <w:tc>
          <w:tcPr>
            <w:tcW w:w="144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803</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w:t>
            </w:r>
          </w:p>
        </w:tc>
        <w:tc>
          <w:tcPr>
            <w:tcW w:w="4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3,402</w:t>
            </w: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Analog</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935</w:t>
            </w:r>
          </w:p>
        </w:tc>
        <w:tc>
          <w:tcPr>
            <w:tcW w:w="144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240</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w:t>
            </w:r>
          </w:p>
        </w:tc>
        <w:tc>
          <w:tcPr>
            <w:tcW w:w="4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1,252</w:t>
            </w: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Operating profit amounts in the prior period have been recast as a result of our early adoption of a new accounting standard related to pension and other retiree benefit costs. See Note 2 for more information.</w:t>
      </w:r>
    </w:p>
    <w:p>
      <w:pPr>
        <w:spacing w:after="0" w:line="15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2016. The Consolidated Statements of Income, Comprehensive Income and Cash Flows for the periods ended March 31, 2017 and 2016, and the Consolidated Balance Sheet as of March 31, 2017,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2016. The results for the three-month periods are not necessarily indicative of a full year’s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current presentation, retrospectively applying the new accounting standard related to pension and other retiree benefit costs. See Adopted standards for current period for further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For Three Months Ended March 31,</w:t>
            </w: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b w:val="1"/>
                <w:bCs w:val="1"/>
                <w:color w:val="auto"/>
              </w:rPr>
              <w:t>Net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Net</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Income</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1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Income</w:t>
            </w: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ind w:right="66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997</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820" w:type="dxa"/>
            <w:vAlign w:val="bottom"/>
          </w:tcPr>
          <w:p>
            <w:pPr>
              <w:jc w:val="right"/>
              <w:ind w:right="66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987</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998</w:t>
            </w:r>
          </w:p>
        </w:tc>
        <w:tc>
          <w:tcPr>
            <w:tcW w:w="540" w:type="dxa"/>
            <w:vAlign w:val="bottom"/>
            <w:gridSpan w:val="2"/>
          </w:tcPr>
          <w:p>
            <w:pPr>
              <w:ind w:left="30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300" w:type="dxa"/>
            <w:vAlign w:val="bottom"/>
          </w:tcPr>
          <w:p>
            <w:pPr>
              <w:spacing w:after="0"/>
              <w:rPr>
                <w:sz w:val="22"/>
                <w:szCs w:val="22"/>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702</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1,007</w:t>
            </w:r>
          </w:p>
        </w:tc>
        <w:tc>
          <w:tcPr>
            <w:tcW w:w="300" w:type="dxa"/>
            <w:vAlign w:val="bottom"/>
          </w:tcPr>
          <w:p>
            <w:pPr>
              <w:spacing w:after="0"/>
              <w:rPr>
                <w:sz w:val="22"/>
                <w:szCs w:val="22"/>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ind w:right="66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997</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820" w:type="dxa"/>
            <w:vAlign w:val="bottom"/>
          </w:tcPr>
          <w:p>
            <w:pPr>
              <w:jc w:val="right"/>
              <w:ind w:right="66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987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1,019</w:t>
            </w:r>
          </w:p>
        </w:tc>
        <w:tc>
          <w:tcPr>
            <w:tcW w:w="540" w:type="dxa"/>
            <w:vAlign w:val="bottom"/>
            <w:gridSpan w:val="2"/>
          </w:tcPr>
          <w:p>
            <w:pPr>
              <w:ind w:left="30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30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1,022</w:t>
            </w:r>
          </w:p>
        </w:tc>
        <w:tc>
          <w:tcPr>
            <w:tcW w:w="30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Potentially dilutive securities representing 6 million and 22 million shares of common stock that were outstanding during the first quarters of 2017 and 2016, respectively, were excluded from the computation of diluted earnings per common share for these periods because their effect would have been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We use derivative financial instruments to manage exposure to foreign currency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7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connection with the issuance of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March 31, 2017.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5 for a description of fair value and the definition of Level 2 inputs.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Adopted standards for current period</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October 2016, the Financial Accounting Standards Board (FASB) issued Accounting Standards Update (ASU) No.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This standard requires current and deferred income taxes resulting from the intra-entity transfer of any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inventory to be recognized for financial reporting purposes when the transfer occurs rather than postpone recognition until the asset has been sold to an outside party as currently allowed. This standard is required to be applied on a modified retrospective basis through a cumulative-effect adjustment directly to retained earnings and is effective for our interim and annual periods beginning January 1, 2018. As early adoption is permitted, we elected to early adopt this standard in the first quarter of 2017. The effect on our financial position and results of operations was not material.</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Compensation – Retirement Benefits (Topic 715): Improving the Presentation of Net Periodic Pension Cost</w:t>
      </w:r>
      <w:r>
        <w:rPr>
          <w:rFonts w:ascii="Arial" w:cs="Arial" w:eastAsia="Arial" w:hAnsi="Arial"/>
          <w:sz w:val="16"/>
          <w:szCs w:val="16"/>
          <w:color w:val="auto"/>
        </w:rPr>
        <w:t xml:space="preserve"> </w:t>
      </w:r>
      <w:r>
        <w:rPr>
          <w:rFonts w:ascii="Arial" w:cs="Arial" w:eastAsia="Arial" w:hAnsi="Arial"/>
          <w:sz w:val="16"/>
          <w:szCs w:val="16"/>
          <w:i w:val="1"/>
          <w:iCs w:val="1"/>
          <w:color w:val="auto"/>
        </w:rPr>
        <w:t>and Net Periodic Postretirement Benefit Cost</w:t>
      </w:r>
      <w:r>
        <w:rPr>
          <w:rFonts w:ascii="Arial" w:cs="Arial" w:eastAsia="Arial" w:hAnsi="Arial"/>
          <w:sz w:val="16"/>
          <w:szCs w:val="16"/>
          <w:color w:val="auto"/>
        </w:rPr>
        <w:t>. This standard amends the income statement presentation of the components of net periodic benefit cost for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pension and other postretirement plans. This standard requires us to: (1) disaggregate the current service cost component from the other components of net periodic benefit cost (the “other components”) and present it in the same line items on the statement of income as other current compensation costs for related employees and (2) present the other components outside of operating profit (i.e., in OI&amp;E). This standard is required to be applied retrospectively and is effective for annual and interim periods beginning after December 15, 2017. As early adoption is permitted, we elected to adopt this standard as of the beginning of the first quarter of 2017. While the adoption of this standard did not impact Revenue, Net income, Earnings per common share or Cash flows from operating activities, the following components on the Consolidated Statements of Income for the three months ended March 31, 2016 were affected: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4"/>
              </w:rPr>
              <w:t>For Three Months Ended March 31,</w:t>
            </w:r>
          </w:p>
        </w:tc>
      </w:tr>
      <w:tr>
        <w:trPr>
          <w:trHeight w:val="213"/>
        </w:trPr>
        <w:tc>
          <w:tcPr>
            <w:tcW w:w="5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14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9"/>
              </w:rPr>
              <w:t>Reported</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Recast</w:t>
            </w:r>
          </w:p>
        </w:tc>
        <w:tc>
          <w:tcPr>
            <w:tcW w:w="100" w:type="dxa"/>
            <w:vAlign w:val="bottom"/>
            <w:tcBorders>
              <w:bottom w:val="single" w:sz="8" w:color="CCEEFF"/>
            </w:tcBorders>
          </w:tcPr>
          <w:p>
            <w:pPr>
              <w:spacing w:after="0"/>
              <w:rPr>
                <w:sz w:val="18"/>
                <w:szCs w:val="18"/>
                <w:color w:val="auto"/>
              </w:rPr>
            </w:pPr>
          </w:p>
        </w:tc>
      </w:tr>
      <w:tr>
        <w:trPr>
          <w:trHeight w:val="212"/>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COR</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CEEFF"/>
          </w:tcPr>
          <w:p>
            <w:pPr>
              <w:spacing w:after="0"/>
              <w:rPr>
                <w:sz w:val="18"/>
                <w:szCs w:val="18"/>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Gross profit</w:t>
            </w: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18"/>
                <w:szCs w:val="18"/>
                <w:color w:val="auto"/>
              </w:rPr>
            </w:pPr>
          </w:p>
        </w:tc>
      </w:tr>
      <w:tr>
        <w:trPr>
          <w:trHeight w:val="219"/>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R&amp;D</w:t>
            </w:r>
          </w:p>
        </w:tc>
        <w:tc>
          <w:tcPr>
            <w:tcW w:w="3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6"/>
                <w:szCs w:val="16"/>
                <w:color w:val="auto"/>
              </w:rPr>
              <w:t>SG&amp;A</w:t>
            </w: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r>
      <w:tr>
        <w:trPr>
          <w:trHeight w:val="222"/>
        </w:trPr>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3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Analog</w:t>
            </w: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3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r>
      <w:tr>
        <w:trPr>
          <w:trHeight w:val="213"/>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r>
      <w:tr>
        <w:trPr>
          <w:trHeight w:val="213"/>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8"/>
                <w:szCs w:val="18"/>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6"/>
                <w:szCs w:val="16"/>
                <w:color w:val="auto"/>
              </w:rPr>
              <w:t>OI&amp;E</w:t>
            </w: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Standards not yet adopted</w:t>
      </w:r>
    </w:p>
    <w:p>
      <w:pPr>
        <w:spacing w:after="0" w:line="2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This standard provides a single set of guidelines for revenue recognition to be used across all industries and requires additional disclosures. It is effective for annual and interim reporting periods beginning after December 15, 2017. This standard permits early adoption and permits the use of either the retrospective or cumulative effect transition method. We are currently evaluating the potential impact of this standard on our financial position and results of operations, as well as our selected transition method. Based on our preliminary assessment, we believe the new standard will not have a material impact on our financial position and results of operations, as we do not expect to change the manner or timing of recognizing revenue on a majority of our revenue transactions. We recognize revenue on sales to customers and distributors upon satisfaction of our performance obligations when the goods are shipped. For consignment sales, we recognize revenue when the goods are pulled from consignment inventory.</w:t>
      </w:r>
    </w:p>
    <w:p>
      <w:pPr>
        <w:spacing w:after="0" w:line="1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Liabilities</w:t>
      </w:r>
      <w:r>
        <w:rPr>
          <w:rFonts w:ascii="Arial" w:cs="Arial" w:eastAsia="Arial" w:hAnsi="Arial"/>
          <w:sz w:val="17"/>
          <w:szCs w:val="17"/>
          <w:color w:val="auto"/>
        </w:rPr>
        <w:t>. Under this standard, all equity investments except those accounted for under the equity method are required to be measured at fair value.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that do not have a readily determinable fair value may, as a practical expedient, be measured at cost, adjusted for changes in observable prices minus impairment. This standard is effective for our interim and annual periods beginning January 1, 2018, and should be applied on a modified retrospective basis except for the amendments related to equity securities without readily determinable fair values, which would be applied on a prospective basis. We do not expect this standard to have a material impact on our financial position and results of operations, as nearly all of our equity investments are already recorded at fair value or under the equity method.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Costs of an operating lease will continue to be recognized as a single operating expense on a straight-line basis over the lease term. Costs for a financing lease will be disaggregated and recognized as both an operating expense (for the amortization of the right-of-use asset) and interest expense (for interest on the lease liability). This standard will be effective for our interim and annual periods beginning January 1, 2019, and must be applied on a modified retrospective basis to leases existing at, or entered into after, the beginning of the earliest comparative period presented in the financial statements. Early adoption is permitted. We are currently evaluating the timing of adoption and the potential impact of this standard on our financial position, but we do not expect it to have a material impact on our results of operations.</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This standard will be effective for our interim and annual periods beginning after December 15, 2019, and permits earlier application but not before December 15, 2018. The standard will be applied using a modified retrospective approach. We are currently evaluating the potential impact of this standard, but we do not expect it to have a material impact on our financial position and results of operations.</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affects areas of accounting such as acquisitions, disposals and goodwill. This standard provides guidance to evaluate whether transactions should be accounted for as an acquisition (or disposal) of assets or as a business combination. Under this new standard, if substantially all of the fair value of the gross assets acquired (or disposed of) is concentrated in a single identifiable asset or a group of similar identifiable assets, it may be treated as an asset acquisition rather than a business combination. This standard is to be applied on a prospective basis and will be effective for us for annual periods beginning after December 15, 2017, including interim periods within those periods. Early adoption is permitted. The impact of this standard on our financial position, results of operation and related disclosures will be dependent upon the specific terms of any applicable future acquisitions or dispositions.</w:t>
      </w:r>
    </w:p>
    <w:p>
      <w:pPr>
        <w:spacing w:after="0" w:line="178"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 xml:space="preserve">In February 2017, the FASB issued ASU No. 2017-05, </w:t>
      </w:r>
      <w:r>
        <w:rPr>
          <w:rFonts w:ascii="Arial" w:cs="Arial" w:eastAsia="Arial" w:hAnsi="Arial"/>
          <w:sz w:val="15"/>
          <w:szCs w:val="15"/>
          <w:i w:val="1"/>
          <w:iCs w:val="1"/>
          <w:color w:val="auto"/>
        </w:rPr>
        <w:t>Other Income – Gains and Losses from the Derecognition of Nonfinancial Assets (Subtopic 610-20):</w:t>
      </w:r>
      <w:r>
        <w:rPr>
          <w:rFonts w:ascii="Arial" w:cs="Arial" w:eastAsia="Arial" w:hAnsi="Arial"/>
          <w:sz w:val="15"/>
          <w:szCs w:val="15"/>
          <w:color w:val="auto"/>
        </w:rPr>
        <w:t xml:space="preserve"> </w:t>
      </w:r>
      <w:r>
        <w:rPr>
          <w:rFonts w:ascii="Arial" w:cs="Arial" w:eastAsia="Arial" w:hAnsi="Arial"/>
          <w:sz w:val="15"/>
          <w:szCs w:val="15"/>
          <w:i w:val="1"/>
          <w:iCs w:val="1"/>
          <w:color w:val="auto"/>
        </w:rPr>
        <w:t>Clarifying the Scope of Asset Derecognition Guidance and Accounting for Partial Sales of Nonfinancial Assets</w:t>
      </w:r>
      <w:r>
        <w:rPr>
          <w:rFonts w:ascii="Arial" w:cs="Arial" w:eastAsia="Arial" w:hAnsi="Arial"/>
          <w:sz w:val="15"/>
          <w:szCs w:val="15"/>
          <w:color w:val="auto"/>
        </w:rPr>
        <w:t>. This standard provides guidance on the recognition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measurement of gains and losses from the transfer, sale or partial sale to noncustomers of nonfinancial assets (such as intangible assets, property, plant and equipment) or an ownership interest in a consolidated subsidiary that is not a business. This standard is to be applied on either a retrospective basis to all periods presented or on a modified retrospective basis (i.e., cumulative catch up as of the beginning of the earliest period presented) and will be effective for us for annual periods beginning after December 15, 2017, including interim periods within those periods. Earlier application is permitted. We are currently evaluating the timing of adoption and the potential impact of this standard on our financial position and results of operations, but we do not expect it to have a material impact.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recognized in Other for segment reporting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Beginning January 2017, we reorganized the product lines within our two reportable segments. We recognized $18 million of restructuring charges for severance and benefit costs in the fourth quarter of 2016 and an additional $2 million in the first quarter of 2017. Any further charges are not expected to be material. As of March 31, 2017, $2 million has been paid to terminated employees for severance and benefits.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March 31, 2017, we incurred restructuring charges of $2 million related to the phase-out of a manufacturing facility in Greenock, Scotland. These charges were comprised of severance and benefits costs, as well as accelerated depreciation. Total restructuring charges, primarily severance and benefit costs, are estimated to be about $40 million, of which $26 million has been recognized through March 31, 2017. The remaining charges are expected to be recognized through the end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accrued restructuring balances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2016</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r>
      <w:tr>
        <w:trPr>
          <w:trHeight w:val="210"/>
        </w:trPr>
        <w:tc>
          <w:tcPr>
            <w:tcW w:w="10400" w:type="dxa"/>
            <w:vAlign w:val="bottom"/>
          </w:tcPr>
          <w:p>
            <w:pPr>
              <w:spacing w:after="0"/>
              <w:rPr>
                <w:sz w:val="20"/>
                <w:szCs w:val="20"/>
                <w:color w:val="auto"/>
              </w:rPr>
            </w:pPr>
            <w:r>
              <w:rPr>
                <w:rFonts w:ascii="Arial" w:cs="Arial" w:eastAsia="Arial" w:hAnsi="Arial"/>
                <w:sz w:val="16"/>
                <w:szCs w:val="16"/>
                <w:b w:val="1"/>
                <w:bCs w:val="1"/>
                <w:color w:val="auto"/>
              </w:rPr>
              <w:t>Restructuring charges</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r>
      <w:tr>
        <w:trPr>
          <w:trHeight w:val="222"/>
        </w:trPr>
        <w:tc>
          <w:tcPr>
            <w:tcW w:w="10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Payments</w:t>
            </w:r>
          </w:p>
        </w:tc>
        <w:tc>
          <w:tcPr>
            <w:tcW w:w="4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w:t>
            </w:r>
          </w:p>
        </w:tc>
      </w:tr>
      <w:tr>
        <w:trPr>
          <w:trHeight w:val="213"/>
        </w:trPr>
        <w:tc>
          <w:tcPr>
            <w:tcW w:w="10400" w:type="dxa"/>
            <w:vAlign w:val="bottom"/>
          </w:tcPr>
          <w:p>
            <w:pPr>
              <w:spacing w:after="0"/>
              <w:rPr>
                <w:sz w:val="20"/>
                <w:szCs w:val="20"/>
                <w:color w:val="auto"/>
              </w:rPr>
            </w:pPr>
            <w:r>
              <w:rPr>
                <w:rFonts w:ascii="Arial" w:cs="Arial" w:eastAsia="Arial" w:hAnsi="Arial"/>
                <w:sz w:val="16"/>
                <w:szCs w:val="16"/>
                <w:b w:val="1"/>
                <w:bCs w:val="1"/>
                <w:color w:val="auto"/>
              </w:rPr>
              <w:t>Non-cash items (a)</w:t>
            </w:r>
          </w:p>
        </w:tc>
        <w:tc>
          <w:tcPr>
            <w:tcW w:w="4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w:t>
            </w:r>
          </w:p>
        </w:tc>
      </w:tr>
      <w:tr>
        <w:trPr>
          <w:trHeight w:val="210"/>
        </w:trPr>
        <w:tc>
          <w:tcPr>
            <w:tcW w:w="10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2017</w:t>
            </w: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charges for impacts of accelerated depreciation and changes in exchange rates.</w:t>
      </w:r>
    </w:p>
    <w:p>
      <w:pPr>
        <w:spacing w:after="0" w:line="21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Provision for income taxes was $258 million and $239 million in the first quarters of 2017 and 2016, respectively. The increase was due to higher income before income taxes, partially offset by discrete tax items, which are primarily related to stock-based compensation. Our estimated annual effective tax rate is about 30 percent, which does not include discrete tax items. This differs from the 35 percent statutory corporate tax rate due to the effect of U.S. tax benefits and lower statutory tax rates applicable to our operations in many of the jurisdictions in which we operate. These lower non-U.S. tax rates are generally statutory in nature, without expiration and available to companies that operate in those taxing jurisdictions.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00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For Three Months Ended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March 31,</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Taxes calculated using the estimated annual effective tax rate</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Discrete tax items</w:t>
            </w: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(124)</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Estimated annual effective tax rate</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6"/>
                <w:szCs w:val="16"/>
                <w:color w:val="auto"/>
              </w:rPr>
              <w:t>Actual effective tax rate</w:t>
            </w:r>
          </w:p>
        </w:tc>
        <w:tc>
          <w:tcPr>
            <w:tcW w:w="10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Available-for-sale and trading securities are stated at fair value, which is generally based on market prices or broker quotes. See the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 2017</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December 31, 2016</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Short-Term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Long-Term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Short-Term</w:t>
            </w:r>
          </w:p>
        </w:tc>
        <w:tc>
          <w:tcPr>
            <w:tcW w:w="100" w:type="dxa"/>
            <w:vAlign w:val="bottom"/>
          </w:tcPr>
          <w:p>
            <w:pPr>
              <w:spacing w:after="0"/>
              <w:rPr>
                <w:sz w:val="17"/>
                <w:szCs w:val="17"/>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Investments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U.S. government agency and Treasury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845</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1,976</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206</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2,336</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1,073</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1,976</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241</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1,154</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2,336</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As of March 31, 2017, and December 31, 2016, unrealized gains and losses associated with our available-for-sale investments were not material. We did not recognize any credit losses related to available-for-sale investments for the three months ended March 31, 2017, and March 31, 2016.</w:t>
      </w:r>
    </w:p>
    <w:p>
      <w:pPr>
        <w:spacing w:after="0" w:line="14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For the three months ended March 31, 2017, and March 31, 2016, the proceeds from sales, redemptions and maturities of short-term available-for-sale investments were $1.12 billion and $900 million, respectively. Gross realized gains and losses from these sales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as of March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r>
      <w:tr>
        <w:trPr>
          <w:trHeight w:val="210"/>
        </w:trPr>
        <w:tc>
          <w:tcPr>
            <w:tcW w:w="968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2,811</w:t>
            </w:r>
          </w:p>
        </w:tc>
        <w:tc>
          <w:tcPr>
            <w:tcW w:w="100" w:type="dxa"/>
            <w:vAlign w:val="bottom"/>
          </w:tcPr>
          <w:p>
            <w:pPr>
              <w:spacing w:after="0"/>
              <w:rPr>
                <w:sz w:val="18"/>
                <w:szCs w:val="18"/>
                <w:color w:val="auto"/>
              </w:rPr>
            </w:pPr>
          </w:p>
        </w:tc>
      </w:tr>
      <w:tr>
        <w:trPr>
          <w:trHeight w:val="219"/>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One to two years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Other-than-temporary declines and impairments in the values of these investments recognized in OI&amp;E were not material in the three months ended March 31, 2017, and March 31,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ind w:left="1040" w:right="80" w:hanging="519"/>
        <w:spacing w:after="0" w:line="31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March 31, 2017, and December 31, 2016, we had no Level 3 assets or liabilities, other than certain assets held by our postretirement plans.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Fair Value</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6"/>
                <w:szCs w:val="16"/>
                <w:b w:val="1"/>
                <w:bCs w:val="1"/>
                <w:color w:val="auto"/>
                <w:w w:val="93"/>
              </w:rPr>
              <w:t>March 31, 2017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w w:val="91"/>
              </w:rPr>
              <w:t>December 31, 2016</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445</w:t>
            </w: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445</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346</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1,727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1,922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4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2,378</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649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3,027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2,589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891</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4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Goodwill, net, was $4.36 billion as of March 31, 2017, and December 31, 2016. There was no impairment of goodwill during the three months ended March 31, 2017, or March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net,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March 31, 2017</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December 31, 2016</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6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12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Accumulated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Gross 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Accumulated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0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Amortization</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Net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Amortization</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Net</w:t>
            </w:r>
          </w:p>
        </w:tc>
        <w:tc>
          <w:tcPr>
            <w:tcW w:w="60" w:type="dxa"/>
            <w:vAlign w:val="bottom"/>
            <w:tcBorders>
              <w:bottom w:val="single" w:sz="8" w:color="CCEEFF"/>
            </w:tcBorders>
          </w:tcPr>
          <w:p>
            <w:pPr>
              <w:spacing w:after="0"/>
              <w:rPr>
                <w:sz w:val="19"/>
                <w:szCs w:val="19"/>
                <w:color w:val="auto"/>
              </w:rPr>
            </w:pPr>
          </w:p>
        </w:tc>
      </w:tr>
      <w:tr>
        <w:trPr>
          <w:trHeight w:val="21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36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7 - 10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60" w:type="dxa"/>
            <w:vAlign w:val="bottom"/>
            <w:shd w:val="clear" w:color="auto" w:fill="CCEEFF"/>
          </w:tcPr>
          <w:p>
            <w:pPr>
              <w:spacing w:after="0"/>
              <w:rPr>
                <w:sz w:val="18"/>
                <w:szCs w:val="18"/>
                <w:color w:val="auto"/>
              </w:rPr>
            </w:pPr>
          </w:p>
        </w:tc>
      </w:tr>
      <w:tr>
        <w:trPr>
          <w:trHeight w:val="213"/>
        </w:trPr>
        <w:tc>
          <w:tcPr>
            <w:tcW w:w="2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Customer relationships</w:t>
            </w:r>
          </w:p>
        </w:tc>
        <w:tc>
          <w:tcPr>
            <w:tcW w:w="1360" w:type="dxa"/>
            <w:vAlign w:val="bottom"/>
            <w:tcBorders>
              <w:bottom w:val="single" w:sz="8" w:color="CCEEFF"/>
            </w:tcBorders>
          </w:tcPr>
          <w:p>
            <w:pPr>
              <w:jc w:val="right"/>
              <w:ind w:right="559"/>
              <w:spacing w:after="0"/>
              <w:rPr>
                <w:sz w:val="20"/>
                <w:szCs w:val="20"/>
                <w:color w:val="auto"/>
              </w:rPr>
            </w:pPr>
            <w:r>
              <w:rPr>
                <w:rFonts w:ascii="Arial" w:cs="Arial" w:eastAsia="Arial" w:hAnsi="Arial"/>
                <w:sz w:val="16"/>
                <w:szCs w:val="16"/>
                <w:b w:val="1"/>
                <w:bCs w:val="1"/>
                <w:color w:val="auto"/>
              </w:rPr>
              <w:t>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60" w:type="dxa"/>
            <w:vAlign w:val="bottom"/>
            <w:tcBorders>
              <w:bottom w:val="single" w:sz="8" w:color="CCEEFF"/>
            </w:tcBorders>
          </w:tcPr>
          <w:p>
            <w:pPr>
              <w:spacing w:after="0"/>
              <w:rPr>
                <w:sz w:val="18"/>
                <w:szCs w:val="18"/>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60" w:type="dxa"/>
            <w:vAlign w:val="bottom"/>
            <w:shd w:val="clear" w:color="auto" w:fill="CCEEFF"/>
          </w:tcPr>
          <w:p>
            <w:pPr>
              <w:spacing w:after="0"/>
              <w:rPr>
                <w:sz w:val="18"/>
                <w:szCs w:val="18"/>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Amortization of acquisition-related intangibles was $80 million for the first quarters of both 2017 and 2016, primarily related to developed technology. Fully amortized assets are written off against accumulated amortization.</w:t>
      </w:r>
    </w:p>
    <w:p>
      <w:pPr>
        <w:spacing w:after="0" w:line="36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w w:val="89"/>
              </w:rPr>
              <w:t>U.S.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6"/>
                <w:szCs w:val="16"/>
                <w:b w:val="1"/>
                <w:bCs w:val="1"/>
                <w:color w:val="auto"/>
              </w:rPr>
              <w:t>Retiree Health Care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March 31,</w:t>
            </w:r>
          </w:p>
        </w:tc>
        <w:tc>
          <w:tcPr>
            <w:tcW w:w="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Borders>
              <w:bottom w:val="single" w:sz="8" w:color="CCEEFF"/>
            </w:tcBorders>
          </w:tcPr>
          <w:p>
            <w:pPr>
              <w:spacing w:after="0"/>
              <w:rPr>
                <w:sz w:val="18"/>
                <w:szCs w:val="18"/>
                <w:color w:val="auto"/>
              </w:rPr>
            </w:pPr>
          </w:p>
        </w:tc>
      </w:tr>
      <w:tr>
        <w:trPr>
          <w:trHeight w:val="212"/>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Interest cost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(16)</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9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9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3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7"/>
                <w:szCs w:val="17"/>
                <w:color w:val="auto"/>
              </w:rPr>
            </w:pPr>
          </w:p>
        </w:tc>
        <w:tc>
          <w:tcPr>
            <w:tcW w:w="620" w:type="dxa"/>
            <w:vAlign w:val="bottom"/>
            <w:gridSpan w:val="2"/>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With our early adoption of ASU 2017-07, all defined benefit and retiree health care benefit plan expense components other than service cost are recognized in OI&amp;E in our Consolidated Statements of Income. Service cost is recognized within Operating profit. See Note 2 for additional information.</w:t>
      </w:r>
    </w:p>
    <w:p>
      <w:pPr>
        <w:spacing w:after="0" w:line="133"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 line of credit to support commercial paper borrowings and to provide additional liquidity through bank loans. As of March 31, 2017, we had a variable-rate revolving credit facility from a consortium of investment-grade banks that allows us to borrow up to $2 billion until March 2022. The interest rate on borrowings under this credit facility, if drawn, is indexed to the applicable London Interbank Offered Rate (LIBOR). As of March 31, 2017,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retired $250 million of maturing debt in March 2017.</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April 27, 2017, we agreed to issue $600 million principal amount of debt, a portion of which we expect to use for repayment of maturing debt, with the remainder used for general corporate purposes. The offering is expected to close on May 4,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Notes due 2017 at 0.875%</w:t>
            </w: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375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Notes due 2018 at 1.00%</w:t>
            </w:r>
          </w:p>
        </w:tc>
        <w:tc>
          <w:tcPr>
            <w:tcW w:w="2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Notes due 2019 at 1.65%</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Notes due 2020 at 1.75%</w:t>
            </w:r>
          </w:p>
        </w:tc>
        <w:tc>
          <w:tcPr>
            <w:tcW w:w="2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Notes due 2021 at 2.75%</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Notes due 2022 at 1.85%</w:t>
            </w:r>
          </w:p>
        </w:tc>
        <w:tc>
          <w:tcPr>
            <w:tcW w:w="2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Notes due 2023 at 2.25%</w:t>
            </w:r>
          </w:p>
        </w:tc>
        <w:tc>
          <w:tcPr>
            <w:tcW w:w="2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Total debt</w:t>
            </w: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(17)</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Total debt, including net unamortized discounts, premiums and debt issuance costs</w:t>
            </w:r>
          </w:p>
        </w:tc>
        <w:tc>
          <w:tcPr>
            <w:tcW w:w="2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3,358</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(378)</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7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2,980</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700" w:type="dxa"/>
            <w:vAlign w:val="bottom"/>
            <w:vMerge w:val="restart"/>
          </w:tcPr>
          <w:p>
            <w:pPr>
              <w:jc w:val="right"/>
              <w:ind w:right="231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5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5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and debt expense was $18 million and $22 million for the first quarters of 2017 and 2016, respectively. This was net of the amortization of the debt discounts, premiums and debt issuance costs. Capitalized interest was not material.</w:t>
      </w:r>
    </w:p>
    <w:p>
      <w:pPr>
        <w:spacing w:after="0" w:line="360"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60"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 charges represent the ongoing amortization of intangible assets resulting from the acquisition of National Semiconductor Corporation (National). These amounts are included in Other for segment reporting purposes, consistent with how management measures the performance of its segments. See Note 6 for additional information.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Our Consolidated Statements of Comprehensive Income include items that have been recognized within Net income during the periods ended March 31, 2017, and March 31, 2016. The table below details where these transactions are recorded in our Consolidated Statements of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gridSpan w:val="5"/>
          </w:tcPr>
          <w:p>
            <w:pPr>
              <w:jc w:val="right"/>
              <w:ind w:right="102"/>
              <w:spacing w:after="0"/>
              <w:rPr>
                <w:sz w:val="20"/>
                <w:szCs w:val="20"/>
                <w:color w:val="auto"/>
              </w:rPr>
            </w:pPr>
            <w:r>
              <w:rPr>
                <w:rFonts w:ascii="Arial" w:cs="Arial" w:eastAsia="Arial" w:hAnsi="Arial"/>
                <w:sz w:val="16"/>
                <w:szCs w:val="16"/>
                <w:b w:val="1"/>
                <w:bCs w:val="1"/>
                <w:color w:val="auto"/>
              </w:rPr>
              <w:t>For Three Months Ended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6"/>
                <w:szCs w:val="16"/>
                <w:b w:val="1"/>
                <w:bCs w:val="1"/>
                <w:color w:val="auto"/>
              </w:rPr>
              <w:t>March 31,</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2"/>
              </w:rPr>
              <w:t>Impact to Related</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Details about AOCI Components</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Statement of Income Lines</w:t>
            </w:r>
          </w:p>
        </w:tc>
        <w:tc>
          <w:tcPr>
            <w:tcW w:w="0" w:type="dxa"/>
            <w:vAlign w:val="bottom"/>
          </w:tcPr>
          <w:p>
            <w:pPr>
              <w:spacing w:after="0"/>
              <w:rPr>
                <w:sz w:val="1"/>
                <w:szCs w:val="1"/>
                <w:color w:val="auto"/>
              </w:rPr>
            </w:pPr>
          </w:p>
        </w:tc>
      </w:tr>
      <w:tr>
        <w:trPr>
          <w:trHeight w:val="209"/>
        </w:trPr>
        <w:tc>
          <w:tcPr>
            <w:tcW w:w="4360" w:type="dxa"/>
            <w:vAlign w:val="bottom"/>
            <w:gridSpan w:val="2"/>
          </w:tcPr>
          <w:p>
            <w:pPr>
              <w:spacing w:after="0"/>
              <w:rPr>
                <w:sz w:val="20"/>
                <w:szCs w:val="20"/>
                <w:color w:val="auto"/>
              </w:rPr>
            </w:pPr>
            <w:r>
              <w:rPr>
                <w:rFonts w:ascii="Arial" w:cs="Arial" w:eastAsia="Arial" w:hAnsi="Arial"/>
                <w:sz w:val="16"/>
                <w:szCs w:val="16"/>
                <w:color w:val="auto"/>
              </w:rPr>
              <w:t>Net actuarial gains (losses) of defined benefit plans: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Recognized net actuarial loss and Settlement losses (a)</w:t>
            </w:r>
          </w:p>
        </w:tc>
        <w:tc>
          <w:tcPr>
            <w:tcW w:w="920" w:type="dxa"/>
            <w:vAlign w:val="bottom"/>
            <w:shd w:val="clear" w:color="auto" w:fill="CCEEFF"/>
          </w:tcPr>
          <w:p>
            <w:pPr>
              <w:jc w:val="right"/>
              <w:ind w:right="762"/>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13"/>
        </w:trPr>
        <w:tc>
          <w:tcPr>
            <w:tcW w:w="4360" w:type="dxa"/>
            <w:vAlign w:val="bottom"/>
            <w:gridSpan w:val="2"/>
          </w:tcPr>
          <w:p>
            <w:pPr>
              <w:ind w:left="140"/>
              <w:spacing w:after="0"/>
              <w:rPr>
                <w:sz w:val="20"/>
                <w:szCs w:val="20"/>
                <w:color w:val="auto"/>
              </w:rPr>
            </w:pPr>
            <w:r>
              <w:rPr>
                <w:rFonts w:ascii="Arial" w:cs="Arial" w:eastAsia="Arial" w:hAnsi="Arial"/>
                <w:sz w:val="16"/>
                <w:szCs w:val="16"/>
                <w:color w:val="auto"/>
              </w:rPr>
              <w:t>Tax effect</w:t>
            </w:r>
          </w:p>
        </w:tc>
        <w:tc>
          <w:tcPr>
            <w:tcW w:w="9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4140" w:type="dxa"/>
            <w:vAlign w:val="bottom"/>
            <w:gridSpan w:val="2"/>
          </w:tcPr>
          <w:p>
            <w:pPr>
              <w:ind w:left="4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92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1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6"/>
                <w:szCs w:val="16"/>
                <w:color w:val="auto"/>
              </w:rPr>
              <w:t>Prior service (cost) credit of defined benefit plans:</w:t>
            </w: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920" w:type="dxa"/>
            <w:vAlign w:val="bottom"/>
            <w:shd w:val="clear" w:color="auto" w:fill="CCEEFF"/>
          </w:tcPr>
          <w:p>
            <w:pPr>
              <w:jc w:val="right"/>
              <w:ind w:right="762"/>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w:t>
            </w:r>
          </w:p>
        </w:tc>
        <w:tc>
          <w:tcPr>
            <w:tcW w:w="1040" w:type="dxa"/>
            <w:vAlign w:val="bottom"/>
            <w:gridSpan w:val="2"/>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4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Tax effect</w:t>
            </w: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920" w:type="dxa"/>
            <w:vAlign w:val="bottom"/>
            <w:shd w:val="clear" w:color="auto" w:fill="CCEEFF"/>
          </w:tcPr>
          <w:p>
            <w:pPr>
              <w:jc w:val="right"/>
              <w:ind w:right="762"/>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w:t>
            </w:r>
          </w:p>
        </w:tc>
        <w:tc>
          <w:tcPr>
            <w:tcW w:w="1040" w:type="dxa"/>
            <w:vAlign w:val="bottom"/>
            <w:gridSpan w:val="2"/>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4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Detailed in Note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shares of 8,880,773 were issued from treasury shares during the first quarter of 2017 related to stock compensation.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the following attributes:</w:t>
      </w:r>
    </w:p>
    <w:p>
      <w:pPr>
        <w:spacing w:after="0" w:line="62" w:lineRule="exact"/>
        <w:rPr>
          <w:sz w:val="20"/>
          <w:szCs w:val="20"/>
          <w:color w:val="auto"/>
        </w:rPr>
      </w:pPr>
    </w:p>
    <w:p>
      <w:pPr>
        <w:ind w:left="1040" w:right="10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need multiple chips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78" w:lineRule="exact"/>
        <w:rPr>
          <w:rFonts w:ascii="Arial" w:cs="Arial" w:eastAsia="Arial" w:hAnsi="Arial"/>
          <w:sz w:val="18"/>
          <w:szCs w:val="18"/>
          <w:color w:val="auto"/>
        </w:rPr>
      </w:pPr>
    </w:p>
    <w:p>
      <w:pPr>
        <w:ind w:left="1040" w:right="20" w:hanging="519"/>
        <w:spacing w:after="0" w:line="290"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 strong foundation of manufacturing technology and low-cost production. </w:t>
      </w:r>
      <w:r>
        <w:rPr>
          <w:rFonts w:ascii="Arial" w:cs="Arial" w:eastAsia="Arial" w:hAnsi="Arial"/>
          <w:sz w:val="16"/>
          <w:szCs w:val="16"/>
          <w:color w:val="auto"/>
        </w:rPr>
        <w:t>We invest in manufacturing technologies that differentiate the</w:t>
      </w:r>
      <w:r>
        <w:rPr>
          <w:rFonts w:ascii="Arial" w:cs="Arial" w:eastAsia="Arial" w:hAnsi="Arial"/>
          <w:sz w:val="16"/>
          <w:szCs w:val="16"/>
          <w:i w:val="1"/>
          <w:iCs w:val="1"/>
          <w:color w:val="auto"/>
        </w:rPr>
        <w:t xml:space="preserve"> </w:t>
      </w:r>
      <w:r>
        <w:rPr>
          <w:rFonts w:ascii="Arial" w:cs="Arial" w:eastAsia="Arial" w:hAnsi="Arial"/>
          <w:sz w:val="16"/>
          <w:szCs w:val="16"/>
          <w:color w:val="auto"/>
        </w:rPr>
        <w:t>features 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2016, we increased factory loadings by about 15 percent for our Analog semiconductors on 300-millimeter wafers, which have about a 40 percent cost advantage per unpackaged chip over 200-millimeter wafers. The majority of our Analog growth will be produced on 300-millimeter wafers, which will be meaningful to the growth of our cash flow over the long term.</w:t>
      </w:r>
    </w:p>
    <w:p>
      <w:pPr>
        <w:spacing w:after="0" w:line="58" w:lineRule="exact"/>
        <w:rPr>
          <w:rFonts w:ascii="Arial" w:cs="Arial" w:eastAsia="Arial" w:hAnsi="Arial"/>
          <w:sz w:val="16"/>
          <w:szCs w:val="16"/>
          <w:color w:val="auto"/>
        </w:rPr>
      </w:pPr>
    </w:p>
    <w:p>
      <w:pPr>
        <w:ind w:left="1040" w:right="380" w:hanging="519"/>
        <w:spacing w:after="0" w:line="286"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Industry’s largest market channels. </w:t>
      </w:r>
      <w:r>
        <w:rPr>
          <w:rFonts w:ascii="Arial" w:cs="Arial" w:eastAsia="Arial" w:hAnsi="Arial"/>
          <w:sz w:val="17"/>
          <w:szCs w:val="17"/>
          <w:color w:val="auto"/>
        </w:rPr>
        <w:t>Our global sales force is larger than those of our competitors. The breadth of our portfolio attracts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number of visits to our website, where customers often begin their initial product searches and design-in journey. Our web presence, together with our global sales force, provides us unique access to about 100,000 customers.</w:t>
      </w:r>
    </w:p>
    <w:p>
      <w:pPr>
        <w:spacing w:after="0" w:line="57" w:lineRule="exact"/>
        <w:rPr>
          <w:rFonts w:ascii="Arial" w:cs="Arial" w:eastAsia="Arial" w:hAnsi="Arial"/>
          <w:sz w:val="17"/>
          <w:szCs w:val="17"/>
          <w:color w:val="auto"/>
        </w:rPr>
      </w:pPr>
    </w:p>
    <w:p>
      <w:pPr>
        <w:ind w:left="104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attributes above result in diverse and long-lived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combined effect of these attributes is that over time we have grown free cash flow and gained market share in Analog and Embedded Processing.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attributes put us in a unique class of companies with the ability to grow, generate cash and return that cash to shareholders.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6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540" w:right="6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New products tend not to have a significant impact on our revenue in any given period because we sell such a large number of products.</w:t>
      </w:r>
    </w:p>
    <w:p>
      <w:pPr>
        <w:spacing w:after="0" w:line="62"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540" w:right="120" w:hanging="513"/>
        <w:spacing w:after="0" w:line="302"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46" w:lineRule="exact"/>
        <w:rPr>
          <w:rFonts w:ascii="Arial" w:cs="Arial" w:eastAsia="Arial" w:hAnsi="Arial"/>
          <w:sz w:val="18"/>
          <w:szCs w:val="18"/>
          <w:color w:val="auto"/>
        </w:rPr>
      </w:pPr>
    </w:p>
    <w:p>
      <w:pPr>
        <w:ind w:left="1540" w:right="4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Over time, we have been allocating resources from areas like manufacturing support and SG&amp;A into R&amp;D activities. As a result, R&amp;D expense will continue increasing in 2017.</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16" w:name="page17"/>
    <w:bookmarkEnd w:id="16"/>
    <w:p>
      <w:pPr>
        <w:ind w:left="1040" w:right="26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first quarter of 2017, we adopted ASU 2017-07 related to certain pension and other retiree benefit costs. We applied the new standard on a full retrospective basis for all periods presented in the Consolidated Statements of Income, which have been recast as a result. See Note 2 to the financial statements for more details.</w:t>
      </w:r>
    </w:p>
    <w:p>
      <w:pPr>
        <w:spacing w:after="0" w:line="73" w:lineRule="exact"/>
        <w:rPr>
          <w:rFonts w:ascii="Arial" w:cs="Arial" w:eastAsia="Arial" w:hAnsi="Arial"/>
          <w:sz w:val="18"/>
          <w:szCs w:val="18"/>
          <w:color w:val="auto"/>
        </w:rPr>
      </w:pPr>
    </w:p>
    <w:p>
      <w:pPr>
        <w:ind w:left="1040" w:right="42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no longer recognize royalties as revenue. We continue to receive royalties from arrangements involving license rights to our patent portfolio. Although we expect royalties to continue for many years, they are of decreasing significance to our core operations and are now recorded as OI&amp;E as of January 1, 2017.</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Beginning January 2017, we reorganized the product lines within our two reportable segments – Analog and Embedded Processing – to realign our business structure with the way our customers select and buy products. These changes had no impact on our previously reported consolidated financial statements or on our reportable segment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Analog segment includes the following major product lines: Power, Signal Chain and High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Power includes products that help customers manage power in electronic systems. Our broad portfolio is designed to manage power requirements across different voltage levels using battery management solutions, portable components, power supply controls, point-of-load products, switches and interfaces, integrated protection devices, high-voltage products, and mobile lighting and display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Chain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which serve a variety of end markets, include amplifiers, data converters, interface products, motor drives, clocks and sensing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Volume</w:t>
      </w:r>
    </w:p>
    <w:p>
      <w:pPr>
        <w:spacing w:after="0" w:line="225"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High Volume includes high-volume integrated analog products that are primarily sold into markets such as personal electronics and automotive. These products support applications like touch screens and automotive safety systems. High Volume also includes standard products sold primarily into the industrial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Connected Microcontrollers (Connected MCU) and Processors.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Connected MCU</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Connected MCU includes microcontrollers, wireless connectivity solutions and microcontrollers with integrated wireless capabilities. Microcontrollers are self-contained systems with a processor core, memory and peripherals that are designed to control a set of specific tasks for electronic equipment. Microcontrollers tend to have minimal requirements for memory, program length and software complexity. Our products are used in a wide range of applications and incorporate both wired and wireless communication with integrated analog functions to enable electronic equipment to sense, connect, log and transfer data, which is increasingly important as electronics become smarter and more connected.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Processors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Processors includes digital signal processors (DSPs) and applications processors. DSPs perform mathematical computations almost instantaneously to process or improve digital data. Applications processors are designed for specific computing activity.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first-quarter revenue was $3.40 billion, net income was $997 million and earnings per share (EPS) were 97 cents.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 increased 13 percent from the same quarter a year ago. Demand for our products continued to be strong in the automotive market and continued to strengthen in the industrial market.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our core businesses, Analog revenue grew 20 percent and Embedded Processing revenue grew 10 percent from the same quarter a year ago. Operating margin increased in both businesses.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margin of 63.0 percent reflected the quality of our product portfolio, as well as the efficiency of our manufacturing strategy, including the benefit of 300-millimeter Analog production.</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cash flow from operations of $4.8 billion for the trailing 12 months again underscored the strength of our business model. Free cash flow for the trailing 12 months was up 11 percent from a year ago to $4.2 billion and represents 30.7 percent of revenue, up from 29.5 percent a year ago.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have returned $3.8 billion to owners in the past 12 months through stock repurchases and dividends.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balance sheet remains strong with $3.0 billion of cash and short-term investments at the end of the quarter, about 80 percent of which was owned by the company’s U.S. entities. Inventory ended the quarter at 132 days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Free cash flow is a non-GAAP financial measure. For reconciliation to GAAP and an explanation of the reason for providing this non-GAAP measure, see the Non-GAAP financial information section after the Liquidity and capital resources section.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 – first-quarter 2017 compared with first-quarter 2016</w:t>
      </w:r>
    </w:p>
    <w:p>
      <w:pPr>
        <w:spacing w:after="0" w:line="3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Revenue increased $394 million, or 13 percent, due to higher revenue from Analog and, to a lesser extent, Embedded Processing. Analog and Embedded Processing comprised 90 percent of revenue compared with 87 percent of revenue.</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profit of $2.14 billion was up $315 million, or 17 percent, primarily due to higher revenue. As a percentage of revenue, gross profit increased to 63.0 percent from 60.8 percent.</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Operating expenses were $369 million for R&amp;D and $439 million for SG&amp;A. R&amp;D expense increased $47 million, or 15 percent, primarily due to our ongoing allocation of resources into R&amp;D activities. SG&amp;A expense was about even.</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Acquisition charges associated with our 2011 acquisition of National were $80 million for both periods. These non-cash charges resulted from the ongoing amortization of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$1.25 billion, or 36.8 percent of revenue, compared with $984 million, or 32.7 percent of revenue.</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OI&amp;E (net) was $21 million of income compared with $12 million of expense. The change was due to the inclusion of royalty income beginning with the first quarter of 2017.</w:t>
      </w:r>
    </w:p>
    <w:p>
      <w:pPr>
        <w:spacing w:after="0" w:line="2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Provision for income taxes was $258 million compared with $239 million. The increase was due to higher income before income taxes, partially offset by discrete tax items primarily related to stock-based compensation. Our operating tax rate (the estimated annual effective tax rate) is about 30 percent, which does not include discrete tax items. This differs from the 35 percent statutory corporate tax rate due to the effect of U.S. tax benefits and lower statutory tax rates applicable to our operations in many of the jurisdictions in which we operate. These lower non-U.S. tax rates are generally statutory in nature, without expiration and available to companies that operate in those taxing jurisdictions.</w:t>
      </w:r>
    </w:p>
    <w:p>
      <w:pPr>
        <w:spacing w:after="0" w:line="2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effective tax rate, which includes discrete tax items such as the benefit from stock-based compensation, will vary by quarter and, as of March 31, 2017, is expected to be about 27 percent for the year. Our effective tax rate could fluctuate due to factors outside of our control, such as the timing of option exercises by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$997 million compared with $711 million, and EPS was $0.97 compared with $0.69.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2017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p>
      <w:pPr>
        <w:spacing w:after="0" w:line="23" w:lineRule="exact"/>
        <w:rPr>
          <w:sz w:val="20"/>
          <w:szCs w:val="20"/>
          <w:color w:val="auto"/>
        </w:rPr>
      </w:pPr>
    </w:p>
    <w:tbl>
      <w:tblPr>
        <w:tblLayout w:type="fixed"/>
        <w:tblInd w:w="1940" w:type="dxa"/>
        <w:tblCellMar>
          <w:top w:w="0" w:type="dxa"/>
          <w:left w:w="0" w:type="dxa"/>
          <w:bottom w:w="0" w:type="dxa"/>
          <w:right w:w="0" w:type="dxa"/>
        </w:tblCellMar>
      </w:tblPr>
      <w:tr>
        <w:trPr>
          <w:trHeight w:val="243"/>
        </w:trPr>
        <w:tc>
          <w:tcPr>
            <w:tcW w:w="32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1Q17</w:t>
            </w: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1Q16</w:t>
            </w:r>
          </w:p>
        </w:tc>
        <w:tc>
          <w:tcPr>
            <w:tcW w:w="220" w:type="dxa"/>
            <w:vAlign w:val="bottom"/>
            <w:tcBorders>
              <w:bottom w:val="single" w:sz="8" w:color="CFF0FC"/>
            </w:tcBorders>
          </w:tcPr>
          <w:p>
            <w:pPr>
              <w:spacing w:after="0"/>
              <w:rPr>
                <w:sz w:val="21"/>
                <w:szCs w:val="21"/>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FF0FC"/>
            </w:tcBorders>
          </w:tcPr>
          <w:p>
            <w:pPr>
              <w:spacing w:after="0"/>
              <w:rPr>
                <w:sz w:val="21"/>
                <w:szCs w:val="21"/>
                <w:color w:val="auto"/>
              </w:rPr>
            </w:pPr>
          </w:p>
        </w:tc>
      </w:tr>
      <w:tr>
        <w:trPr>
          <w:trHeight w:val="237"/>
        </w:trPr>
        <w:tc>
          <w:tcPr>
            <w:tcW w:w="3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b w:val="1"/>
                <w:bCs w:val="1"/>
                <w:color w:val="auto"/>
              </w:rPr>
              <w:t>2,256</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935</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r>
      <w:tr>
        <w:trPr>
          <w:trHeight w:val="243"/>
        </w:trPr>
        <w:tc>
          <w:tcPr>
            <w:tcW w:w="3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41.4%</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36.6%</w:t>
            </w: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Analog revenue increased primarily due to Power and Signal Chain. High Volume also grew. Operating profit increased due to higher revenue and associated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p>
      <w:pPr>
        <w:spacing w:after="0" w:line="32"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3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1Q17</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1Q16</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CFF0FC"/>
            </w:tcBorders>
          </w:tcPr>
          <w:p>
            <w:pPr>
              <w:spacing w:after="0"/>
              <w:rPr>
                <w:sz w:val="20"/>
                <w:szCs w:val="20"/>
                <w:color w:val="auto"/>
              </w:rPr>
            </w:pPr>
          </w:p>
        </w:tc>
      </w:tr>
      <w:tr>
        <w:trPr>
          <w:trHeight w:val="237"/>
        </w:trPr>
        <w:tc>
          <w:tcPr>
            <w:tcW w:w="3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FF0FC"/>
          </w:tcPr>
          <w:p>
            <w:pPr>
              <w:jc w:val="right"/>
              <w:ind w:right="534"/>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803</w:t>
            </w: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34"/>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729</w:t>
            </w:r>
          </w:p>
        </w:tc>
        <w:tc>
          <w:tcPr>
            <w:tcW w:w="3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240</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187</w:t>
            </w:r>
          </w:p>
        </w:tc>
        <w:tc>
          <w:tcPr>
            <w:tcW w:w="3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43"/>
        </w:trPr>
        <w:tc>
          <w:tcPr>
            <w:tcW w:w="3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7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w w:val="93"/>
              </w:rPr>
              <w:t>29.9%</w:t>
            </w:r>
          </w:p>
        </w:tc>
        <w:tc>
          <w:tcPr>
            <w:tcW w:w="7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25.7%</w:t>
            </w: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Embedded Processing revenue increased in both product lines by about the same amount.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32"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322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1Q17</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1Q16</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37"/>
        </w:trPr>
        <w:tc>
          <w:tcPr>
            <w:tcW w:w="3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FF0FC"/>
          </w:tcPr>
          <w:p>
            <w:pPr>
              <w:jc w:val="right"/>
              <w:ind w:right="534"/>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343</w:t>
            </w: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14"/>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7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3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7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w w:val="93"/>
              </w:rPr>
              <w:t>22.4%</w:t>
            </w:r>
          </w:p>
        </w:tc>
        <w:tc>
          <w:tcPr>
            <w:tcW w:w="7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27.3%</w:t>
            </w:r>
          </w:p>
        </w:tc>
        <w:tc>
          <w:tcPr>
            <w:tcW w:w="1340" w:type="dxa"/>
            <w:vAlign w:val="bottom"/>
            <w:shd w:val="clear" w:color="auto" w:fill="CFF0FC"/>
          </w:tcPr>
          <w:p>
            <w:pPr>
              <w:spacing w:after="0"/>
              <w:rPr>
                <w:sz w:val="21"/>
                <w:szCs w:val="21"/>
                <w:color w:val="auto"/>
              </w:rPr>
            </w:pPr>
          </w:p>
        </w:tc>
      </w:tr>
    </w:tbl>
    <w:p>
      <w:pPr>
        <w:spacing w:after="0" w:line="161" w:lineRule="exact"/>
        <w:rPr>
          <w:sz w:val="20"/>
          <w:szCs w:val="20"/>
          <w:color w:val="auto"/>
        </w:rPr>
      </w:pPr>
    </w:p>
    <w:p>
      <w:pPr>
        <w:ind w:left="2180" w:hanging="139"/>
        <w:spacing w:after="0"/>
        <w:tabs>
          <w:tab w:leader="none" w:pos="2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Acquisition charges and Restructuring charges/other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Revenue decreased by $57 million, and operating profit declined by $32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the first quarter of 2017, total cash (Cash and cash equivalents plus Short-term investments) was $3.05 billion, a decrease of $441 million from the end of 2016.</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Accounts receivable were $1.34 billion, an increase of $70 million compared with the end of 2016. Days sales outstanding were 35 at the end of the first quarter compared with 33 at the end of 2016.</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Inventory was $1.84 billion, an increase of $53 million from the end of 2016. Days of inventory at the end of the first quarter of 2017 were 132 compared with 126 at the end of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Our primary source of liquidity is cash flow from operations. Additional sources of liquidity are Cash and cash equivalents, Short-term investments and a variable-rate revolving credit facility. Cash flows from operating activities for the first three months of 2017 was $795 million, an increase of $142 million from the year-ago period primarily due to an increase in Net income, partially offset by an increase in cash used for working capital.</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2022. This credit facility also serves as support for the issuance of commercial paper. As of March 31, 2017, our credit facility was undrawn, and we had no commercial paper outstanding.</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the first three months of 2017, investing activities provided $267 million compared with $573 million in the year-ago period. Capital expenditures were $127 million compared with $124 million in the year-ago period and were primarily for semiconductor manufacturing equipment. We had proceeds from sales of short-term investments, net of purchases, that provided cash of $363 million compared with $700 million in the year-ago period.</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20" w:name="page21"/>
    <w:bookmarkEnd w:id="20"/>
    <w:p>
      <w:pPr>
        <w:ind w:right="160"/>
        <w:spacing w:after="0" w:line="276" w:lineRule="auto"/>
        <w:rPr>
          <w:sz w:val="20"/>
          <w:szCs w:val="20"/>
          <w:color w:val="auto"/>
        </w:rPr>
      </w:pPr>
      <w:r>
        <w:rPr>
          <w:rFonts w:ascii="Arial" w:cs="Arial" w:eastAsia="Arial" w:hAnsi="Arial"/>
          <w:sz w:val="17"/>
          <w:szCs w:val="17"/>
          <w:color w:val="auto"/>
        </w:rPr>
        <w:t>For the first three months of 2017, financing activities used $1.14 billion compared with $945 million in the year-ago period. We retired maturing debt of $250 million; no debt matured in the year-ago period. Dividends paid were $500 million compared with $383 million in the year-ago period, reflecting an increase in the dividend rate, partially offset by fewer shares outstanding. We used $550 million to repurchase 7.1 million shares of our common stock compared with $630 million used in the year-ago period to repurchase 12.4 million shares. Proceeds from common stock transactions, resulting from employee equity awards, were $161 million compared with $68 million in the year-ago period.</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April 27, 2017, we agreed to issue $600 million principal amount of debt, a portion of which we expect to use for repayment of maturing debt, with the remainder used for general corporate purposes. The offering is expected to close on May 4, 2017.</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had $1.07 billion of Cash and cash equivalents and $1.98 billion of Short-term investments as of March 31, 2017.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non-GAAP-based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For 12 Months Ended</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4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Cash flow from operations (GAAP)</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4,756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4,347</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13"/>
        </w:trPr>
        <w:tc>
          <w:tcPr>
            <w:tcW w:w="416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(534)</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Free cash flow (non-GAAP)</w:t>
            </w:r>
          </w:p>
        </w:tc>
        <w:tc>
          <w:tcPr>
            <w:tcW w:w="2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4,222</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13,764</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12,858</w:t>
            </w:r>
          </w:p>
        </w:tc>
        <w:tc>
          <w:tcPr>
            <w:tcW w:w="2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97"/>
              </w:rPr>
              <w:t>Cash flow from operations as a percent of revenue (GAAP)</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34.6%</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33.8%</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60"/>
              <w:spacing w:after="0"/>
              <w:rPr>
                <w:sz w:val="20"/>
                <w:szCs w:val="20"/>
                <w:color w:val="auto"/>
              </w:rPr>
            </w:pPr>
            <w:r>
              <w:rPr>
                <w:rFonts w:ascii="Arial" w:cs="Arial" w:eastAsia="Arial" w:hAnsi="Arial"/>
                <w:sz w:val="16"/>
                <w:szCs w:val="16"/>
                <w:color w:val="auto"/>
              </w:rPr>
              <w:t>Free cash flow as a percent of revenue (non-GAAP)</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30.7%</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29.5%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MD&amp;A also includes references to an operating tax rate, a non-GAAP term we use to describe the estimated annual effective tax rate, a GAAP measure that by definition does not include discrete tax items. We believe the term operating tax rate is useful because it more clearly communicates that discrete tax items are excluded from such rate. The term also helps differentiate from the effective tax rate, which includes discrete tax items . No adjustments were made to the estimated annual effective tax 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regarding long-term debt obligations is described in the long-term contractual obligations table in Item 7 of our Form 10-K for the year ended December 31, 2016. Additionally, in March 2017, we retired $250 million of maturing debt.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57" w:right="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2016, and is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5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4480" w:type="dxa"/>
            <w:vAlign w:val="bottom"/>
            <w:gridSpan w:val="4"/>
          </w:tcPr>
          <w:p>
            <w:pPr>
              <w:ind w:left="100"/>
              <w:spacing w:after="0"/>
              <w:rPr>
                <w:sz w:val="20"/>
                <w:szCs w:val="20"/>
                <w:color w:val="auto"/>
              </w:rPr>
            </w:pPr>
            <w:r>
              <w:rPr>
                <w:rFonts w:ascii="Arial" w:cs="Arial" w:eastAsia="Arial" w:hAnsi="Arial"/>
                <w:sz w:val="18"/>
                <w:szCs w:val="18"/>
                <w:b w:val="1"/>
                <w:bCs w:val="1"/>
                <w:color w:val="auto"/>
              </w:rPr>
              <w:t>ISSUER PURCHASES OF EQUITY SECURITIES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24"/>
                <w:szCs w:val="24"/>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20" w:type="dxa"/>
            <w:vAlign w:val="bottom"/>
          </w:tcPr>
          <w:p>
            <w:pPr>
              <w:spacing w:after="0"/>
              <w:rPr>
                <w:sz w:val="21"/>
                <w:szCs w:val="21"/>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220" w:type="dxa"/>
            <w:vAlign w:val="bottom"/>
          </w:tcPr>
          <w:p>
            <w:pPr>
              <w:spacing w:after="0"/>
              <w:rPr>
                <w:sz w:val="21"/>
                <w:szCs w:val="21"/>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of Shares that</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3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220" w:type="dxa"/>
            <w:vAlign w:val="bottom"/>
          </w:tcPr>
          <w:p>
            <w:pPr>
              <w:spacing w:after="0"/>
              <w:rPr>
                <w:sz w:val="21"/>
                <w:szCs w:val="21"/>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3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2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20" w:type="dxa"/>
            <w:vAlign w:val="bottom"/>
          </w:tcPr>
          <w:p>
            <w:pPr>
              <w:spacing w:after="0"/>
              <w:rPr>
                <w:sz w:val="21"/>
                <w:szCs w:val="21"/>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43"/>
        </w:trPr>
        <w:tc>
          <w:tcPr>
            <w:tcW w:w="3320" w:type="dxa"/>
            <w:vAlign w:val="bottom"/>
            <w:vMerge w:val="restart"/>
          </w:tcPr>
          <w:p>
            <w:pPr>
              <w:spacing w:after="0"/>
              <w:rPr>
                <w:sz w:val="20"/>
                <w:szCs w:val="20"/>
                <w:color w:val="auto"/>
              </w:rPr>
            </w:pPr>
            <w:r>
              <w:rPr>
                <w:rFonts w:ascii="Arial" w:cs="Arial" w:eastAsia="Arial" w:hAnsi="Arial"/>
                <w:sz w:val="20"/>
                <w:szCs w:val="20"/>
                <w:b w:val="1"/>
                <w:bCs w:val="1"/>
                <w:color w:val="auto"/>
              </w:rPr>
              <w:t>Period</w:t>
            </w:r>
          </w:p>
        </w:tc>
        <w:tc>
          <w:tcPr>
            <w:tcW w:w="302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Price Paid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220" w:type="dxa"/>
            <w:vAlign w:val="bottom"/>
          </w:tcPr>
          <w:p>
            <w:pPr>
              <w:spacing w:after="0"/>
              <w:rPr>
                <w:sz w:val="21"/>
                <w:szCs w:val="21"/>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auto"/>
            </w:tcBorders>
            <w:vMerge w:val="continue"/>
          </w:tcPr>
          <w:p>
            <w:pPr>
              <w:spacing w:after="0"/>
              <w:rPr>
                <w:sz w:val="21"/>
                <w:szCs w:val="21"/>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Purchased</w:t>
            </w: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per Share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w:t>
            </w:r>
            <w:r>
              <w:rPr>
                <w:rFonts w:ascii="Arial" w:cs="Arial" w:eastAsia="Arial" w:hAnsi="Arial"/>
                <w:sz w:val="15"/>
                <w:szCs w:val="15"/>
                <w:b w:val="1"/>
                <w:bCs w:val="1"/>
                <w:color w:val="auto"/>
                <w:w w:val="91"/>
              </w:rPr>
              <w:t>(1)</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Programs</w:t>
            </w:r>
            <w:r>
              <w:rPr>
                <w:rFonts w:ascii="Arial" w:cs="Arial" w:eastAsia="Arial" w:hAnsi="Arial"/>
                <w:sz w:val="15"/>
                <w:szCs w:val="15"/>
                <w:b w:val="1"/>
                <w:bCs w:val="1"/>
                <w:color w:val="auto"/>
                <w:w w:val="91"/>
              </w:rPr>
              <w:t>(1)</w:t>
            </w:r>
          </w:p>
        </w:tc>
        <w:tc>
          <w:tcPr>
            <w:tcW w:w="0" w:type="dxa"/>
            <w:vAlign w:val="bottom"/>
          </w:tcPr>
          <w:p>
            <w:pPr>
              <w:spacing w:after="0"/>
              <w:rPr>
                <w:sz w:val="1"/>
                <w:szCs w:val="1"/>
                <w:color w:val="auto"/>
              </w:rPr>
            </w:pPr>
          </w:p>
        </w:tc>
      </w:tr>
      <w:tr>
        <w:trPr>
          <w:trHeight w:val="237"/>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w w:val="97"/>
              </w:rPr>
              <w:t>January 1, 2017 through January 31, 2017</w:t>
            </w:r>
          </w:p>
        </w:tc>
        <w:tc>
          <w:tcPr>
            <w:tcW w:w="3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2,333,600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center"/>
              <w:ind w:right="110"/>
              <w:spacing w:after="0"/>
              <w:rPr>
                <w:sz w:val="20"/>
                <w:szCs w:val="20"/>
                <w:color w:val="auto"/>
              </w:rPr>
            </w:pPr>
            <w:r>
              <w:rPr>
                <w:rFonts w:ascii="Arial" w:cs="Arial" w:eastAsia="Arial" w:hAnsi="Arial"/>
                <w:sz w:val="18"/>
                <w:szCs w:val="18"/>
                <w:color w:val="auto"/>
                <w:w w:val="88"/>
              </w:rPr>
              <w:t>75.18</w:t>
            </w:r>
          </w:p>
        </w:tc>
        <w:tc>
          <w:tcPr>
            <w:tcW w:w="14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2,333,600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5.63billion</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w w:val="92"/>
              </w:rPr>
              <w:t>February 1, 2017 through February 28, 2017</w:t>
            </w:r>
          </w:p>
        </w:tc>
        <w:tc>
          <w:tcPr>
            <w:tcW w:w="3020" w:type="dxa"/>
            <w:vAlign w:val="bottom"/>
          </w:tcPr>
          <w:p>
            <w:pPr>
              <w:jc w:val="right"/>
              <w:spacing w:after="0"/>
              <w:rPr>
                <w:sz w:val="20"/>
                <w:szCs w:val="20"/>
                <w:color w:val="auto"/>
              </w:rPr>
            </w:pPr>
            <w:r>
              <w:rPr>
                <w:rFonts w:ascii="Arial" w:cs="Arial" w:eastAsia="Arial" w:hAnsi="Arial"/>
                <w:sz w:val="18"/>
                <w:szCs w:val="18"/>
                <w:color w:val="auto"/>
              </w:rPr>
              <w:t>2,516,800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88"/>
              </w:rPr>
              <w:t>76.26</w:t>
            </w:r>
          </w:p>
        </w:tc>
        <w:tc>
          <w:tcPr>
            <w:tcW w:w="1420" w:type="dxa"/>
            <w:vAlign w:val="bottom"/>
          </w:tcPr>
          <w:p>
            <w:pPr>
              <w:ind w:left="400"/>
              <w:spacing w:after="0"/>
              <w:rPr>
                <w:sz w:val="20"/>
                <w:szCs w:val="20"/>
                <w:color w:val="auto"/>
              </w:rPr>
            </w:pPr>
            <w:r>
              <w:rPr>
                <w:rFonts w:ascii="Arial" w:cs="Arial" w:eastAsia="Arial" w:hAnsi="Arial"/>
                <w:sz w:val="18"/>
                <w:szCs w:val="18"/>
                <w:color w:val="auto"/>
              </w:rPr>
              <w:t>2,516,800</w:t>
            </w:r>
          </w:p>
        </w:tc>
        <w:tc>
          <w:tcPr>
            <w:tcW w:w="220" w:type="dxa"/>
            <w:vAlign w:val="bottom"/>
          </w:tcPr>
          <w:p>
            <w:pPr>
              <w:spacing w:after="0"/>
              <w:rPr>
                <w:sz w:val="21"/>
                <w:szCs w:val="21"/>
                <w:color w:val="auto"/>
              </w:rPr>
            </w:pPr>
          </w:p>
        </w:tc>
        <w:tc>
          <w:tcPr>
            <w:tcW w:w="1400" w:type="dxa"/>
            <w:vAlign w:val="bottom"/>
          </w:tcPr>
          <w:p>
            <w:pPr>
              <w:ind w:left="200"/>
              <w:spacing w:after="0"/>
              <w:rPr>
                <w:sz w:val="20"/>
                <w:szCs w:val="20"/>
                <w:color w:val="auto"/>
              </w:rPr>
            </w:pPr>
            <w:r>
              <w:rPr>
                <w:rFonts w:ascii="Arial" w:cs="Arial" w:eastAsia="Arial" w:hAnsi="Arial"/>
                <w:sz w:val="18"/>
                <w:szCs w:val="18"/>
                <w:color w:val="auto"/>
              </w:rPr>
              <w:t>5.43billion</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1, 2017 through March 31, 2017</w:t>
            </w:r>
          </w:p>
        </w:tc>
        <w:tc>
          <w:tcPr>
            <w:tcW w:w="3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2,284,371</w:t>
            </w:r>
          </w:p>
        </w:tc>
        <w:tc>
          <w:tcPr>
            <w:tcW w:w="2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88"/>
              </w:rPr>
              <w:t>79.96</w:t>
            </w:r>
          </w:p>
        </w:tc>
        <w:tc>
          <w:tcPr>
            <w:tcW w:w="142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rPr>
              <w:t>2,284,371</w:t>
            </w: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5.25billion</w:t>
            </w:r>
          </w:p>
        </w:tc>
        <w:tc>
          <w:tcPr>
            <w:tcW w:w="0" w:type="dxa"/>
            <w:vAlign w:val="bottom"/>
          </w:tcPr>
          <w:p>
            <w:pPr>
              <w:spacing w:after="0"/>
              <w:rPr>
                <w:sz w:val="1"/>
                <w:szCs w:val="1"/>
                <w:color w:val="auto"/>
              </w:rPr>
            </w:pPr>
          </w:p>
        </w:tc>
      </w:tr>
      <w:tr>
        <w:trPr>
          <w:trHeight w:val="393"/>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tcPr>
          <w:p>
            <w:pPr>
              <w:jc w:val="right"/>
              <w:spacing w:after="0"/>
              <w:rPr>
                <w:sz w:val="20"/>
                <w:szCs w:val="20"/>
                <w:color w:val="auto"/>
              </w:rPr>
            </w:pPr>
            <w:r>
              <w:rPr>
                <w:rFonts w:ascii="Arial" w:cs="Arial" w:eastAsia="Arial" w:hAnsi="Arial"/>
                <w:sz w:val="18"/>
                <w:szCs w:val="18"/>
                <w:color w:val="auto"/>
              </w:rPr>
              <w:t>7,134,771</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w w:val="87"/>
              </w:rPr>
              <w:t>(2)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88"/>
              </w:rPr>
              <w:t>77.09</w:t>
            </w:r>
          </w:p>
        </w:tc>
        <w:tc>
          <w:tcPr>
            <w:tcW w:w="1420" w:type="dxa"/>
            <w:vAlign w:val="bottom"/>
          </w:tcPr>
          <w:p>
            <w:pPr>
              <w:ind w:left="400"/>
              <w:spacing w:after="0"/>
              <w:rPr>
                <w:sz w:val="20"/>
                <w:szCs w:val="20"/>
                <w:color w:val="auto"/>
              </w:rPr>
            </w:pPr>
            <w:r>
              <w:rPr>
                <w:rFonts w:ascii="Arial" w:cs="Arial" w:eastAsia="Arial" w:hAnsi="Arial"/>
                <w:sz w:val="18"/>
                <w:szCs w:val="18"/>
                <w:color w:val="auto"/>
                <w:w w:val="95"/>
              </w:rPr>
              <w:t>7,134,771</w:t>
            </w:r>
            <w:r>
              <w:rPr>
                <w:rFonts w:ascii="Arial" w:cs="Arial" w:eastAsia="Arial" w:hAnsi="Arial"/>
                <w:sz w:val="30"/>
                <w:szCs w:val="30"/>
                <w:color w:val="auto"/>
                <w:w w:val="95"/>
                <w:vertAlign w:val="superscript"/>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ind w:left="200"/>
              <w:spacing w:after="0"/>
              <w:rPr>
                <w:sz w:val="20"/>
                <w:szCs w:val="20"/>
                <w:color w:val="auto"/>
              </w:rPr>
            </w:pPr>
            <w:r>
              <w:rPr>
                <w:rFonts w:ascii="Arial" w:cs="Arial" w:eastAsia="Arial" w:hAnsi="Arial"/>
                <w:sz w:val="18"/>
                <w:szCs w:val="18"/>
                <w:color w:val="auto"/>
              </w:rPr>
              <w:t>5.25billion</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80" w:hanging="372"/>
        <w:spacing w:after="0" w:line="258" w:lineRule="auto"/>
        <w:tabs>
          <w:tab w:leader="none" w:pos="3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September 17, 2015.</w:t>
      </w:r>
    </w:p>
    <w:p>
      <w:pPr>
        <w:spacing w:after="0" w:line="1" w:lineRule="exact"/>
        <w:rPr>
          <w:rFonts w:ascii="Arial" w:cs="Arial" w:eastAsia="Arial" w:hAnsi="Arial"/>
          <w:sz w:val="15"/>
          <w:szCs w:val="15"/>
          <w:color w:val="auto"/>
        </w:rPr>
      </w:pPr>
    </w:p>
    <w:p>
      <w:pPr>
        <w:ind w:left="380" w:hanging="372"/>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All purchases during the quarter were open-market purchases.</w:t>
      </w:r>
    </w:p>
    <w:p>
      <w:pPr>
        <w:spacing w:after="0" w:line="9" w:lineRule="exact"/>
        <w:rPr>
          <w:rFonts w:ascii="Arial" w:cs="Arial" w:eastAsia="Arial" w:hAnsi="Arial"/>
          <w:sz w:val="15"/>
          <w:szCs w:val="15"/>
          <w:color w:val="auto"/>
        </w:rPr>
      </w:pPr>
    </w:p>
    <w:p>
      <w:pPr>
        <w:ind w:left="380" w:right="220" w:hanging="372"/>
        <w:spacing w:after="0" w:line="261" w:lineRule="auto"/>
        <w:tabs>
          <w:tab w:leader="none" w:pos="3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As of March 31, 2017, this amount consisted of the remaining portion of the $7.5 billion authorized in September 2015. No expiration date has been specified for this authorization.</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23" w:name="page24"/>
    <w:bookmarkEnd w:id="23"/>
    <w:p>
      <w:pPr>
        <w:ind w:left="120"/>
        <w:spacing w:after="0"/>
        <w:rPr>
          <w:sz w:val="20"/>
          <w:szCs w:val="20"/>
          <w:color w:val="auto"/>
        </w:rPr>
      </w:pPr>
      <w:r>
        <w:rPr>
          <w:rFonts w:ascii="Arial" w:cs="Arial" w:eastAsia="Arial" w:hAnsi="Arial"/>
          <w:sz w:val="17"/>
          <w:szCs w:val="17"/>
          <w:b w:val="1"/>
          <w:bCs w:val="1"/>
          <w:color w:val="auto"/>
        </w:rPr>
        <w:t>ITEM 6. Exhibits.</w:t>
      </w:r>
    </w:p>
    <w:p>
      <w:pPr>
        <w:sectPr>
          <w:pgSz w:w="11900" w:h="16838" w:orient="portrait"/>
          <w:cols w:equalWidth="0" w:num="1">
            <w:col w:w="10219"/>
          </w:cols>
          <w:pgMar w:left="240" w:top="337" w:right="1440" w:bottom="1440" w:gutter="0" w:footer="0" w:header="0"/>
        </w:sectPr>
      </w:pPr>
    </w:p>
    <w:p>
      <w:pPr>
        <w:spacing w:after="0" w:line="277" w:lineRule="exact"/>
        <w:rPr>
          <w:sz w:val="20"/>
          <w:szCs w:val="20"/>
          <w:color w:val="auto"/>
        </w:rPr>
      </w:pPr>
    </w:p>
    <w:p>
      <w:pPr>
        <w:jc w:val="center"/>
        <w:ind w:left="100"/>
        <w:spacing w:after="0" w:line="303" w:lineRule="auto"/>
        <w:rPr>
          <w:sz w:val="20"/>
          <w:szCs w:val="20"/>
          <w:color w:val="auto"/>
        </w:rPr>
      </w:pPr>
      <w:r>
        <w:rPr>
          <w:rFonts w:ascii="Arial" w:cs="Arial" w:eastAsia="Arial" w:hAnsi="Arial"/>
          <w:sz w:val="16"/>
          <w:szCs w:val="16"/>
          <w:b w:val="1"/>
          <w:bCs w:val="1"/>
          <w:color w:val="auto"/>
        </w:rPr>
        <w:t>Designation of Exhibits in This Report</w:t>
      </w:r>
    </w:p>
    <w:p>
      <w:pPr>
        <w:spacing w:after="0" w:line="196"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3(a)</w:t>
      </w:r>
    </w:p>
    <w:p>
      <w:pPr>
        <w:spacing w:after="0" w:line="3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Description of Exhibit</w:t>
      </w:r>
    </w:p>
    <w:p>
      <w:pPr>
        <w:spacing w:after="0" w:line="378" w:lineRule="exact"/>
        <w:rPr>
          <w:sz w:val="20"/>
          <w:szCs w:val="20"/>
          <w:color w:val="auto"/>
        </w:rPr>
      </w:pPr>
    </w:p>
    <w:p>
      <w:pPr>
        <w:jc w:val="both"/>
        <w:ind w:left="20" w:right="1359"/>
        <w:spacing w:after="0" w:line="256" w:lineRule="auto"/>
        <w:rPr>
          <w:sz w:val="20"/>
          <w:szCs w:val="20"/>
          <w:color w:val="auto"/>
        </w:rPr>
      </w:pPr>
      <w:r>
        <w:rPr>
          <w:rFonts w:ascii="Arial" w:cs="Arial" w:eastAsia="Arial" w:hAnsi="Arial"/>
          <w:sz w:val="18"/>
          <w:szCs w:val="18"/>
          <w:color w:val="auto"/>
        </w:rPr>
        <w:t>Restated Certificate of Incorporation of the Registrant, dated April 18, 1985, as amended (incorporated by reference to Exhibit 3(a) of the Registrant's Annual Report on Form 10-K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-410845</wp:posOffset>
            </wp:positionV>
            <wp:extent cx="5951855"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51855" cy="411480"/>
                    </a:xfrm>
                    <a:prstGeom prst="rect">
                      <a:avLst/>
                    </a:prstGeom>
                    <a:noFill/>
                  </pic:spPr>
                </pic:pic>
              </a:graphicData>
            </a:graphic>
          </wp:anchor>
        </w:drawing>
      </w:r>
    </w:p>
    <w:p>
      <w:pPr>
        <w:ind w:right="859"/>
        <w:spacing w:after="0" w:line="269" w:lineRule="auto"/>
        <w:rPr>
          <w:sz w:val="20"/>
          <w:szCs w:val="20"/>
          <w:color w:val="auto"/>
        </w:rPr>
      </w:pPr>
      <w:r>
        <w:rPr>
          <w:rFonts w:ascii="Arial" w:cs="Arial" w:eastAsia="Arial" w:hAnsi="Arial"/>
          <w:sz w:val="18"/>
          <w:szCs w:val="18"/>
          <w:color w:val="auto"/>
        </w:rPr>
        <w:t>By-Laws of the Registrant (incorporated by reference to Exhibit 3 of the Registrant's Current Report on Form 8-K filed December 12, 2016).</w:t>
      </w:r>
    </w:p>
    <w:p>
      <w:pPr>
        <w:spacing w:after="0" w:line="2" w:lineRule="exact"/>
        <w:rPr>
          <w:sz w:val="20"/>
          <w:szCs w:val="20"/>
          <w:color w:val="auto"/>
        </w:rPr>
      </w:pPr>
    </w:p>
    <w:p>
      <w:pPr>
        <w:sectPr>
          <w:pgSz w:w="11900" w:h="16838" w:orient="portrait"/>
          <w:cols w:equalWidth="0" w:num="2">
            <w:col w:w="1020" w:space="120"/>
            <w:col w:w="9079"/>
          </w:cols>
          <w:pgMar w:left="240" w:top="337" w:right="1440"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31(a)</w:t>
            </w: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Certification of Chief Executive Officer of Periodic Report Pursuant to Rule 13a-15(e) or Rule 15d-15(e).</w:t>
            </w:r>
            <w:r>
              <w:rPr>
                <w:rFonts w:ascii="Arial" w:cs="Arial" w:eastAsia="Arial" w:hAnsi="Arial"/>
                <w:sz w:val="15"/>
                <w:szCs w:val="15"/>
                <w:color w:val="auto"/>
                <w:w w:val="99"/>
              </w:rPr>
              <w:t>†</w:t>
            </w:r>
          </w:p>
        </w:tc>
      </w:tr>
      <w:tr>
        <w:trPr>
          <w:trHeight w:val="243"/>
        </w:trPr>
        <w:tc>
          <w:tcPr>
            <w:tcW w:w="980" w:type="dxa"/>
            <w:vAlign w:val="bottom"/>
          </w:tcPr>
          <w:p>
            <w:pPr>
              <w:jc w:val="center"/>
              <w:ind w:left="30"/>
              <w:spacing w:after="0"/>
              <w:rPr>
                <w:sz w:val="20"/>
                <w:szCs w:val="20"/>
                <w:color w:val="auto"/>
              </w:rPr>
            </w:pPr>
            <w:r>
              <w:rPr>
                <w:rFonts w:ascii="Arial" w:cs="Arial" w:eastAsia="Arial" w:hAnsi="Arial"/>
                <w:sz w:val="18"/>
                <w:szCs w:val="18"/>
                <w:color w:val="auto"/>
                <w:w w:val="90"/>
              </w:rPr>
              <w:t>31(b)</w:t>
            </w:r>
          </w:p>
        </w:tc>
        <w:tc>
          <w:tcPr>
            <w:tcW w:w="8440" w:type="dxa"/>
            <w:vAlign w:val="bottom"/>
          </w:tcPr>
          <w:p>
            <w:pPr>
              <w:ind w:left="160"/>
              <w:spacing w:after="0"/>
              <w:rPr>
                <w:sz w:val="20"/>
                <w:szCs w:val="20"/>
                <w:color w:val="auto"/>
              </w:rPr>
            </w:pPr>
            <w:r>
              <w:rPr>
                <w:rFonts w:ascii="Arial" w:cs="Arial" w:eastAsia="Arial" w:hAnsi="Arial"/>
                <w:sz w:val="18"/>
                <w:szCs w:val="18"/>
                <w:color w:val="auto"/>
                <w:w w:val="99"/>
              </w:rPr>
              <w:t>Certification of Chief Financial Officer of Periodic Report Pursuant to Rule 13a-15(e) or Rule 15d-15(e).</w:t>
            </w:r>
            <w:r>
              <w:rPr>
                <w:rFonts w:ascii="Arial" w:cs="Arial" w:eastAsia="Arial" w:hAnsi="Arial"/>
                <w:sz w:val="15"/>
                <w:szCs w:val="15"/>
                <w:color w:val="auto"/>
                <w:w w:val="99"/>
              </w:rPr>
              <w:t>†</w:t>
            </w:r>
          </w:p>
        </w:tc>
      </w:tr>
      <w:tr>
        <w:trPr>
          <w:trHeight w:val="27"/>
        </w:trPr>
        <w:tc>
          <w:tcPr>
            <w:tcW w:w="98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32(a)</w:t>
            </w:r>
          </w:p>
        </w:tc>
        <w:tc>
          <w:tcPr>
            <w:tcW w:w="8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r>
              <w:rPr>
                <w:rFonts w:ascii="Arial" w:cs="Arial" w:eastAsia="Arial" w:hAnsi="Arial"/>
                <w:sz w:val="15"/>
                <w:szCs w:val="15"/>
                <w:color w:val="auto"/>
              </w:rPr>
              <w:t>†</w:t>
            </w:r>
          </w:p>
        </w:tc>
      </w:tr>
      <w:tr>
        <w:trPr>
          <w:trHeight w:val="243"/>
        </w:trPr>
        <w:tc>
          <w:tcPr>
            <w:tcW w:w="980" w:type="dxa"/>
            <w:vAlign w:val="bottom"/>
          </w:tcPr>
          <w:p>
            <w:pPr>
              <w:jc w:val="center"/>
              <w:ind w:left="30"/>
              <w:spacing w:after="0"/>
              <w:rPr>
                <w:sz w:val="20"/>
                <w:szCs w:val="20"/>
                <w:color w:val="auto"/>
              </w:rPr>
            </w:pPr>
            <w:r>
              <w:rPr>
                <w:rFonts w:ascii="Arial" w:cs="Arial" w:eastAsia="Arial" w:hAnsi="Arial"/>
                <w:sz w:val="18"/>
                <w:szCs w:val="18"/>
                <w:color w:val="auto"/>
                <w:w w:val="90"/>
              </w:rPr>
              <w:t>32(b)</w:t>
            </w:r>
          </w:p>
        </w:tc>
        <w:tc>
          <w:tcPr>
            <w:tcW w:w="8440" w:type="dxa"/>
            <w:vAlign w:val="bottom"/>
          </w:tcPr>
          <w:p>
            <w:pPr>
              <w:ind w:left="160"/>
              <w:spacing w:after="0"/>
              <w:rPr>
                <w:sz w:val="20"/>
                <w:szCs w:val="20"/>
                <w:color w:val="auto"/>
              </w:rPr>
            </w:pPr>
            <w:r>
              <w:rPr>
                <w:rFonts w:ascii="Arial" w:cs="Arial" w:eastAsia="Arial" w:hAnsi="Arial"/>
                <w:sz w:val="18"/>
                <w:szCs w:val="18"/>
                <w:color w:val="auto"/>
              </w:rPr>
              <w:t xml:space="preserve">Certification by Chief Financial Officer of Periodic Report Pursuant to 18 U.S.C. Section 1350 </w:t>
            </w:r>
            <w:r>
              <w:rPr>
                <w:rFonts w:ascii="Arial" w:cs="Arial" w:eastAsia="Arial" w:hAnsi="Arial"/>
                <w:sz w:val="15"/>
                <w:szCs w:val="15"/>
                <w:color w:val="auto"/>
              </w:rPr>
              <w:t>†</w:t>
            </w:r>
          </w:p>
        </w:tc>
      </w:tr>
      <w:tr>
        <w:trPr>
          <w:trHeight w:val="27"/>
        </w:trPr>
        <w:tc>
          <w:tcPr>
            <w:tcW w:w="98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101.ins</w:t>
            </w:r>
          </w:p>
        </w:tc>
        <w:tc>
          <w:tcPr>
            <w:tcW w:w="8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15"/>
                <w:szCs w:val="15"/>
                <w:color w:val="auto"/>
              </w:rPr>
              <w:t>†</w:t>
            </w:r>
          </w:p>
        </w:tc>
      </w:tr>
      <w:tr>
        <w:trPr>
          <w:trHeight w:val="243"/>
        </w:trPr>
        <w:tc>
          <w:tcPr>
            <w:tcW w:w="980" w:type="dxa"/>
            <w:vAlign w:val="bottom"/>
          </w:tcPr>
          <w:p>
            <w:pPr>
              <w:jc w:val="center"/>
              <w:ind w:left="30"/>
              <w:spacing w:after="0"/>
              <w:rPr>
                <w:sz w:val="20"/>
                <w:szCs w:val="20"/>
                <w:color w:val="auto"/>
              </w:rPr>
            </w:pPr>
            <w:r>
              <w:rPr>
                <w:rFonts w:ascii="Arial" w:cs="Arial" w:eastAsia="Arial" w:hAnsi="Arial"/>
                <w:sz w:val="18"/>
                <w:szCs w:val="18"/>
                <w:color w:val="auto"/>
                <w:w w:val="89"/>
              </w:rPr>
              <w:t>101.def</w:t>
            </w:r>
          </w:p>
        </w:tc>
        <w:tc>
          <w:tcPr>
            <w:tcW w:w="844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r>
              <w:rPr>
                <w:rFonts w:ascii="Arial" w:cs="Arial" w:eastAsia="Arial" w:hAnsi="Arial"/>
                <w:sz w:val="15"/>
                <w:szCs w:val="15"/>
                <w:color w:val="auto"/>
              </w:rPr>
              <w:t>†</w:t>
            </w:r>
          </w:p>
        </w:tc>
      </w:tr>
      <w:tr>
        <w:trPr>
          <w:trHeight w:val="27"/>
        </w:trPr>
        <w:tc>
          <w:tcPr>
            <w:tcW w:w="98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5"/>
              </w:rPr>
              <w:t>101.sch</w:t>
            </w:r>
          </w:p>
        </w:tc>
        <w:tc>
          <w:tcPr>
            <w:tcW w:w="8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XBRL Taxonomy Extension Schema Document</w:t>
            </w:r>
            <w:r>
              <w:rPr>
                <w:rFonts w:ascii="Arial" w:cs="Arial" w:eastAsia="Arial" w:hAnsi="Arial"/>
                <w:sz w:val="15"/>
                <w:szCs w:val="15"/>
                <w:color w:val="auto"/>
              </w:rPr>
              <w:t>†</w:t>
            </w:r>
          </w:p>
        </w:tc>
      </w:tr>
      <w:tr>
        <w:trPr>
          <w:trHeight w:val="243"/>
        </w:trPr>
        <w:tc>
          <w:tcPr>
            <w:tcW w:w="980" w:type="dxa"/>
            <w:vAlign w:val="bottom"/>
          </w:tcPr>
          <w:p>
            <w:pPr>
              <w:jc w:val="center"/>
              <w:ind w:left="30"/>
              <w:spacing w:after="0"/>
              <w:rPr>
                <w:sz w:val="20"/>
                <w:szCs w:val="20"/>
                <w:color w:val="auto"/>
              </w:rPr>
            </w:pPr>
            <w:r>
              <w:rPr>
                <w:rFonts w:ascii="Arial" w:cs="Arial" w:eastAsia="Arial" w:hAnsi="Arial"/>
                <w:sz w:val="18"/>
                <w:szCs w:val="18"/>
                <w:color w:val="auto"/>
                <w:w w:val="92"/>
              </w:rPr>
              <w:t>101.cal</w:t>
            </w:r>
          </w:p>
        </w:tc>
        <w:tc>
          <w:tcPr>
            <w:tcW w:w="844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r>
              <w:rPr>
                <w:rFonts w:ascii="Arial" w:cs="Arial" w:eastAsia="Arial" w:hAnsi="Arial"/>
                <w:sz w:val="15"/>
                <w:szCs w:val="15"/>
                <w:color w:val="auto"/>
              </w:rPr>
              <w:t>†</w:t>
            </w:r>
          </w:p>
        </w:tc>
      </w:tr>
      <w:tr>
        <w:trPr>
          <w:trHeight w:val="27"/>
        </w:trPr>
        <w:tc>
          <w:tcPr>
            <w:tcW w:w="98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101.lab</w:t>
            </w:r>
          </w:p>
        </w:tc>
        <w:tc>
          <w:tcPr>
            <w:tcW w:w="8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XBRL Taxonomy Extension Label Linkbase Document</w:t>
            </w:r>
            <w:r>
              <w:rPr>
                <w:rFonts w:ascii="Arial" w:cs="Arial" w:eastAsia="Arial" w:hAnsi="Arial"/>
                <w:sz w:val="15"/>
                <w:szCs w:val="15"/>
                <w:color w:val="auto"/>
              </w:rPr>
              <w:t>†</w:t>
            </w:r>
          </w:p>
        </w:tc>
      </w:tr>
      <w:tr>
        <w:trPr>
          <w:trHeight w:val="243"/>
        </w:trPr>
        <w:tc>
          <w:tcPr>
            <w:tcW w:w="980" w:type="dxa"/>
            <w:vAlign w:val="bottom"/>
          </w:tcPr>
          <w:p>
            <w:pPr>
              <w:jc w:val="center"/>
              <w:ind w:left="30"/>
              <w:spacing w:after="0"/>
              <w:rPr>
                <w:sz w:val="20"/>
                <w:szCs w:val="20"/>
                <w:color w:val="auto"/>
              </w:rPr>
            </w:pPr>
            <w:r>
              <w:rPr>
                <w:rFonts w:ascii="Arial" w:cs="Arial" w:eastAsia="Arial" w:hAnsi="Arial"/>
                <w:sz w:val="18"/>
                <w:szCs w:val="18"/>
                <w:color w:val="auto"/>
                <w:w w:val="88"/>
              </w:rPr>
              <w:t>101.pre</w:t>
            </w:r>
          </w:p>
        </w:tc>
        <w:tc>
          <w:tcPr>
            <w:tcW w:w="844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r>
              <w:rPr>
                <w:rFonts w:ascii="Arial" w:cs="Arial" w:eastAsia="Arial" w:hAnsi="Arial"/>
                <w:sz w:val="15"/>
                <w:szCs w:val="15"/>
                <w:color w:val="auto"/>
              </w:rPr>
              <w:t>†</w:t>
            </w:r>
          </w:p>
        </w:tc>
      </w:tr>
    </w:tbl>
    <w:p>
      <w:pPr>
        <w:spacing w:after="0" w:line="12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2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1040" w:right="2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1040" w:right="18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1040" w:right="54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TI, our customers or our suppliers operate;</w:t>
      </w: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Breaches or disruptions of TI’s information technology systems or those of our customers or suppliers;</w:t>
      </w:r>
    </w:p>
    <w:p>
      <w:pPr>
        <w:spacing w:after="0" w:line="9" w:lineRule="exact"/>
        <w:rPr>
          <w:rFonts w:ascii="Arial" w:cs="Arial" w:eastAsia="Arial" w:hAnsi="Arial"/>
          <w:sz w:val="18"/>
          <w:szCs w:val="18"/>
          <w:color w:val="auto"/>
        </w:rPr>
      </w:pPr>
    </w:p>
    <w:p>
      <w:pPr>
        <w:ind w:left="1040" w:right="16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32" w:lineRule="exact"/>
        <w:rPr>
          <w:rFonts w:ascii="Arial" w:cs="Arial" w:eastAsia="Arial" w:hAnsi="Arial"/>
          <w:sz w:val="16"/>
          <w:szCs w:val="16"/>
          <w:color w:val="auto"/>
        </w:rPr>
      </w:pPr>
    </w:p>
    <w:p>
      <w:pPr>
        <w:ind w:left="1040" w:right="16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TI is or may become subject, or actions of enforcement authorities, that restrict TI’s ability to manufacture or ship our products or operate our business, or subject TI to fines, penalties, or other legal liability;</w:t>
      </w:r>
    </w:p>
    <w:p>
      <w:pPr>
        <w:spacing w:after="0" w:line="1" w:lineRule="exact"/>
        <w:rPr>
          <w:rFonts w:ascii="Arial" w:cs="Arial" w:eastAsia="Arial" w:hAnsi="Arial"/>
          <w:sz w:val="18"/>
          <w:szCs w:val="18"/>
          <w:color w:val="auto"/>
        </w:rPr>
      </w:pPr>
    </w:p>
    <w:p>
      <w:pPr>
        <w:ind w:left="1040" w:right="50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ind w:left="1040" w:right="28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increases in tariff rates, and the ability to realize deferred tax assets;</w:t>
      </w: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1040" w:right="48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 or the loss of a significant number of distributors;</w:t>
      </w: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32" w:lineRule="exact"/>
        <w:rPr>
          <w:rFonts w:ascii="Arial" w:cs="Arial" w:eastAsia="Arial" w:hAnsi="Arial"/>
          <w:sz w:val="16"/>
          <w:szCs w:val="16"/>
          <w:color w:val="auto"/>
        </w:rPr>
      </w:pPr>
    </w:p>
    <w:p>
      <w:pPr>
        <w:ind w:left="1040" w:right="24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our ability to utilize our manufacturing facilities at sufficient levels to cover our fixed operating costs, in an intensely competitive and cyclical industry;</w:t>
      </w:r>
    </w:p>
    <w:p>
      <w:pPr>
        <w:ind w:left="1040" w:right="4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maintain freedom of operation; or TI’s exposure to infringement claims;</w:t>
      </w:r>
    </w:p>
    <w:p>
      <w:pPr>
        <w:ind w:left="1040" w:right="16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our daily operations, invest in the business, make strategic acquisitions, or make principal and interest payments on our debt;</w:t>
      </w: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TI’s ability to recruit and retain skilled engineering, management and technical personnel;</w:t>
      </w:r>
    </w:p>
    <w:p>
      <w:pPr>
        <w:spacing w:after="0" w:line="9" w:lineRule="exact"/>
        <w:rPr>
          <w:rFonts w:ascii="Arial" w:cs="Arial" w:eastAsia="Arial" w:hAnsi="Arial"/>
          <w:sz w:val="18"/>
          <w:szCs w:val="18"/>
          <w:color w:val="auto"/>
        </w:rPr>
      </w:pPr>
    </w:p>
    <w:p>
      <w:pPr>
        <w:ind w:left="1040" w:right="140" w:hanging="519"/>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or our ability to realize our expectations regarding the amount and timing of restructuring charges and associated cost savings; and</w:t>
      </w: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tbl>
      <w:tblPr>
        <w:tblLayout w:type="fixed"/>
        <w:tblInd w:w="74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/s/ Rafael R. Lizardi</w:t>
            </w:r>
          </w:p>
        </w:tc>
      </w:tr>
      <w:tr>
        <w:trPr>
          <w:trHeight w:val="195"/>
        </w:trPr>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30"/>
        </w:trPr>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9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5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120" w:hanging="5"/>
        <w:spacing w:after="0" w:line="342" w:lineRule="auto"/>
        <w:tabs>
          <w:tab w:leader="none" w:pos="7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2017,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2017</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220" w:firstLine="547"/>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38" w:lineRule="exact"/>
        <w:rPr>
          <w:sz w:val="20"/>
          <w:szCs w:val="20"/>
          <w:color w:val="auto"/>
        </w:rPr>
      </w:pPr>
    </w:p>
    <w:p>
      <w:pPr>
        <w:ind w:left="560" w:right="120" w:hanging="5"/>
        <w:spacing w:after="0" w:line="342" w:lineRule="auto"/>
        <w:tabs>
          <w:tab w:leader="none" w:pos="7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2017,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2017</w:t>
      </w:r>
    </w:p>
    <w:p>
      <w:pPr>
        <w:spacing w:after="0" w:line="2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decimal"/>
      <w:start w:val="4"/>
    </w:lvl>
  </w:abstractNum>
  <w:abstractNum w:abstractNumId="8">
    <w:nsid w:val="431BD7B7"/>
    <w:multiLevelType w:val="hybridMultilevel"/>
    <w:lvl w:ilvl="0">
      <w:lvlJc w:val="left"/>
      <w:lvlText w:val="%1."/>
      <w:numFmt w:val="decimal"/>
      <w:start w:val="5"/>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6"/>
    </w:lvl>
  </w:abstractNum>
  <w:abstractNum w:abstractNumId="11">
    <w:nsid w:val="257130A3"/>
    <w:multiLevelType w:val="hybridMultilevel"/>
    <w:lvl w:ilvl="0">
      <w:lvlJc w:val="left"/>
      <w:lvlText w:val="%1."/>
      <w:numFmt w:val="decimal"/>
      <w:start w:val="7"/>
    </w:lvl>
  </w:abstractNum>
  <w:abstractNum w:abstractNumId="12">
    <w:nsid w:val="62BBD95A"/>
    <w:multiLevelType w:val="hybridMultilevel"/>
    <w:lvl w:ilvl="0">
      <w:lvlJc w:val="left"/>
      <w:lvlText w:val="%1."/>
      <w:numFmt w:val="decimal"/>
      <w:start w:val="8"/>
    </w:lvl>
  </w:abstractNum>
  <w:abstractNum w:abstractNumId="13">
    <w:nsid w:val="436C6125"/>
    <w:multiLevelType w:val="hybridMultilevel"/>
    <w:lvl w:ilvl="0">
      <w:lvlJc w:val="left"/>
      <w:lvlText w:val="%1."/>
      <w:numFmt w:val="decimal"/>
      <w:start w:val="9"/>
    </w:lvl>
  </w:abstractNum>
  <w:abstractNum w:abstractNumId="14">
    <w:nsid w:val="628C895D"/>
    <w:multiLevelType w:val="hybridMultilevel"/>
    <w:lvl w:ilvl="0">
      <w:lvlJc w:val="left"/>
      <w:lvlText w:val="%1."/>
      <w:numFmt w:val="decimal"/>
      <w:start w:val="10"/>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lowerRoman"/>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2019-12-05T07:27:13Z</dcterms:created>
  <dcterms:modified xsi:type="dcterms:W3CDTF">2019-12-05T07:27:13Z</dcterms:modified>
</cp:coreProperties>
</file>