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333-165045</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32406B"/>
        </w:rPr>
        <w:t>CALCULATION OF REGISTRATION FEE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60" w:type="dxa"/>
            <w:vAlign w:val="bottom"/>
            <w:tcBorders>
              <w:top w:val="single" w:sz="8" w:color="32406B"/>
              <w:bottom w:val="single" w:sz="8" w:color="32406B"/>
            </w:tcBorders>
          </w:tcPr>
          <w:p>
            <w:pPr>
              <w:spacing w:after="0"/>
              <w:rPr>
                <w:sz w:val="3"/>
                <w:szCs w:val="3"/>
                <w:color w:val="auto"/>
              </w:rPr>
            </w:pPr>
          </w:p>
        </w:tc>
        <w:tc>
          <w:tcPr>
            <w:tcW w:w="420" w:type="dxa"/>
            <w:vAlign w:val="bottom"/>
            <w:tcBorders>
              <w:top w:val="single" w:sz="8" w:color="32406B"/>
              <w:bottom w:val="single" w:sz="8" w:color="32406B"/>
            </w:tcBorders>
          </w:tcPr>
          <w:p>
            <w:pPr>
              <w:spacing w:after="0"/>
              <w:rPr>
                <w:sz w:val="3"/>
                <w:szCs w:val="3"/>
                <w:color w:val="auto"/>
              </w:rPr>
            </w:pPr>
          </w:p>
        </w:tc>
        <w:tc>
          <w:tcPr>
            <w:tcW w:w="1260" w:type="dxa"/>
            <w:vAlign w:val="bottom"/>
            <w:tcBorders>
              <w:top w:val="single" w:sz="8" w:color="32406B"/>
              <w:bottom w:val="single" w:sz="8" w:color="32406B"/>
            </w:tcBorders>
          </w:tcPr>
          <w:p>
            <w:pPr>
              <w:spacing w:after="0"/>
              <w:rPr>
                <w:sz w:val="3"/>
                <w:szCs w:val="3"/>
                <w:color w:val="auto"/>
              </w:rPr>
            </w:pPr>
          </w:p>
        </w:tc>
        <w:tc>
          <w:tcPr>
            <w:tcW w:w="540" w:type="dxa"/>
            <w:vAlign w:val="bottom"/>
            <w:tcBorders>
              <w:top w:val="single" w:sz="8" w:color="32406B"/>
              <w:bottom w:val="single" w:sz="8" w:color="32406B"/>
            </w:tcBorders>
          </w:tcPr>
          <w:p>
            <w:pPr>
              <w:spacing w:after="0"/>
              <w:rPr>
                <w:sz w:val="3"/>
                <w:szCs w:val="3"/>
                <w:color w:val="auto"/>
              </w:rPr>
            </w:pPr>
          </w:p>
        </w:tc>
        <w:tc>
          <w:tcPr>
            <w:tcW w:w="920" w:type="dxa"/>
            <w:vAlign w:val="bottom"/>
            <w:tcBorders>
              <w:top w:val="single" w:sz="8" w:color="32406B"/>
              <w:bottom w:val="single" w:sz="8" w:color="32406B"/>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60" w:type="dxa"/>
            <w:vAlign w:val="bottom"/>
            <w:tcBorders>
              <w:right w:val="single" w:sz="8" w:color="32406B"/>
            </w:tcBorders>
          </w:tcPr>
          <w:p>
            <w:pPr>
              <w:spacing w:after="0"/>
              <w:rPr>
                <w:sz w:val="10"/>
                <w:szCs w:val="10"/>
                <w:color w:val="auto"/>
              </w:rPr>
            </w:pPr>
          </w:p>
        </w:tc>
        <w:tc>
          <w:tcPr>
            <w:tcW w:w="1680" w:type="dxa"/>
            <w:vAlign w:val="bottom"/>
            <w:tcBorders>
              <w:right w:val="single" w:sz="8" w:color="32406B"/>
            </w:tcBorders>
            <w:gridSpan w:val="2"/>
          </w:tcPr>
          <w:p>
            <w:pPr>
              <w:jc w:val="right"/>
              <w:ind w:right="132"/>
              <w:spacing w:after="0" w:line="117" w:lineRule="exact"/>
              <w:rPr>
                <w:sz w:val="20"/>
                <w:szCs w:val="20"/>
                <w:color w:val="auto"/>
              </w:rPr>
            </w:pPr>
            <w:r>
              <w:rPr>
                <w:rFonts w:ascii="Arial" w:cs="Arial" w:eastAsia="Arial" w:hAnsi="Arial"/>
                <w:sz w:val="12"/>
                <w:szCs w:val="12"/>
                <w:b w:val="1"/>
                <w:bCs w:val="1"/>
                <w:color w:val="32406B"/>
              </w:rPr>
              <w:t>Proposed Maximum</w:t>
            </w:r>
          </w:p>
        </w:tc>
        <w:tc>
          <w:tcPr>
            <w:tcW w:w="1460" w:type="dxa"/>
            <w:vAlign w:val="bottom"/>
            <w:gridSpan w:val="2"/>
          </w:tcPr>
          <w:p>
            <w:pPr>
              <w:ind w:left="460"/>
              <w:spacing w:after="0" w:line="117" w:lineRule="exact"/>
              <w:rPr>
                <w:sz w:val="20"/>
                <w:szCs w:val="20"/>
                <w:color w:val="auto"/>
              </w:rPr>
            </w:pPr>
            <w:r>
              <w:rPr>
                <w:rFonts w:ascii="Arial" w:cs="Arial" w:eastAsia="Arial" w:hAnsi="Arial"/>
                <w:sz w:val="12"/>
                <w:szCs w:val="12"/>
                <w:b w:val="1"/>
                <w:bCs w:val="1"/>
                <w:color w:val="32406B"/>
              </w:rPr>
              <w:t>Amount of</w:t>
            </w:r>
          </w:p>
        </w:tc>
      </w:tr>
      <w:tr>
        <w:trPr>
          <w:trHeight w:val="175"/>
        </w:trPr>
        <w:tc>
          <w:tcPr>
            <w:tcW w:w="20" w:type="dxa"/>
            <w:vAlign w:val="bottom"/>
          </w:tcPr>
          <w:p>
            <w:pPr>
              <w:spacing w:after="0"/>
              <w:rPr>
                <w:sz w:val="15"/>
                <w:szCs w:val="15"/>
                <w:color w:val="auto"/>
              </w:rPr>
            </w:pPr>
          </w:p>
        </w:tc>
        <w:tc>
          <w:tcPr>
            <w:tcW w:w="8260" w:type="dxa"/>
            <w:vAlign w:val="bottom"/>
            <w:tcBorders>
              <w:bottom w:val="single" w:sz="8" w:color="32406B"/>
              <w:right w:val="single" w:sz="8" w:color="32406B"/>
            </w:tcBorders>
          </w:tcPr>
          <w:p>
            <w:pPr>
              <w:ind w:left="2740"/>
              <w:spacing w:after="0"/>
              <w:rPr>
                <w:sz w:val="20"/>
                <w:szCs w:val="20"/>
                <w:color w:val="auto"/>
              </w:rPr>
            </w:pPr>
            <w:r>
              <w:rPr>
                <w:rFonts w:ascii="Arial" w:cs="Arial" w:eastAsia="Arial" w:hAnsi="Arial"/>
                <w:sz w:val="14"/>
                <w:szCs w:val="14"/>
                <w:b w:val="1"/>
                <w:bCs w:val="1"/>
                <w:color w:val="32406B"/>
              </w:rPr>
              <w:t>Title of each Class of Securities to be Registered</w:t>
            </w:r>
          </w:p>
        </w:tc>
        <w:tc>
          <w:tcPr>
            <w:tcW w:w="1680" w:type="dxa"/>
            <w:vAlign w:val="bottom"/>
            <w:tcBorders>
              <w:bottom w:val="single" w:sz="8" w:color="32406B"/>
              <w:right w:val="single" w:sz="8" w:color="32406B"/>
            </w:tcBorders>
            <w:gridSpan w:val="2"/>
          </w:tcPr>
          <w:p>
            <w:pPr>
              <w:jc w:val="right"/>
              <w:spacing w:after="0"/>
              <w:rPr>
                <w:sz w:val="20"/>
                <w:szCs w:val="20"/>
                <w:color w:val="auto"/>
              </w:rPr>
            </w:pPr>
            <w:r>
              <w:rPr>
                <w:rFonts w:ascii="Arial" w:cs="Arial" w:eastAsia="Arial" w:hAnsi="Arial"/>
                <w:sz w:val="14"/>
                <w:szCs w:val="14"/>
                <w:b w:val="1"/>
                <w:bCs w:val="1"/>
                <w:color w:val="32406B"/>
                <w:w w:val="95"/>
              </w:rPr>
              <w:t>Aggregate Offering Price</w:t>
            </w:r>
          </w:p>
        </w:tc>
        <w:tc>
          <w:tcPr>
            <w:tcW w:w="1460" w:type="dxa"/>
            <w:vAlign w:val="bottom"/>
            <w:tcBorders>
              <w:bottom w:val="single" w:sz="8" w:color="32406B"/>
            </w:tcBorders>
            <w:gridSpan w:val="2"/>
          </w:tcPr>
          <w:p>
            <w:pPr>
              <w:ind w:left="220"/>
              <w:spacing w:after="0"/>
              <w:rPr>
                <w:sz w:val="20"/>
                <w:szCs w:val="20"/>
                <w:color w:val="auto"/>
              </w:rPr>
            </w:pPr>
            <w:r>
              <w:rPr>
                <w:rFonts w:ascii="Arial" w:cs="Arial" w:eastAsia="Arial" w:hAnsi="Arial"/>
                <w:sz w:val="14"/>
                <w:szCs w:val="14"/>
                <w:b w:val="1"/>
                <w:bCs w:val="1"/>
                <w:color w:val="32406B"/>
                <w:w w:val="96"/>
              </w:rPr>
              <w:t>Registration Fee(1)</w:t>
            </w:r>
          </w:p>
        </w:tc>
      </w:tr>
      <w:tr>
        <w:trPr>
          <w:trHeight w:val="210"/>
        </w:trPr>
        <w:tc>
          <w:tcPr>
            <w:tcW w:w="20" w:type="dxa"/>
            <w:vAlign w:val="bottom"/>
            <w:tcBorders>
              <w:bottom w:val="single" w:sz="8" w:color="32406B"/>
            </w:tcBorders>
          </w:tcPr>
          <w:p>
            <w:pPr>
              <w:spacing w:after="0"/>
              <w:rPr>
                <w:sz w:val="18"/>
                <w:szCs w:val="18"/>
                <w:color w:val="auto"/>
              </w:rPr>
            </w:pPr>
          </w:p>
        </w:tc>
        <w:tc>
          <w:tcPr>
            <w:tcW w:w="8260" w:type="dxa"/>
            <w:vAlign w:val="bottom"/>
            <w:tcBorders>
              <w:bottom w:val="single" w:sz="8" w:color="32406B"/>
              <w:right w:val="single" w:sz="8" w:color="32406B"/>
            </w:tcBorders>
          </w:tcPr>
          <w:p>
            <w:pPr>
              <w:spacing w:after="0"/>
              <w:rPr>
                <w:sz w:val="20"/>
                <w:szCs w:val="20"/>
                <w:color w:val="auto"/>
              </w:rPr>
            </w:pPr>
            <w:r>
              <w:rPr>
                <w:rFonts w:ascii="Arial" w:cs="Arial" w:eastAsia="Arial" w:hAnsi="Arial"/>
                <w:sz w:val="18"/>
                <w:szCs w:val="18"/>
                <w:color w:val="32406B"/>
              </w:rPr>
              <w:t>Floating Rate Notes due 2013</w:t>
            </w:r>
          </w:p>
        </w:tc>
        <w:tc>
          <w:tcPr>
            <w:tcW w:w="420" w:type="dxa"/>
            <w:vAlign w:val="bottom"/>
            <w:tcBorders>
              <w:bottom w:val="single" w:sz="8" w:color="32406B"/>
            </w:tcBorders>
          </w:tcPr>
          <w:p>
            <w:pPr>
              <w:jc w:val="right"/>
              <w:spacing w:after="0"/>
              <w:rPr>
                <w:sz w:val="20"/>
                <w:szCs w:val="20"/>
                <w:color w:val="auto"/>
              </w:rPr>
            </w:pPr>
            <w:r>
              <w:rPr>
                <w:rFonts w:ascii="Arial" w:cs="Arial" w:eastAsia="Arial" w:hAnsi="Arial"/>
                <w:sz w:val="18"/>
                <w:szCs w:val="18"/>
                <w:color w:val="32406B"/>
              </w:rPr>
              <w:t>$</w:t>
            </w:r>
          </w:p>
        </w:tc>
        <w:tc>
          <w:tcPr>
            <w:tcW w:w="1260" w:type="dxa"/>
            <w:vAlign w:val="bottom"/>
            <w:tcBorders>
              <w:bottom w:val="single" w:sz="8" w:color="32406B"/>
              <w:right w:val="single" w:sz="8" w:color="32406B"/>
            </w:tcBorders>
          </w:tcPr>
          <w:p>
            <w:pPr>
              <w:jc w:val="right"/>
              <w:ind w:right="172"/>
              <w:spacing w:after="0"/>
              <w:rPr>
                <w:sz w:val="20"/>
                <w:szCs w:val="20"/>
                <w:color w:val="auto"/>
              </w:rPr>
            </w:pPr>
            <w:r>
              <w:rPr>
                <w:rFonts w:ascii="Arial" w:cs="Arial" w:eastAsia="Arial" w:hAnsi="Arial"/>
                <w:sz w:val="18"/>
                <w:szCs w:val="18"/>
                <w:color w:val="32406B"/>
                <w:w w:val="85"/>
              </w:rPr>
              <w:t>1,000,000,000</w:t>
            </w:r>
          </w:p>
        </w:tc>
        <w:tc>
          <w:tcPr>
            <w:tcW w:w="540" w:type="dxa"/>
            <w:vAlign w:val="bottom"/>
            <w:tcBorders>
              <w:bottom w:val="single" w:sz="8" w:color="32406B"/>
            </w:tcBorders>
          </w:tcPr>
          <w:p>
            <w:pPr>
              <w:ind w:left="460"/>
              <w:spacing w:after="0"/>
              <w:rPr>
                <w:sz w:val="20"/>
                <w:szCs w:val="20"/>
                <w:color w:val="auto"/>
              </w:rPr>
            </w:pPr>
            <w:r>
              <w:rPr>
                <w:rFonts w:ascii="Arial" w:cs="Arial" w:eastAsia="Arial" w:hAnsi="Arial"/>
                <w:sz w:val="15"/>
                <w:szCs w:val="15"/>
                <w:color w:val="32406B"/>
                <w:w w:val="71"/>
              </w:rPr>
              <w:t>$</w:t>
            </w:r>
          </w:p>
        </w:tc>
        <w:tc>
          <w:tcPr>
            <w:tcW w:w="920" w:type="dxa"/>
            <w:vAlign w:val="bottom"/>
            <w:tcBorders>
              <w:bottom w:val="single" w:sz="8" w:color="32406B"/>
            </w:tcBorders>
          </w:tcPr>
          <w:p>
            <w:pPr>
              <w:jc w:val="right"/>
              <w:ind w:right="272"/>
              <w:spacing w:after="0"/>
              <w:rPr>
                <w:sz w:val="20"/>
                <w:szCs w:val="20"/>
                <w:color w:val="auto"/>
              </w:rPr>
            </w:pPr>
            <w:r>
              <w:rPr>
                <w:rFonts w:ascii="Arial" w:cs="Arial" w:eastAsia="Arial" w:hAnsi="Arial"/>
                <w:sz w:val="18"/>
                <w:szCs w:val="18"/>
                <w:color w:val="32406B"/>
                <w:w w:val="82"/>
              </w:rPr>
              <w:t>116,100</w:t>
            </w:r>
          </w:p>
        </w:tc>
      </w:tr>
      <w:tr>
        <w:trPr>
          <w:trHeight w:val="210"/>
        </w:trPr>
        <w:tc>
          <w:tcPr>
            <w:tcW w:w="8280" w:type="dxa"/>
            <w:vAlign w:val="bottom"/>
            <w:tcBorders>
              <w:bottom w:val="single" w:sz="8" w:color="32406B"/>
              <w:right w:val="single" w:sz="8" w:color="32406B"/>
            </w:tcBorders>
            <w:gridSpan w:val="2"/>
          </w:tcPr>
          <w:p>
            <w:pPr>
              <w:spacing w:after="0"/>
              <w:rPr>
                <w:sz w:val="20"/>
                <w:szCs w:val="20"/>
                <w:color w:val="auto"/>
              </w:rPr>
            </w:pPr>
            <w:r>
              <w:rPr>
                <w:rFonts w:ascii="Arial" w:cs="Arial" w:eastAsia="Arial" w:hAnsi="Arial"/>
                <w:sz w:val="18"/>
                <w:szCs w:val="18"/>
                <w:color w:val="32406B"/>
              </w:rPr>
              <w:t>0.875% Notes due 2013</w:t>
            </w:r>
          </w:p>
        </w:tc>
        <w:tc>
          <w:tcPr>
            <w:tcW w:w="420" w:type="dxa"/>
            <w:vAlign w:val="bottom"/>
            <w:tcBorders>
              <w:bottom w:val="single" w:sz="8" w:color="32406B"/>
            </w:tcBorders>
          </w:tcPr>
          <w:p>
            <w:pPr>
              <w:jc w:val="right"/>
              <w:spacing w:after="0"/>
              <w:rPr>
                <w:sz w:val="20"/>
                <w:szCs w:val="20"/>
                <w:color w:val="auto"/>
              </w:rPr>
            </w:pPr>
            <w:r>
              <w:rPr>
                <w:rFonts w:ascii="Arial" w:cs="Arial" w:eastAsia="Arial" w:hAnsi="Arial"/>
                <w:sz w:val="18"/>
                <w:szCs w:val="18"/>
                <w:color w:val="32406B"/>
              </w:rPr>
              <w:t>$</w:t>
            </w:r>
          </w:p>
        </w:tc>
        <w:tc>
          <w:tcPr>
            <w:tcW w:w="1260" w:type="dxa"/>
            <w:vAlign w:val="bottom"/>
            <w:tcBorders>
              <w:bottom w:val="single" w:sz="8" w:color="32406B"/>
              <w:right w:val="single" w:sz="8" w:color="32406B"/>
            </w:tcBorders>
          </w:tcPr>
          <w:p>
            <w:pPr>
              <w:jc w:val="right"/>
              <w:ind w:right="172"/>
              <w:spacing w:after="0"/>
              <w:rPr>
                <w:sz w:val="20"/>
                <w:szCs w:val="20"/>
                <w:color w:val="auto"/>
              </w:rPr>
            </w:pPr>
            <w:r>
              <w:rPr>
                <w:rFonts w:ascii="Arial" w:cs="Arial" w:eastAsia="Arial" w:hAnsi="Arial"/>
                <w:sz w:val="18"/>
                <w:szCs w:val="18"/>
                <w:color w:val="32406B"/>
                <w:w w:val="97"/>
              </w:rPr>
              <w:t>500,000,000</w:t>
            </w:r>
          </w:p>
        </w:tc>
        <w:tc>
          <w:tcPr>
            <w:tcW w:w="540" w:type="dxa"/>
            <w:vAlign w:val="bottom"/>
            <w:tcBorders>
              <w:bottom w:val="single" w:sz="8" w:color="32406B"/>
            </w:tcBorders>
          </w:tcPr>
          <w:p>
            <w:pPr>
              <w:ind w:left="440"/>
              <w:spacing w:after="0"/>
              <w:rPr>
                <w:sz w:val="20"/>
                <w:szCs w:val="20"/>
                <w:color w:val="auto"/>
              </w:rPr>
            </w:pPr>
            <w:r>
              <w:rPr>
                <w:rFonts w:ascii="Arial" w:cs="Arial" w:eastAsia="Arial" w:hAnsi="Arial"/>
                <w:sz w:val="18"/>
                <w:szCs w:val="18"/>
                <w:color w:val="32406B"/>
                <w:w w:val="79"/>
              </w:rPr>
              <w:t>$</w:t>
            </w:r>
          </w:p>
        </w:tc>
        <w:tc>
          <w:tcPr>
            <w:tcW w:w="920" w:type="dxa"/>
            <w:vAlign w:val="bottom"/>
            <w:tcBorders>
              <w:bottom w:val="single" w:sz="8" w:color="32406B"/>
            </w:tcBorders>
          </w:tcPr>
          <w:p>
            <w:pPr>
              <w:jc w:val="right"/>
              <w:ind w:right="272"/>
              <w:spacing w:after="0"/>
              <w:rPr>
                <w:sz w:val="20"/>
                <w:szCs w:val="20"/>
                <w:color w:val="auto"/>
              </w:rPr>
            </w:pPr>
            <w:r>
              <w:rPr>
                <w:rFonts w:ascii="Arial" w:cs="Arial" w:eastAsia="Arial" w:hAnsi="Arial"/>
                <w:sz w:val="18"/>
                <w:szCs w:val="18"/>
                <w:color w:val="32406B"/>
                <w:w w:val="98"/>
              </w:rPr>
              <w:t>58,050</w:t>
            </w:r>
          </w:p>
        </w:tc>
      </w:tr>
      <w:tr>
        <w:trPr>
          <w:trHeight w:val="210"/>
        </w:trPr>
        <w:tc>
          <w:tcPr>
            <w:tcW w:w="8280" w:type="dxa"/>
            <w:vAlign w:val="bottom"/>
            <w:tcBorders>
              <w:bottom w:val="single" w:sz="8" w:color="32406B"/>
              <w:right w:val="single" w:sz="8" w:color="32406B"/>
            </w:tcBorders>
            <w:gridSpan w:val="2"/>
          </w:tcPr>
          <w:p>
            <w:pPr>
              <w:spacing w:after="0"/>
              <w:rPr>
                <w:sz w:val="20"/>
                <w:szCs w:val="20"/>
                <w:color w:val="auto"/>
              </w:rPr>
            </w:pPr>
            <w:r>
              <w:rPr>
                <w:rFonts w:ascii="Arial" w:cs="Arial" w:eastAsia="Arial" w:hAnsi="Arial"/>
                <w:sz w:val="18"/>
                <w:szCs w:val="18"/>
                <w:color w:val="32406B"/>
              </w:rPr>
              <w:t>1.375% Notes due 2014</w:t>
            </w:r>
          </w:p>
        </w:tc>
        <w:tc>
          <w:tcPr>
            <w:tcW w:w="420" w:type="dxa"/>
            <w:vAlign w:val="bottom"/>
            <w:tcBorders>
              <w:bottom w:val="single" w:sz="8" w:color="32406B"/>
            </w:tcBorders>
          </w:tcPr>
          <w:p>
            <w:pPr>
              <w:jc w:val="right"/>
              <w:spacing w:after="0"/>
              <w:rPr>
                <w:sz w:val="20"/>
                <w:szCs w:val="20"/>
                <w:color w:val="auto"/>
              </w:rPr>
            </w:pPr>
            <w:r>
              <w:rPr>
                <w:rFonts w:ascii="Arial" w:cs="Arial" w:eastAsia="Arial" w:hAnsi="Arial"/>
                <w:sz w:val="18"/>
                <w:szCs w:val="18"/>
                <w:color w:val="32406B"/>
              </w:rPr>
              <w:t>$</w:t>
            </w:r>
          </w:p>
        </w:tc>
        <w:tc>
          <w:tcPr>
            <w:tcW w:w="1260" w:type="dxa"/>
            <w:vAlign w:val="bottom"/>
            <w:tcBorders>
              <w:bottom w:val="single" w:sz="8" w:color="32406B"/>
              <w:right w:val="single" w:sz="8" w:color="32406B"/>
            </w:tcBorders>
          </w:tcPr>
          <w:p>
            <w:pPr>
              <w:jc w:val="right"/>
              <w:ind w:right="172"/>
              <w:spacing w:after="0"/>
              <w:rPr>
                <w:sz w:val="20"/>
                <w:szCs w:val="20"/>
                <w:color w:val="auto"/>
              </w:rPr>
            </w:pPr>
            <w:r>
              <w:rPr>
                <w:rFonts w:ascii="Arial" w:cs="Arial" w:eastAsia="Arial" w:hAnsi="Arial"/>
                <w:sz w:val="18"/>
                <w:szCs w:val="18"/>
                <w:color w:val="32406B"/>
                <w:w w:val="85"/>
              </w:rPr>
              <w:t>1,000,000,000</w:t>
            </w:r>
          </w:p>
        </w:tc>
        <w:tc>
          <w:tcPr>
            <w:tcW w:w="540" w:type="dxa"/>
            <w:vAlign w:val="bottom"/>
            <w:tcBorders>
              <w:bottom w:val="single" w:sz="8" w:color="32406B"/>
            </w:tcBorders>
          </w:tcPr>
          <w:p>
            <w:pPr>
              <w:ind w:left="460"/>
              <w:spacing w:after="0"/>
              <w:rPr>
                <w:sz w:val="20"/>
                <w:szCs w:val="20"/>
                <w:color w:val="auto"/>
              </w:rPr>
            </w:pPr>
            <w:r>
              <w:rPr>
                <w:rFonts w:ascii="Arial" w:cs="Arial" w:eastAsia="Arial" w:hAnsi="Arial"/>
                <w:sz w:val="15"/>
                <w:szCs w:val="15"/>
                <w:color w:val="32406B"/>
                <w:w w:val="71"/>
              </w:rPr>
              <w:t>$</w:t>
            </w:r>
          </w:p>
        </w:tc>
        <w:tc>
          <w:tcPr>
            <w:tcW w:w="920" w:type="dxa"/>
            <w:vAlign w:val="bottom"/>
            <w:tcBorders>
              <w:bottom w:val="single" w:sz="8" w:color="32406B"/>
            </w:tcBorders>
          </w:tcPr>
          <w:p>
            <w:pPr>
              <w:jc w:val="right"/>
              <w:ind w:right="272"/>
              <w:spacing w:after="0"/>
              <w:rPr>
                <w:sz w:val="20"/>
                <w:szCs w:val="20"/>
                <w:color w:val="auto"/>
              </w:rPr>
            </w:pPr>
            <w:r>
              <w:rPr>
                <w:rFonts w:ascii="Arial" w:cs="Arial" w:eastAsia="Arial" w:hAnsi="Arial"/>
                <w:sz w:val="18"/>
                <w:szCs w:val="18"/>
                <w:color w:val="32406B"/>
                <w:w w:val="82"/>
              </w:rPr>
              <w:t>116,100</w:t>
            </w:r>
          </w:p>
        </w:tc>
      </w:tr>
      <w:tr>
        <w:trPr>
          <w:trHeight w:val="210"/>
        </w:trPr>
        <w:tc>
          <w:tcPr>
            <w:tcW w:w="8280" w:type="dxa"/>
            <w:vAlign w:val="bottom"/>
            <w:tcBorders>
              <w:right w:val="single" w:sz="8" w:color="32406B"/>
            </w:tcBorders>
            <w:gridSpan w:val="2"/>
          </w:tcPr>
          <w:p>
            <w:pPr>
              <w:spacing w:after="0"/>
              <w:rPr>
                <w:sz w:val="20"/>
                <w:szCs w:val="20"/>
                <w:color w:val="auto"/>
              </w:rPr>
            </w:pPr>
            <w:r>
              <w:rPr>
                <w:rFonts w:ascii="Arial" w:cs="Arial" w:eastAsia="Arial" w:hAnsi="Arial"/>
                <w:sz w:val="18"/>
                <w:szCs w:val="18"/>
                <w:color w:val="32406B"/>
              </w:rPr>
              <w:t>2.375% Notes due 2016</w:t>
            </w:r>
          </w:p>
        </w:tc>
        <w:tc>
          <w:tcPr>
            <w:tcW w:w="420" w:type="dxa"/>
            <w:vAlign w:val="bottom"/>
          </w:tcPr>
          <w:p>
            <w:pPr>
              <w:jc w:val="right"/>
              <w:spacing w:after="0"/>
              <w:rPr>
                <w:sz w:val="20"/>
                <w:szCs w:val="20"/>
                <w:color w:val="auto"/>
              </w:rPr>
            </w:pPr>
            <w:r>
              <w:rPr>
                <w:rFonts w:ascii="Arial" w:cs="Arial" w:eastAsia="Arial" w:hAnsi="Arial"/>
                <w:sz w:val="18"/>
                <w:szCs w:val="18"/>
                <w:color w:val="32406B"/>
              </w:rPr>
              <w:t>$</w:t>
            </w:r>
          </w:p>
        </w:tc>
        <w:tc>
          <w:tcPr>
            <w:tcW w:w="1260" w:type="dxa"/>
            <w:vAlign w:val="bottom"/>
            <w:tcBorders>
              <w:right w:val="single" w:sz="8" w:color="32406B"/>
            </w:tcBorders>
          </w:tcPr>
          <w:p>
            <w:pPr>
              <w:jc w:val="right"/>
              <w:ind w:right="172"/>
              <w:spacing w:after="0"/>
              <w:rPr>
                <w:sz w:val="20"/>
                <w:szCs w:val="20"/>
                <w:color w:val="auto"/>
              </w:rPr>
            </w:pPr>
            <w:r>
              <w:rPr>
                <w:rFonts w:ascii="Arial" w:cs="Arial" w:eastAsia="Arial" w:hAnsi="Arial"/>
                <w:sz w:val="18"/>
                <w:szCs w:val="18"/>
                <w:color w:val="32406B"/>
                <w:w w:val="85"/>
              </w:rPr>
              <w:t>1,000,000,000</w:t>
            </w:r>
          </w:p>
        </w:tc>
        <w:tc>
          <w:tcPr>
            <w:tcW w:w="540" w:type="dxa"/>
            <w:vAlign w:val="bottom"/>
          </w:tcPr>
          <w:p>
            <w:pPr>
              <w:ind w:left="460"/>
              <w:spacing w:after="0"/>
              <w:rPr>
                <w:sz w:val="20"/>
                <w:szCs w:val="20"/>
                <w:color w:val="auto"/>
              </w:rPr>
            </w:pPr>
            <w:r>
              <w:rPr>
                <w:rFonts w:ascii="Arial" w:cs="Arial" w:eastAsia="Arial" w:hAnsi="Arial"/>
                <w:sz w:val="15"/>
                <w:szCs w:val="15"/>
                <w:color w:val="32406B"/>
                <w:w w:val="71"/>
              </w:rPr>
              <w:t>$</w:t>
            </w:r>
          </w:p>
        </w:tc>
        <w:tc>
          <w:tcPr>
            <w:tcW w:w="920" w:type="dxa"/>
            <w:vAlign w:val="bottom"/>
          </w:tcPr>
          <w:p>
            <w:pPr>
              <w:jc w:val="right"/>
              <w:ind w:right="272"/>
              <w:spacing w:after="0"/>
              <w:rPr>
                <w:sz w:val="20"/>
                <w:szCs w:val="20"/>
                <w:color w:val="auto"/>
              </w:rPr>
            </w:pPr>
            <w:r>
              <w:rPr>
                <w:rFonts w:ascii="Arial" w:cs="Arial" w:eastAsia="Arial" w:hAnsi="Arial"/>
                <w:sz w:val="18"/>
                <w:szCs w:val="18"/>
                <w:color w:val="32406B"/>
                <w:w w:val="82"/>
              </w:rPr>
              <w:t>116,100</w:t>
            </w:r>
          </w:p>
        </w:tc>
      </w:tr>
      <w:tr>
        <w:trPr>
          <w:trHeight w:val="210"/>
        </w:trPr>
        <w:tc>
          <w:tcPr>
            <w:tcW w:w="20" w:type="dxa"/>
            <w:vAlign w:val="bottom"/>
          </w:tcPr>
          <w:p>
            <w:pPr>
              <w:spacing w:after="0"/>
              <w:rPr>
                <w:sz w:val="18"/>
                <w:szCs w:val="18"/>
                <w:color w:val="auto"/>
              </w:rPr>
            </w:pPr>
          </w:p>
        </w:tc>
        <w:tc>
          <w:tcPr>
            <w:tcW w:w="8260" w:type="dxa"/>
            <w:vAlign w:val="bottom"/>
            <w:tcBorders>
              <w:top w:val="single" w:sz="8" w:color="32406B"/>
              <w:bottom w:val="single" w:sz="8" w:color="32406B"/>
              <w:right w:val="single" w:sz="8" w:color="32406B"/>
            </w:tcBorders>
          </w:tcPr>
          <w:p>
            <w:pPr>
              <w:ind w:left="420"/>
              <w:spacing w:after="0"/>
              <w:rPr>
                <w:sz w:val="20"/>
                <w:szCs w:val="20"/>
                <w:color w:val="auto"/>
              </w:rPr>
            </w:pPr>
            <w:r>
              <w:rPr>
                <w:rFonts w:ascii="Arial" w:cs="Arial" w:eastAsia="Arial" w:hAnsi="Arial"/>
                <w:sz w:val="18"/>
                <w:szCs w:val="18"/>
                <w:color w:val="32406B"/>
              </w:rPr>
              <w:t>Total</w:t>
            </w:r>
          </w:p>
        </w:tc>
        <w:tc>
          <w:tcPr>
            <w:tcW w:w="420" w:type="dxa"/>
            <w:vAlign w:val="bottom"/>
            <w:tcBorders>
              <w:top w:val="single" w:sz="8" w:color="32406B"/>
              <w:bottom w:val="single" w:sz="8" w:color="32406B"/>
            </w:tcBorders>
          </w:tcPr>
          <w:p>
            <w:pPr>
              <w:jc w:val="right"/>
              <w:spacing w:after="0"/>
              <w:rPr>
                <w:sz w:val="20"/>
                <w:szCs w:val="20"/>
                <w:color w:val="auto"/>
              </w:rPr>
            </w:pPr>
            <w:r>
              <w:rPr>
                <w:rFonts w:ascii="Arial" w:cs="Arial" w:eastAsia="Arial" w:hAnsi="Arial"/>
                <w:sz w:val="18"/>
                <w:szCs w:val="18"/>
                <w:color w:val="32406B"/>
              </w:rPr>
              <w:t>$</w:t>
            </w:r>
          </w:p>
        </w:tc>
        <w:tc>
          <w:tcPr>
            <w:tcW w:w="1260" w:type="dxa"/>
            <w:vAlign w:val="bottom"/>
            <w:tcBorders>
              <w:top w:val="single" w:sz="8" w:color="32406B"/>
              <w:bottom w:val="single" w:sz="8" w:color="32406B"/>
              <w:right w:val="single" w:sz="8" w:color="32406B"/>
            </w:tcBorders>
          </w:tcPr>
          <w:p>
            <w:pPr>
              <w:jc w:val="right"/>
              <w:ind w:right="172"/>
              <w:spacing w:after="0"/>
              <w:rPr>
                <w:sz w:val="20"/>
                <w:szCs w:val="20"/>
                <w:color w:val="auto"/>
              </w:rPr>
            </w:pPr>
            <w:r>
              <w:rPr>
                <w:rFonts w:ascii="Arial" w:cs="Arial" w:eastAsia="Arial" w:hAnsi="Arial"/>
                <w:sz w:val="18"/>
                <w:szCs w:val="18"/>
                <w:color w:val="32406B"/>
                <w:w w:val="85"/>
              </w:rPr>
              <w:t>3,500,000,000</w:t>
            </w:r>
          </w:p>
        </w:tc>
        <w:tc>
          <w:tcPr>
            <w:tcW w:w="1460" w:type="dxa"/>
            <w:vAlign w:val="bottom"/>
            <w:tcBorders>
              <w:top w:val="single" w:sz="8" w:color="32406B"/>
              <w:bottom w:val="single" w:sz="8" w:color="32406B"/>
            </w:tcBorders>
            <w:gridSpan w:val="2"/>
          </w:tcPr>
          <w:p>
            <w:pPr>
              <w:jc w:val="right"/>
              <w:ind w:right="272"/>
              <w:spacing w:after="0"/>
              <w:rPr>
                <w:sz w:val="20"/>
                <w:szCs w:val="20"/>
                <w:color w:val="auto"/>
              </w:rPr>
            </w:pPr>
            <w:r>
              <w:rPr>
                <w:rFonts w:ascii="Arial" w:cs="Arial" w:eastAsia="Arial" w:hAnsi="Arial"/>
                <w:sz w:val="18"/>
                <w:szCs w:val="18"/>
                <w:color w:val="32406B"/>
              </w:rPr>
              <w:t>$406,350</w:t>
            </w:r>
          </w:p>
        </w:tc>
      </w:tr>
      <w:tr>
        <w:trPr>
          <w:trHeight w:val="20"/>
        </w:trPr>
        <w:tc>
          <w:tcPr>
            <w:tcW w:w="20" w:type="dxa"/>
            <w:vAlign w:val="bottom"/>
          </w:tcPr>
          <w:p>
            <w:pPr>
              <w:spacing w:after="0" w:line="20" w:lineRule="exact"/>
              <w:rPr>
                <w:sz w:val="1"/>
                <w:szCs w:val="1"/>
                <w:color w:val="auto"/>
              </w:rPr>
            </w:pPr>
          </w:p>
        </w:tc>
        <w:tc>
          <w:tcPr>
            <w:tcW w:w="8260" w:type="dxa"/>
            <w:vAlign w:val="bottom"/>
            <w:tcBorders>
              <w:bottom w:val="single" w:sz="8" w:color="32406B"/>
            </w:tcBorders>
          </w:tcPr>
          <w:p>
            <w:pPr>
              <w:spacing w:after="0" w:line="20" w:lineRule="exact"/>
              <w:rPr>
                <w:sz w:val="1"/>
                <w:szCs w:val="1"/>
                <w:color w:val="auto"/>
              </w:rPr>
            </w:pPr>
          </w:p>
        </w:tc>
        <w:tc>
          <w:tcPr>
            <w:tcW w:w="420" w:type="dxa"/>
            <w:vAlign w:val="bottom"/>
            <w:tcBorders>
              <w:bottom w:val="single" w:sz="8" w:color="32406B"/>
            </w:tcBorders>
          </w:tcPr>
          <w:p>
            <w:pPr>
              <w:spacing w:after="0" w:line="20" w:lineRule="exact"/>
              <w:rPr>
                <w:sz w:val="1"/>
                <w:szCs w:val="1"/>
                <w:color w:val="auto"/>
              </w:rPr>
            </w:pPr>
          </w:p>
        </w:tc>
        <w:tc>
          <w:tcPr>
            <w:tcW w:w="1260" w:type="dxa"/>
            <w:vAlign w:val="bottom"/>
            <w:tcBorders>
              <w:bottom w:val="single" w:sz="8" w:color="32406B"/>
            </w:tcBorders>
          </w:tcPr>
          <w:p>
            <w:pPr>
              <w:spacing w:after="0" w:line="20" w:lineRule="exact"/>
              <w:rPr>
                <w:sz w:val="1"/>
                <w:szCs w:val="1"/>
                <w:color w:val="auto"/>
              </w:rPr>
            </w:pPr>
          </w:p>
        </w:tc>
        <w:tc>
          <w:tcPr>
            <w:tcW w:w="540" w:type="dxa"/>
            <w:vAlign w:val="bottom"/>
            <w:tcBorders>
              <w:bottom w:val="single" w:sz="8" w:color="32406B"/>
            </w:tcBorders>
          </w:tcPr>
          <w:p>
            <w:pPr>
              <w:spacing w:after="0" w:line="20" w:lineRule="exact"/>
              <w:rPr>
                <w:sz w:val="1"/>
                <w:szCs w:val="1"/>
                <w:color w:val="auto"/>
              </w:rPr>
            </w:pPr>
          </w:p>
        </w:tc>
        <w:tc>
          <w:tcPr>
            <w:tcW w:w="920" w:type="dxa"/>
            <w:vAlign w:val="bottom"/>
            <w:tcBorders>
              <w:bottom w:val="single" w:sz="8" w:color="32406B"/>
            </w:tcBorders>
          </w:tcPr>
          <w:p>
            <w:pPr>
              <w:spacing w:after="0" w:line="20" w:lineRule="exact"/>
              <w:rPr>
                <w:sz w:val="1"/>
                <w:szCs w:val="1"/>
                <w:color w:val="auto"/>
              </w:rPr>
            </w:pPr>
          </w:p>
        </w:tc>
      </w:tr>
    </w:tbl>
    <w:p>
      <w:pPr>
        <w:spacing w:after="0" w:line="73" w:lineRule="exact"/>
        <w:rPr>
          <w:sz w:val="24"/>
          <w:szCs w:val="24"/>
          <w:color w:val="auto"/>
        </w:rPr>
      </w:pPr>
    </w:p>
    <w:p>
      <w:pPr>
        <w:ind w:left="20"/>
        <w:spacing w:after="0"/>
        <w:rPr>
          <w:sz w:val="20"/>
          <w:szCs w:val="20"/>
          <w:color w:val="auto"/>
        </w:rPr>
      </w:pPr>
      <w:r>
        <w:rPr>
          <w:rFonts w:ascii="Arial" w:cs="Arial" w:eastAsia="Arial" w:hAnsi="Arial"/>
          <w:sz w:val="18"/>
          <w:szCs w:val="18"/>
          <w:color w:val="32406B"/>
        </w:rPr>
        <w:t>(1) Calculated in accordance with Rule 457(r) of the Securities Act of 1933.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32406B"/>
        </w:rPr>
        <w:t>Prospectus Supplement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32406B"/>
        </w:rPr>
        <w:t>(To Prospectus dated February 24, 2010)</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32"/>
          <w:szCs w:val="32"/>
          <w:i w:val="1"/>
          <w:iCs w:val="1"/>
          <w:color w:val="32406B"/>
        </w:rPr>
        <w:t>$3,500,000,000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61595</wp:posOffset>
            </wp:positionV>
            <wp:extent cx="266700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32406B"/>
              </w:rPr>
              <w:t>$1,000,000,000 Floating Rate Notes due 2013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32406B"/>
              </w:rPr>
              <w:t>$1,000,000,000</w:t>
            </w:r>
          </w:p>
        </w:tc>
        <w:tc>
          <w:tcPr>
            <w:tcW w:w="1720" w:type="dxa"/>
            <w:vAlign w:val="bottom"/>
          </w:tcPr>
          <w:p>
            <w:pPr>
              <w:ind w:left="40"/>
              <w:spacing w:after="0"/>
              <w:rPr>
                <w:sz w:val="20"/>
                <w:szCs w:val="20"/>
                <w:color w:val="auto"/>
              </w:rPr>
            </w:pPr>
            <w:r>
              <w:rPr>
                <w:rFonts w:ascii="Arial" w:cs="Arial" w:eastAsia="Arial" w:hAnsi="Arial"/>
                <w:sz w:val="18"/>
                <w:szCs w:val="18"/>
                <w:i w:val="1"/>
                <w:iCs w:val="1"/>
                <w:color w:val="32406B"/>
                <w:w w:val="85"/>
              </w:rPr>
              <w:t>1.375% Notes due 2014</w:t>
            </w:r>
          </w:p>
        </w:tc>
      </w:tr>
      <w:tr>
        <w:trPr>
          <w:trHeight w:val="222"/>
        </w:trPr>
        <w:tc>
          <w:tcPr>
            <w:tcW w:w="5900" w:type="dxa"/>
            <w:vAlign w:val="bottom"/>
          </w:tcPr>
          <w:p>
            <w:pPr>
              <w:spacing w:after="0"/>
              <w:rPr>
                <w:sz w:val="20"/>
                <w:szCs w:val="20"/>
                <w:color w:val="auto"/>
              </w:rPr>
            </w:pPr>
            <w:r>
              <w:rPr>
                <w:rFonts w:ascii="Arial" w:cs="Arial" w:eastAsia="Arial" w:hAnsi="Arial"/>
                <w:sz w:val="18"/>
                <w:szCs w:val="18"/>
                <w:i w:val="1"/>
                <w:iCs w:val="1"/>
                <w:color w:val="32406B"/>
              </w:rPr>
              <w:t>$500,000,000 0.875% Notes due 2013</w:t>
            </w:r>
          </w:p>
        </w:tc>
        <w:tc>
          <w:tcPr>
            <w:tcW w:w="3800" w:type="dxa"/>
            <w:vAlign w:val="bottom"/>
          </w:tcPr>
          <w:p>
            <w:pPr>
              <w:jc w:val="right"/>
              <w:spacing w:after="0"/>
              <w:rPr>
                <w:sz w:val="20"/>
                <w:szCs w:val="20"/>
                <w:color w:val="auto"/>
              </w:rPr>
            </w:pPr>
            <w:r>
              <w:rPr>
                <w:rFonts w:ascii="Arial" w:cs="Arial" w:eastAsia="Arial" w:hAnsi="Arial"/>
                <w:sz w:val="18"/>
                <w:szCs w:val="18"/>
                <w:i w:val="1"/>
                <w:iCs w:val="1"/>
                <w:color w:val="32406B"/>
              </w:rPr>
              <w:t>$1,000,000,000</w:t>
            </w:r>
          </w:p>
        </w:tc>
        <w:tc>
          <w:tcPr>
            <w:tcW w:w="1720" w:type="dxa"/>
            <w:vAlign w:val="bottom"/>
          </w:tcPr>
          <w:p>
            <w:pPr>
              <w:ind w:left="40"/>
              <w:spacing w:after="0"/>
              <w:rPr>
                <w:sz w:val="20"/>
                <w:szCs w:val="20"/>
                <w:color w:val="auto"/>
              </w:rPr>
            </w:pPr>
            <w:r>
              <w:rPr>
                <w:rFonts w:ascii="Arial" w:cs="Arial" w:eastAsia="Arial" w:hAnsi="Arial"/>
                <w:sz w:val="18"/>
                <w:szCs w:val="18"/>
                <w:i w:val="1"/>
                <w:iCs w:val="1"/>
                <w:color w:val="32406B"/>
                <w:w w:val="85"/>
              </w:rPr>
              <w:t>2.375% Notes due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8" w:lineRule="exact"/>
        <w:rPr>
          <w:sz w:val="20"/>
          <w:szCs w:val="20"/>
          <w:color w:val="auto"/>
        </w:rPr>
      </w:pPr>
    </w:p>
    <w:p>
      <w:pPr>
        <w:ind w:right="180"/>
        <w:spacing w:after="0" w:line="278" w:lineRule="auto"/>
        <w:rPr>
          <w:sz w:val="20"/>
          <w:szCs w:val="20"/>
          <w:color w:val="auto"/>
        </w:rPr>
      </w:pPr>
      <w:r>
        <w:rPr>
          <w:rFonts w:ascii="Arial" w:cs="Arial" w:eastAsia="Arial" w:hAnsi="Arial"/>
          <w:sz w:val="12"/>
          <w:szCs w:val="12"/>
          <w:b w:val="1"/>
          <w:bCs w:val="1"/>
          <w:i w:val="1"/>
          <w:iCs w:val="1"/>
          <w:color w:val="32406B"/>
        </w:rPr>
        <w:t>Texas Instruments Incorporated is offering the aggregate principal amount of each series of notes (collectively, the “Notes”), which will bear interest at the rate per year, in each case as set forth above. Interest on the Floating Rate Notes due 2013 (the “2013 Floating Rate Notes”) will be payable quarterly in arrears on February 15, May 15, August 15 and November 15, beginning August 15, 2011, and determined as set forth under “Description of the Notes—Interest on Floating Rate Notes.” We refer to Notes other than the 2013 Floating Rate Notes as “Fixed Rate Notes.” Interest on the Fixed Rate Notes will be payable semi-annually in arrears on May 15 and November 15 of each year, beginning November 15, 2011.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32406B"/>
        </w:rPr>
        <w:t>The 2013 Floating Rate Notes and the 2013 Notes will mature on May 15, 2013, the 2014 Notes will mature on May 15, 2014 and the 2016 Notes will mature on May 16, 2016.</w:t>
      </w:r>
    </w:p>
    <w:p>
      <w:pPr>
        <w:spacing w:after="0" w:line="55"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b w:val="1"/>
          <w:bCs w:val="1"/>
          <w:i w:val="1"/>
          <w:iCs w:val="1"/>
          <w:color w:val="32406B"/>
        </w:rPr>
        <w:t>We may redeem some or all of the Fixed Rate Notes at any time, each at the “make-whole premium” price indicated under the heading “Description of the Notes—Optional Redemption” in this prospectus supplement.</w:t>
      </w:r>
    </w:p>
    <w:p>
      <w:pPr>
        <w:spacing w:after="0" w:line="44" w:lineRule="exact"/>
        <w:rPr>
          <w:sz w:val="20"/>
          <w:szCs w:val="20"/>
          <w:color w:val="auto"/>
        </w:rPr>
      </w:pPr>
    </w:p>
    <w:p>
      <w:pPr>
        <w:ind w:right="80"/>
        <w:spacing w:after="0" w:line="222" w:lineRule="auto"/>
        <w:rPr>
          <w:sz w:val="20"/>
          <w:szCs w:val="20"/>
          <w:color w:val="auto"/>
        </w:rPr>
      </w:pPr>
      <w:r>
        <w:rPr>
          <w:rFonts w:ascii="Arial" w:cs="Arial" w:eastAsia="Arial" w:hAnsi="Arial"/>
          <w:sz w:val="13"/>
          <w:szCs w:val="13"/>
          <w:b w:val="1"/>
          <w:bCs w:val="1"/>
          <w:i w:val="1"/>
          <w:iCs w:val="1"/>
          <w:color w:val="32406B"/>
        </w:rPr>
        <w:t>On April 4, 2011, we and National Semiconductor Corporation (“National”) signed a definitive agreement (the “Merger Agreement”) under which we will acquire National for $25 per share in an all-cash transaction of about $6.5 billion. If the National merger has not closed by April 30, 2012, or such earlier date as the Merger Agreement is terminated, we will redeem all of the Fixed Rate Notes on the Special Mandatory Redemption Date (as defined below) at a redemption price equal to 101% of the aggregate principal amount of the Fixed Rate Notes, plus accrued and unpaid interest from the date of the initial issuance (or the most recent interest payment date on which interest was paid) to but excluding the Special Mandatory Redemption Date. The “Special Mandatory Redemption Date” means the 15</w:t>
      </w:r>
      <w:r>
        <w:rPr>
          <w:rFonts w:ascii="Arial" w:cs="Arial" w:eastAsia="Arial" w:hAnsi="Arial"/>
          <w:sz w:val="21"/>
          <w:szCs w:val="21"/>
          <w:b w:val="1"/>
          <w:bCs w:val="1"/>
          <w:i w:val="1"/>
          <w:iCs w:val="1"/>
          <w:color w:val="32406B"/>
          <w:vertAlign w:val="superscript"/>
        </w:rPr>
        <w:t>th</w:t>
      </w:r>
      <w:r>
        <w:rPr>
          <w:rFonts w:ascii="Arial" w:cs="Arial" w:eastAsia="Arial" w:hAnsi="Arial"/>
          <w:sz w:val="13"/>
          <w:szCs w:val="13"/>
          <w:b w:val="1"/>
          <w:bCs w:val="1"/>
          <w:i w:val="1"/>
          <w:iCs w:val="1"/>
          <w:color w:val="32406B"/>
        </w:rPr>
        <w:t xml:space="preserve"> business day following the earlier to occur of (a) April 30, 2012, and (b) the date the Merger Agreement is terminated. The proceeds from this offering will not be deposited into an escrow account pending any special redemption of the Fixed Rate Notes.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32406B"/>
        </w:rPr>
        <w:t>The Notes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50165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32406B"/>
        </w:rPr>
        <w:t>Investing in the Notes involves risks. See “Risk Factors” beginning on page S-8 for a discussion of certain risks that should be considered in connection with an investment in the Notes.</w:t>
      </w:r>
    </w:p>
    <w:p>
      <w:pPr>
        <w:spacing w:after="0" w:line="37"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b w:val="1"/>
          <w:bCs w:val="1"/>
          <w:i w:val="1"/>
          <w:iCs w:val="1"/>
          <w:color w:val="32406B"/>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-14605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3"/>
          </w:tcPr>
          <w:p>
            <w:pPr>
              <w:ind w:left="440"/>
              <w:spacing w:after="0"/>
              <w:rPr>
                <w:sz w:val="20"/>
                <w:szCs w:val="20"/>
                <w:color w:val="auto"/>
              </w:rPr>
            </w:pPr>
            <w:r>
              <w:rPr>
                <w:rFonts w:ascii="Arial" w:cs="Arial" w:eastAsia="Arial" w:hAnsi="Arial"/>
                <w:sz w:val="14"/>
                <w:szCs w:val="14"/>
                <w:b w:val="1"/>
                <w:bCs w:val="1"/>
                <w:i w:val="1"/>
                <w:iCs w:val="1"/>
                <w:color w:val="32406B"/>
              </w:rPr>
              <w:t>Underwriting</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i w:val="1"/>
                <w:iCs w:val="1"/>
                <w:color w:val="32406B"/>
                <w:w w:val="78"/>
              </w:rPr>
              <w:t>discounts</w:t>
            </w:r>
          </w:p>
        </w:tc>
        <w:tc>
          <w:tcPr>
            <w:tcW w:w="1480" w:type="dxa"/>
            <w:vAlign w:val="bottom"/>
            <w:gridSpan w:val="4"/>
          </w:tcPr>
          <w:p>
            <w:pPr>
              <w:ind w:left="640"/>
              <w:spacing w:after="0" w:line="149" w:lineRule="exact"/>
              <w:rPr>
                <w:sz w:val="20"/>
                <w:szCs w:val="20"/>
                <w:color w:val="auto"/>
              </w:rPr>
            </w:pPr>
            <w:r>
              <w:rPr>
                <w:rFonts w:ascii="Arial" w:cs="Arial" w:eastAsia="Arial" w:hAnsi="Arial"/>
                <w:sz w:val="14"/>
                <w:szCs w:val="14"/>
                <w:b w:val="1"/>
                <w:bCs w:val="1"/>
                <w:i w:val="1"/>
                <w:iCs w:val="1"/>
                <w:color w:val="32406B"/>
                <w:w w:val="78"/>
              </w:rPr>
              <w:t>Proceeds to us,</w:t>
            </w:r>
          </w:p>
        </w:tc>
      </w:tr>
      <w:tr>
        <w:trPr>
          <w:trHeight w:val="149"/>
        </w:trPr>
        <w:tc>
          <w:tcPr>
            <w:tcW w:w="4320" w:type="dxa"/>
            <w:vAlign w:val="bottom"/>
          </w:tcPr>
          <w:p>
            <w:pPr>
              <w:spacing w:after="0"/>
              <w:rPr>
                <w:sz w:val="12"/>
                <w:szCs w:val="12"/>
                <w:color w:val="auto"/>
              </w:rPr>
            </w:pPr>
          </w:p>
        </w:tc>
        <w:tc>
          <w:tcPr>
            <w:tcW w:w="4040" w:type="dxa"/>
            <w:vAlign w:val="bottom"/>
            <w:gridSpan w:val="3"/>
          </w:tcPr>
          <w:p>
            <w:pPr>
              <w:ind w:left="2820"/>
              <w:spacing w:after="0" w:line="149" w:lineRule="exact"/>
              <w:rPr>
                <w:sz w:val="20"/>
                <w:szCs w:val="20"/>
                <w:color w:val="auto"/>
              </w:rPr>
            </w:pPr>
            <w:r>
              <w:rPr>
                <w:rFonts w:ascii="Arial" w:cs="Arial" w:eastAsia="Arial" w:hAnsi="Arial"/>
                <w:sz w:val="14"/>
                <w:szCs w:val="14"/>
                <w:b w:val="1"/>
                <w:bCs w:val="1"/>
                <w:i w:val="1"/>
                <w:iCs w:val="1"/>
                <w:color w:val="32406B"/>
              </w:rPr>
              <w:t>Public offering</w:t>
            </w:r>
          </w:p>
        </w:tc>
        <w:tc>
          <w:tcPr>
            <w:tcW w:w="4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i w:val="1"/>
                <w:iCs w:val="1"/>
                <w:color w:val="32406B"/>
                <w:w w:val="80"/>
              </w:rPr>
              <w:t>and</w:t>
            </w:r>
          </w:p>
        </w:tc>
        <w:tc>
          <w:tcPr>
            <w:tcW w:w="64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i w:val="1"/>
                <w:iCs w:val="1"/>
                <w:color w:val="32406B"/>
              </w:rPr>
              <w:t>before</w:t>
            </w:r>
          </w:p>
        </w:tc>
      </w:tr>
      <w:tr>
        <w:trPr>
          <w:trHeight w:val="159"/>
        </w:trPr>
        <w:tc>
          <w:tcPr>
            <w:tcW w:w="43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32406B"/>
                <w:w w:val="86"/>
              </w:rPr>
              <w:t>price(1)</w:t>
            </w:r>
          </w:p>
        </w:tc>
        <w:tc>
          <w:tcPr>
            <w:tcW w:w="780" w:type="dxa"/>
            <w:vAlign w:val="bottom"/>
          </w:tcPr>
          <w:p>
            <w:pPr>
              <w:spacing w:after="0"/>
              <w:rPr>
                <w:sz w:val="13"/>
                <w:szCs w:val="13"/>
                <w:color w:val="auto"/>
              </w:rPr>
            </w:pPr>
          </w:p>
        </w:tc>
        <w:tc>
          <w:tcPr>
            <w:tcW w:w="1600" w:type="dxa"/>
            <w:vAlign w:val="bottom"/>
            <w:gridSpan w:val="3"/>
          </w:tcPr>
          <w:p>
            <w:pPr>
              <w:jc w:val="center"/>
              <w:ind w:right="20"/>
              <w:spacing w:after="0" w:line="159" w:lineRule="exact"/>
              <w:rPr>
                <w:sz w:val="20"/>
                <w:szCs w:val="20"/>
                <w:color w:val="auto"/>
              </w:rPr>
            </w:pPr>
            <w:r>
              <w:rPr>
                <w:rFonts w:ascii="Arial" w:cs="Arial" w:eastAsia="Arial" w:hAnsi="Arial"/>
                <w:sz w:val="14"/>
                <w:szCs w:val="14"/>
                <w:b w:val="1"/>
                <w:bCs w:val="1"/>
                <w:i w:val="1"/>
                <w:iCs w:val="1"/>
                <w:color w:val="32406B"/>
                <w:w w:val="78"/>
              </w:rPr>
              <w:t>commissions</w:t>
            </w:r>
          </w:p>
        </w:tc>
        <w:tc>
          <w:tcPr>
            <w:tcW w:w="1480" w:type="dxa"/>
            <w:vAlign w:val="bottom"/>
            <w:gridSpan w:val="4"/>
          </w:tcPr>
          <w:p>
            <w:pPr>
              <w:ind w:left="640"/>
              <w:spacing w:after="0" w:line="159" w:lineRule="exact"/>
              <w:rPr>
                <w:sz w:val="20"/>
                <w:szCs w:val="20"/>
                <w:color w:val="auto"/>
              </w:rPr>
            </w:pPr>
            <w:r>
              <w:rPr>
                <w:rFonts w:ascii="Arial" w:cs="Arial" w:eastAsia="Arial" w:hAnsi="Arial"/>
                <w:sz w:val="14"/>
                <w:szCs w:val="14"/>
                <w:b w:val="1"/>
                <w:bCs w:val="1"/>
                <w:i w:val="1"/>
                <w:iCs w:val="1"/>
                <w:color w:val="32406B"/>
              </w:rPr>
              <w:t>expenses</w:t>
            </w:r>
          </w:p>
        </w:tc>
      </w:tr>
      <w:tr>
        <w:trPr>
          <w:trHeight w:val="20"/>
        </w:trPr>
        <w:tc>
          <w:tcPr>
            <w:tcW w:w="4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32406B"/>
              </w:rPr>
              <w:t>2013 Floating Rate Notes</w:t>
            </w:r>
          </w:p>
        </w:tc>
        <w:tc>
          <w:tcPr>
            <w:tcW w:w="28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32406B"/>
                <w:w w:val="86"/>
              </w:rPr>
              <w:t>100%</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32406B"/>
                <w:w w:val="86"/>
              </w:rPr>
              <w:t>0.15%</w:t>
            </w:r>
          </w:p>
        </w:tc>
        <w:tc>
          <w:tcPr>
            <w:tcW w:w="4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36"/>
              <w:spacing w:after="0"/>
              <w:rPr>
                <w:sz w:val="20"/>
                <w:szCs w:val="20"/>
                <w:color w:val="auto"/>
              </w:rPr>
            </w:pPr>
            <w:r>
              <w:rPr>
                <w:rFonts w:ascii="Arial" w:cs="Arial" w:eastAsia="Arial" w:hAnsi="Arial"/>
                <w:sz w:val="18"/>
                <w:szCs w:val="18"/>
                <w:i w:val="1"/>
                <w:iCs w:val="1"/>
                <w:color w:val="32406B"/>
                <w:w w:val="88"/>
              </w:rPr>
              <w:t>99.85%</w:t>
            </w:r>
          </w:p>
        </w:tc>
        <w:tc>
          <w:tcPr>
            <w:tcW w:w="20" w:type="dxa"/>
            <w:vAlign w:val="bottom"/>
          </w:tcPr>
          <w:p>
            <w:pPr>
              <w:spacing w:after="0"/>
              <w:rPr>
                <w:sz w:val="18"/>
                <w:szCs w:val="18"/>
                <w:color w:val="auto"/>
              </w:rPr>
            </w:pPr>
          </w:p>
        </w:tc>
      </w:tr>
      <w:tr>
        <w:trPr>
          <w:trHeight w:val="216"/>
        </w:trPr>
        <w:tc>
          <w:tcPr>
            <w:tcW w:w="4320" w:type="dxa"/>
            <w:vAlign w:val="bottom"/>
          </w:tcPr>
          <w:p>
            <w:pPr>
              <w:jc w:val="center"/>
              <w:ind w:right="3432"/>
              <w:spacing w:after="0"/>
              <w:rPr>
                <w:sz w:val="20"/>
                <w:szCs w:val="20"/>
                <w:color w:val="auto"/>
              </w:rPr>
            </w:pPr>
            <w:r>
              <w:rPr>
                <w:rFonts w:ascii="Arial" w:cs="Arial" w:eastAsia="Arial" w:hAnsi="Arial"/>
                <w:sz w:val="18"/>
                <w:szCs w:val="18"/>
                <w:i w:val="1"/>
                <w:iCs w:val="1"/>
                <w:color w:val="32406B"/>
                <w:w w:val="89"/>
              </w:rPr>
              <w:t>Total</w:t>
            </w:r>
          </w:p>
        </w:tc>
        <w:tc>
          <w:tcPr>
            <w:tcW w:w="4040" w:type="dxa"/>
            <w:vAlign w:val="bottom"/>
            <w:gridSpan w:val="3"/>
          </w:tcPr>
          <w:p>
            <w:pPr>
              <w:jc w:val="center"/>
              <w:ind w:left="1975"/>
              <w:spacing w:after="0"/>
              <w:rPr>
                <w:sz w:val="20"/>
                <w:szCs w:val="20"/>
                <w:color w:val="auto"/>
              </w:rPr>
            </w:pPr>
            <w:r>
              <w:rPr>
                <w:rFonts w:ascii="Arial" w:cs="Arial" w:eastAsia="Arial" w:hAnsi="Arial"/>
                <w:sz w:val="18"/>
                <w:szCs w:val="18"/>
                <w:i w:val="1"/>
                <w:iCs w:val="1"/>
                <w:color w:val="32406B"/>
                <w:w w:val="87"/>
              </w:rPr>
              <w:t>$1,000,000,000</w:t>
            </w:r>
          </w:p>
        </w:tc>
        <w:tc>
          <w:tcPr>
            <w:tcW w:w="160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32406B"/>
                <w:w w:val="88"/>
              </w:rPr>
              <w:t>$1,500,000</w:t>
            </w:r>
          </w:p>
        </w:tc>
        <w:tc>
          <w:tcPr>
            <w:tcW w:w="1460" w:type="dxa"/>
            <w:vAlign w:val="bottom"/>
            <w:gridSpan w:val="3"/>
          </w:tcPr>
          <w:p>
            <w:pPr>
              <w:jc w:val="center"/>
              <w:ind w:left="216"/>
              <w:spacing w:after="0"/>
              <w:rPr>
                <w:sz w:val="20"/>
                <w:szCs w:val="20"/>
                <w:color w:val="auto"/>
              </w:rPr>
            </w:pPr>
            <w:r>
              <w:rPr>
                <w:rFonts w:ascii="Arial" w:cs="Arial" w:eastAsia="Arial" w:hAnsi="Arial"/>
                <w:sz w:val="18"/>
                <w:szCs w:val="18"/>
                <w:i w:val="1"/>
                <w:iCs w:val="1"/>
                <w:color w:val="32406B"/>
                <w:w w:val="87"/>
              </w:rPr>
              <w:t>$998,500,000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jc w:val="center"/>
              <w:ind w:right="3432"/>
              <w:spacing w:after="0"/>
              <w:rPr>
                <w:sz w:val="20"/>
                <w:szCs w:val="20"/>
                <w:color w:val="auto"/>
              </w:rPr>
            </w:pPr>
            <w:r>
              <w:rPr>
                <w:rFonts w:ascii="Arial" w:cs="Arial" w:eastAsia="Arial" w:hAnsi="Arial"/>
                <w:sz w:val="18"/>
                <w:szCs w:val="18"/>
                <w:i w:val="1"/>
                <w:iCs w:val="1"/>
                <w:color w:val="32406B"/>
                <w:w w:val="86"/>
              </w:rPr>
              <w:t>2013 Notes</w:t>
            </w:r>
          </w:p>
        </w:tc>
        <w:tc>
          <w:tcPr>
            <w:tcW w:w="4040" w:type="dxa"/>
            <w:vAlign w:val="bottom"/>
            <w:gridSpan w:val="3"/>
            <w:shd w:val="clear" w:color="auto" w:fill="CCEEFF"/>
          </w:tcPr>
          <w:p>
            <w:pPr>
              <w:jc w:val="center"/>
              <w:ind w:left="1955"/>
              <w:spacing w:after="0"/>
              <w:rPr>
                <w:sz w:val="20"/>
                <w:szCs w:val="20"/>
                <w:color w:val="auto"/>
              </w:rPr>
            </w:pPr>
            <w:r>
              <w:rPr>
                <w:rFonts w:ascii="Arial" w:cs="Arial" w:eastAsia="Arial" w:hAnsi="Arial"/>
                <w:sz w:val="18"/>
                <w:szCs w:val="18"/>
                <w:i w:val="1"/>
                <w:iCs w:val="1"/>
                <w:color w:val="32406B"/>
                <w:w w:val="90"/>
              </w:rPr>
              <w:t>99.953%</w:t>
            </w:r>
          </w:p>
        </w:tc>
        <w:tc>
          <w:tcPr>
            <w:tcW w:w="112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i w:val="1"/>
                <w:iCs w:val="1"/>
                <w:color w:val="32406B"/>
                <w:w w:val="86"/>
              </w:rPr>
              <w:t>0.15%</w:t>
            </w:r>
          </w:p>
        </w:tc>
        <w:tc>
          <w:tcPr>
            <w:tcW w:w="4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36"/>
              <w:spacing w:after="0"/>
              <w:rPr>
                <w:sz w:val="20"/>
                <w:szCs w:val="20"/>
                <w:color w:val="auto"/>
              </w:rPr>
            </w:pPr>
            <w:r>
              <w:rPr>
                <w:rFonts w:ascii="Arial" w:cs="Arial" w:eastAsia="Arial" w:hAnsi="Arial"/>
                <w:sz w:val="18"/>
                <w:szCs w:val="18"/>
                <w:i w:val="1"/>
                <w:iCs w:val="1"/>
                <w:color w:val="32406B"/>
                <w:w w:val="87"/>
              </w:rPr>
              <w:t>99.803%</w:t>
            </w:r>
          </w:p>
        </w:tc>
        <w:tc>
          <w:tcPr>
            <w:tcW w:w="20" w:type="dxa"/>
            <w:vAlign w:val="bottom"/>
          </w:tcPr>
          <w:p>
            <w:pPr>
              <w:spacing w:after="0"/>
              <w:rPr>
                <w:sz w:val="18"/>
                <w:szCs w:val="18"/>
                <w:color w:val="auto"/>
              </w:rPr>
            </w:pPr>
          </w:p>
        </w:tc>
      </w:tr>
      <w:tr>
        <w:trPr>
          <w:trHeight w:val="216"/>
        </w:trPr>
        <w:tc>
          <w:tcPr>
            <w:tcW w:w="4320" w:type="dxa"/>
            <w:vAlign w:val="bottom"/>
          </w:tcPr>
          <w:p>
            <w:pPr>
              <w:jc w:val="center"/>
              <w:ind w:right="3432"/>
              <w:spacing w:after="0"/>
              <w:rPr>
                <w:sz w:val="20"/>
                <w:szCs w:val="20"/>
                <w:color w:val="auto"/>
              </w:rPr>
            </w:pPr>
            <w:r>
              <w:rPr>
                <w:rFonts w:ascii="Arial" w:cs="Arial" w:eastAsia="Arial" w:hAnsi="Arial"/>
                <w:sz w:val="18"/>
                <w:szCs w:val="18"/>
                <w:i w:val="1"/>
                <w:iCs w:val="1"/>
                <w:color w:val="32406B"/>
                <w:w w:val="89"/>
              </w:rPr>
              <w:t>Total</w:t>
            </w:r>
          </w:p>
        </w:tc>
        <w:tc>
          <w:tcPr>
            <w:tcW w:w="4040" w:type="dxa"/>
            <w:vAlign w:val="bottom"/>
            <w:gridSpan w:val="3"/>
          </w:tcPr>
          <w:p>
            <w:pPr>
              <w:jc w:val="center"/>
              <w:ind w:left="1955"/>
              <w:spacing w:after="0"/>
              <w:rPr>
                <w:sz w:val="20"/>
                <w:szCs w:val="20"/>
                <w:color w:val="auto"/>
              </w:rPr>
            </w:pPr>
            <w:r>
              <w:rPr>
                <w:rFonts w:ascii="Arial" w:cs="Arial" w:eastAsia="Arial" w:hAnsi="Arial"/>
                <w:sz w:val="18"/>
                <w:szCs w:val="18"/>
                <w:i w:val="1"/>
                <w:iCs w:val="1"/>
                <w:color w:val="32406B"/>
                <w:w w:val="87"/>
              </w:rPr>
              <w:t>$499,765,000</w:t>
            </w:r>
          </w:p>
        </w:tc>
        <w:tc>
          <w:tcPr>
            <w:tcW w:w="1120" w:type="dxa"/>
            <w:vAlign w:val="bottom"/>
            <w:gridSpan w:val="2"/>
          </w:tcPr>
          <w:p>
            <w:pPr>
              <w:jc w:val="center"/>
              <w:ind w:left="337"/>
              <w:spacing w:after="0"/>
              <w:rPr>
                <w:sz w:val="20"/>
                <w:szCs w:val="20"/>
                <w:color w:val="auto"/>
              </w:rPr>
            </w:pPr>
            <w:r>
              <w:rPr>
                <w:rFonts w:ascii="Arial" w:cs="Arial" w:eastAsia="Arial" w:hAnsi="Arial"/>
                <w:sz w:val="18"/>
                <w:szCs w:val="18"/>
                <w:i w:val="1"/>
                <w:iCs w:val="1"/>
                <w:color w:val="32406B"/>
                <w:w w:val="87"/>
              </w:rPr>
              <w:t>$750,000</w:t>
            </w:r>
          </w:p>
        </w:tc>
        <w:tc>
          <w:tcPr>
            <w:tcW w:w="480" w:type="dxa"/>
            <w:vAlign w:val="bottom"/>
          </w:tcPr>
          <w:p>
            <w:pPr>
              <w:spacing w:after="0"/>
              <w:rPr>
                <w:sz w:val="18"/>
                <w:szCs w:val="18"/>
                <w:color w:val="auto"/>
              </w:rPr>
            </w:pPr>
          </w:p>
        </w:tc>
        <w:tc>
          <w:tcPr>
            <w:tcW w:w="1460" w:type="dxa"/>
            <w:vAlign w:val="bottom"/>
            <w:gridSpan w:val="3"/>
          </w:tcPr>
          <w:p>
            <w:pPr>
              <w:jc w:val="center"/>
              <w:ind w:left="216"/>
              <w:spacing w:after="0"/>
              <w:rPr>
                <w:sz w:val="20"/>
                <w:szCs w:val="20"/>
                <w:color w:val="auto"/>
              </w:rPr>
            </w:pPr>
            <w:r>
              <w:rPr>
                <w:rFonts w:ascii="Arial" w:cs="Arial" w:eastAsia="Arial" w:hAnsi="Arial"/>
                <w:sz w:val="18"/>
                <w:szCs w:val="18"/>
                <w:i w:val="1"/>
                <w:iCs w:val="1"/>
                <w:color w:val="32406B"/>
                <w:w w:val="87"/>
              </w:rPr>
              <w:t>$499,015,000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jc w:val="center"/>
              <w:ind w:right="3432"/>
              <w:spacing w:after="0"/>
              <w:rPr>
                <w:sz w:val="20"/>
                <w:szCs w:val="20"/>
                <w:color w:val="auto"/>
              </w:rPr>
            </w:pPr>
            <w:r>
              <w:rPr>
                <w:rFonts w:ascii="Arial" w:cs="Arial" w:eastAsia="Arial" w:hAnsi="Arial"/>
                <w:sz w:val="18"/>
                <w:szCs w:val="18"/>
                <w:i w:val="1"/>
                <w:iCs w:val="1"/>
                <w:color w:val="32406B"/>
                <w:w w:val="86"/>
              </w:rPr>
              <w:t>2014 Notes</w:t>
            </w:r>
          </w:p>
        </w:tc>
        <w:tc>
          <w:tcPr>
            <w:tcW w:w="4040" w:type="dxa"/>
            <w:vAlign w:val="bottom"/>
            <w:gridSpan w:val="3"/>
            <w:shd w:val="clear" w:color="auto" w:fill="CCEEFF"/>
          </w:tcPr>
          <w:p>
            <w:pPr>
              <w:jc w:val="center"/>
              <w:ind w:left="1955"/>
              <w:spacing w:after="0"/>
              <w:rPr>
                <w:sz w:val="20"/>
                <w:szCs w:val="20"/>
                <w:color w:val="auto"/>
              </w:rPr>
            </w:pPr>
            <w:r>
              <w:rPr>
                <w:rFonts w:ascii="Arial" w:cs="Arial" w:eastAsia="Arial" w:hAnsi="Arial"/>
                <w:sz w:val="18"/>
                <w:szCs w:val="18"/>
                <w:i w:val="1"/>
                <w:iCs w:val="1"/>
                <w:color w:val="32406B"/>
                <w:w w:val="90"/>
              </w:rPr>
              <w:t>99.875%</w:t>
            </w:r>
          </w:p>
        </w:tc>
        <w:tc>
          <w:tcPr>
            <w:tcW w:w="112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i w:val="1"/>
                <w:iCs w:val="1"/>
                <w:color w:val="32406B"/>
                <w:w w:val="86"/>
              </w:rPr>
              <w:t>0.25%</w:t>
            </w:r>
          </w:p>
        </w:tc>
        <w:tc>
          <w:tcPr>
            <w:tcW w:w="4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36"/>
              <w:spacing w:after="0"/>
              <w:rPr>
                <w:sz w:val="20"/>
                <w:szCs w:val="20"/>
                <w:color w:val="auto"/>
              </w:rPr>
            </w:pPr>
            <w:r>
              <w:rPr>
                <w:rFonts w:ascii="Arial" w:cs="Arial" w:eastAsia="Arial" w:hAnsi="Arial"/>
                <w:sz w:val="18"/>
                <w:szCs w:val="18"/>
                <w:i w:val="1"/>
                <w:iCs w:val="1"/>
                <w:color w:val="32406B"/>
                <w:w w:val="87"/>
              </w:rPr>
              <w:t>99.625%</w:t>
            </w:r>
          </w:p>
        </w:tc>
        <w:tc>
          <w:tcPr>
            <w:tcW w:w="20" w:type="dxa"/>
            <w:vAlign w:val="bottom"/>
          </w:tcPr>
          <w:p>
            <w:pPr>
              <w:spacing w:after="0"/>
              <w:rPr>
                <w:sz w:val="18"/>
                <w:szCs w:val="18"/>
                <w:color w:val="auto"/>
              </w:rPr>
            </w:pPr>
          </w:p>
        </w:tc>
      </w:tr>
      <w:tr>
        <w:trPr>
          <w:trHeight w:val="216"/>
        </w:trPr>
        <w:tc>
          <w:tcPr>
            <w:tcW w:w="4320" w:type="dxa"/>
            <w:vAlign w:val="bottom"/>
          </w:tcPr>
          <w:p>
            <w:pPr>
              <w:jc w:val="center"/>
              <w:ind w:right="3432"/>
              <w:spacing w:after="0"/>
              <w:rPr>
                <w:sz w:val="20"/>
                <w:szCs w:val="20"/>
                <w:color w:val="auto"/>
              </w:rPr>
            </w:pPr>
            <w:r>
              <w:rPr>
                <w:rFonts w:ascii="Arial" w:cs="Arial" w:eastAsia="Arial" w:hAnsi="Arial"/>
                <w:sz w:val="18"/>
                <w:szCs w:val="18"/>
                <w:i w:val="1"/>
                <w:iCs w:val="1"/>
                <w:color w:val="32406B"/>
                <w:w w:val="89"/>
              </w:rPr>
              <w:t>Total</w:t>
            </w:r>
          </w:p>
        </w:tc>
        <w:tc>
          <w:tcPr>
            <w:tcW w:w="4040" w:type="dxa"/>
            <w:vAlign w:val="bottom"/>
            <w:gridSpan w:val="3"/>
          </w:tcPr>
          <w:p>
            <w:pPr>
              <w:jc w:val="center"/>
              <w:ind w:left="1955"/>
              <w:spacing w:after="0"/>
              <w:rPr>
                <w:sz w:val="20"/>
                <w:szCs w:val="20"/>
                <w:color w:val="auto"/>
              </w:rPr>
            </w:pPr>
            <w:r>
              <w:rPr>
                <w:rFonts w:ascii="Arial" w:cs="Arial" w:eastAsia="Arial" w:hAnsi="Arial"/>
                <w:sz w:val="18"/>
                <w:szCs w:val="18"/>
                <w:i w:val="1"/>
                <w:iCs w:val="1"/>
                <w:color w:val="32406B"/>
                <w:w w:val="87"/>
              </w:rPr>
              <w:t>$998,750,000</w:t>
            </w:r>
          </w:p>
        </w:tc>
        <w:tc>
          <w:tcPr>
            <w:tcW w:w="160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32406B"/>
                <w:w w:val="88"/>
              </w:rPr>
              <w:t>$2,500,000</w:t>
            </w:r>
          </w:p>
        </w:tc>
        <w:tc>
          <w:tcPr>
            <w:tcW w:w="1460" w:type="dxa"/>
            <w:vAlign w:val="bottom"/>
            <w:gridSpan w:val="3"/>
          </w:tcPr>
          <w:p>
            <w:pPr>
              <w:jc w:val="center"/>
              <w:ind w:left="216"/>
              <w:spacing w:after="0"/>
              <w:rPr>
                <w:sz w:val="20"/>
                <w:szCs w:val="20"/>
                <w:color w:val="auto"/>
              </w:rPr>
            </w:pPr>
            <w:r>
              <w:rPr>
                <w:rFonts w:ascii="Arial" w:cs="Arial" w:eastAsia="Arial" w:hAnsi="Arial"/>
                <w:sz w:val="18"/>
                <w:szCs w:val="18"/>
                <w:i w:val="1"/>
                <w:iCs w:val="1"/>
                <w:color w:val="32406B"/>
                <w:w w:val="87"/>
              </w:rPr>
              <w:t>$996,250,000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jc w:val="center"/>
              <w:ind w:right="3432"/>
              <w:spacing w:after="0"/>
              <w:rPr>
                <w:sz w:val="20"/>
                <w:szCs w:val="20"/>
                <w:color w:val="auto"/>
              </w:rPr>
            </w:pPr>
            <w:r>
              <w:rPr>
                <w:rFonts w:ascii="Arial" w:cs="Arial" w:eastAsia="Arial" w:hAnsi="Arial"/>
                <w:sz w:val="18"/>
                <w:szCs w:val="18"/>
                <w:i w:val="1"/>
                <w:iCs w:val="1"/>
                <w:color w:val="32406B"/>
                <w:w w:val="86"/>
              </w:rPr>
              <w:t>2016 Notes</w:t>
            </w:r>
          </w:p>
        </w:tc>
        <w:tc>
          <w:tcPr>
            <w:tcW w:w="4040" w:type="dxa"/>
            <w:vAlign w:val="bottom"/>
            <w:gridSpan w:val="3"/>
            <w:shd w:val="clear" w:color="auto" w:fill="CCEEFF"/>
          </w:tcPr>
          <w:p>
            <w:pPr>
              <w:jc w:val="center"/>
              <w:ind w:left="1955"/>
              <w:spacing w:after="0"/>
              <w:rPr>
                <w:sz w:val="20"/>
                <w:szCs w:val="20"/>
                <w:color w:val="auto"/>
              </w:rPr>
            </w:pPr>
            <w:r>
              <w:rPr>
                <w:rFonts w:ascii="Arial" w:cs="Arial" w:eastAsia="Arial" w:hAnsi="Arial"/>
                <w:sz w:val="18"/>
                <w:szCs w:val="18"/>
                <w:i w:val="1"/>
                <w:iCs w:val="1"/>
                <w:color w:val="32406B"/>
                <w:w w:val="90"/>
              </w:rPr>
              <w:t>99.893%</w:t>
            </w:r>
          </w:p>
        </w:tc>
        <w:tc>
          <w:tcPr>
            <w:tcW w:w="112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i w:val="1"/>
                <w:iCs w:val="1"/>
                <w:color w:val="32406B"/>
                <w:w w:val="86"/>
              </w:rPr>
              <w:t>0.35%</w:t>
            </w:r>
          </w:p>
        </w:tc>
        <w:tc>
          <w:tcPr>
            <w:tcW w:w="4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36"/>
              <w:spacing w:after="0"/>
              <w:rPr>
                <w:sz w:val="20"/>
                <w:szCs w:val="20"/>
                <w:color w:val="auto"/>
              </w:rPr>
            </w:pPr>
            <w:r>
              <w:rPr>
                <w:rFonts w:ascii="Arial" w:cs="Arial" w:eastAsia="Arial" w:hAnsi="Arial"/>
                <w:sz w:val="18"/>
                <w:szCs w:val="18"/>
                <w:i w:val="1"/>
                <w:iCs w:val="1"/>
                <w:color w:val="32406B"/>
                <w:w w:val="87"/>
              </w:rPr>
              <w:t>99.543%</w:t>
            </w:r>
          </w:p>
        </w:tc>
        <w:tc>
          <w:tcPr>
            <w:tcW w:w="20" w:type="dxa"/>
            <w:vAlign w:val="bottom"/>
          </w:tcPr>
          <w:p>
            <w:pPr>
              <w:spacing w:after="0"/>
              <w:rPr>
                <w:sz w:val="18"/>
                <w:szCs w:val="18"/>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i w:val="1"/>
                <w:iCs w:val="1"/>
                <w:color w:val="32406B"/>
              </w:rPr>
              <w:t>Total</w:t>
            </w:r>
          </w:p>
        </w:tc>
        <w:tc>
          <w:tcPr>
            <w:tcW w:w="4040" w:type="dxa"/>
            <w:vAlign w:val="bottom"/>
            <w:gridSpan w:val="3"/>
          </w:tcPr>
          <w:p>
            <w:pPr>
              <w:jc w:val="center"/>
              <w:ind w:left="1955"/>
              <w:spacing w:after="0"/>
              <w:rPr>
                <w:sz w:val="20"/>
                <w:szCs w:val="20"/>
                <w:color w:val="auto"/>
              </w:rPr>
            </w:pPr>
            <w:r>
              <w:rPr>
                <w:rFonts w:ascii="Arial" w:cs="Arial" w:eastAsia="Arial" w:hAnsi="Arial"/>
                <w:sz w:val="18"/>
                <w:szCs w:val="18"/>
                <w:i w:val="1"/>
                <w:iCs w:val="1"/>
                <w:color w:val="32406B"/>
                <w:w w:val="87"/>
              </w:rPr>
              <w:t>$998,930,000</w:t>
            </w:r>
          </w:p>
        </w:tc>
        <w:tc>
          <w:tcPr>
            <w:tcW w:w="160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32406B"/>
                <w:w w:val="88"/>
              </w:rPr>
              <w:t>$3,500,000</w:t>
            </w:r>
          </w:p>
        </w:tc>
        <w:tc>
          <w:tcPr>
            <w:tcW w:w="1460" w:type="dxa"/>
            <w:vAlign w:val="bottom"/>
            <w:gridSpan w:val="3"/>
          </w:tcPr>
          <w:p>
            <w:pPr>
              <w:jc w:val="center"/>
              <w:ind w:left="216"/>
              <w:spacing w:after="0"/>
              <w:rPr>
                <w:sz w:val="20"/>
                <w:szCs w:val="20"/>
                <w:color w:val="auto"/>
              </w:rPr>
            </w:pPr>
            <w:r>
              <w:rPr>
                <w:rFonts w:ascii="Arial" w:cs="Arial" w:eastAsia="Arial" w:hAnsi="Arial"/>
                <w:sz w:val="18"/>
                <w:szCs w:val="18"/>
                <w:i w:val="1"/>
                <w:iCs w:val="1"/>
                <w:color w:val="32406B"/>
                <w:w w:val="87"/>
              </w:rPr>
              <w:t>$995,430,000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780" w:hanging="434"/>
        <w:spacing w:after="0"/>
        <w:tabs>
          <w:tab w:leader="none" w:pos="780" w:val="left"/>
        </w:tabs>
        <w:numPr>
          <w:ilvl w:val="0"/>
          <w:numId w:val="1"/>
        </w:numPr>
        <w:rPr>
          <w:rFonts w:ascii="Arial" w:cs="Arial" w:eastAsia="Arial" w:hAnsi="Arial"/>
          <w:sz w:val="14"/>
          <w:szCs w:val="14"/>
          <w:i w:val="1"/>
          <w:iCs w:val="1"/>
          <w:color w:val="32406B"/>
        </w:rPr>
      </w:pPr>
      <w:r>
        <w:rPr>
          <w:rFonts w:ascii="Arial" w:cs="Arial" w:eastAsia="Arial" w:hAnsi="Arial"/>
          <w:sz w:val="14"/>
          <w:szCs w:val="14"/>
          <w:i w:val="1"/>
          <w:iCs w:val="1"/>
          <w:color w:val="32406B"/>
        </w:rPr>
        <w:t>Plus accrued interest, if any, from May 23, 2011.</w:t>
      </w:r>
    </w:p>
    <w:p>
      <w:pPr>
        <w:spacing w:after="0" w:line="55"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i w:val="1"/>
          <w:iCs w:val="1"/>
          <w:color w:val="32406B"/>
        </w:rPr>
        <w:t>Interest on the Notes will accrue from May 23, 2011. The Notes will be issued in book-entry form only, in denominations of $2,000 and multiples of $1,000 thereafter. The Notes will not be listed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43180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6" w:lineRule="exact"/>
        <w:rPr>
          <w:sz w:val="20"/>
          <w:szCs w:val="20"/>
          <w:color w:val="auto"/>
        </w:rPr>
      </w:pPr>
    </w:p>
    <w:p>
      <w:pPr>
        <w:ind w:right="260"/>
        <w:spacing w:after="0" w:line="239" w:lineRule="auto"/>
        <w:rPr>
          <w:sz w:val="20"/>
          <w:szCs w:val="20"/>
          <w:color w:val="auto"/>
        </w:rPr>
      </w:pPr>
      <w:r>
        <w:rPr>
          <w:rFonts w:ascii="Arial" w:cs="Arial" w:eastAsia="Arial" w:hAnsi="Arial"/>
          <w:sz w:val="14"/>
          <w:szCs w:val="14"/>
          <w:i w:val="1"/>
          <w:iCs w:val="1"/>
          <w:color w:val="32406B"/>
        </w:rPr>
        <w:t>The underwriters expect to deliver the Notes to purchasers through the book-entry delivery system of The Depository Trust Company and its participants, including Euroclear Bank S.A./N.V. and Clearstream Banking, S.A. on or about May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tcPr>
          <w:p>
            <w:pPr>
              <w:jc w:val="center"/>
              <w:ind w:left="166"/>
              <w:spacing w:after="0"/>
              <w:rPr>
                <w:sz w:val="20"/>
                <w:szCs w:val="20"/>
                <w:color w:val="auto"/>
              </w:rPr>
            </w:pPr>
            <w:r>
              <w:rPr>
                <w:rFonts w:ascii="Arial" w:cs="Arial" w:eastAsia="Arial" w:hAnsi="Arial"/>
                <w:sz w:val="14"/>
                <w:szCs w:val="14"/>
                <w:i w:val="1"/>
                <w:iCs w:val="1"/>
                <w:color w:val="32406B"/>
                <w:w w:val="88"/>
              </w:rPr>
              <w:t>Joint Book-Running Managers</w:t>
            </w: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3"/>
        </w:trPr>
        <w:tc>
          <w:tcPr>
            <w:tcW w:w="3720" w:type="dxa"/>
            <w:vAlign w:val="bottom"/>
          </w:tcPr>
          <w:p>
            <w:pPr>
              <w:spacing w:after="0"/>
              <w:rPr>
                <w:sz w:val="20"/>
                <w:szCs w:val="20"/>
                <w:color w:val="auto"/>
              </w:rPr>
            </w:pPr>
            <w:r>
              <w:rPr>
                <w:rFonts w:ascii="Arial" w:cs="Arial" w:eastAsia="Arial" w:hAnsi="Arial"/>
                <w:sz w:val="24"/>
                <w:szCs w:val="24"/>
                <w:i w:val="1"/>
                <w:iCs w:val="1"/>
                <w:color w:val="32406B"/>
              </w:rPr>
              <w:t>Morgan Stanley</w:t>
            </w:r>
          </w:p>
        </w:tc>
        <w:tc>
          <w:tcPr>
            <w:tcW w:w="2940" w:type="dxa"/>
            <w:vAlign w:val="bottom"/>
            <w:gridSpan w:val="2"/>
          </w:tcPr>
          <w:p>
            <w:pPr>
              <w:ind w:left="320"/>
              <w:spacing w:after="0"/>
              <w:rPr>
                <w:sz w:val="20"/>
                <w:szCs w:val="20"/>
                <w:color w:val="auto"/>
              </w:rPr>
            </w:pPr>
            <w:r>
              <w:rPr>
                <w:rFonts w:ascii="Arial" w:cs="Arial" w:eastAsia="Arial" w:hAnsi="Arial"/>
                <w:sz w:val="24"/>
                <w:szCs w:val="24"/>
                <w:i w:val="1"/>
                <w:iCs w:val="1"/>
                <w:color w:val="32406B"/>
              </w:rPr>
              <w:t>J.P. Morgan</w:t>
            </w:r>
          </w:p>
        </w:tc>
        <w:tc>
          <w:tcPr>
            <w:tcW w:w="2400" w:type="dxa"/>
            <w:vAlign w:val="bottom"/>
            <w:gridSpan w:val="2"/>
          </w:tcPr>
          <w:p>
            <w:pPr>
              <w:ind w:left="100"/>
              <w:spacing w:after="0"/>
              <w:rPr>
                <w:sz w:val="20"/>
                <w:szCs w:val="20"/>
                <w:color w:val="auto"/>
              </w:rPr>
            </w:pPr>
            <w:r>
              <w:rPr>
                <w:rFonts w:ascii="Arial" w:cs="Arial" w:eastAsia="Arial" w:hAnsi="Arial"/>
                <w:sz w:val="24"/>
                <w:szCs w:val="24"/>
                <w:i w:val="1"/>
                <w:iCs w:val="1"/>
                <w:color w:val="32406B"/>
              </w:rPr>
              <w:t>BofA Merrill Lynch</w:t>
            </w:r>
          </w:p>
        </w:tc>
        <w:tc>
          <w:tcPr>
            <w:tcW w:w="2360" w:type="dxa"/>
            <w:vAlign w:val="bottom"/>
          </w:tcPr>
          <w:p>
            <w:pPr>
              <w:jc w:val="right"/>
              <w:spacing w:after="0"/>
              <w:rPr>
                <w:sz w:val="20"/>
                <w:szCs w:val="20"/>
                <w:color w:val="auto"/>
              </w:rPr>
            </w:pPr>
            <w:r>
              <w:rPr>
                <w:rFonts w:ascii="Arial" w:cs="Arial" w:eastAsia="Arial" w:hAnsi="Arial"/>
                <w:sz w:val="24"/>
                <w:szCs w:val="24"/>
                <w:i w:val="1"/>
                <w:iCs w:val="1"/>
                <w:color w:val="32406B"/>
              </w:rPr>
              <w:t>Citi</w:t>
            </w:r>
          </w:p>
        </w:tc>
      </w:tr>
      <w:tr>
        <w:trPr>
          <w:trHeight w:val="144"/>
        </w:trPr>
        <w:tc>
          <w:tcPr>
            <w:tcW w:w="3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40" w:type="dxa"/>
            <w:vAlign w:val="bottom"/>
            <w:tcBorders>
              <w:bottom w:val="single" w:sz="8" w:color="32406B"/>
            </w:tcBorders>
          </w:tcPr>
          <w:p>
            <w:pPr>
              <w:spacing w:after="0"/>
              <w:rPr>
                <w:sz w:val="12"/>
                <w:szCs w:val="12"/>
                <w:color w:val="auto"/>
              </w:rPr>
            </w:pPr>
          </w:p>
        </w:tc>
        <w:tc>
          <w:tcPr>
            <w:tcW w:w="240" w:type="dxa"/>
            <w:vAlign w:val="bottom"/>
            <w:tcBorders>
              <w:bottom w:val="single" w:sz="8" w:color="32406B"/>
            </w:tcBorders>
          </w:tcPr>
          <w:p>
            <w:pPr>
              <w:spacing w:after="0"/>
              <w:rPr>
                <w:sz w:val="12"/>
                <w:szCs w:val="12"/>
                <w:color w:val="auto"/>
              </w:rPr>
            </w:pPr>
          </w:p>
        </w:tc>
        <w:tc>
          <w:tcPr>
            <w:tcW w:w="21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50"/>
        </w:trPr>
        <w:tc>
          <w:tcPr>
            <w:tcW w:w="3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140" w:type="dxa"/>
            <w:vAlign w:val="bottom"/>
          </w:tcPr>
          <w:p>
            <w:pPr>
              <w:jc w:val="center"/>
              <w:ind w:left="166"/>
              <w:spacing w:after="0"/>
              <w:rPr>
                <w:sz w:val="20"/>
                <w:szCs w:val="20"/>
                <w:color w:val="auto"/>
              </w:rPr>
            </w:pPr>
            <w:r>
              <w:rPr>
                <w:rFonts w:ascii="Arial" w:cs="Arial" w:eastAsia="Arial" w:hAnsi="Arial"/>
                <w:sz w:val="14"/>
                <w:szCs w:val="14"/>
                <w:i w:val="1"/>
                <w:iCs w:val="1"/>
                <w:color w:val="32406B"/>
                <w:w w:val="87"/>
              </w:rPr>
              <w:t>Co-Managers</w:t>
            </w:r>
          </w:p>
        </w:tc>
        <w:tc>
          <w:tcPr>
            <w:tcW w:w="2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69"/>
        </w:trPr>
        <w:tc>
          <w:tcPr>
            <w:tcW w:w="3720" w:type="dxa"/>
            <w:vAlign w:val="bottom"/>
          </w:tcPr>
          <w:p>
            <w:pPr>
              <w:spacing w:after="0"/>
              <w:rPr>
                <w:sz w:val="20"/>
                <w:szCs w:val="20"/>
                <w:color w:val="auto"/>
              </w:rPr>
            </w:pPr>
            <w:r>
              <w:rPr>
                <w:rFonts w:ascii="Arial" w:cs="Arial" w:eastAsia="Arial" w:hAnsi="Arial"/>
                <w:sz w:val="18"/>
                <w:szCs w:val="18"/>
                <w:i w:val="1"/>
                <w:iCs w:val="1"/>
                <w:color w:val="32406B"/>
              </w:rPr>
              <w:t>BNP PARIBAS</w:t>
            </w:r>
          </w:p>
        </w:tc>
        <w:tc>
          <w:tcPr>
            <w:tcW w:w="2940" w:type="dxa"/>
            <w:vAlign w:val="bottom"/>
            <w:gridSpan w:val="2"/>
          </w:tcPr>
          <w:p>
            <w:pPr>
              <w:ind w:left="400"/>
              <w:spacing w:after="0"/>
              <w:rPr>
                <w:sz w:val="20"/>
                <w:szCs w:val="20"/>
                <w:color w:val="auto"/>
              </w:rPr>
            </w:pPr>
            <w:r>
              <w:rPr>
                <w:rFonts w:ascii="Arial" w:cs="Arial" w:eastAsia="Arial" w:hAnsi="Arial"/>
                <w:sz w:val="18"/>
                <w:szCs w:val="18"/>
                <w:i w:val="1"/>
                <w:iCs w:val="1"/>
                <w:color w:val="32406B"/>
              </w:rPr>
              <w:t>Mitsubishi UFJ Securities</w:t>
            </w:r>
          </w:p>
        </w:tc>
        <w:tc>
          <w:tcPr>
            <w:tcW w:w="2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i w:val="1"/>
                <w:iCs w:val="1"/>
                <w:color w:val="32406B"/>
              </w:rPr>
              <w:t>Mizuho Securities USA Inc.</w:t>
            </w:r>
          </w:p>
        </w:tc>
      </w:tr>
      <w:tr>
        <w:trPr>
          <w:trHeight w:val="284"/>
        </w:trPr>
        <w:tc>
          <w:tcPr>
            <w:tcW w:w="3720" w:type="dxa"/>
            <w:vAlign w:val="bottom"/>
          </w:tcPr>
          <w:p>
            <w:pPr>
              <w:ind w:left="2220"/>
              <w:spacing w:after="0"/>
              <w:rPr>
                <w:sz w:val="20"/>
                <w:szCs w:val="20"/>
                <w:color w:val="auto"/>
              </w:rPr>
            </w:pPr>
            <w:r>
              <w:rPr>
                <w:rFonts w:ascii="Arial" w:cs="Arial" w:eastAsia="Arial" w:hAnsi="Arial"/>
                <w:sz w:val="18"/>
                <w:szCs w:val="18"/>
                <w:i w:val="1"/>
                <w:iCs w:val="1"/>
                <w:color w:val="32406B"/>
              </w:rPr>
              <w:t>Barclays Capital</w:t>
            </w:r>
          </w:p>
        </w:tc>
        <w:tc>
          <w:tcPr>
            <w:tcW w:w="800" w:type="dxa"/>
            <w:vAlign w:val="bottom"/>
          </w:tcPr>
          <w:p>
            <w:pPr>
              <w:spacing w:after="0"/>
              <w:rPr>
                <w:sz w:val="24"/>
                <w:szCs w:val="24"/>
                <w:color w:val="auto"/>
              </w:rPr>
            </w:pPr>
          </w:p>
        </w:tc>
        <w:tc>
          <w:tcPr>
            <w:tcW w:w="4540" w:type="dxa"/>
            <w:vAlign w:val="bottom"/>
            <w:gridSpan w:val="3"/>
          </w:tcPr>
          <w:p>
            <w:pPr>
              <w:ind w:left="1540"/>
              <w:spacing w:after="0"/>
              <w:rPr>
                <w:sz w:val="20"/>
                <w:szCs w:val="20"/>
                <w:color w:val="auto"/>
              </w:rPr>
            </w:pPr>
            <w:r>
              <w:rPr>
                <w:rFonts w:ascii="Arial" w:cs="Arial" w:eastAsia="Arial" w:hAnsi="Arial"/>
                <w:sz w:val="18"/>
                <w:szCs w:val="18"/>
                <w:i w:val="1"/>
                <w:iCs w:val="1"/>
                <w:color w:val="32406B"/>
              </w:rPr>
              <w:t>The Williams Capital Group, L.P.</w:t>
            </w:r>
          </w:p>
        </w:tc>
        <w:tc>
          <w:tcPr>
            <w:tcW w:w="2360" w:type="dxa"/>
            <w:vAlign w:val="bottom"/>
          </w:tcPr>
          <w:p>
            <w:pPr>
              <w:spacing w:after="0"/>
              <w:rPr>
                <w:sz w:val="24"/>
                <w:szCs w:val="24"/>
                <w:color w:val="auto"/>
              </w:rPr>
            </w:pPr>
          </w:p>
        </w:tc>
      </w:tr>
      <w:tr>
        <w:trPr>
          <w:trHeight w:val="231"/>
        </w:trPr>
        <w:tc>
          <w:tcPr>
            <w:tcW w:w="3720" w:type="dxa"/>
            <w:vAlign w:val="bottom"/>
          </w:tcPr>
          <w:p>
            <w:pPr>
              <w:spacing w:after="0"/>
              <w:rPr>
                <w:sz w:val="20"/>
                <w:szCs w:val="20"/>
                <w:color w:val="auto"/>
              </w:rPr>
            </w:pPr>
            <w:r>
              <w:rPr>
                <w:rFonts w:ascii="Arial" w:cs="Arial" w:eastAsia="Arial" w:hAnsi="Arial"/>
                <w:sz w:val="14"/>
                <w:szCs w:val="14"/>
                <w:i w:val="1"/>
                <w:iCs w:val="1"/>
                <w:color w:val="32406B"/>
              </w:rPr>
              <w:t>May 16, 2011</w:t>
            </w:r>
          </w:p>
        </w:tc>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ectPr>
          <w:pgSz w:w="11900" w:h="16838" w:orient="portrait"/>
          <w:cols w:equalWidth="0" w:num="1">
            <w:col w:w="11440"/>
          </w:cols>
          <w:pgMar w:left="240" w:top="459"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32406B"/>
        </w:rPr>
        <w:t>You should rely only on the information contained in or incorporated by reference in this prospectus supplement, the accompanying prospectus and any free writing prospectus required to be filed with the U.S. Securities and Exchange Commission. We take no responsibility for, and can provide no assurance as to the reliability of, any other information that others may give you. Neither we nor the underwriters are making an offer of these securities in any jurisdiction where the offer or sale of such securities is not permitted. You should not assume that the information contained in or incorporated by reference in this prospectus supplement or the accompanying prospectus is accurate as of any date other than the date on the front of this prospectus supplement. Our business, financial condition, liquidity,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TABLE OF CONTENTS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32406B"/>
              </w:rPr>
              <w:t>Prospectus Supplement</w:t>
            </w: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w w:val="95"/>
              </w:rPr>
              <w:t>Page</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32406B"/>
              </w:rPr>
              <w:t>Prospectus</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32406B"/>
              </w:rPr>
              <w:t>Page</w:t>
            </w:r>
          </w:p>
        </w:tc>
        <w:tc>
          <w:tcPr>
            <w:tcW w:w="0" w:type="dxa"/>
            <w:vAlign w:val="bottom"/>
          </w:tcPr>
          <w:p>
            <w:pPr>
              <w:spacing w:after="0"/>
              <w:rPr>
                <w:sz w:val="1"/>
                <w:szCs w:val="1"/>
                <w:color w:val="auto"/>
              </w:rPr>
            </w:pPr>
          </w:p>
        </w:tc>
      </w:tr>
      <w:tr>
        <w:trPr>
          <w:trHeight w:val="201"/>
        </w:trPr>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gridSpan w:val="6"/>
            <w:vMerge w:val="continue"/>
          </w:tcPr>
          <w:p>
            <w:pPr>
              <w:spacing w:after="0"/>
              <w:rPr>
                <w:sz w:val="17"/>
                <w:szCs w:val="17"/>
                <w:color w:val="auto"/>
              </w:rPr>
            </w:pPr>
          </w:p>
        </w:tc>
        <w:tc>
          <w:tcPr>
            <w:tcW w:w="380" w:type="dxa"/>
            <w:vAlign w:val="bottom"/>
            <w:tcBorders>
              <w:top w:val="single" w:sz="8" w:color="32406B"/>
            </w:tcBorders>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4"/>
            <w:vMerge w:val="continue"/>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Borders>
              <w:top w:val="single" w:sz="8" w:color="32406B"/>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gridSpan w:val="14"/>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on Forward-Looking Statements</w:t>
              </w:r>
            </w:hyperlink>
          </w:p>
        </w:tc>
        <w:tc>
          <w:tcPr>
            <w:tcW w:w="820" w:type="dxa"/>
            <w:vAlign w:val="bottom"/>
            <w:gridSpan w:val="2"/>
          </w:tcPr>
          <w:p>
            <w:pPr>
              <w:jc w:val="right"/>
              <w:ind w:right="440"/>
              <w:spacing w:after="0" w:line="184" w:lineRule="exact"/>
              <w:rPr>
                <w:sz w:val="20"/>
                <w:szCs w:val="20"/>
                <w:color w:val="auto"/>
              </w:rPr>
            </w:pPr>
            <w:r>
              <w:rPr>
                <w:rFonts w:ascii="Arial" w:cs="Arial" w:eastAsia="Arial" w:hAnsi="Arial"/>
                <w:sz w:val="18"/>
                <w:szCs w:val="18"/>
                <w:color w:val="32406B"/>
              </w:rPr>
              <w:t>S-ii</w:t>
            </w:r>
          </w:p>
        </w:tc>
        <w:tc>
          <w:tcPr>
            <w:tcW w:w="4320" w:type="dxa"/>
            <w:vAlign w:val="bottom"/>
            <w:gridSpan w:val="13"/>
          </w:tcPr>
          <w:p>
            <w:pPr>
              <w:spacing w:after="0" w:line="184" w:lineRule="exact"/>
              <w:rPr>
                <w:rFonts w:ascii="Arial" w:cs="Arial" w:eastAsia="Arial" w:hAnsi="Arial"/>
                <w:sz w:val="18"/>
                <w:szCs w:val="18"/>
                <w:color w:val="0000EE"/>
              </w:rPr>
            </w:pPr>
            <w:hyperlink w:anchor="page50">
              <w:r>
                <w:rPr>
                  <w:rFonts w:ascii="Arial" w:cs="Arial" w:eastAsia="Arial" w:hAnsi="Arial"/>
                  <w:sz w:val="18"/>
                  <w:szCs w:val="18"/>
                  <w:color w:val="0000EE"/>
                </w:rPr>
                <w:t>The Company</w:t>
              </w:r>
            </w:hyperlink>
          </w:p>
        </w:tc>
        <w:tc>
          <w:tcPr>
            <w:tcW w:w="1060" w:type="dxa"/>
            <w:vAlign w:val="bottom"/>
            <w:gridSpan w:val="2"/>
          </w:tcPr>
          <w:p>
            <w:pPr>
              <w:jc w:val="right"/>
              <w:spacing w:after="0" w:line="184" w:lineRule="exact"/>
              <w:rPr>
                <w:sz w:val="20"/>
                <w:szCs w:val="20"/>
                <w:color w:val="auto"/>
              </w:rPr>
            </w:pPr>
            <w:r>
              <w:rPr>
                <w:rFonts w:ascii="Arial" w:cs="Arial" w:eastAsia="Arial" w:hAnsi="Arial"/>
                <w:sz w:val="18"/>
                <w:szCs w:val="18"/>
                <w:color w:val="32406B"/>
              </w:rPr>
              <w:t>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This Prospectus Supplement</w:t>
              </w:r>
            </w:hyperlink>
          </w:p>
        </w:tc>
        <w:tc>
          <w:tcPr>
            <w:tcW w:w="1000" w:type="dxa"/>
            <w:vAlign w:val="bottom"/>
            <w:gridSpan w:val="4"/>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rPr>
              <w:t>S-iv</w:t>
            </w:r>
          </w:p>
        </w:tc>
        <w:tc>
          <w:tcPr>
            <w:tcW w:w="4320" w:type="dxa"/>
            <w:vAlign w:val="bottom"/>
            <w:gridSpan w:val="1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About this Prospectus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Summary</w:t>
              </w:r>
            </w:hyperlink>
          </w:p>
        </w:tc>
        <w:tc>
          <w:tcPr>
            <w:tcW w:w="1800" w:type="dxa"/>
            <w:vAlign w:val="bottom"/>
            <w:gridSpan w:val="7"/>
          </w:tcPr>
          <w:p>
            <w:pPr>
              <w:spacing w:after="0"/>
              <w:rPr>
                <w:sz w:val="17"/>
                <w:szCs w:val="17"/>
                <w:color w:val="auto"/>
              </w:rPr>
            </w:pPr>
          </w:p>
        </w:tc>
        <w:tc>
          <w:tcPr>
            <w:tcW w:w="2500" w:type="dxa"/>
            <w:vAlign w:val="bottom"/>
            <w:gridSpan w:val="5"/>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rPr>
              <w:t>S-1</w:t>
            </w:r>
          </w:p>
        </w:tc>
        <w:tc>
          <w:tcPr>
            <w:tcW w:w="432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Where You Can Find More Information</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4100" w:type="dxa"/>
            <w:vAlign w:val="bottom"/>
            <w:gridSpan w:val="11"/>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rPr>
              <w:t>S-8</w:t>
            </w: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Caution Concerning Forward-Looking Statements</w:t>
              </w:r>
            </w:hyperlink>
          </w:p>
        </w:tc>
        <w:tc>
          <w:tcPr>
            <w:tcW w:w="78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3</w:t>
            </w:r>
          </w:p>
        </w:tc>
        <w:tc>
          <w:tcPr>
            <w:tcW w:w="0" w:type="dxa"/>
            <w:vAlign w:val="bottom"/>
          </w:tcPr>
          <w:p>
            <w:pPr>
              <w:spacing w:after="0"/>
              <w:rPr>
                <w:sz w:val="1"/>
                <w:szCs w:val="1"/>
                <w:color w:val="auto"/>
              </w:rPr>
            </w:pPr>
          </w:p>
        </w:tc>
      </w:tr>
      <w:tr>
        <w:trPr>
          <w:trHeight w:val="196"/>
        </w:trPr>
        <w:tc>
          <w:tcPr>
            <w:tcW w:w="1140" w:type="dxa"/>
            <w:vAlign w:val="bottom"/>
            <w:gridSpan w:val="6"/>
          </w:tcPr>
          <w:p>
            <w:pPr>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Use of Proceeds</w:t>
              </w:r>
            </w:hyperlink>
          </w:p>
        </w:tc>
        <w:tc>
          <w:tcPr>
            <w:tcW w:w="3840" w:type="dxa"/>
            <w:vAlign w:val="bottom"/>
            <w:gridSpan w:val="8"/>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S-11</w:t>
            </w:r>
          </w:p>
        </w:tc>
        <w:tc>
          <w:tcPr>
            <w:tcW w:w="432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Use of Proceeds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Capitalization</w:t>
              </w:r>
            </w:hyperlink>
          </w:p>
        </w:tc>
        <w:tc>
          <w:tcPr>
            <w:tcW w:w="160" w:type="dxa"/>
            <w:vAlign w:val="bottom"/>
          </w:tcPr>
          <w:p>
            <w:pPr>
              <w:spacing w:after="0"/>
              <w:rPr>
                <w:sz w:val="17"/>
                <w:szCs w:val="17"/>
                <w:color w:val="auto"/>
              </w:rPr>
            </w:pPr>
          </w:p>
        </w:tc>
        <w:tc>
          <w:tcPr>
            <w:tcW w:w="3840" w:type="dxa"/>
            <w:vAlign w:val="bottom"/>
            <w:gridSpan w:val="8"/>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S-12</w:t>
            </w:r>
          </w:p>
        </w:tc>
        <w:tc>
          <w:tcPr>
            <w:tcW w:w="25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Ratios of Earnings to Fixed Charges</w:t>
              </w:r>
            </w:hyperlink>
          </w:p>
        </w:tc>
        <w:tc>
          <w:tcPr>
            <w:tcW w:w="1760" w:type="dxa"/>
            <w:vAlign w:val="bottom"/>
            <w:gridSpan w:val="3"/>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5</w:t>
            </w:r>
          </w:p>
        </w:tc>
        <w:tc>
          <w:tcPr>
            <w:tcW w:w="0" w:type="dxa"/>
            <w:vAlign w:val="bottom"/>
          </w:tcPr>
          <w:p>
            <w:pPr>
              <w:spacing w:after="0"/>
              <w:rPr>
                <w:sz w:val="1"/>
                <w:szCs w:val="1"/>
                <w:color w:val="auto"/>
              </w:rPr>
            </w:pPr>
          </w:p>
        </w:tc>
      </w:tr>
      <w:tr>
        <w:trPr>
          <w:trHeight w:val="196"/>
        </w:trPr>
        <w:tc>
          <w:tcPr>
            <w:tcW w:w="2540" w:type="dxa"/>
            <w:vAlign w:val="bottom"/>
            <w:gridSpan w:val="10"/>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Ratios of Earnings to Fixed Charges</w:t>
              </w:r>
            </w:hyperlink>
          </w:p>
        </w:tc>
        <w:tc>
          <w:tcPr>
            <w:tcW w:w="2440" w:type="dxa"/>
            <w:vAlign w:val="bottom"/>
            <w:gridSpan w:val="4"/>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S-13</w:t>
            </w:r>
          </w:p>
        </w:tc>
        <w:tc>
          <w:tcPr>
            <w:tcW w:w="4320" w:type="dxa"/>
            <w:vAlign w:val="bottom"/>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Capital Stock</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Unaudited Pro Forma Financial Information</w:t>
              </w:r>
            </w:hyperlink>
          </w:p>
        </w:tc>
        <w:tc>
          <w:tcPr>
            <w:tcW w:w="1880" w:type="dxa"/>
            <w:vAlign w:val="bottom"/>
            <w:gridSpan w:val="2"/>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S-14</w:t>
            </w:r>
          </w:p>
        </w:tc>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Description of Debt Securities</w:t>
              </w:r>
            </w:hyperlink>
          </w:p>
        </w:tc>
        <w:tc>
          <w:tcPr>
            <w:tcW w:w="2180" w:type="dxa"/>
            <w:vAlign w:val="bottom"/>
            <w:gridSpan w:val="4"/>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8</w:t>
            </w:r>
          </w:p>
        </w:tc>
        <w:tc>
          <w:tcPr>
            <w:tcW w:w="0" w:type="dxa"/>
            <w:vAlign w:val="bottom"/>
          </w:tcPr>
          <w:p>
            <w:pPr>
              <w:spacing w:after="0"/>
              <w:rPr>
                <w:sz w:val="1"/>
                <w:szCs w:val="1"/>
                <w:color w:val="auto"/>
              </w:rPr>
            </w:pPr>
          </w:p>
        </w:tc>
      </w:tr>
      <w:tr>
        <w:trPr>
          <w:trHeight w:val="196"/>
        </w:trPr>
        <w:tc>
          <w:tcPr>
            <w:tcW w:w="1720" w:type="dxa"/>
            <w:vAlign w:val="bottom"/>
            <w:gridSpan w:val="8"/>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Description of the Notes</w:t>
              </w:r>
            </w:hyperlink>
          </w:p>
        </w:tc>
        <w:tc>
          <w:tcPr>
            <w:tcW w:w="3260" w:type="dxa"/>
            <w:vAlign w:val="bottom"/>
            <w:gridSpan w:val="6"/>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S-22</w:t>
            </w:r>
          </w:p>
        </w:tc>
        <w:tc>
          <w:tcPr>
            <w:tcW w:w="4320" w:type="dxa"/>
            <w:vAlign w:val="bottom"/>
            <w:gridSpan w:val="1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Warrants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Material U.S. Federal Income Tax Consequences</w:t>
              </w:r>
            </w:hyperlink>
          </w:p>
        </w:tc>
        <w:tc>
          <w:tcPr>
            <w:tcW w:w="1500" w:type="dxa"/>
            <w:vAlign w:val="bottom"/>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S-32</w:t>
            </w: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Description of Units</w:t>
              </w:r>
            </w:hyperlink>
          </w:p>
        </w:tc>
        <w:tc>
          <w:tcPr>
            <w:tcW w:w="2840" w:type="dxa"/>
            <w:vAlign w:val="bottom"/>
            <w:gridSpan w:val="7"/>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18</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Underwriters</w:t>
              </w:r>
            </w:hyperlink>
          </w:p>
        </w:tc>
        <w:tc>
          <w:tcPr>
            <w:tcW w:w="4060" w:type="dxa"/>
            <w:vAlign w:val="bottom"/>
            <w:gridSpan w:val="10"/>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S-35</w:t>
            </w: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Forms of Securities</w:t>
              </w:r>
            </w:hyperlink>
          </w:p>
        </w:tc>
        <w:tc>
          <w:tcPr>
            <w:tcW w:w="2940" w:type="dxa"/>
            <w:vAlign w:val="bottom"/>
            <w:gridSpan w:val="9"/>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Validity of Securities</w:t>
              </w:r>
            </w:hyperlink>
          </w:p>
        </w:tc>
        <w:tc>
          <w:tcPr>
            <w:tcW w:w="3500" w:type="dxa"/>
            <w:vAlign w:val="bottom"/>
            <w:gridSpan w:val="7"/>
          </w:tcPr>
          <w:p>
            <w:pPr>
              <w:spacing w:after="0"/>
              <w:rPr>
                <w:sz w:val="17"/>
                <w:szCs w:val="17"/>
                <w:color w:val="auto"/>
              </w:rPr>
            </w:pPr>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S-40</w:t>
            </w:r>
          </w:p>
        </w:tc>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Plan of Distribution</w:t>
              </w:r>
            </w:hyperlink>
          </w:p>
        </w:tc>
        <w:tc>
          <w:tcPr>
            <w:tcW w:w="2920" w:type="dxa"/>
            <w:vAlign w:val="bottom"/>
            <w:gridSpan w:val="8"/>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21</w:t>
            </w:r>
          </w:p>
        </w:tc>
        <w:tc>
          <w:tcPr>
            <w:tcW w:w="0" w:type="dxa"/>
            <w:vAlign w:val="bottom"/>
          </w:tcPr>
          <w:p>
            <w:pPr>
              <w:spacing w:after="0"/>
              <w:rPr>
                <w:sz w:val="1"/>
                <w:szCs w:val="1"/>
                <w:color w:val="auto"/>
              </w:rPr>
            </w:pPr>
          </w:p>
        </w:tc>
      </w:tr>
      <w:tr>
        <w:trPr>
          <w:trHeight w:val="196"/>
        </w:trPr>
        <w:tc>
          <w:tcPr>
            <w:tcW w:w="498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S-40</w:t>
            </w:r>
          </w:p>
        </w:tc>
        <w:tc>
          <w:tcPr>
            <w:tcW w:w="4320" w:type="dxa"/>
            <w:vAlign w:val="bottom"/>
            <w:gridSpan w:val="1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Validity of Securities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Where You Can Find More Information</w:t>
              </w:r>
            </w:hyperlink>
          </w:p>
        </w:tc>
        <w:tc>
          <w:tcPr>
            <w:tcW w:w="8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32406B"/>
                <w:w w:val="94"/>
              </w:rPr>
              <w:t>S-40</w:t>
            </w:r>
          </w:p>
        </w:tc>
        <w:tc>
          <w:tcPr>
            <w:tcW w:w="4320" w:type="dxa"/>
            <w:vAlign w:val="bottom"/>
            <w:gridSpan w:val="1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325755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S-i</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CAUTIONARY NOTE ON FORWARD-LOOKING STATEMENTS</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32406B"/>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32406B"/>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900" w:right="120" w:hanging="446"/>
        <w:spacing w:after="0" w:line="268" w:lineRule="auto"/>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The ability of TI and National to consummate the National merger and the satisfaction of the conditions precedent to consummation of the National merger, including the ability to secure regulatory approvals at all or in a timely manner;</w:t>
      </w:r>
    </w:p>
    <w:p>
      <w:pPr>
        <w:spacing w:after="0" w:line="37" w:lineRule="exact"/>
        <w:rPr>
          <w:rFonts w:ascii="Arial" w:cs="Arial" w:eastAsia="Arial" w:hAnsi="Arial"/>
          <w:sz w:val="18"/>
          <w:szCs w:val="18"/>
          <w:color w:val="32406B"/>
        </w:rPr>
      </w:pPr>
    </w:p>
    <w:p>
      <w:pPr>
        <w:ind w:left="900" w:hanging="446"/>
        <w:spacing w:after="0"/>
        <w:tabs>
          <w:tab w:leader="none" w:pos="900" w:val="left"/>
        </w:tabs>
        <w:numPr>
          <w:ilvl w:val="0"/>
          <w:numId w:val="2"/>
        </w:numPr>
        <w:rPr>
          <w:rFonts w:ascii="Arial" w:cs="Arial" w:eastAsia="Arial" w:hAnsi="Arial"/>
          <w:sz w:val="16"/>
          <w:szCs w:val="16"/>
          <w:color w:val="32406B"/>
        </w:rPr>
      </w:pPr>
      <w:r>
        <w:rPr>
          <w:rFonts w:ascii="Arial" w:cs="Arial" w:eastAsia="Arial" w:hAnsi="Arial"/>
          <w:sz w:val="16"/>
          <w:szCs w:val="16"/>
          <w:color w:val="32406B"/>
        </w:rPr>
        <w:t>The ability of TI to successfully integrate National’s operations, product lines and technology and realize additional opportunities for growth;</w:t>
      </w:r>
    </w:p>
    <w:p>
      <w:pPr>
        <w:spacing w:after="0" w:line="126" w:lineRule="exact"/>
        <w:rPr>
          <w:rFonts w:ascii="Arial" w:cs="Arial" w:eastAsia="Arial" w:hAnsi="Arial"/>
          <w:sz w:val="16"/>
          <w:szCs w:val="16"/>
          <w:color w:val="32406B"/>
        </w:rPr>
      </w:pPr>
    </w:p>
    <w:p>
      <w:pPr>
        <w:ind w:left="900" w:hanging="446"/>
        <w:spacing w:after="0"/>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The ability of TI to realize synergies in terms of growth and cost savings;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
        </w:numPr>
        <w:rPr>
          <w:rFonts w:ascii="Arial" w:cs="Arial" w:eastAsia="Arial" w:hAnsi="Arial"/>
          <w:sz w:val="16"/>
          <w:szCs w:val="16"/>
          <w:color w:val="32406B"/>
        </w:rPr>
      </w:pPr>
      <w:r>
        <w:rPr>
          <w:rFonts w:ascii="Arial" w:cs="Arial" w:eastAsia="Arial" w:hAnsi="Arial"/>
          <w:sz w:val="16"/>
          <w:szCs w:val="16"/>
          <w:color w:val="32406B"/>
        </w:rPr>
        <w:t>Market demand for semiconductors, particularly in key markets such as communications, computing, industrial, and consumer electronics;</w:t>
      </w:r>
    </w:p>
    <w:p>
      <w:pPr>
        <w:spacing w:after="0" w:line="126" w:lineRule="exact"/>
        <w:rPr>
          <w:rFonts w:ascii="Arial" w:cs="Arial" w:eastAsia="Arial" w:hAnsi="Arial"/>
          <w:sz w:val="16"/>
          <w:szCs w:val="16"/>
          <w:color w:val="32406B"/>
        </w:rPr>
      </w:pPr>
    </w:p>
    <w:p>
      <w:pPr>
        <w:ind w:left="900" w:right="420" w:hanging="446"/>
        <w:spacing w:after="0" w:line="268" w:lineRule="auto"/>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32406B"/>
        </w:rPr>
      </w:pPr>
    </w:p>
    <w:p>
      <w:pPr>
        <w:ind w:left="900" w:hanging="446"/>
        <w:spacing w:after="0"/>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TI’s ability to develop, manufacture and market innovative products in a rapidly changing technological environment;</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TI’s ability to compete in products and prices in an intensely competitive industry;</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Expiration of license agreements between TI and its patent licensees, and market conditions reducing royalty payments to TI;</w:t>
      </w:r>
    </w:p>
    <w:p>
      <w:pPr>
        <w:spacing w:after="0" w:line="103" w:lineRule="exact"/>
        <w:rPr>
          <w:rFonts w:ascii="Arial" w:cs="Arial" w:eastAsia="Arial" w:hAnsi="Arial"/>
          <w:sz w:val="18"/>
          <w:szCs w:val="18"/>
          <w:color w:val="32406B"/>
        </w:rPr>
      </w:pPr>
    </w:p>
    <w:p>
      <w:pPr>
        <w:ind w:left="900" w:right="720" w:hanging="446"/>
        <w:spacing w:after="0" w:line="325" w:lineRule="auto"/>
        <w:tabs>
          <w:tab w:leader="none" w:pos="900" w:val="left"/>
        </w:tabs>
        <w:numPr>
          <w:ilvl w:val="0"/>
          <w:numId w:val="2"/>
        </w:numPr>
        <w:rPr>
          <w:rFonts w:ascii="Arial" w:cs="Arial" w:eastAsia="Arial" w:hAnsi="Arial"/>
          <w:sz w:val="16"/>
          <w:szCs w:val="16"/>
          <w:color w:val="32406B"/>
        </w:rPr>
      </w:pPr>
      <w:r>
        <w:rPr>
          <w:rFonts w:ascii="Arial" w:cs="Arial" w:eastAsia="Arial" w:hAnsi="Arial"/>
          <w:sz w:val="16"/>
          <w:szCs w:val="16"/>
          <w:color w:val="32406B"/>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6"/>
          <w:szCs w:val="16"/>
          <w:color w:val="32406B"/>
        </w:rPr>
      </w:pPr>
    </w:p>
    <w:p>
      <w:pPr>
        <w:ind w:left="900" w:hanging="446"/>
        <w:spacing w:after="0"/>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
        </w:numPr>
        <w:rPr>
          <w:rFonts w:ascii="Arial" w:cs="Arial" w:eastAsia="Arial" w:hAnsi="Arial"/>
          <w:sz w:val="16"/>
          <w:szCs w:val="16"/>
          <w:color w:val="32406B"/>
        </w:rPr>
      </w:pPr>
      <w:r>
        <w:rPr>
          <w:rFonts w:ascii="Arial" w:cs="Arial" w:eastAsia="Arial" w:hAnsi="Arial"/>
          <w:sz w:val="16"/>
          <w:szCs w:val="16"/>
          <w:color w:val="32406B"/>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32406B"/>
        </w:rPr>
      </w:pPr>
    </w:p>
    <w:p>
      <w:pPr>
        <w:ind w:left="900" w:right="200" w:hanging="446"/>
        <w:spacing w:after="0" w:line="268" w:lineRule="auto"/>
        <w:tabs>
          <w:tab w:leader="none" w:pos="900"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32406B"/>
        </w:rPr>
      </w:pPr>
    </w:p>
    <w:p>
      <w:pPr>
        <w:ind w:left="900" w:hanging="446"/>
        <w:spacing w:after="0" w:line="332" w:lineRule="auto"/>
        <w:tabs>
          <w:tab w:leader="none" w:pos="900" w:val="left"/>
        </w:tabs>
        <w:numPr>
          <w:ilvl w:val="0"/>
          <w:numId w:val="2"/>
        </w:numPr>
        <w:rPr>
          <w:rFonts w:ascii="Arial" w:cs="Arial" w:eastAsia="Arial" w:hAnsi="Arial"/>
          <w:sz w:val="16"/>
          <w:szCs w:val="16"/>
          <w:color w:val="32406B"/>
        </w:rPr>
      </w:pPr>
      <w:r>
        <w:rPr>
          <w:rFonts w:ascii="Arial" w:cs="Arial" w:eastAsia="Arial" w:hAnsi="Arial"/>
          <w:sz w:val="16"/>
          <w:szCs w:val="16"/>
          <w:color w:val="32406B"/>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32406B"/>
        </w:rPr>
      </w:pPr>
      <w:r>
        <w:rPr>
          <w:rFonts w:ascii="Arial" w:cs="Arial" w:eastAsia="Arial" w:hAnsi="Arial"/>
          <w:sz w:val="16"/>
          <w:szCs w:val="16"/>
          <w:color w:val="32406B"/>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32406B"/>
        </w:rPr>
      </w:pPr>
    </w:p>
    <w:p>
      <w:pPr>
        <w:ind w:left="900" w:hanging="446"/>
        <w:spacing w:after="0"/>
        <w:tabs>
          <w:tab w:leader="none" w:pos="9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Customer demand that differs from our forecasts;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The financial impact of inadequate or excess TI inventory that results from demand that differs from projections;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Impairments of our non-financial assets;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3"/>
        </w:numPr>
        <w:rPr>
          <w:rFonts w:ascii="Arial" w:cs="Arial" w:eastAsia="Arial" w:hAnsi="Arial"/>
          <w:sz w:val="16"/>
          <w:szCs w:val="16"/>
          <w:color w:val="32406B"/>
        </w:rPr>
      </w:pPr>
      <w:r>
        <w:rPr>
          <w:rFonts w:ascii="Arial" w:cs="Arial" w:eastAsia="Arial" w:hAnsi="Arial"/>
          <w:sz w:val="16"/>
          <w:szCs w:val="16"/>
          <w:color w:val="32406B"/>
        </w:rPr>
        <w:t>Product liability or warranty claims, claims based on epidemic or delivery failure or recalls by TI customers for a product containing a TI part;</w:t>
      </w:r>
    </w:p>
    <w:p>
      <w:pPr>
        <w:spacing w:after="0" w:line="126" w:lineRule="exact"/>
        <w:rPr>
          <w:rFonts w:ascii="Arial" w:cs="Arial" w:eastAsia="Arial" w:hAnsi="Arial"/>
          <w:sz w:val="16"/>
          <w:szCs w:val="16"/>
          <w:color w:val="32406B"/>
        </w:rPr>
      </w:pPr>
    </w:p>
    <w:p>
      <w:pPr>
        <w:ind w:left="900" w:hanging="446"/>
        <w:spacing w:after="0"/>
        <w:tabs>
          <w:tab w:leader="none" w:pos="9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TI’s ability to recruit and retain skilled personnel; and</w:t>
      </w:r>
    </w:p>
    <w:p>
      <w:pPr>
        <w:spacing w:after="0" w:line="103" w:lineRule="exact"/>
        <w:rPr>
          <w:rFonts w:ascii="Arial" w:cs="Arial" w:eastAsia="Arial" w:hAnsi="Arial"/>
          <w:sz w:val="18"/>
          <w:szCs w:val="18"/>
          <w:color w:val="32406B"/>
        </w:rPr>
      </w:pPr>
    </w:p>
    <w:p>
      <w:pPr>
        <w:ind w:left="900" w:right="120" w:hanging="446"/>
        <w:spacing w:after="0" w:line="268" w:lineRule="auto"/>
        <w:tabs>
          <w:tab w:leader="none" w:pos="90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32406B"/>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other periodic filings with the Securities and Exchange Commission.</w:t>
      </w:r>
    </w:p>
    <w:p>
      <w:pPr>
        <w:spacing w:after="0" w:line="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S-iii</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32406B"/>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32406B"/>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2010.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32406B"/>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32406B"/>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32406B"/>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06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206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SUMMARY</w:t>
      </w:r>
    </w:p>
    <w:p>
      <w:pPr>
        <w:spacing w:after="0" w:line="164"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32406B"/>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Texas Instruments Incorporated</w:t>
      </w:r>
    </w:p>
    <w:p>
      <w:pPr>
        <w:spacing w:after="0" w:line="8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32406B"/>
        </w:rPr>
        <w:t>At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99"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32406B"/>
        </w:rPr>
        <w:t>We were the world’s fourth largest semiconductor company in 2010 as measured by revenue, according to an external source. We own and operate semiconductor manufacturing facilities in North America, Asia and Europe. Over the last few years we have expanded our sales networks in the emerging markets of China, India and Eastern Europe. Additionally, we sell calculators and related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Recent Developments</w:t>
      </w:r>
    </w:p>
    <w:p>
      <w:pPr>
        <w:spacing w:after="0" w:line="8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32406B"/>
        </w:rPr>
        <w:t>On April 4, 2011, we and National signed a Merger Agreement under which we will acquire National for $25 per share in an all-cash transaction of about $6.5 billion. We or National may terminate the Merger Agreement if the National merger has not occurred by January 4, 2012. The termination date under the Merger Agreement is subject to an automatic three-month extension if certain antitrust approvals have not been received and we and National may further extend the termination date under the Merger Agreement by mutual agreement.</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32406B"/>
        </w:rPr>
        <w:t>Our principal executive offices are located at 12500 TI Boulevard, Dallas, Texas 75266-0199, and our telephone number is (972) 995-3773. We</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2406B"/>
        </w:rPr>
        <w:t>maintain a website at www.ti.com where general information about us is available. We are not incorporating the contents of the website into this prospectus.</w:t>
      </w:r>
    </w:p>
    <w:p>
      <w:pPr>
        <w:spacing w:after="0" w:line="174" w:lineRule="exact"/>
        <w:rPr>
          <w:sz w:val="20"/>
          <w:szCs w:val="20"/>
          <w:color w:val="auto"/>
        </w:rPr>
      </w:pPr>
    </w:p>
    <w:p>
      <w:pPr>
        <w:jc w:val="both"/>
        <w:ind w:left="200" w:right="400" w:firstLine="443"/>
        <w:spacing w:after="0" w:line="259" w:lineRule="auto"/>
        <w:rPr>
          <w:sz w:val="20"/>
          <w:szCs w:val="20"/>
          <w:color w:val="auto"/>
        </w:rPr>
      </w:pPr>
      <w:r>
        <w:rPr>
          <w:rFonts w:ascii="Arial" w:cs="Arial" w:eastAsia="Arial" w:hAnsi="Arial"/>
          <w:sz w:val="18"/>
          <w:szCs w:val="18"/>
          <w:color w:val="32406B"/>
        </w:rPr>
        <w:t>For a description of our business, financial condition, results of operations and other important information regarding us, see our filings with the Securities and Exchange Commission incorporated by reference in this prospectus. For instructions on how to find copies of these and our other filings incorporated by reference in this prospectus, see “Where You Can Find More Information.”</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S-1</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The Offering</w:t>
      </w:r>
    </w:p>
    <w:p>
      <w:pPr>
        <w:spacing w:after="0" w:line="164" w:lineRule="exact"/>
        <w:rPr>
          <w:sz w:val="20"/>
          <w:szCs w:val="20"/>
          <w:color w:val="auto"/>
        </w:rPr>
      </w:pPr>
    </w:p>
    <w:p>
      <w:pPr>
        <w:ind w:left="200" w:right="580" w:firstLine="443"/>
        <w:spacing w:after="0" w:line="259" w:lineRule="auto"/>
        <w:rPr>
          <w:sz w:val="20"/>
          <w:szCs w:val="20"/>
          <w:color w:val="auto"/>
        </w:rPr>
      </w:pPr>
      <w:r>
        <w:rPr>
          <w:rFonts w:ascii="Arial" w:cs="Arial" w:eastAsia="Arial" w:hAnsi="Arial"/>
          <w:sz w:val="18"/>
          <w:szCs w:val="18"/>
          <w:color w:val="32406B"/>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prospectus contain a more detailed description of the terms and conditions of the Notes.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32406B"/>
              </w:rPr>
              <w:t>Issuer</w:t>
            </w:r>
          </w:p>
        </w:tc>
        <w:tc>
          <w:tcPr>
            <w:tcW w:w="8340" w:type="dxa"/>
            <w:vAlign w:val="bottom"/>
          </w:tcPr>
          <w:p>
            <w:pPr>
              <w:ind w:left="1280"/>
              <w:spacing w:after="0"/>
              <w:rPr>
                <w:sz w:val="20"/>
                <w:szCs w:val="20"/>
                <w:color w:val="auto"/>
              </w:rPr>
            </w:pPr>
            <w:r>
              <w:rPr>
                <w:rFonts w:ascii="Arial" w:cs="Arial" w:eastAsia="Arial" w:hAnsi="Arial"/>
                <w:sz w:val="18"/>
                <w:szCs w:val="18"/>
                <w:color w:val="32406B"/>
              </w:rPr>
              <w:t>Texas Instruments Incorporated</w:t>
            </w:r>
          </w:p>
        </w:tc>
      </w:tr>
      <w:tr>
        <w:trPr>
          <w:trHeight w:val="378"/>
        </w:trPr>
        <w:tc>
          <w:tcPr>
            <w:tcW w:w="3120" w:type="dxa"/>
            <w:vAlign w:val="bottom"/>
          </w:tcPr>
          <w:p>
            <w:pPr>
              <w:ind w:left="200"/>
              <w:spacing w:after="0"/>
              <w:rPr>
                <w:sz w:val="20"/>
                <w:szCs w:val="20"/>
                <w:color w:val="auto"/>
              </w:rPr>
            </w:pPr>
            <w:r>
              <w:rPr>
                <w:rFonts w:ascii="Arial" w:cs="Arial" w:eastAsia="Arial" w:hAnsi="Arial"/>
                <w:sz w:val="18"/>
                <w:szCs w:val="18"/>
                <w:color w:val="32406B"/>
              </w:rPr>
              <w:t>Securities Offered</w:t>
            </w:r>
          </w:p>
        </w:tc>
        <w:tc>
          <w:tcPr>
            <w:tcW w:w="8340" w:type="dxa"/>
            <w:vAlign w:val="bottom"/>
          </w:tcPr>
          <w:p>
            <w:pPr>
              <w:ind w:left="1280"/>
              <w:spacing w:after="0"/>
              <w:rPr>
                <w:sz w:val="20"/>
                <w:szCs w:val="20"/>
                <w:color w:val="auto"/>
              </w:rPr>
            </w:pPr>
            <w:r>
              <w:rPr>
                <w:rFonts w:ascii="Arial" w:cs="Arial" w:eastAsia="Arial" w:hAnsi="Arial"/>
                <w:sz w:val="18"/>
                <w:szCs w:val="18"/>
                <w:color w:val="32406B"/>
              </w:rPr>
              <w:t>$1,000,000,000 aggregate principal amount of 2013 Floating Rate Notes</w:t>
            </w:r>
          </w:p>
        </w:tc>
      </w:tr>
      <w:tr>
        <w:trPr>
          <w:trHeight w:val="297"/>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$500,000,000 aggregate principal amount of 0.875% Notes due 2013</w:t>
            </w:r>
          </w:p>
        </w:tc>
      </w:tr>
      <w:tr>
        <w:trPr>
          <w:trHeight w:val="284"/>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$1,000,000,000 aggregate principal amount of 1.375% Notes due 2014</w:t>
            </w:r>
          </w:p>
        </w:tc>
      </w:tr>
      <w:tr>
        <w:trPr>
          <w:trHeight w:val="284"/>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$1,000,000,000 aggregate principal amount of 2.375% Notes due 2016</w:t>
            </w:r>
          </w:p>
        </w:tc>
      </w:tr>
      <w:tr>
        <w:trPr>
          <w:trHeight w:val="365"/>
        </w:trPr>
        <w:tc>
          <w:tcPr>
            <w:tcW w:w="3120" w:type="dxa"/>
            <w:vAlign w:val="bottom"/>
          </w:tcPr>
          <w:p>
            <w:pPr>
              <w:ind w:left="200"/>
              <w:spacing w:after="0"/>
              <w:rPr>
                <w:sz w:val="20"/>
                <w:szCs w:val="20"/>
                <w:color w:val="auto"/>
              </w:rPr>
            </w:pPr>
            <w:r>
              <w:rPr>
                <w:rFonts w:ascii="Arial" w:cs="Arial" w:eastAsia="Arial" w:hAnsi="Arial"/>
                <w:sz w:val="18"/>
                <w:szCs w:val="18"/>
                <w:color w:val="32406B"/>
              </w:rPr>
              <w:t>Maturity Dates</w:t>
            </w:r>
          </w:p>
        </w:tc>
        <w:tc>
          <w:tcPr>
            <w:tcW w:w="8340" w:type="dxa"/>
            <w:vAlign w:val="bottom"/>
          </w:tcPr>
          <w:p>
            <w:pPr>
              <w:ind w:left="1280"/>
              <w:spacing w:after="0"/>
              <w:rPr>
                <w:sz w:val="20"/>
                <w:szCs w:val="20"/>
                <w:color w:val="auto"/>
              </w:rPr>
            </w:pPr>
            <w:r>
              <w:rPr>
                <w:rFonts w:ascii="Arial" w:cs="Arial" w:eastAsia="Arial" w:hAnsi="Arial"/>
                <w:sz w:val="18"/>
                <w:szCs w:val="18"/>
                <w:color w:val="32406B"/>
              </w:rPr>
              <w:t>May 15, 2013 for the 2013 Floating Rate Notes</w:t>
            </w:r>
          </w:p>
        </w:tc>
      </w:tr>
      <w:tr>
        <w:trPr>
          <w:trHeight w:val="297"/>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May 15, 2013 for the 2013 Notes</w:t>
            </w:r>
          </w:p>
        </w:tc>
      </w:tr>
      <w:tr>
        <w:trPr>
          <w:trHeight w:val="284"/>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May 15, 2014 for the 2014 Notes</w:t>
            </w:r>
          </w:p>
        </w:tc>
      </w:tr>
      <w:tr>
        <w:trPr>
          <w:trHeight w:val="284"/>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May 16, 2016 for the 2016 Notes</w:t>
            </w:r>
          </w:p>
        </w:tc>
      </w:tr>
      <w:tr>
        <w:trPr>
          <w:trHeight w:val="365"/>
        </w:trPr>
        <w:tc>
          <w:tcPr>
            <w:tcW w:w="3120" w:type="dxa"/>
            <w:vAlign w:val="bottom"/>
          </w:tcPr>
          <w:p>
            <w:pPr>
              <w:ind w:left="200"/>
              <w:spacing w:after="0"/>
              <w:rPr>
                <w:sz w:val="20"/>
                <w:szCs w:val="20"/>
                <w:color w:val="auto"/>
              </w:rPr>
            </w:pPr>
            <w:r>
              <w:rPr>
                <w:rFonts w:ascii="Arial" w:cs="Arial" w:eastAsia="Arial" w:hAnsi="Arial"/>
                <w:sz w:val="18"/>
                <w:szCs w:val="18"/>
                <w:color w:val="32406B"/>
              </w:rPr>
              <w:t>Original Issue Date</w:t>
            </w:r>
          </w:p>
        </w:tc>
        <w:tc>
          <w:tcPr>
            <w:tcW w:w="8340" w:type="dxa"/>
            <w:vAlign w:val="bottom"/>
          </w:tcPr>
          <w:p>
            <w:pPr>
              <w:ind w:left="1280"/>
              <w:spacing w:after="0"/>
              <w:rPr>
                <w:sz w:val="20"/>
                <w:szCs w:val="20"/>
                <w:color w:val="auto"/>
              </w:rPr>
            </w:pPr>
            <w:r>
              <w:rPr>
                <w:rFonts w:ascii="Arial" w:cs="Arial" w:eastAsia="Arial" w:hAnsi="Arial"/>
                <w:sz w:val="18"/>
                <w:szCs w:val="18"/>
                <w:color w:val="32406B"/>
              </w:rPr>
              <w:t>May 23, 2011</w:t>
            </w:r>
          </w:p>
        </w:tc>
      </w:tr>
      <w:tr>
        <w:trPr>
          <w:trHeight w:val="378"/>
        </w:trPr>
        <w:tc>
          <w:tcPr>
            <w:tcW w:w="3120" w:type="dxa"/>
            <w:vAlign w:val="bottom"/>
          </w:tcPr>
          <w:p>
            <w:pPr>
              <w:ind w:left="200"/>
              <w:spacing w:after="0"/>
              <w:rPr>
                <w:sz w:val="20"/>
                <w:szCs w:val="20"/>
                <w:color w:val="auto"/>
              </w:rPr>
            </w:pPr>
            <w:r>
              <w:rPr>
                <w:rFonts w:ascii="Arial" w:cs="Arial" w:eastAsia="Arial" w:hAnsi="Arial"/>
                <w:sz w:val="18"/>
                <w:szCs w:val="18"/>
                <w:color w:val="32406B"/>
              </w:rPr>
              <w:t>Interest Rates</w:t>
            </w:r>
          </w:p>
        </w:tc>
        <w:tc>
          <w:tcPr>
            <w:tcW w:w="8340" w:type="dxa"/>
            <w:vAlign w:val="bottom"/>
          </w:tcPr>
          <w:p>
            <w:pPr>
              <w:ind w:left="1280"/>
              <w:spacing w:after="0"/>
              <w:rPr>
                <w:sz w:val="20"/>
                <w:szCs w:val="20"/>
                <w:color w:val="auto"/>
              </w:rPr>
            </w:pPr>
            <w:r>
              <w:rPr>
                <w:rFonts w:ascii="Arial" w:cs="Arial" w:eastAsia="Arial" w:hAnsi="Arial"/>
                <w:sz w:val="18"/>
                <w:szCs w:val="18"/>
                <w:color w:val="32406B"/>
              </w:rPr>
              <w:t>Fixed rate of 0.875% for the 2013 Notes</w:t>
            </w:r>
          </w:p>
        </w:tc>
      </w:tr>
      <w:tr>
        <w:trPr>
          <w:trHeight w:val="297"/>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Fixed rate of 1.375% for the 2014 Notes</w:t>
            </w:r>
          </w:p>
        </w:tc>
      </w:tr>
      <w:tr>
        <w:trPr>
          <w:trHeight w:val="284"/>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Fixed rate of 2.375% for the 2016 Notes</w:t>
            </w:r>
          </w:p>
        </w:tc>
      </w:tr>
      <w:tr>
        <w:trPr>
          <w:trHeight w:val="358"/>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w w:val="91"/>
              </w:rPr>
              <w:t>Interest on the 2013 Floating Rate Notes will be determined as set forth under “Description of the</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Notes—Interest on Floating Rate Notes.”</w:t>
            </w:r>
          </w:p>
        </w:tc>
      </w:tr>
      <w:tr>
        <w:trPr>
          <w:trHeight w:val="358"/>
        </w:trPr>
        <w:tc>
          <w:tcPr>
            <w:tcW w:w="3120" w:type="dxa"/>
            <w:vAlign w:val="bottom"/>
          </w:tcPr>
          <w:p>
            <w:pPr>
              <w:ind w:left="200"/>
              <w:spacing w:after="0"/>
              <w:rPr>
                <w:sz w:val="20"/>
                <w:szCs w:val="20"/>
                <w:color w:val="auto"/>
              </w:rPr>
            </w:pPr>
            <w:r>
              <w:rPr>
                <w:rFonts w:ascii="Arial" w:cs="Arial" w:eastAsia="Arial" w:hAnsi="Arial"/>
                <w:sz w:val="18"/>
                <w:szCs w:val="18"/>
                <w:color w:val="32406B"/>
              </w:rPr>
              <w:t>Interest Payment Dates</w:t>
            </w:r>
          </w:p>
        </w:tc>
        <w:tc>
          <w:tcPr>
            <w:tcW w:w="8340" w:type="dxa"/>
            <w:vAlign w:val="bottom"/>
          </w:tcPr>
          <w:p>
            <w:pPr>
              <w:ind w:left="1280"/>
              <w:spacing w:after="0"/>
              <w:rPr>
                <w:sz w:val="20"/>
                <w:szCs w:val="20"/>
                <w:color w:val="auto"/>
              </w:rPr>
            </w:pPr>
            <w:r>
              <w:rPr>
                <w:rFonts w:ascii="Arial" w:cs="Arial" w:eastAsia="Arial" w:hAnsi="Arial"/>
                <w:sz w:val="18"/>
                <w:szCs w:val="18"/>
                <w:color w:val="32406B"/>
                <w:w w:val="93"/>
              </w:rPr>
              <w:t>Each May 15 and November 15 beginning on November 15, 2011, and on the maturity date for</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each series of Fixed Rate Notes.</w:t>
            </w:r>
          </w:p>
        </w:tc>
      </w:tr>
      <w:tr>
        <w:trPr>
          <w:trHeight w:val="358"/>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w w:val="97"/>
              </w:rPr>
              <w:t>Interest on the 2013 Floating Rate Notes will be paid quarterly in arrears as set forth under</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“Description of the Notes—Interest on Floating Rate Notes.”</w:t>
            </w:r>
          </w:p>
        </w:tc>
      </w:tr>
      <w:tr>
        <w:trPr>
          <w:trHeight w:val="358"/>
        </w:trPr>
        <w:tc>
          <w:tcPr>
            <w:tcW w:w="3120" w:type="dxa"/>
            <w:vAlign w:val="bottom"/>
          </w:tcPr>
          <w:p>
            <w:pPr>
              <w:ind w:left="200"/>
              <w:spacing w:after="0"/>
              <w:rPr>
                <w:sz w:val="20"/>
                <w:szCs w:val="20"/>
                <w:color w:val="auto"/>
              </w:rPr>
            </w:pPr>
            <w:r>
              <w:rPr>
                <w:rFonts w:ascii="Arial" w:cs="Arial" w:eastAsia="Arial" w:hAnsi="Arial"/>
                <w:sz w:val="18"/>
                <w:szCs w:val="18"/>
                <w:color w:val="32406B"/>
              </w:rPr>
              <w:t>Ranking</w:t>
            </w:r>
          </w:p>
        </w:tc>
        <w:tc>
          <w:tcPr>
            <w:tcW w:w="8340" w:type="dxa"/>
            <w:vAlign w:val="bottom"/>
          </w:tcPr>
          <w:p>
            <w:pPr>
              <w:ind w:left="1280"/>
              <w:spacing w:after="0"/>
              <w:rPr>
                <w:sz w:val="20"/>
                <w:szCs w:val="20"/>
                <w:color w:val="auto"/>
              </w:rPr>
            </w:pPr>
            <w:r>
              <w:rPr>
                <w:rFonts w:ascii="Arial" w:cs="Arial" w:eastAsia="Arial" w:hAnsi="Arial"/>
                <w:sz w:val="18"/>
                <w:szCs w:val="18"/>
                <w:color w:val="32406B"/>
                <w:w w:val="94"/>
              </w:rPr>
              <w:t>The Notes will be the senior unsecured obligations of Texas Instruments Incorporated and will</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w w:val="92"/>
              </w:rPr>
              <w:t>rank equally with all of its existing and future senior indebtedness from time to time outstanding.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All existing and future liabilities of subsidiaries of Texas Instruments Incorporated will be</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effectively senior to the Notes.</w:t>
            </w:r>
          </w:p>
        </w:tc>
      </w:tr>
      <w:tr>
        <w:trPr>
          <w:trHeight w:val="358"/>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w w:val="93"/>
              </w:rPr>
              <w:t>As of March 31, 2011, Texas Instruments Incorporated had no outstanding indebtedness. As of</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32406B"/>
              </w:rPr>
              <w:t>March 31, 2011, we had</w:t>
            </w:r>
          </w:p>
        </w:tc>
      </w:tr>
      <w:tr>
        <w:trPr>
          <w:trHeight w:val="161"/>
        </w:trPr>
        <w:tc>
          <w:tcPr>
            <w:tcW w:w="3120" w:type="dxa"/>
            <w:vAlign w:val="bottom"/>
            <w:tcBorders>
              <w:bottom w:val="single" w:sz="8" w:color="32406B"/>
            </w:tcBorders>
          </w:tcPr>
          <w:p>
            <w:pPr>
              <w:spacing w:after="0"/>
              <w:rPr>
                <w:sz w:val="13"/>
                <w:szCs w:val="13"/>
                <w:color w:val="auto"/>
              </w:rPr>
            </w:pPr>
          </w:p>
        </w:tc>
        <w:tc>
          <w:tcPr>
            <w:tcW w:w="8340" w:type="dxa"/>
            <w:vAlign w:val="bottom"/>
            <w:tcBorders>
              <w:bottom w:val="single" w:sz="8" w:color="32406B"/>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480"/>
              <w:spacing w:after="0"/>
              <w:rPr>
                <w:sz w:val="20"/>
                <w:szCs w:val="20"/>
                <w:color w:val="auto"/>
              </w:rPr>
            </w:pPr>
            <w:r>
              <w:rPr>
                <w:rFonts w:ascii="Arial" w:cs="Arial" w:eastAsia="Arial" w:hAnsi="Arial"/>
                <w:sz w:val="18"/>
                <w:szCs w:val="18"/>
                <w:color w:val="32406B"/>
              </w:rPr>
              <w:t>S-2</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20"/>
        <w:spacing w:after="0" w:line="306" w:lineRule="auto"/>
        <w:rPr>
          <w:sz w:val="20"/>
          <w:szCs w:val="20"/>
          <w:color w:val="auto"/>
        </w:rPr>
      </w:pPr>
      <w:r>
        <w:rPr>
          <w:rFonts w:ascii="Arial" w:cs="Arial" w:eastAsia="Arial" w:hAnsi="Arial"/>
          <w:sz w:val="16"/>
          <w:szCs w:val="16"/>
          <w:color w:val="32406B"/>
        </w:rPr>
        <w:t>approximately $2.7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pacing w:after="0" w:line="107" w:lineRule="exact"/>
        <w:rPr>
          <w:sz w:val="20"/>
          <w:szCs w:val="20"/>
          <w:color w:val="auto"/>
        </w:rPr>
      </w:pPr>
    </w:p>
    <w:p>
      <w:pPr>
        <w:ind w:left="4400" w:right="340"/>
        <w:spacing w:after="0" w:line="259" w:lineRule="auto"/>
        <w:rPr>
          <w:sz w:val="20"/>
          <w:szCs w:val="20"/>
          <w:color w:val="auto"/>
        </w:rPr>
      </w:pPr>
      <w:r>
        <w:rPr>
          <w:rFonts w:ascii="Arial" w:cs="Arial" w:eastAsia="Arial" w:hAnsi="Arial"/>
          <w:sz w:val="18"/>
          <w:szCs w:val="18"/>
          <w:color w:val="32406B"/>
        </w:rPr>
        <w:t>On a pro forma basis after giving effect to the National merger, this offering and the application of the net proceeds thereof, as more fully described in “Use of Proceeds” in this prospectus supplement, as of March 31, 2011:</w:t>
      </w:r>
    </w:p>
    <w:p>
      <w:pPr>
        <w:spacing w:after="0" w:line="46" w:lineRule="exact"/>
        <w:rPr>
          <w:sz w:val="20"/>
          <w:szCs w:val="20"/>
          <w:color w:val="auto"/>
        </w:rPr>
      </w:pPr>
    </w:p>
    <w:p>
      <w:pPr>
        <w:ind w:left="4620" w:right="280" w:hanging="179"/>
        <w:spacing w:after="0" w:line="259" w:lineRule="auto"/>
        <w:tabs>
          <w:tab w:leader="none" w:pos="4600" w:val="left"/>
        </w:tabs>
        <w:rPr>
          <w:sz w:val="20"/>
          <w:szCs w:val="20"/>
          <w:color w:val="auto"/>
        </w:rPr>
      </w:pPr>
      <w:r>
        <w:rPr>
          <w:rFonts w:ascii="Arial" w:cs="Arial" w:eastAsia="Arial" w:hAnsi="Arial"/>
          <w:sz w:val="18"/>
          <w:szCs w:val="18"/>
          <w:color w:val="32406B"/>
        </w:rPr>
        <w:t>•</w:t>
        <w:tab/>
        <w:t>Texas Instruments Incorporated would have had approximately $3.5 billion of total long-term indebtedness (including the Notes), all of which would constitute senior and unsubordinated indebtedness;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60" w:type="dxa"/>
            <w:vAlign w:val="bottom"/>
          </w:tcPr>
          <w:p>
            <w:pPr>
              <w:spacing w:after="0"/>
              <w:rPr>
                <w:sz w:val="19"/>
                <w:szCs w:val="19"/>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32406B"/>
                <w:w w:val="99"/>
              </w:rPr>
              <w:t>• we would have had approximately $9.1 billion of total liabilities on a consolidated basis;</w:t>
            </w:r>
          </w:p>
        </w:tc>
      </w:tr>
      <w:tr>
        <w:trPr>
          <w:trHeight w:val="304"/>
        </w:trPr>
        <w:tc>
          <w:tcPr>
            <w:tcW w:w="3160" w:type="dxa"/>
            <w:vAlign w:val="bottom"/>
          </w:tcPr>
          <w:p>
            <w:pPr>
              <w:spacing w:after="0"/>
              <w:rPr>
                <w:sz w:val="24"/>
                <w:szCs w:val="24"/>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32406B"/>
                <w:w w:val="94"/>
              </w:rPr>
              <w:t>• Texas Instruments Incorporated would not have had any secured indebtedness to which the</w:t>
            </w:r>
          </w:p>
        </w:tc>
      </w:tr>
      <w:tr>
        <w:trPr>
          <w:trHeight w:val="222"/>
        </w:trPr>
        <w:tc>
          <w:tcPr>
            <w:tcW w:w="3160" w:type="dxa"/>
            <w:vAlign w:val="bottom"/>
          </w:tcPr>
          <w:p>
            <w:pPr>
              <w:spacing w:after="0"/>
              <w:rPr>
                <w:sz w:val="19"/>
                <w:szCs w:val="19"/>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32406B"/>
              </w:rPr>
              <w:t>Notes would have been effectively subordinated; and</w:t>
            </w:r>
          </w:p>
        </w:tc>
      </w:tr>
      <w:tr>
        <w:trPr>
          <w:trHeight w:val="277"/>
        </w:trPr>
        <w:tc>
          <w:tcPr>
            <w:tcW w:w="3160" w:type="dxa"/>
            <w:vAlign w:val="bottom"/>
          </w:tcPr>
          <w:p>
            <w:pPr>
              <w:spacing w:after="0"/>
              <w:rPr>
                <w:sz w:val="24"/>
                <w:szCs w:val="24"/>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32406B"/>
                <w:w w:val="93"/>
              </w:rPr>
              <w:t>• Texas Instruments Incorporated’s subsidiaries (including National and its subsidiaries) would</w:t>
            </w:r>
          </w:p>
        </w:tc>
      </w:tr>
      <w:tr>
        <w:trPr>
          <w:trHeight w:val="216"/>
        </w:trPr>
        <w:tc>
          <w:tcPr>
            <w:tcW w:w="316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32406B"/>
                <w:w w:val="98"/>
              </w:rPr>
              <w:t>have had approximately $3.0 billion of liabilities (including trade payables but excluding</w:t>
            </w:r>
          </w:p>
        </w:tc>
      </w:tr>
      <w:tr>
        <w:trPr>
          <w:trHeight w:val="222"/>
        </w:trPr>
        <w:tc>
          <w:tcPr>
            <w:tcW w:w="3160" w:type="dxa"/>
            <w:vAlign w:val="bottom"/>
          </w:tcPr>
          <w:p>
            <w:pPr>
              <w:spacing w:after="0"/>
              <w:rPr>
                <w:sz w:val="19"/>
                <w:szCs w:val="19"/>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32406B"/>
              </w:rPr>
              <w:t>intercompany debt) to which the Notes would have been structurally subordinated.</w:t>
            </w:r>
          </w:p>
        </w:tc>
      </w:tr>
      <w:tr>
        <w:trPr>
          <w:trHeight w:val="358"/>
        </w:trPr>
        <w:tc>
          <w:tcPr>
            <w:tcW w:w="3160" w:type="dxa"/>
            <w:vAlign w:val="bottom"/>
          </w:tcPr>
          <w:p>
            <w:pPr>
              <w:ind w:left="200"/>
              <w:spacing w:after="0"/>
              <w:rPr>
                <w:sz w:val="20"/>
                <w:szCs w:val="20"/>
                <w:color w:val="auto"/>
              </w:rPr>
            </w:pPr>
            <w:r>
              <w:rPr>
                <w:rFonts w:ascii="Arial" w:cs="Arial" w:eastAsia="Arial" w:hAnsi="Arial"/>
                <w:sz w:val="18"/>
                <w:szCs w:val="18"/>
                <w:color w:val="32406B"/>
              </w:rPr>
              <w:t>Form and Denomination</w:t>
            </w:r>
          </w:p>
        </w:tc>
        <w:tc>
          <w:tcPr>
            <w:tcW w:w="8300" w:type="dxa"/>
            <w:vAlign w:val="bottom"/>
          </w:tcPr>
          <w:p>
            <w:pPr>
              <w:ind w:left="1240"/>
              <w:spacing w:after="0"/>
              <w:rPr>
                <w:sz w:val="20"/>
                <w:szCs w:val="20"/>
                <w:color w:val="auto"/>
              </w:rPr>
            </w:pPr>
            <w:r>
              <w:rPr>
                <w:rFonts w:ascii="Arial" w:cs="Arial" w:eastAsia="Arial" w:hAnsi="Arial"/>
                <w:sz w:val="18"/>
                <w:szCs w:val="18"/>
                <w:color w:val="32406B"/>
                <w:w w:val="96"/>
              </w:rPr>
              <w:t>The Notes will be issued in the form of one or more fully registered global securities, without</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7"/>
              </w:rPr>
              <w:t>coupons, in denominations of $2,000 in principal amount and integral multiples of $1,000 in</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8"/>
              </w:rPr>
              <w:t>excess thereof. These global notes will be deposited with the trustee as custodian for,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3"/>
              </w:rPr>
              <w:t>registered in the name of, a nominee of The Depository Trust Company, or DTC. Except in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6"/>
              </w:rPr>
              <w:t>limited circumstances described under “Description of the Notes—Book-Entry; Delivery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5"/>
              </w:rPr>
              <w:t>Form; Global Note,” Notes in certificated form will not be issued or exchanged for interests in</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rPr>
              <w:t>global securities.</w:t>
            </w:r>
          </w:p>
        </w:tc>
      </w:tr>
      <w:tr>
        <w:trPr>
          <w:trHeight w:val="365"/>
        </w:trPr>
        <w:tc>
          <w:tcPr>
            <w:tcW w:w="3160" w:type="dxa"/>
            <w:vAlign w:val="bottom"/>
          </w:tcPr>
          <w:p>
            <w:pPr>
              <w:ind w:left="200"/>
              <w:spacing w:after="0"/>
              <w:rPr>
                <w:sz w:val="20"/>
                <w:szCs w:val="20"/>
                <w:color w:val="auto"/>
              </w:rPr>
            </w:pPr>
            <w:r>
              <w:rPr>
                <w:rFonts w:ascii="Arial" w:cs="Arial" w:eastAsia="Arial" w:hAnsi="Arial"/>
                <w:sz w:val="18"/>
                <w:szCs w:val="18"/>
                <w:color w:val="32406B"/>
              </w:rPr>
              <w:t>Governing Law</w:t>
            </w:r>
          </w:p>
        </w:tc>
        <w:tc>
          <w:tcPr>
            <w:tcW w:w="8300" w:type="dxa"/>
            <w:vAlign w:val="bottom"/>
          </w:tcPr>
          <w:p>
            <w:pPr>
              <w:ind w:left="1240"/>
              <w:spacing w:after="0"/>
              <w:rPr>
                <w:sz w:val="20"/>
                <w:szCs w:val="20"/>
                <w:color w:val="auto"/>
              </w:rPr>
            </w:pPr>
            <w:r>
              <w:rPr>
                <w:rFonts w:ascii="Arial" w:cs="Arial" w:eastAsia="Arial" w:hAnsi="Arial"/>
                <w:sz w:val="18"/>
                <w:szCs w:val="18"/>
                <w:color w:val="32406B"/>
              </w:rPr>
              <w:t>The internal laws of the State of New York</w:t>
            </w:r>
          </w:p>
        </w:tc>
      </w:tr>
      <w:tr>
        <w:trPr>
          <w:trHeight w:val="372"/>
        </w:trPr>
        <w:tc>
          <w:tcPr>
            <w:tcW w:w="3160" w:type="dxa"/>
            <w:vAlign w:val="bottom"/>
          </w:tcPr>
          <w:p>
            <w:pPr>
              <w:ind w:left="200"/>
              <w:spacing w:after="0"/>
              <w:rPr>
                <w:sz w:val="20"/>
                <w:szCs w:val="20"/>
                <w:color w:val="auto"/>
              </w:rPr>
            </w:pPr>
            <w:r>
              <w:rPr>
                <w:rFonts w:ascii="Arial" w:cs="Arial" w:eastAsia="Arial" w:hAnsi="Arial"/>
                <w:sz w:val="18"/>
                <w:szCs w:val="18"/>
                <w:color w:val="32406B"/>
              </w:rPr>
              <w:t>Use of Proceeds</w:t>
            </w:r>
          </w:p>
        </w:tc>
        <w:tc>
          <w:tcPr>
            <w:tcW w:w="8300" w:type="dxa"/>
            <w:vAlign w:val="bottom"/>
          </w:tcPr>
          <w:p>
            <w:pPr>
              <w:ind w:left="1240"/>
              <w:spacing w:after="0"/>
              <w:rPr>
                <w:sz w:val="20"/>
                <w:szCs w:val="20"/>
                <w:color w:val="auto"/>
              </w:rPr>
            </w:pPr>
            <w:r>
              <w:rPr>
                <w:rFonts w:ascii="Arial" w:cs="Arial" w:eastAsia="Arial" w:hAnsi="Arial"/>
                <w:sz w:val="18"/>
                <w:szCs w:val="18"/>
                <w:color w:val="32406B"/>
                <w:w w:val="99"/>
              </w:rPr>
              <w:t>The net proceeds of this offering will be used to pay a portion of the consideration for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3"/>
              </w:rPr>
              <w:t>National merger and for general corporate purposes, which, among other things, could include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4"/>
              </w:rPr>
              <w:t>repurchases of common stock. See “Use of Proceeds.” In connection with the issuance of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5"/>
              </w:rPr>
              <w:t>Notes, we may enter into interest rate swap agreements with financial institutions, which may</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rPr>
              <w:t>include one or more of the underwriters or their affiliates.</w:t>
            </w:r>
          </w:p>
        </w:tc>
      </w:tr>
      <w:tr>
        <w:trPr>
          <w:trHeight w:val="358"/>
        </w:trPr>
        <w:tc>
          <w:tcPr>
            <w:tcW w:w="3160" w:type="dxa"/>
            <w:vAlign w:val="bottom"/>
          </w:tcPr>
          <w:p>
            <w:pPr>
              <w:ind w:left="200"/>
              <w:spacing w:after="0"/>
              <w:rPr>
                <w:sz w:val="20"/>
                <w:szCs w:val="20"/>
                <w:color w:val="auto"/>
              </w:rPr>
            </w:pPr>
            <w:r>
              <w:rPr>
                <w:rFonts w:ascii="Arial" w:cs="Arial" w:eastAsia="Arial" w:hAnsi="Arial"/>
                <w:sz w:val="18"/>
                <w:szCs w:val="18"/>
                <w:color w:val="32406B"/>
              </w:rPr>
              <w:t>Further Issuances</w:t>
            </w:r>
          </w:p>
        </w:tc>
        <w:tc>
          <w:tcPr>
            <w:tcW w:w="8300" w:type="dxa"/>
            <w:vAlign w:val="bottom"/>
          </w:tcPr>
          <w:p>
            <w:pPr>
              <w:ind w:left="1240"/>
              <w:spacing w:after="0"/>
              <w:rPr>
                <w:sz w:val="20"/>
                <w:szCs w:val="20"/>
                <w:color w:val="auto"/>
              </w:rPr>
            </w:pPr>
            <w:r>
              <w:rPr>
                <w:rFonts w:ascii="Arial" w:cs="Arial" w:eastAsia="Arial" w:hAnsi="Arial"/>
                <w:sz w:val="18"/>
                <w:szCs w:val="18"/>
                <w:color w:val="32406B"/>
                <w:w w:val="89"/>
              </w:rPr>
              <w:t>Texas Instruments Incorporated may create and issue further notes of a series ranking equally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w w:val="92"/>
              </w:rPr>
              <w:t>ratably with the applicable series of Notes offered by this prospectus supplement in all respects,</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32406B"/>
              </w:rPr>
              <w:t>so that</w:t>
            </w:r>
          </w:p>
        </w:tc>
      </w:tr>
      <w:tr>
        <w:trPr>
          <w:trHeight w:val="161"/>
        </w:trPr>
        <w:tc>
          <w:tcPr>
            <w:tcW w:w="3160" w:type="dxa"/>
            <w:vAlign w:val="bottom"/>
            <w:tcBorders>
              <w:bottom w:val="single" w:sz="8" w:color="32406B"/>
            </w:tcBorders>
          </w:tcPr>
          <w:p>
            <w:pPr>
              <w:spacing w:after="0"/>
              <w:rPr>
                <w:sz w:val="13"/>
                <w:szCs w:val="13"/>
                <w:color w:val="auto"/>
              </w:rPr>
            </w:pPr>
          </w:p>
        </w:tc>
        <w:tc>
          <w:tcPr>
            <w:tcW w:w="8300" w:type="dxa"/>
            <w:vAlign w:val="bottom"/>
            <w:tcBorders>
              <w:bottom w:val="single" w:sz="8" w:color="32406B"/>
            </w:tcBorders>
          </w:tcPr>
          <w:p>
            <w:pPr>
              <w:spacing w:after="0"/>
              <w:rPr>
                <w:sz w:val="13"/>
                <w:szCs w:val="13"/>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440"/>
              <w:spacing w:after="0"/>
              <w:rPr>
                <w:sz w:val="20"/>
                <w:szCs w:val="20"/>
                <w:color w:val="auto"/>
              </w:rPr>
            </w:pPr>
            <w:r>
              <w:rPr>
                <w:rFonts w:ascii="Arial" w:cs="Arial" w:eastAsia="Arial" w:hAnsi="Arial"/>
                <w:sz w:val="18"/>
                <w:szCs w:val="18"/>
                <w:color w:val="32406B"/>
              </w:rPr>
              <w:t>S-3</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420" w:type="dxa"/>
            <w:vAlign w:val="bottom"/>
            <w:tcBorders>
              <w:top w:val="single" w:sz="8" w:color="32406B"/>
              <w:left w:val="single" w:sz="8" w:color="32406B"/>
            </w:tcBorders>
          </w:tcPr>
          <w:p>
            <w:pPr>
              <w:spacing w:after="0"/>
              <w:rPr>
                <w:sz w:val="24"/>
                <w:szCs w:val="24"/>
                <w:color w:val="auto"/>
              </w:rPr>
            </w:pPr>
          </w:p>
        </w:tc>
        <w:tc>
          <w:tcPr>
            <w:tcW w:w="8040" w:type="dxa"/>
            <w:vAlign w:val="bottom"/>
            <w:tcBorders>
              <w:top w:val="single" w:sz="8" w:color="32406B"/>
              <w:right w:val="single" w:sz="8" w:color="32406B"/>
            </w:tcBorders>
          </w:tcPr>
          <w:p>
            <w:pPr>
              <w:ind w:left="980"/>
              <w:spacing w:after="0"/>
              <w:rPr>
                <w:sz w:val="20"/>
                <w:szCs w:val="20"/>
                <w:color w:val="auto"/>
              </w:rPr>
            </w:pPr>
            <w:r>
              <w:rPr>
                <w:rFonts w:ascii="Arial" w:cs="Arial" w:eastAsia="Arial" w:hAnsi="Arial"/>
                <w:sz w:val="18"/>
                <w:szCs w:val="18"/>
                <w:color w:val="32406B"/>
                <w:w w:val="91"/>
              </w:rPr>
              <w:t>such further notes of each series will be consolidated and form a single series with the applicable</w:t>
            </w:r>
          </w:p>
        </w:tc>
      </w:tr>
      <w:tr>
        <w:trPr>
          <w:trHeight w:val="222"/>
        </w:trPr>
        <w:tc>
          <w:tcPr>
            <w:tcW w:w="3420" w:type="dxa"/>
            <w:vAlign w:val="bottom"/>
            <w:tcBorders>
              <w:left w:val="single" w:sz="8" w:color="32406B"/>
            </w:tcBorders>
          </w:tcPr>
          <w:p>
            <w:pPr>
              <w:spacing w:after="0"/>
              <w:rPr>
                <w:sz w:val="19"/>
                <w:szCs w:val="19"/>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series of Notes offered by this prospectus supplement.</w:t>
            </w:r>
          </w:p>
        </w:tc>
      </w:tr>
      <w:tr>
        <w:trPr>
          <w:trHeight w:val="378"/>
        </w:trPr>
        <w:tc>
          <w:tcPr>
            <w:tcW w:w="3420" w:type="dxa"/>
            <w:vAlign w:val="bottom"/>
            <w:tcBorders>
              <w:left w:val="single" w:sz="8" w:color="32406B"/>
            </w:tcBorders>
          </w:tcPr>
          <w:p>
            <w:pPr>
              <w:ind w:left="200"/>
              <w:spacing w:after="0"/>
              <w:rPr>
                <w:sz w:val="20"/>
                <w:szCs w:val="20"/>
                <w:color w:val="auto"/>
              </w:rPr>
            </w:pPr>
            <w:r>
              <w:rPr>
                <w:rFonts w:ascii="Arial" w:cs="Arial" w:eastAsia="Arial" w:hAnsi="Arial"/>
                <w:sz w:val="18"/>
                <w:szCs w:val="18"/>
                <w:color w:val="32406B"/>
              </w:rPr>
              <w:t>Sinking Fund</w:t>
            </w: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None</w:t>
            </w:r>
          </w:p>
        </w:tc>
      </w:tr>
      <w:tr>
        <w:trPr>
          <w:trHeight w:val="372"/>
        </w:trPr>
        <w:tc>
          <w:tcPr>
            <w:tcW w:w="3420" w:type="dxa"/>
            <w:vAlign w:val="bottom"/>
            <w:tcBorders>
              <w:left w:val="single" w:sz="8" w:color="32406B"/>
            </w:tcBorders>
          </w:tcPr>
          <w:p>
            <w:pPr>
              <w:ind w:left="200"/>
              <w:spacing w:after="0"/>
              <w:rPr>
                <w:sz w:val="20"/>
                <w:szCs w:val="20"/>
                <w:color w:val="auto"/>
              </w:rPr>
            </w:pPr>
            <w:r>
              <w:rPr>
                <w:rFonts w:ascii="Arial" w:cs="Arial" w:eastAsia="Arial" w:hAnsi="Arial"/>
                <w:sz w:val="18"/>
                <w:szCs w:val="18"/>
                <w:color w:val="32406B"/>
              </w:rPr>
              <w:t>Optional Redemption</w:t>
            </w: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2"/>
              </w:rPr>
              <w:t>Texas Instruments Incorporated may redeem some or all of the Fixed Rate Notes at any time at</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4"/>
              </w:rPr>
              <w:t>the “make-whole premium” redemption prices indicated under the heading “Description of the</w:t>
            </w:r>
          </w:p>
        </w:tc>
      </w:tr>
      <w:tr>
        <w:trPr>
          <w:trHeight w:val="222"/>
        </w:trPr>
        <w:tc>
          <w:tcPr>
            <w:tcW w:w="3420" w:type="dxa"/>
            <w:vAlign w:val="bottom"/>
            <w:tcBorders>
              <w:left w:val="single" w:sz="8" w:color="32406B"/>
            </w:tcBorders>
          </w:tcPr>
          <w:p>
            <w:pPr>
              <w:spacing w:after="0"/>
              <w:rPr>
                <w:sz w:val="19"/>
                <w:szCs w:val="19"/>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Notes—Optional Redemption.”</w:t>
            </w:r>
          </w:p>
        </w:tc>
      </w:tr>
      <w:tr>
        <w:trPr>
          <w:trHeight w:val="358"/>
        </w:trPr>
        <w:tc>
          <w:tcPr>
            <w:tcW w:w="3420" w:type="dxa"/>
            <w:vAlign w:val="bottom"/>
            <w:tcBorders>
              <w:left w:val="single" w:sz="8" w:color="32406B"/>
            </w:tcBorders>
          </w:tcPr>
          <w:p>
            <w:pPr>
              <w:ind w:left="200"/>
              <w:spacing w:after="0"/>
              <w:rPr>
                <w:sz w:val="20"/>
                <w:szCs w:val="20"/>
                <w:color w:val="auto"/>
              </w:rPr>
            </w:pPr>
            <w:r>
              <w:rPr>
                <w:rFonts w:ascii="Arial" w:cs="Arial" w:eastAsia="Arial" w:hAnsi="Arial"/>
                <w:sz w:val="18"/>
                <w:szCs w:val="18"/>
                <w:color w:val="32406B"/>
              </w:rPr>
              <w:t>Special Mandatory Redemption</w:t>
            </w: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8"/>
              </w:rPr>
              <w:t>If the National merger has not closed by April 30, 2012, or such earlier date as the Merger</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3"/>
              </w:rPr>
              <w:t>Agreement is terminated, we will redeem all of the Fixed Rate Notes on the Special Mandatory</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7"/>
              </w:rPr>
              <w:t>Redemption Date (as defined below) at a redemption price equal to 101% of the aggregate</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2"/>
              </w:rPr>
              <w:t>principal amount of the Fixed Rate Notes, plus accrued and unpaid interest from the date of the</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7"/>
              </w:rPr>
              <w:t>initial issuance (or the most recent interest payment date on which interest was paid) to but</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2"/>
              </w:rPr>
              <w:t>excluding the Special Mandatory Redemption Date. The “Special Mandatory Redemption Date”</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2"/>
              </w:rPr>
              <w:t>means the 15</w:t>
            </w:r>
            <w:r>
              <w:rPr>
                <w:rFonts w:ascii="Arial" w:cs="Arial" w:eastAsia="Arial" w:hAnsi="Arial"/>
                <w:sz w:val="11"/>
                <w:szCs w:val="11"/>
                <w:color w:val="32406B"/>
                <w:w w:val="92"/>
              </w:rPr>
              <w:t>th</w:t>
            </w:r>
            <w:r>
              <w:rPr>
                <w:rFonts w:ascii="Arial" w:cs="Arial" w:eastAsia="Arial" w:hAnsi="Arial"/>
                <w:sz w:val="18"/>
                <w:szCs w:val="18"/>
                <w:color w:val="32406B"/>
                <w:w w:val="92"/>
              </w:rPr>
              <w:t xml:space="preserve"> business day following the earlier to occur of (a) April 30, 2012, and (b) the date</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3"/>
              </w:rPr>
              <w:t>the Merger Agreement is terminated. The proceeds from this offering will not be deposited into</w:t>
            </w:r>
          </w:p>
        </w:tc>
      </w:tr>
      <w:tr>
        <w:trPr>
          <w:trHeight w:val="222"/>
        </w:trPr>
        <w:tc>
          <w:tcPr>
            <w:tcW w:w="3420" w:type="dxa"/>
            <w:vAlign w:val="bottom"/>
            <w:tcBorders>
              <w:left w:val="single" w:sz="8" w:color="32406B"/>
            </w:tcBorders>
          </w:tcPr>
          <w:p>
            <w:pPr>
              <w:spacing w:after="0"/>
              <w:rPr>
                <w:sz w:val="19"/>
                <w:szCs w:val="19"/>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an escrow account pending any special redemption of the Fixed Rate Notes.</w:t>
            </w:r>
          </w:p>
        </w:tc>
      </w:tr>
      <w:tr>
        <w:trPr>
          <w:trHeight w:val="358"/>
        </w:trPr>
        <w:tc>
          <w:tcPr>
            <w:tcW w:w="3420" w:type="dxa"/>
            <w:vAlign w:val="bottom"/>
            <w:tcBorders>
              <w:left w:val="single" w:sz="8" w:color="32406B"/>
            </w:tcBorders>
          </w:tcPr>
          <w:p>
            <w:pPr>
              <w:ind w:left="200"/>
              <w:spacing w:after="0"/>
              <w:rPr>
                <w:sz w:val="20"/>
                <w:szCs w:val="20"/>
                <w:color w:val="auto"/>
              </w:rPr>
            </w:pPr>
            <w:r>
              <w:rPr>
                <w:rFonts w:ascii="Arial" w:cs="Arial" w:eastAsia="Arial" w:hAnsi="Arial"/>
                <w:sz w:val="18"/>
                <w:szCs w:val="18"/>
                <w:color w:val="32406B"/>
              </w:rPr>
              <w:t>Trading</w:t>
            </w: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3"/>
              </w:rPr>
              <w:t>The Notes are new issues of securities with no established trading market. We do not intend to</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2"/>
              </w:rPr>
              <w:t>apply for listing of the Notes on any securities exchange. The underwriters have advised us that</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1"/>
              </w:rPr>
              <w:t>they intend to make a market in each series of the Notes, but they are not obligated to do so and</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may discontinue market-making at any time without notice. See “Underwriting” in this</w:t>
            </w:r>
          </w:p>
        </w:tc>
      </w:tr>
      <w:tr>
        <w:trPr>
          <w:trHeight w:val="222"/>
        </w:trPr>
        <w:tc>
          <w:tcPr>
            <w:tcW w:w="3420" w:type="dxa"/>
            <w:vAlign w:val="bottom"/>
            <w:tcBorders>
              <w:left w:val="single" w:sz="8" w:color="32406B"/>
            </w:tcBorders>
          </w:tcPr>
          <w:p>
            <w:pPr>
              <w:spacing w:after="0"/>
              <w:rPr>
                <w:sz w:val="19"/>
                <w:szCs w:val="19"/>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2"/>
              </w:rPr>
              <w:t>prospectus supplement for more information about possible market-making by the underwriters.</w:t>
            </w:r>
          </w:p>
        </w:tc>
      </w:tr>
      <w:tr>
        <w:trPr>
          <w:trHeight w:val="365"/>
        </w:trPr>
        <w:tc>
          <w:tcPr>
            <w:tcW w:w="3420" w:type="dxa"/>
            <w:vAlign w:val="bottom"/>
            <w:tcBorders>
              <w:left w:val="single" w:sz="8" w:color="32406B"/>
            </w:tcBorders>
          </w:tcPr>
          <w:p>
            <w:pPr>
              <w:ind w:left="200"/>
              <w:spacing w:after="0"/>
              <w:rPr>
                <w:sz w:val="20"/>
                <w:szCs w:val="20"/>
                <w:color w:val="auto"/>
              </w:rPr>
            </w:pPr>
            <w:r>
              <w:rPr>
                <w:rFonts w:ascii="Arial" w:cs="Arial" w:eastAsia="Arial" w:hAnsi="Arial"/>
                <w:sz w:val="18"/>
                <w:szCs w:val="18"/>
                <w:color w:val="32406B"/>
              </w:rPr>
              <w:t>Trustee</w:t>
            </w: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U.S. Bank National Association</w:t>
            </w:r>
          </w:p>
        </w:tc>
      </w:tr>
      <w:tr>
        <w:trPr>
          <w:trHeight w:val="372"/>
        </w:trPr>
        <w:tc>
          <w:tcPr>
            <w:tcW w:w="3420" w:type="dxa"/>
            <w:vAlign w:val="bottom"/>
            <w:tcBorders>
              <w:left w:val="single" w:sz="8" w:color="32406B"/>
            </w:tcBorders>
          </w:tcPr>
          <w:p>
            <w:pPr>
              <w:ind w:left="200"/>
              <w:spacing w:after="0"/>
              <w:rPr>
                <w:sz w:val="20"/>
                <w:szCs w:val="20"/>
                <w:color w:val="auto"/>
              </w:rPr>
            </w:pPr>
            <w:r>
              <w:rPr>
                <w:rFonts w:ascii="Arial" w:cs="Arial" w:eastAsia="Arial" w:hAnsi="Arial"/>
                <w:sz w:val="18"/>
                <w:szCs w:val="18"/>
                <w:color w:val="32406B"/>
              </w:rPr>
              <w:t>Risk Factors</w:t>
            </w: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8"/>
              </w:rPr>
              <w:t>You should carefully consider all of the information in this prospectus supplement and the</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w w:val="90"/>
              </w:rPr>
              <w:t>accompanying prospectus and the documents incorporated herein by reference. In particular, you</w:t>
            </w:r>
          </w:p>
        </w:tc>
      </w:tr>
      <w:tr>
        <w:trPr>
          <w:trHeight w:val="216"/>
        </w:trPr>
        <w:tc>
          <w:tcPr>
            <w:tcW w:w="3420" w:type="dxa"/>
            <w:vAlign w:val="bottom"/>
            <w:tcBorders>
              <w:left w:val="single" w:sz="8" w:color="32406B"/>
            </w:tcBorders>
          </w:tcPr>
          <w:p>
            <w:pPr>
              <w:spacing w:after="0"/>
              <w:rPr>
                <w:sz w:val="18"/>
                <w:szCs w:val="18"/>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should evaluate the information set forth under “Cautionary Note on Forward-Looking</w:t>
            </w:r>
          </w:p>
        </w:tc>
      </w:tr>
      <w:tr>
        <w:trPr>
          <w:trHeight w:val="222"/>
        </w:trPr>
        <w:tc>
          <w:tcPr>
            <w:tcW w:w="3420" w:type="dxa"/>
            <w:vAlign w:val="bottom"/>
            <w:tcBorders>
              <w:left w:val="single" w:sz="8" w:color="32406B"/>
            </w:tcBorders>
          </w:tcPr>
          <w:p>
            <w:pPr>
              <w:spacing w:after="0"/>
              <w:rPr>
                <w:sz w:val="19"/>
                <w:szCs w:val="19"/>
                <w:color w:val="auto"/>
              </w:rPr>
            </w:pPr>
          </w:p>
        </w:tc>
        <w:tc>
          <w:tcPr>
            <w:tcW w:w="8040" w:type="dxa"/>
            <w:vAlign w:val="bottom"/>
            <w:tcBorders>
              <w:right w:val="single" w:sz="8" w:color="32406B"/>
            </w:tcBorders>
          </w:tcPr>
          <w:p>
            <w:pPr>
              <w:ind w:left="980"/>
              <w:spacing w:after="0"/>
              <w:rPr>
                <w:sz w:val="20"/>
                <w:szCs w:val="20"/>
                <w:color w:val="auto"/>
              </w:rPr>
            </w:pPr>
            <w:r>
              <w:rPr>
                <w:rFonts w:ascii="Arial" w:cs="Arial" w:eastAsia="Arial" w:hAnsi="Arial"/>
                <w:sz w:val="18"/>
                <w:szCs w:val="18"/>
                <w:color w:val="32406B"/>
              </w:rPr>
              <w:t>Statements” and “Risk Factors” before deciding whether to invest in the Notes.</w:t>
            </w:r>
          </w:p>
        </w:tc>
      </w:tr>
      <w:tr>
        <w:trPr>
          <w:trHeight w:val="161"/>
        </w:trPr>
        <w:tc>
          <w:tcPr>
            <w:tcW w:w="3420" w:type="dxa"/>
            <w:vAlign w:val="bottom"/>
            <w:tcBorders>
              <w:left w:val="single" w:sz="8" w:color="32406B"/>
              <w:bottom w:val="single" w:sz="8" w:color="32406B"/>
            </w:tcBorders>
          </w:tcPr>
          <w:p>
            <w:pPr>
              <w:spacing w:after="0"/>
              <w:rPr>
                <w:sz w:val="13"/>
                <w:szCs w:val="13"/>
                <w:color w:val="auto"/>
              </w:rPr>
            </w:pPr>
          </w:p>
        </w:tc>
        <w:tc>
          <w:tcPr>
            <w:tcW w:w="8040" w:type="dxa"/>
            <w:vAlign w:val="bottom"/>
            <w:tcBorders>
              <w:bottom w:val="single" w:sz="8" w:color="32406B"/>
              <w:right w:val="single" w:sz="8" w:color="32406B"/>
            </w:tcBorders>
          </w:tcPr>
          <w:p>
            <w:pPr>
              <w:spacing w:after="0"/>
              <w:rPr>
                <w:sz w:val="13"/>
                <w:szCs w:val="13"/>
                <w:color w:val="auto"/>
              </w:rPr>
            </w:pPr>
          </w:p>
        </w:tc>
      </w:tr>
      <w:tr>
        <w:trPr>
          <w:trHeight w:val="359"/>
        </w:trPr>
        <w:tc>
          <w:tcPr>
            <w:tcW w:w="3420" w:type="dxa"/>
            <w:vAlign w:val="bottom"/>
          </w:tcPr>
          <w:p>
            <w:pPr>
              <w:spacing w:after="0"/>
              <w:rPr>
                <w:sz w:val="24"/>
                <w:szCs w:val="24"/>
                <w:color w:val="auto"/>
              </w:rPr>
            </w:pPr>
          </w:p>
        </w:tc>
        <w:tc>
          <w:tcPr>
            <w:tcW w:w="8040" w:type="dxa"/>
            <w:vAlign w:val="bottom"/>
          </w:tcPr>
          <w:p>
            <w:pPr>
              <w:ind w:left="2180"/>
              <w:spacing w:after="0"/>
              <w:rPr>
                <w:sz w:val="20"/>
                <w:szCs w:val="20"/>
                <w:color w:val="auto"/>
              </w:rPr>
            </w:pPr>
            <w:r>
              <w:rPr>
                <w:rFonts w:ascii="Arial" w:cs="Arial" w:eastAsia="Arial" w:hAnsi="Arial"/>
                <w:sz w:val="18"/>
                <w:szCs w:val="18"/>
                <w:color w:val="32406B"/>
              </w:rPr>
              <w:t>S-4</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13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713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Summary Historical and Unaudited Pro Forma Financial Information</w:t>
      </w:r>
    </w:p>
    <w:p>
      <w:pPr>
        <w:spacing w:after="0" w:line="164"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32406B"/>
        </w:rPr>
        <w:t>The following table sets forth our summary historical and pro forma financial information. The summary historical financial information for the years ended December 31, 2010, 2009 and 2008 and as of December 31, 2010 and 2009 has been derived from our audited consolidated financial statements included or incorporated by reference in this prospectus supplement and the accompanying prospectus. The summary historical financial information as of and for the three months ended March 31, 2011 and for the three months ended March 31, 2010 has been derived from our unaudited consolidated financial statements incorporated by reference in this prospectus supplement and the accompanying prospectus.</w:t>
      </w:r>
    </w:p>
    <w:p>
      <w:pPr>
        <w:spacing w:after="0" w:line="102"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32406B"/>
        </w:rPr>
        <w:t>The pro forma financial information reflects very preliminary accounting adjustments. The pro forma financial information is for illustrative and informational purposes only and is not intended to represent or be indicative of what our financial condition or results of operations would have been had the transactions described above occurred on the dates indicated. The pro forma financial information also should not be considered representative of our future financial condition or results of operations. See “Unaudited Pro Forma Financial Information” for a description of the transactions and other adjustments in connection with the National merger reflected in the pro forma financial information.</w:t>
      </w:r>
    </w:p>
    <w:p>
      <w:pPr>
        <w:spacing w:after="0" w:line="102"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32406B"/>
        </w:rPr>
        <w:t>In addition to the pro forma adjustments, various other factors will have an effect on our financial condition and results of operations, both before and after the closing of the National merger. You should read the summary historical and pro forma financial information in conjunction with the information under “Risk Factors,” “Capitalization,” “Unaudited Pro Forma Financial Information,” “Management’s Discussion and Analysis of Financial Condition and Results of Operations,” our consolidated financial statements and the related notes and National’s consolidated financial statements and the related notes, all included elsewhere or incorporated by reference in this prospectus supplement and the accompanying prospectus.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S-5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32406B"/>
              <w:left w:val="single" w:sz="8" w:color="32406B"/>
            </w:tcBorders>
          </w:tcPr>
          <w:p>
            <w:pPr>
              <w:spacing w:after="0"/>
              <w:rPr>
                <w:sz w:val="24"/>
                <w:szCs w:val="24"/>
                <w:color w:val="auto"/>
              </w:rPr>
            </w:pPr>
          </w:p>
        </w:tc>
        <w:tc>
          <w:tcPr>
            <w:tcW w:w="4340" w:type="dxa"/>
            <w:vAlign w:val="bottom"/>
            <w:tcBorders>
              <w:top w:val="single" w:sz="8" w:color="32406B"/>
            </w:tcBorders>
          </w:tcPr>
          <w:p>
            <w:pPr>
              <w:spacing w:after="0"/>
              <w:rPr>
                <w:sz w:val="24"/>
                <w:szCs w:val="24"/>
                <w:color w:val="auto"/>
              </w:rPr>
            </w:pPr>
          </w:p>
        </w:tc>
        <w:tc>
          <w:tcPr>
            <w:tcW w:w="2360" w:type="dxa"/>
            <w:vAlign w:val="bottom"/>
            <w:tcBorders>
              <w:top w:val="single" w:sz="8" w:color="32406B"/>
            </w:tcBorders>
          </w:tcPr>
          <w:p>
            <w:pPr>
              <w:spacing w:after="0"/>
              <w:rPr>
                <w:sz w:val="24"/>
                <w:szCs w:val="24"/>
                <w:color w:val="auto"/>
              </w:rPr>
            </w:pPr>
          </w:p>
        </w:tc>
        <w:tc>
          <w:tcPr>
            <w:tcW w:w="160" w:type="dxa"/>
            <w:vAlign w:val="bottom"/>
            <w:tcBorders>
              <w:top w:val="single" w:sz="8" w:color="32406B"/>
            </w:tcBorders>
          </w:tcPr>
          <w:p>
            <w:pPr>
              <w:spacing w:after="0"/>
              <w:rPr>
                <w:sz w:val="24"/>
                <w:szCs w:val="24"/>
                <w:color w:val="auto"/>
              </w:rPr>
            </w:pPr>
          </w:p>
        </w:tc>
        <w:tc>
          <w:tcPr>
            <w:tcW w:w="1200" w:type="dxa"/>
            <w:vAlign w:val="bottom"/>
            <w:tcBorders>
              <w:top w:val="single" w:sz="8" w:color="32406B"/>
            </w:tcBorders>
            <w:gridSpan w:val="3"/>
            <w:vMerge w:val="restart"/>
          </w:tcPr>
          <w:p>
            <w:pPr>
              <w:jc w:val="center"/>
              <w:ind w:left="256"/>
              <w:spacing w:after="0"/>
              <w:rPr>
                <w:sz w:val="20"/>
                <w:szCs w:val="20"/>
                <w:color w:val="auto"/>
              </w:rPr>
            </w:pPr>
            <w:r>
              <w:rPr>
                <w:rFonts w:ascii="Arial" w:cs="Arial" w:eastAsia="Arial" w:hAnsi="Arial"/>
                <w:sz w:val="14"/>
                <w:szCs w:val="14"/>
                <w:b w:val="1"/>
                <w:bCs w:val="1"/>
                <w:color w:val="32406B"/>
                <w:w w:val="88"/>
              </w:rPr>
              <w:t>Pro Forma</w:t>
            </w:r>
          </w:p>
        </w:tc>
        <w:tc>
          <w:tcPr>
            <w:tcW w:w="480" w:type="dxa"/>
            <w:vAlign w:val="bottom"/>
            <w:tcBorders>
              <w:top w:val="single" w:sz="8" w:color="32406B"/>
            </w:tcBorders>
          </w:tcPr>
          <w:p>
            <w:pPr>
              <w:spacing w:after="0"/>
              <w:rPr>
                <w:sz w:val="24"/>
                <w:szCs w:val="24"/>
                <w:color w:val="auto"/>
              </w:rPr>
            </w:pPr>
          </w:p>
        </w:tc>
        <w:tc>
          <w:tcPr>
            <w:tcW w:w="580" w:type="dxa"/>
            <w:vAlign w:val="bottom"/>
            <w:tcBorders>
              <w:top w:val="single" w:sz="8" w:color="32406B"/>
            </w:tcBorders>
          </w:tcPr>
          <w:p>
            <w:pPr>
              <w:spacing w:after="0"/>
              <w:rPr>
                <w:sz w:val="24"/>
                <w:szCs w:val="24"/>
                <w:color w:val="auto"/>
              </w:rPr>
            </w:pPr>
          </w:p>
        </w:tc>
        <w:tc>
          <w:tcPr>
            <w:tcW w:w="140" w:type="dxa"/>
            <w:vAlign w:val="bottom"/>
            <w:tcBorders>
              <w:top w:val="single" w:sz="8" w:color="32406B"/>
            </w:tcBorders>
          </w:tcPr>
          <w:p>
            <w:pPr>
              <w:spacing w:after="0"/>
              <w:rPr>
                <w:sz w:val="24"/>
                <w:szCs w:val="24"/>
                <w:color w:val="auto"/>
              </w:rPr>
            </w:pPr>
          </w:p>
        </w:tc>
        <w:tc>
          <w:tcPr>
            <w:tcW w:w="2000" w:type="dxa"/>
            <w:vAlign w:val="bottom"/>
            <w:tcBorders>
              <w:top w:val="single" w:sz="8" w:color="32406B"/>
              <w:right w:val="single" w:sz="8" w:color="32406B"/>
            </w:tcBorders>
            <w:gridSpan w:val="7"/>
          </w:tcPr>
          <w:p>
            <w:pPr>
              <w:jc w:val="center"/>
              <w:ind w:right="420"/>
              <w:spacing w:after="0"/>
              <w:rPr>
                <w:sz w:val="20"/>
                <w:szCs w:val="20"/>
                <w:color w:val="auto"/>
              </w:rPr>
            </w:pPr>
            <w:r>
              <w:rPr>
                <w:rFonts w:ascii="Arial" w:cs="Arial" w:eastAsia="Arial" w:hAnsi="Arial"/>
                <w:sz w:val="14"/>
                <w:szCs w:val="14"/>
                <w:b w:val="1"/>
                <w:bCs w:val="1"/>
                <w:color w:val="32406B"/>
                <w:w w:val="85"/>
              </w:rPr>
              <w:t>Texas Instruments</w:t>
            </w:r>
          </w:p>
        </w:tc>
        <w:tc>
          <w:tcPr>
            <w:tcW w:w="0" w:type="dxa"/>
            <w:vAlign w:val="bottom"/>
          </w:tcPr>
          <w:p>
            <w:pPr>
              <w:spacing w:after="0"/>
              <w:rPr>
                <w:sz w:val="1"/>
                <w:szCs w:val="1"/>
                <w:color w:val="auto"/>
              </w:rPr>
            </w:pPr>
          </w:p>
        </w:tc>
      </w:tr>
      <w:tr>
        <w:trPr>
          <w:trHeight w:val="142"/>
        </w:trPr>
        <w:tc>
          <w:tcPr>
            <w:tcW w:w="200" w:type="dxa"/>
            <w:vAlign w:val="bottom"/>
            <w:tcBorders>
              <w:left w:val="single" w:sz="8" w:color="32406B"/>
            </w:tcBorders>
          </w:tcPr>
          <w:p>
            <w:pPr>
              <w:spacing w:after="0"/>
              <w:rPr>
                <w:sz w:val="12"/>
                <w:szCs w:val="12"/>
                <w:color w:val="auto"/>
              </w:rPr>
            </w:pPr>
          </w:p>
        </w:tc>
        <w:tc>
          <w:tcPr>
            <w:tcW w:w="4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top w:val="single" w:sz="8" w:color="32406B"/>
              <w:bottom w:val="single" w:sz="8" w:color="auto"/>
            </w:tcBorders>
            <w:gridSpan w:val="3"/>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right="72"/>
              <w:spacing w:after="0" w:line="142" w:lineRule="exact"/>
              <w:rPr>
                <w:sz w:val="20"/>
                <w:szCs w:val="20"/>
                <w:color w:val="auto"/>
              </w:rPr>
            </w:pPr>
            <w:r>
              <w:rPr>
                <w:rFonts w:ascii="Arial" w:cs="Arial" w:eastAsia="Arial" w:hAnsi="Arial"/>
                <w:sz w:val="14"/>
                <w:szCs w:val="14"/>
                <w:b w:val="1"/>
                <w:bCs w:val="1"/>
                <w:color w:val="32406B"/>
                <w:w w:val="87"/>
              </w:rPr>
              <w:t>Historical</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32406B"/>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32406B"/>
            </w:tcBorders>
          </w:tcPr>
          <w:p>
            <w:pPr>
              <w:spacing w:after="0"/>
              <w:rPr>
                <w:sz w:val="11"/>
                <w:szCs w:val="11"/>
                <w:color w:val="auto"/>
              </w:rPr>
            </w:pPr>
          </w:p>
        </w:tc>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4"/>
          </w:tcPr>
          <w:p>
            <w:pPr>
              <w:jc w:val="center"/>
              <w:ind w:right="53"/>
              <w:spacing w:after="0" w:line="129" w:lineRule="exact"/>
              <w:rPr>
                <w:sz w:val="20"/>
                <w:szCs w:val="20"/>
                <w:color w:val="auto"/>
              </w:rPr>
            </w:pPr>
            <w:r>
              <w:rPr>
                <w:rFonts w:ascii="Arial" w:cs="Arial" w:eastAsia="Arial" w:hAnsi="Arial"/>
                <w:sz w:val="14"/>
                <w:szCs w:val="14"/>
                <w:b w:val="1"/>
                <w:bCs w:val="1"/>
                <w:color w:val="32406B"/>
                <w:w w:val="88"/>
              </w:rPr>
              <w:t>Three Months Ended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53"/>
              <w:spacing w:after="0" w:line="129" w:lineRule="exact"/>
              <w:rPr>
                <w:sz w:val="20"/>
                <w:szCs w:val="20"/>
                <w:color w:val="auto"/>
              </w:rPr>
            </w:pPr>
            <w:r>
              <w:rPr>
                <w:rFonts w:ascii="Arial" w:cs="Arial" w:eastAsia="Arial" w:hAnsi="Arial"/>
                <w:sz w:val="14"/>
                <w:szCs w:val="14"/>
                <w:b w:val="1"/>
                <w:bCs w:val="1"/>
                <w:color w:val="32406B"/>
                <w:w w:val="89"/>
              </w:rPr>
              <w:t>Three Months Ended</w:t>
            </w:r>
          </w:p>
        </w:tc>
        <w:tc>
          <w:tcPr>
            <w:tcW w:w="300" w:type="dxa"/>
            <w:vAlign w:val="bottom"/>
            <w:tcBorders>
              <w:right w:val="single" w:sz="8" w:color="32406B"/>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32406B"/>
            </w:tcBorders>
          </w:tcPr>
          <w:p>
            <w:pPr>
              <w:spacing w:after="0"/>
              <w:rPr>
                <w:sz w:val="14"/>
                <w:szCs w:val="14"/>
                <w:color w:val="auto"/>
              </w:rPr>
            </w:pPr>
          </w:p>
        </w:tc>
        <w:tc>
          <w:tcPr>
            <w:tcW w:w="4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32406B"/>
                <w:w w:val="89"/>
              </w:rPr>
              <w:t>March 31,</w:t>
            </w:r>
          </w:p>
        </w:tc>
        <w:tc>
          <w:tcPr>
            <w:tcW w:w="4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left="276"/>
              <w:spacing w:after="0"/>
              <w:rPr>
                <w:sz w:val="20"/>
                <w:szCs w:val="20"/>
                <w:color w:val="auto"/>
              </w:rPr>
            </w:pPr>
            <w:r>
              <w:rPr>
                <w:rFonts w:ascii="Arial" w:cs="Arial" w:eastAsia="Arial" w:hAnsi="Arial"/>
                <w:sz w:val="14"/>
                <w:szCs w:val="14"/>
                <w:b w:val="1"/>
                <w:bCs w:val="1"/>
                <w:color w:val="32406B"/>
                <w:w w:val="92"/>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32406B"/>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32406B"/>
            </w:tcBorders>
          </w:tcPr>
          <w:p>
            <w:pPr>
              <w:spacing w:after="0"/>
              <w:rPr>
                <w:sz w:val="12"/>
                <w:szCs w:val="12"/>
                <w:color w:val="auto"/>
              </w:rPr>
            </w:pPr>
          </w:p>
        </w:tc>
        <w:tc>
          <w:tcPr>
            <w:tcW w:w="4340" w:type="dxa"/>
            <w:vAlign w:val="bottom"/>
          </w:tcPr>
          <w:p>
            <w:pPr>
              <w:spacing w:after="0" w:line="142" w:lineRule="exact"/>
              <w:rPr>
                <w:sz w:val="20"/>
                <w:szCs w:val="20"/>
                <w:color w:val="auto"/>
              </w:rPr>
            </w:pPr>
            <w:r>
              <w:rPr>
                <w:rFonts w:ascii="Arial" w:cs="Arial" w:eastAsia="Arial" w:hAnsi="Arial"/>
                <w:sz w:val="14"/>
                <w:szCs w:val="14"/>
                <w:b w:val="1"/>
                <w:bCs w:val="1"/>
                <w:color w:val="32406B"/>
              </w:rPr>
              <w:t>(Millions of dollars, except share and per-share amounts)</w:t>
            </w:r>
          </w:p>
        </w:tc>
        <w:tc>
          <w:tcPr>
            <w:tcW w:w="2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32406B"/>
                <w:w w:val="89"/>
              </w:rPr>
              <w:t>2011</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32406B"/>
                <w:w w:val="89"/>
              </w:rPr>
              <w:t>2010</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32406B"/>
                <w:w w:val="89"/>
              </w:rPr>
              <w:t>2011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32406B"/>
                <w:w w:val="96"/>
              </w:rPr>
              <w:t>2010</w:t>
            </w:r>
          </w:p>
        </w:tc>
        <w:tc>
          <w:tcPr>
            <w:tcW w:w="100" w:type="dxa"/>
            <w:vAlign w:val="bottom"/>
          </w:tcPr>
          <w:p>
            <w:pPr>
              <w:spacing w:after="0"/>
              <w:rPr>
                <w:sz w:val="12"/>
                <w:szCs w:val="12"/>
                <w:color w:val="auto"/>
              </w:rPr>
            </w:pPr>
          </w:p>
        </w:tc>
        <w:tc>
          <w:tcPr>
            <w:tcW w:w="200" w:type="dxa"/>
            <w:vAlign w:val="bottom"/>
            <w:tcBorders>
              <w:right w:val="single" w:sz="8" w:color="32406B"/>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32406B"/>
            </w:tcBorders>
          </w:tcPr>
          <w:p>
            <w:pPr>
              <w:spacing w:after="0"/>
              <w:rPr>
                <w:sz w:val="12"/>
                <w:szCs w:val="12"/>
                <w:color w:val="auto"/>
              </w:rPr>
            </w:pPr>
          </w:p>
        </w:tc>
        <w:tc>
          <w:tcPr>
            <w:tcW w:w="4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color w:val="32406B"/>
                <w:w w:val="84"/>
              </w:rPr>
              <w:t>(unaudited)</w:t>
            </w:r>
          </w:p>
        </w:tc>
        <w:tc>
          <w:tcPr>
            <w:tcW w:w="5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32406B"/>
                <w:w w:val="84"/>
              </w:rPr>
              <w:t>(unaudited)</w:t>
            </w:r>
          </w:p>
        </w:tc>
        <w:tc>
          <w:tcPr>
            <w:tcW w:w="5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32406B"/>
                <w:w w:val="84"/>
              </w:rPr>
              <w:t>(unaudited)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color w:val="32406B"/>
                <w:w w:val="84"/>
              </w:rPr>
              <w:t>(unaudited)</w:t>
            </w:r>
          </w:p>
        </w:tc>
        <w:tc>
          <w:tcPr>
            <w:tcW w:w="300" w:type="dxa"/>
            <w:vAlign w:val="bottom"/>
            <w:tcBorders>
              <w:right w:val="single" w:sz="8" w:color="32406B"/>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25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3,736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3,567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3,392</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32406B"/>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3,205</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32406B"/>
              </w:rPr>
              <w:t>Cost of revenue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1,778</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1,632</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1,664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1,516</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32406B"/>
            </w:tcBorders>
          </w:tcPr>
          <w:p>
            <w:pPr>
              <w:spacing w:after="0"/>
              <w:rPr>
                <w:sz w:val="2"/>
                <w:szCs w:val="2"/>
                <w:color w:val="auto"/>
              </w:rPr>
            </w:pPr>
          </w:p>
        </w:tc>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32406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Gross profit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1,958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1,935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1,728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1,689</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487</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438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422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370</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458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435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359</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32406B"/>
              </w:rPr>
              <w:t>Restructuring expense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8</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16</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10</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Acquisition costs and amortization</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53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51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32406B"/>
            </w:tcBorders>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32406B"/>
              </w:rPr>
              <w:t>Operating profit</w:t>
            </w: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32406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Borders>
              <w:left w:val="single" w:sz="8" w:color="32406B"/>
            </w:tcBorders>
          </w:tcPr>
          <w:p>
            <w:pPr>
              <w:spacing w:after="0"/>
              <w:rPr>
                <w:sz w:val="19"/>
                <w:szCs w:val="19"/>
                <w:color w:val="auto"/>
              </w:rPr>
            </w:pPr>
          </w:p>
        </w:tc>
        <w:tc>
          <w:tcPr>
            <w:tcW w:w="434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952</w:t>
            </w:r>
          </w:p>
        </w:tc>
        <w:tc>
          <w:tcPr>
            <w:tcW w:w="14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995</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908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950</w:t>
            </w:r>
          </w:p>
        </w:tc>
        <w:tc>
          <w:tcPr>
            <w:tcW w:w="200" w:type="dxa"/>
            <w:vAlign w:val="bottom"/>
            <w:tcBorders>
              <w:right w:val="single" w:sz="8" w:color="32406B"/>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12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7</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32406B"/>
              </w:rPr>
              <w:t>Interest expense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27</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28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32406B"/>
            </w:tcBorders>
          </w:tcPr>
          <w:p>
            <w:pPr>
              <w:spacing w:after="0"/>
              <w:rPr>
                <w:sz w:val="2"/>
                <w:szCs w:val="2"/>
                <w:color w:val="auto"/>
              </w:rPr>
            </w:pPr>
          </w:p>
        </w:tc>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32406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Income before income taxes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937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974</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918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957</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32406B"/>
              </w:rPr>
              <w:t>Provision for income taxes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251</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298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252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299</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32406B"/>
            </w:tcBorders>
          </w:tcPr>
          <w:p>
            <w:pPr>
              <w:spacing w:after="0"/>
              <w:rPr>
                <w:sz w:val="2"/>
                <w:szCs w:val="2"/>
                <w:color w:val="auto"/>
              </w:rPr>
            </w:pPr>
          </w:p>
        </w:tc>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32406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Net income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686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676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666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32406B"/>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658</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32406B"/>
            </w:tcBorders>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32406B"/>
              </w:rPr>
              <w:t>Earnings per common share:</w:t>
            </w: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32406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Borders>
              <w:left w:val="single" w:sz="8" w:color="32406B"/>
            </w:tcBorders>
          </w:tcPr>
          <w:p>
            <w:pPr>
              <w:spacing w:after="0"/>
              <w:rPr>
                <w:sz w:val="18"/>
                <w:szCs w:val="18"/>
                <w:color w:val="auto"/>
              </w:rPr>
            </w:pPr>
          </w:p>
        </w:tc>
        <w:tc>
          <w:tcPr>
            <w:tcW w:w="43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Basic</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32406B"/>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.53</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32406B"/>
            </w:tcBorders>
          </w:tcPr>
          <w:p>
            <w:pPr>
              <w:spacing w:after="0" w:line="20" w:lineRule="exact"/>
              <w:rPr>
                <w:sz w:val="1"/>
                <w:szCs w:val="1"/>
                <w:color w:val="auto"/>
              </w:rPr>
            </w:pPr>
          </w:p>
        </w:tc>
        <w:tc>
          <w:tcPr>
            <w:tcW w:w="4340" w:type="dxa"/>
            <w:vAlign w:val="bottom"/>
            <w:vMerge w:val="restart"/>
          </w:tcPr>
          <w:p>
            <w:pPr>
              <w:ind w:left="440"/>
              <w:spacing w:after="0"/>
              <w:rPr>
                <w:sz w:val="20"/>
                <w:szCs w:val="20"/>
                <w:color w:val="auto"/>
              </w:rPr>
            </w:pPr>
            <w:r>
              <w:rPr>
                <w:rFonts w:ascii="Arial" w:cs="Arial" w:eastAsia="Arial" w:hAnsi="Arial"/>
                <w:sz w:val="18"/>
                <w:szCs w:val="18"/>
                <w:color w:val="32406B"/>
              </w:rPr>
              <w:t>Diluted</w:t>
            </w: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32406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Borders>
              <w:left w:val="single" w:sz="8" w:color="32406B"/>
            </w:tcBorders>
          </w:tcPr>
          <w:p>
            <w:pPr>
              <w:spacing w:after="0"/>
              <w:rPr>
                <w:sz w:val="18"/>
                <w:szCs w:val="18"/>
                <w:color w:val="auto"/>
              </w:rPr>
            </w:pPr>
          </w:p>
        </w:tc>
        <w:tc>
          <w:tcPr>
            <w:tcW w:w="4340" w:type="dxa"/>
            <w:vAlign w:val="bottom"/>
            <w:vMerge w:val="continue"/>
          </w:tcPr>
          <w:p>
            <w:pPr>
              <w:spacing w:after="0"/>
              <w:rPr>
                <w:sz w:val="18"/>
                <w:szCs w:val="18"/>
                <w:color w:val="auto"/>
              </w:rPr>
            </w:pPr>
          </w:p>
        </w:tc>
        <w:tc>
          <w:tcPr>
            <w:tcW w:w="2520" w:type="dxa"/>
            <w:vAlign w:val="bottom"/>
            <w:gridSpan w:val="2"/>
          </w:tcPr>
          <w:p>
            <w:pPr>
              <w:ind w:left="2380"/>
              <w:spacing w:after="0"/>
              <w:rPr>
                <w:sz w:val="20"/>
                <w:szCs w:val="20"/>
                <w:color w:val="auto"/>
              </w:rPr>
            </w:pPr>
            <w:r>
              <w:rPr>
                <w:rFonts w:ascii="Arial" w:cs="Arial" w:eastAsia="Arial" w:hAnsi="Arial"/>
                <w:sz w:val="18"/>
                <w:szCs w:val="18"/>
                <w:color w:val="32406B"/>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.56</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.53</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.55</w:t>
            </w:r>
          </w:p>
        </w:tc>
        <w:tc>
          <w:tcPr>
            <w:tcW w:w="700" w:type="dxa"/>
            <w:vAlign w:val="bottom"/>
            <w:gridSpan w:val="2"/>
          </w:tcPr>
          <w:p>
            <w:pPr>
              <w:ind w:left="580"/>
              <w:spacing w:after="0"/>
              <w:rPr>
                <w:sz w:val="20"/>
                <w:szCs w:val="20"/>
                <w:color w:val="auto"/>
              </w:rPr>
            </w:pPr>
            <w:r>
              <w:rPr>
                <w:rFonts w:ascii="Arial" w:cs="Arial" w:eastAsia="Arial" w:hAnsi="Arial"/>
                <w:sz w:val="18"/>
                <w:szCs w:val="18"/>
                <w:color w:val="32406B"/>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.52</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32406B"/>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32406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Average shares outstanding (millions):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32406B"/>
            </w:tcBorders>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32406B"/>
              </w:rPr>
              <w:t>Basic</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32406B"/>
              </w:rPr>
              <w:t>1,167</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1,233</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1,167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32406B"/>
              </w:rPr>
              <w:t>1,233</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32406B"/>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32406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Borders>
              <w:left w:val="single" w:sz="8" w:color="32406B"/>
            </w:tcBorders>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Diluted</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1,194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1,246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1,194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1,246</w:t>
            </w:r>
          </w:p>
        </w:tc>
        <w:tc>
          <w:tcPr>
            <w:tcW w:w="200" w:type="dxa"/>
            <w:vAlign w:val="bottom"/>
            <w:tcBorders>
              <w:right w:val="single" w:sz="8" w:color="32406B"/>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32406B"/>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32406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left w:val="single" w:sz="8" w:color="32406B"/>
              <w:bottom w:val="single" w:sz="8" w:color="32406B"/>
            </w:tcBorders>
          </w:tcPr>
          <w:p>
            <w:pPr>
              <w:spacing w:after="0"/>
              <w:rPr>
                <w:sz w:val="13"/>
                <w:szCs w:val="13"/>
                <w:color w:val="auto"/>
              </w:rPr>
            </w:pPr>
          </w:p>
        </w:tc>
        <w:tc>
          <w:tcPr>
            <w:tcW w:w="4340" w:type="dxa"/>
            <w:vAlign w:val="bottom"/>
            <w:tcBorders>
              <w:bottom w:val="single" w:sz="8" w:color="32406B"/>
            </w:tcBorders>
          </w:tcPr>
          <w:p>
            <w:pPr>
              <w:spacing w:after="0"/>
              <w:rPr>
                <w:sz w:val="13"/>
                <w:szCs w:val="13"/>
                <w:color w:val="auto"/>
              </w:rPr>
            </w:pPr>
          </w:p>
        </w:tc>
        <w:tc>
          <w:tcPr>
            <w:tcW w:w="2360" w:type="dxa"/>
            <w:vAlign w:val="bottom"/>
            <w:tcBorders>
              <w:bottom w:val="single" w:sz="8" w:color="32406B"/>
            </w:tcBorders>
          </w:tcPr>
          <w:p>
            <w:pPr>
              <w:spacing w:after="0"/>
              <w:rPr>
                <w:sz w:val="13"/>
                <w:szCs w:val="13"/>
                <w:color w:val="auto"/>
              </w:rPr>
            </w:pPr>
          </w:p>
        </w:tc>
        <w:tc>
          <w:tcPr>
            <w:tcW w:w="160" w:type="dxa"/>
            <w:vAlign w:val="bottom"/>
            <w:tcBorders>
              <w:bottom w:val="single" w:sz="8" w:color="32406B"/>
            </w:tcBorders>
          </w:tcPr>
          <w:p>
            <w:pPr>
              <w:spacing w:after="0"/>
              <w:rPr>
                <w:sz w:val="13"/>
                <w:szCs w:val="13"/>
                <w:color w:val="auto"/>
              </w:rPr>
            </w:pPr>
          </w:p>
        </w:tc>
        <w:tc>
          <w:tcPr>
            <w:tcW w:w="480" w:type="dxa"/>
            <w:vAlign w:val="bottom"/>
            <w:tcBorders>
              <w:bottom w:val="single" w:sz="8" w:color="32406B"/>
            </w:tcBorders>
          </w:tcPr>
          <w:p>
            <w:pPr>
              <w:spacing w:after="0"/>
              <w:rPr>
                <w:sz w:val="13"/>
                <w:szCs w:val="13"/>
                <w:color w:val="auto"/>
              </w:rPr>
            </w:pPr>
          </w:p>
        </w:tc>
        <w:tc>
          <w:tcPr>
            <w:tcW w:w="580" w:type="dxa"/>
            <w:vAlign w:val="bottom"/>
            <w:tcBorders>
              <w:bottom w:val="single" w:sz="8" w:color="32406B"/>
            </w:tcBorders>
          </w:tcPr>
          <w:p>
            <w:pPr>
              <w:spacing w:after="0"/>
              <w:rPr>
                <w:sz w:val="13"/>
                <w:szCs w:val="13"/>
                <w:color w:val="auto"/>
              </w:rPr>
            </w:pPr>
          </w:p>
        </w:tc>
        <w:tc>
          <w:tcPr>
            <w:tcW w:w="140" w:type="dxa"/>
            <w:vAlign w:val="bottom"/>
            <w:tcBorders>
              <w:bottom w:val="single" w:sz="8" w:color="32406B"/>
            </w:tcBorders>
          </w:tcPr>
          <w:p>
            <w:pPr>
              <w:spacing w:after="0"/>
              <w:rPr>
                <w:sz w:val="13"/>
                <w:szCs w:val="13"/>
                <w:color w:val="auto"/>
              </w:rPr>
            </w:pPr>
          </w:p>
        </w:tc>
        <w:tc>
          <w:tcPr>
            <w:tcW w:w="480" w:type="dxa"/>
            <w:vAlign w:val="bottom"/>
            <w:tcBorders>
              <w:bottom w:val="single" w:sz="8" w:color="32406B"/>
            </w:tcBorders>
          </w:tcPr>
          <w:p>
            <w:pPr>
              <w:spacing w:after="0"/>
              <w:rPr>
                <w:sz w:val="13"/>
                <w:szCs w:val="13"/>
                <w:color w:val="auto"/>
              </w:rPr>
            </w:pPr>
          </w:p>
        </w:tc>
        <w:tc>
          <w:tcPr>
            <w:tcW w:w="580" w:type="dxa"/>
            <w:vAlign w:val="bottom"/>
            <w:tcBorders>
              <w:bottom w:val="single" w:sz="8" w:color="32406B"/>
            </w:tcBorders>
          </w:tcPr>
          <w:p>
            <w:pPr>
              <w:spacing w:after="0"/>
              <w:rPr>
                <w:sz w:val="13"/>
                <w:szCs w:val="13"/>
                <w:color w:val="auto"/>
              </w:rPr>
            </w:pPr>
          </w:p>
        </w:tc>
        <w:tc>
          <w:tcPr>
            <w:tcW w:w="140" w:type="dxa"/>
            <w:vAlign w:val="bottom"/>
            <w:tcBorders>
              <w:bottom w:val="single" w:sz="8" w:color="32406B"/>
            </w:tcBorders>
          </w:tcPr>
          <w:p>
            <w:pPr>
              <w:spacing w:after="0"/>
              <w:rPr>
                <w:sz w:val="13"/>
                <w:szCs w:val="13"/>
                <w:color w:val="auto"/>
              </w:rPr>
            </w:pPr>
          </w:p>
        </w:tc>
        <w:tc>
          <w:tcPr>
            <w:tcW w:w="480" w:type="dxa"/>
            <w:vAlign w:val="bottom"/>
            <w:tcBorders>
              <w:bottom w:val="single" w:sz="8" w:color="32406B"/>
            </w:tcBorders>
          </w:tcPr>
          <w:p>
            <w:pPr>
              <w:spacing w:after="0"/>
              <w:rPr>
                <w:sz w:val="13"/>
                <w:szCs w:val="13"/>
                <w:color w:val="auto"/>
              </w:rPr>
            </w:pPr>
          </w:p>
        </w:tc>
        <w:tc>
          <w:tcPr>
            <w:tcW w:w="20" w:type="dxa"/>
            <w:vAlign w:val="bottom"/>
            <w:tcBorders>
              <w:bottom w:val="single" w:sz="8" w:color="32406B"/>
            </w:tcBorders>
          </w:tcPr>
          <w:p>
            <w:pPr>
              <w:spacing w:after="0"/>
              <w:rPr>
                <w:sz w:val="13"/>
                <w:szCs w:val="13"/>
                <w:color w:val="auto"/>
              </w:rPr>
            </w:pPr>
          </w:p>
        </w:tc>
        <w:tc>
          <w:tcPr>
            <w:tcW w:w="560" w:type="dxa"/>
            <w:vAlign w:val="bottom"/>
            <w:tcBorders>
              <w:bottom w:val="single" w:sz="8" w:color="32406B"/>
            </w:tcBorders>
          </w:tcPr>
          <w:p>
            <w:pPr>
              <w:spacing w:after="0"/>
              <w:rPr>
                <w:sz w:val="13"/>
                <w:szCs w:val="13"/>
                <w:color w:val="auto"/>
              </w:rPr>
            </w:pPr>
          </w:p>
        </w:tc>
        <w:tc>
          <w:tcPr>
            <w:tcW w:w="140" w:type="dxa"/>
            <w:vAlign w:val="bottom"/>
            <w:tcBorders>
              <w:bottom w:val="single" w:sz="8" w:color="32406B"/>
            </w:tcBorders>
          </w:tcPr>
          <w:p>
            <w:pPr>
              <w:spacing w:after="0"/>
              <w:rPr>
                <w:sz w:val="13"/>
                <w:szCs w:val="13"/>
                <w:color w:val="auto"/>
              </w:rPr>
            </w:pPr>
          </w:p>
        </w:tc>
        <w:tc>
          <w:tcPr>
            <w:tcW w:w="500" w:type="dxa"/>
            <w:vAlign w:val="bottom"/>
            <w:tcBorders>
              <w:bottom w:val="single" w:sz="8" w:color="32406B"/>
            </w:tcBorders>
          </w:tcPr>
          <w:p>
            <w:pPr>
              <w:spacing w:after="0"/>
              <w:rPr>
                <w:sz w:val="13"/>
                <w:szCs w:val="13"/>
                <w:color w:val="auto"/>
              </w:rPr>
            </w:pPr>
          </w:p>
        </w:tc>
        <w:tc>
          <w:tcPr>
            <w:tcW w:w="100" w:type="dxa"/>
            <w:vAlign w:val="bottom"/>
            <w:tcBorders>
              <w:bottom w:val="single" w:sz="8" w:color="32406B"/>
            </w:tcBorders>
          </w:tcPr>
          <w:p>
            <w:pPr>
              <w:spacing w:after="0"/>
              <w:rPr>
                <w:sz w:val="13"/>
                <w:szCs w:val="13"/>
                <w:color w:val="auto"/>
              </w:rPr>
            </w:pPr>
          </w:p>
        </w:tc>
        <w:tc>
          <w:tcPr>
            <w:tcW w:w="200" w:type="dxa"/>
            <w:vAlign w:val="bottom"/>
            <w:tcBorders>
              <w:bottom w:val="single" w:sz="8" w:color="32406B"/>
              <w:right w:val="single" w:sz="8" w:color="32406B"/>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20" w:type="dxa"/>
            <w:vAlign w:val="bottom"/>
            <w:gridSpan w:val="2"/>
          </w:tcPr>
          <w:p>
            <w:pPr>
              <w:ind w:left="1060"/>
              <w:spacing w:after="0"/>
              <w:rPr>
                <w:sz w:val="20"/>
                <w:szCs w:val="20"/>
                <w:color w:val="auto"/>
              </w:rPr>
            </w:pPr>
            <w:r>
              <w:rPr>
                <w:rFonts w:ascii="Arial" w:cs="Arial" w:eastAsia="Arial" w:hAnsi="Arial"/>
                <w:sz w:val="18"/>
                <w:szCs w:val="18"/>
                <w:color w:val="32406B"/>
              </w:rPr>
              <w:t>S-6</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32406B"/>
                <w:w w:val="91"/>
              </w:rPr>
              <w:t>Pro Forma</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32406B"/>
                <w:w w:val="85"/>
              </w:rPr>
              <w:t>Texas Instruments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32406B"/>
              </w:rPr>
              <w:t>Historical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920" w:type="dxa"/>
            <w:vAlign w:val="bottom"/>
          </w:tcPr>
          <w:p>
            <w:pPr>
              <w:spacing w:after="0"/>
              <w:rPr>
                <w:sz w:val="11"/>
                <w:szCs w:val="11"/>
                <w:color w:val="auto"/>
              </w:rPr>
            </w:pPr>
          </w:p>
        </w:tc>
        <w:tc>
          <w:tcPr>
            <w:tcW w:w="7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32406B"/>
                <w:w w:val="88"/>
              </w:rPr>
              <w:t>Year Ended</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4"/>
                <w:szCs w:val="14"/>
                <w:b w:val="1"/>
                <w:bCs w:val="1"/>
                <w:color w:val="32406B"/>
                <w:w w:val="87"/>
              </w:rPr>
              <w:t>Year Ended December 31,</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920" w:type="dxa"/>
            <w:vAlign w:val="bottom"/>
          </w:tcPr>
          <w:p>
            <w:pPr>
              <w:spacing w:after="0"/>
              <w:rPr>
                <w:sz w:val="6"/>
                <w:szCs w:val="6"/>
                <w:color w:val="auto"/>
              </w:rPr>
            </w:pPr>
          </w:p>
        </w:tc>
        <w:tc>
          <w:tcPr>
            <w:tcW w:w="124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32406B"/>
              </w:rPr>
              <w:t>December 31,</w:t>
            </w: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5"/>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920" w:type="dxa"/>
            <w:vAlign w:val="bottom"/>
          </w:tcPr>
          <w:p>
            <w:pPr>
              <w:spacing w:after="0"/>
              <w:rPr>
                <w:sz w:val="20"/>
                <w:szCs w:val="20"/>
                <w:color w:val="auto"/>
              </w:rPr>
            </w:pPr>
            <w:r>
              <w:rPr>
                <w:rFonts w:ascii="Arial" w:cs="Arial" w:eastAsia="Arial" w:hAnsi="Arial"/>
                <w:sz w:val="14"/>
                <w:szCs w:val="14"/>
                <w:b w:val="1"/>
                <w:bCs w:val="1"/>
                <w:color w:val="32406B"/>
              </w:rPr>
              <w:t>(Millions of dollars, except share and per-share amounts)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32406B"/>
                <w:w w:val="83"/>
              </w:rPr>
              <w:t>2010</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32406B"/>
                <w:w w:val="96"/>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32406B"/>
                <w:w w:val="89"/>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32406B"/>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80" w:type="dxa"/>
            <w:vAlign w:val="bottom"/>
            <w:gridSpan w:val="3"/>
          </w:tcPr>
          <w:p>
            <w:pPr>
              <w:jc w:val="center"/>
              <w:spacing w:after="0" w:line="142" w:lineRule="exact"/>
              <w:rPr>
                <w:sz w:val="20"/>
                <w:szCs w:val="20"/>
                <w:color w:val="auto"/>
              </w:rPr>
            </w:pPr>
            <w:r>
              <w:rPr>
                <w:rFonts w:ascii="Arial" w:cs="Arial" w:eastAsia="Arial" w:hAnsi="Arial"/>
                <w:sz w:val="14"/>
                <w:szCs w:val="14"/>
                <w:color w:val="32406B"/>
                <w:w w:val="87"/>
              </w:rPr>
              <w:t>(unaudited)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w w:val="98"/>
              </w:rPr>
              <w:t>15,529</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w w:val="95"/>
              </w:rPr>
              <w:t>$13,966</w:t>
            </w:r>
          </w:p>
        </w:tc>
        <w:tc>
          <w:tcPr>
            <w:tcW w:w="1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32406B"/>
              </w:rPr>
              <w:t>$10,427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83"/>
              </w:rPr>
              <w:t>12,501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Cost of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6,955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6,474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w w:val="97"/>
              </w:rPr>
              <w:t>5,428</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6,256</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Gross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8,574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7,492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4,999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6,245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1,844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1,570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w w:val="97"/>
              </w:rPr>
              <w:t>1,476</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1,940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1,320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1,614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Restructuring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rPr>
              <w:t>212</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254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Acquisition costs and amortization/divestiture (gain)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32406B"/>
              </w:rPr>
              <w:t>(144)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32406B"/>
              </w:rPr>
              <w:t>Operating profit</w:t>
            </w: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4,805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4,514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w w:val="97"/>
              </w:rPr>
              <w:t>1,991</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2,437</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44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112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Income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4,725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4,551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2,017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2,481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Provision for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1,345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1,323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rPr>
              <w:t>547</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561</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3,380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3,228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1,470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1,920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32406B"/>
              </w:rPr>
              <w:t>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2.77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1.46</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440"/>
              <w:spacing w:after="0"/>
              <w:rPr>
                <w:sz w:val="20"/>
                <w:szCs w:val="20"/>
                <w:color w:val="auto"/>
              </w:rPr>
            </w:pPr>
            <w:r>
              <w:rPr>
                <w:rFonts w:ascii="Arial" w:cs="Arial" w:eastAsia="Arial" w:hAnsi="Arial"/>
                <w:sz w:val="18"/>
                <w:szCs w:val="18"/>
                <w:color w:val="32406B"/>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32406B"/>
                <w:w w:val="99"/>
              </w:rPr>
              <w: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2.74</w:t>
            </w:r>
          </w:p>
        </w:tc>
        <w:tc>
          <w:tcPr>
            <w:tcW w:w="160" w:type="dxa"/>
            <w:vAlign w:val="bottom"/>
            <w:gridSpan w:val="2"/>
          </w:tcPr>
          <w:p>
            <w:pPr>
              <w:ind w:left="60"/>
              <w:spacing w:after="0"/>
              <w:rPr>
                <w:sz w:val="20"/>
                <w:szCs w:val="20"/>
                <w:color w:val="auto"/>
              </w:rPr>
            </w:pPr>
            <w:r>
              <w:rPr>
                <w:rFonts w:ascii="Arial" w:cs="Arial" w:eastAsia="Arial" w:hAnsi="Arial"/>
                <w:sz w:val="18"/>
                <w:szCs w:val="18"/>
                <w:color w:val="32406B"/>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2.62</w:t>
            </w:r>
          </w:p>
        </w:tc>
        <w:tc>
          <w:tcPr>
            <w:tcW w:w="14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rPr>
              <w:t>1.15</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1.44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Average shares outstanding (millions):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32406B"/>
              </w:rPr>
              <w:t>Basic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32406B"/>
              </w:rPr>
              <w:t>1,199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1,199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w w:val="97"/>
              </w:rPr>
              <w:t>1,260</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1,308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Diluted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1,213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1,213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1,269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1,321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Pro Forma</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32406B"/>
                <w:w w:val="85"/>
              </w:rPr>
              <w:t>Texas Instruments</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32406B"/>
                <w:w w:val="90"/>
              </w:rPr>
              <w:t>Historical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32406B"/>
                <w:w w:val="92"/>
              </w:rPr>
              <w:t>March 31,</w:t>
            </w:r>
          </w:p>
        </w:tc>
        <w:tc>
          <w:tcPr>
            <w:tcW w:w="460" w:type="dxa"/>
            <w:vAlign w:val="bottom"/>
          </w:tcPr>
          <w:p>
            <w:pPr>
              <w:spacing w:after="0"/>
              <w:rPr>
                <w:sz w:val="12"/>
                <w:szCs w:val="12"/>
                <w:color w:val="auto"/>
              </w:rPr>
            </w:pPr>
          </w:p>
        </w:tc>
        <w:tc>
          <w:tcPr>
            <w:tcW w:w="780" w:type="dxa"/>
            <w:vAlign w:val="bottom"/>
            <w:tcBorders>
              <w:top w:val="single" w:sz="8" w:color="auto"/>
            </w:tcBorders>
            <w:gridSpan w:val="5"/>
          </w:tcPr>
          <w:p>
            <w:pPr>
              <w:ind w:left="40"/>
              <w:spacing w:after="0" w:line="142" w:lineRule="exact"/>
              <w:rPr>
                <w:sz w:val="20"/>
                <w:szCs w:val="20"/>
                <w:color w:val="auto"/>
              </w:rPr>
            </w:pPr>
            <w:r>
              <w:rPr>
                <w:rFonts w:ascii="Arial" w:cs="Arial" w:eastAsia="Arial" w:hAnsi="Arial"/>
                <w:sz w:val="14"/>
                <w:szCs w:val="14"/>
                <w:b w:val="1"/>
                <w:bCs w:val="1"/>
                <w:color w:val="32406B"/>
              </w:rPr>
              <w:t>March 31,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4"/>
          </w:tcPr>
          <w:p>
            <w:pPr>
              <w:jc w:val="right"/>
              <w:ind w:right="354"/>
              <w:spacing w:after="0" w:line="142" w:lineRule="exact"/>
              <w:rPr>
                <w:sz w:val="20"/>
                <w:szCs w:val="20"/>
                <w:color w:val="auto"/>
              </w:rPr>
            </w:pPr>
            <w:r>
              <w:rPr>
                <w:rFonts w:ascii="Arial" w:cs="Arial" w:eastAsia="Arial" w:hAnsi="Arial"/>
                <w:sz w:val="14"/>
                <w:szCs w:val="14"/>
                <w:b w:val="1"/>
                <w:bCs w:val="1"/>
                <w:color w:val="32406B"/>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line="142" w:lineRule="exact"/>
              <w:rPr>
                <w:sz w:val="20"/>
                <w:szCs w:val="20"/>
                <w:color w:val="auto"/>
              </w:rPr>
            </w:pPr>
            <w:r>
              <w:rPr>
                <w:rFonts w:ascii="Arial" w:cs="Arial" w:eastAsia="Arial" w:hAnsi="Arial"/>
                <w:sz w:val="14"/>
                <w:szCs w:val="14"/>
                <w:b w:val="1"/>
                <w:bCs w:val="1"/>
                <w:color w:val="32406B"/>
              </w:rPr>
              <w:t>(Millions of dollars, except share and per-share amounts)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w w:val="96"/>
              </w:rPr>
              <w:t>2011</w:t>
            </w:r>
          </w:p>
        </w:tc>
        <w:tc>
          <w:tcPr>
            <w:tcW w:w="4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32406B"/>
                <w:w w:val="89"/>
              </w:rPr>
              <w:t>2011</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32406B"/>
                <w:w w:val="89"/>
              </w:rPr>
              <w:t>2010</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32406B"/>
                <w:w w:val="87"/>
              </w:rPr>
              <w:t>(unaudited)</w:t>
            </w:r>
          </w:p>
        </w:tc>
        <w:tc>
          <w:tcPr>
            <w:tcW w:w="460" w:type="dxa"/>
            <w:vAlign w:val="bottom"/>
          </w:tcPr>
          <w:p>
            <w:pPr>
              <w:spacing w:after="0"/>
              <w:rPr>
                <w:sz w:val="12"/>
                <w:szCs w:val="12"/>
                <w:color w:val="auto"/>
              </w:rPr>
            </w:pPr>
          </w:p>
        </w:tc>
        <w:tc>
          <w:tcPr>
            <w:tcW w:w="640" w:type="dxa"/>
            <w:vAlign w:val="bottom"/>
            <w:gridSpan w:val="4"/>
          </w:tcPr>
          <w:p>
            <w:pPr>
              <w:ind w:left="20"/>
              <w:spacing w:after="0" w:line="142" w:lineRule="exact"/>
              <w:rPr>
                <w:sz w:val="20"/>
                <w:szCs w:val="20"/>
                <w:color w:val="auto"/>
              </w:rPr>
            </w:pPr>
            <w:r>
              <w:rPr>
                <w:rFonts w:ascii="Arial" w:cs="Arial" w:eastAsia="Arial" w:hAnsi="Arial"/>
                <w:sz w:val="14"/>
                <w:szCs w:val="14"/>
                <w:color w:val="32406B"/>
                <w:w w:val="84"/>
              </w:rPr>
              <w:t>(unaudited)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Cash, cash equivalents and short-term investments</w:t>
            </w:r>
          </w:p>
        </w:tc>
        <w:tc>
          <w:tcPr>
            <w:tcW w:w="240" w:type="dxa"/>
            <w:vAlign w:val="bottom"/>
            <w:gridSpan w:val="2"/>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Pr>
          <w:p>
            <w:pPr>
              <w:jc w:val="right"/>
              <w:spacing w:after="0"/>
              <w:rPr>
                <w:sz w:val="20"/>
                <w:szCs w:val="20"/>
                <w:color w:val="auto"/>
              </w:rPr>
            </w:pPr>
            <w:r>
              <w:rPr>
                <w:rFonts w:ascii="Arial" w:cs="Arial" w:eastAsia="Arial" w:hAnsi="Arial"/>
                <w:sz w:val="18"/>
                <w:szCs w:val="18"/>
                <w:color w:val="32406B"/>
              </w:rPr>
              <w:t>1,557</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32406B"/>
              </w:rPr>
              <w:t>2,857</w:t>
            </w: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w w:val="97"/>
              </w:rPr>
              <w:t>3,072</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2,925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Accounts receivable, net of allowances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1,659</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32406B"/>
              </w:rPr>
              <w:t>1,568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1,518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1,277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Inventories</w:t>
            </w:r>
          </w:p>
        </w:tc>
        <w:tc>
          <w:tcPr>
            <w:tcW w:w="240" w:type="dxa"/>
            <w:vAlign w:val="bottom"/>
            <w:gridSpan w:val="2"/>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Pr>
          <w:p>
            <w:pPr>
              <w:jc w:val="right"/>
              <w:spacing w:after="0"/>
              <w:rPr>
                <w:sz w:val="20"/>
                <w:szCs w:val="20"/>
                <w:color w:val="auto"/>
              </w:rPr>
            </w:pPr>
            <w:r>
              <w:rPr>
                <w:rFonts w:ascii="Arial" w:cs="Arial" w:eastAsia="Arial" w:hAnsi="Arial"/>
                <w:sz w:val="18"/>
                <w:szCs w:val="18"/>
                <w:color w:val="32406B"/>
              </w:rPr>
              <w:t>1,816</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32406B"/>
              </w:rPr>
              <w:t>1,678</w:t>
            </w: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w w:val="97"/>
              </w:rPr>
              <w:t>1,520</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1,202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Total current assets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6,190</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32406B"/>
              </w:rPr>
              <w:t>7,044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7,060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6,114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Property, plant and equipment, net</w:t>
            </w:r>
          </w:p>
        </w:tc>
        <w:tc>
          <w:tcPr>
            <w:tcW w:w="240" w:type="dxa"/>
            <w:vAlign w:val="bottom"/>
            <w:gridSpan w:val="2"/>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Pr>
          <w:p>
            <w:pPr>
              <w:jc w:val="right"/>
              <w:spacing w:after="0"/>
              <w:rPr>
                <w:sz w:val="20"/>
                <w:szCs w:val="20"/>
                <w:color w:val="auto"/>
              </w:rPr>
            </w:pPr>
            <w:r>
              <w:rPr>
                <w:rFonts w:ascii="Arial" w:cs="Arial" w:eastAsia="Arial" w:hAnsi="Arial"/>
                <w:sz w:val="18"/>
                <w:szCs w:val="18"/>
                <w:color w:val="32406B"/>
              </w:rPr>
              <w:t>4,077</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32406B"/>
              </w:rPr>
              <w:t>3,657</w:t>
            </w: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w w:val="97"/>
              </w:rPr>
              <w:t>3,680</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3,158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Goodwill</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5,977</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32406B"/>
              </w:rPr>
              <w:t>924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924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926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Acquisition-related intangibles</w:t>
            </w:r>
          </w:p>
        </w:tc>
        <w:tc>
          <w:tcPr>
            <w:tcW w:w="240" w:type="dxa"/>
            <w:vAlign w:val="bottom"/>
            <w:gridSpan w:val="2"/>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Pr>
          <w:p>
            <w:pPr>
              <w:jc w:val="right"/>
              <w:spacing w:after="0"/>
              <w:rPr>
                <w:sz w:val="20"/>
                <w:szCs w:val="20"/>
                <w:color w:val="auto"/>
              </w:rPr>
            </w:pPr>
            <w:r>
              <w:rPr>
                <w:rFonts w:ascii="Arial" w:cs="Arial" w:eastAsia="Arial" w:hAnsi="Arial"/>
                <w:sz w:val="18"/>
                <w:szCs w:val="18"/>
                <w:color w:val="32406B"/>
              </w:rPr>
              <w:t>1,475</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32406B"/>
              </w:rPr>
              <w:t>69</w:t>
            </w: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rPr>
              <w:t>76</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124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Total assets</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32406B"/>
              </w:rPr>
              <w:t>$ 19,684</w:t>
            </w:r>
          </w:p>
        </w:tc>
        <w:tc>
          <w:tcPr>
            <w:tcW w:w="4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32406B"/>
                <w:w w:val="88"/>
              </w:rPr>
              <w:t>$ 13,310</w:t>
            </w: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32406B"/>
              </w:rPr>
              <w:t>$13,401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83"/>
              </w:rPr>
              <w:t>12,119</w:t>
            </w:r>
          </w:p>
        </w:tc>
        <w:tc>
          <w:tcPr>
            <w:tcW w:w="0" w:type="dxa"/>
            <w:vAlign w:val="bottom"/>
          </w:tcPr>
          <w:p>
            <w:pPr>
              <w:spacing w:after="0"/>
              <w:rPr>
                <w:sz w:val="1"/>
                <w:szCs w:val="1"/>
                <w:color w:val="auto"/>
              </w:rPr>
            </w:pPr>
          </w:p>
        </w:tc>
      </w:tr>
      <w:tr>
        <w:trPr>
          <w:trHeight w:val="323"/>
        </w:trPr>
        <w:tc>
          <w:tcPr>
            <w:tcW w:w="6920" w:type="dxa"/>
            <w:vAlign w:val="bottom"/>
          </w:tcPr>
          <w:p>
            <w:pPr>
              <w:spacing w:after="0"/>
              <w:rPr>
                <w:sz w:val="20"/>
                <w:szCs w:val="20"/>
                <w:color w:val="auto"/>
              </w:rPr>
            </w:pPr>
            <w:r>
              <w:rPr>
                <w:rFonts w:ascii="Arial" w:cs="Arial" w:eastAsia="Arial" w:hAnsi="Arial"/>
                <w:sz w:val="18"/>
                <w:szCs w:val="18"/>
                <w:b w:val="1"/>
                <w:bCs w:val="1"/>
                <w:color w:val="32406B"/>
              </w:rPr>
              <w:t>Liabilities and Stockholders’ Equity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Total current liabilities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2,798</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32406B"/>
              </w:rPr>
              <w:t>1,793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1,981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1,587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32406B"/>
              </w:rPr>
              <w:t>Long-term debt</w:t>
            </w:r>
          </w:p>
        </w:tc>
        <w:tc>
          <w:tcPr>
            <w:tcW w:w="240" w:type="dxa"/>
            <w:vAlign w:val="bottom"/>
            <w:gridSpan w:val="2"/>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Pr>
          <w:p>
            <w:pPr>
              <w:jc w:val="right"/>
              <w:spacing w:after="0"/>
              <w:rPr>
                <w:sz w:val="20"/>
                <w:szCs w:val="20"/>
                <w:color w:val="auto"/>
              </w:rPr>
            </w:pPr>
            <w:r>
              <w:rPr>
                <w:rFonts w:ascii="Arial" w:cs="Arial" w:eastAsia="Arial" w:hAnsi="Arial"/>
                <w:sz w:val="18"/>
                <w:szCs w:val="18"/>
                <w:color w:val="32406B"/>
              </w:rPr>
              <w:t>4,543</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32406B"/>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32406B"/>
              </w:rPr>
              <w:t>—</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32406B"/>
              </w:rPr>
              <w:t>Total liabilities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9,083</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32406B"/>
              </w:rPr>
              <w:t>2,736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w w:val="97"/>
              </w:rPr>
              <w:t>2,964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2,397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32406B"/>
              </w:rPr>
              <w:t>Total stockholders’ equity</w:t>
            </w:r>
          </w:p>
        </w:tc>
        <w:tc>
          <w:tcPr>
            <w:tcW w:w="3820" w:type="dxa"/>
            <w:vAlign w:val="bottom"/>
          </w:tcPr>
          <w:p>
            <w:pPr>
              <w:jc w:val="right"/>
              <w:ind w:right="152"/>
              <w:spacing w:after="0"/>
              <w:rPr>
                <w:sz w:val="20"/>
                <w:szCs w:val="20"/>
                <w:color w:val="auto"/>
              </w:rPr>
            </w:pPr>
            <w:r>
              <w:rPr>
                <w:rFonts w:ascii="Arial" w:cs="Arial" w:eastAsia="Arial" w:hAnsi="Arial"/>
                <w:sz w:val="18"/>
                <w:szCs w:val="18"/>
                <w:color w:val="32406B"/>
              </w:rPr>
              <w:t>$ 10,601</w:t>
            </w:r>
          </w:p>
        </w:tc>
        <w:tc>
          <w:tcPr>
            <w:tcW w:w="1140" w:type="dxa"/>
            <w:vAlign w:val="bottom"/>
          </w:tcPr>
          <w:p>
            <w:pPr>
              <w:jc w:val="right"/>
              <w:ind w:right="172"/>
              <w:spacing w:after="0"/>
              <w:rPr>
                <w:sz w:val="20"/>
                <w:szCs w:val="20"/>
                <w:color w:val="auto"/>
              </w:rPr>
            </w:pPr>
            <w:r>
              <w:rPr>
                <w:rFonts w:ascii="Arial" w:cs="Arial" w:eastAsia="Arial" w:hAnsi="Arial"/>
                <w:sz w:val="18"/>
                <w:szCs w:val="18"/>
                <w:color w:val="32406B"/>
              </w:rPr>
              <w:t>$ 10,574</w:t>
            </w:r>
          </w:p>
        </w:tc>
        <w:tc>
          <w:tcPr>
            <w:tcW w:w="1080" w:type="dxa"/>
            <w:vAlign w:val="bottom"/>
          </w:tcPr>
          <w:p>
            <w:pPr>
              <w:jc w:val="right"/>
              <w:ind w:right="172"/>
              <w:spacing w:after="0"/>
              <w:rPr>
                <w:sz w:val="20"/>
                <w:szCs w:val="20"/>
                <w:color w:val="auto"/>
              </w:rPr>
            </w:pPr>
            <w:r>
              <w:rPr>
                <w:rFonts w:ascii="Arial" w:cs="Arial" w:eastAsia="Arial" w:hAnsi="Arial"/>
                <w:sz w:val="18"/>
                <w:szCs w:val="18"/>
                <w:color w:val="32406B"/>
              </w:rPr>
              <w:t>$10,437</w:t>
            </w:r>
          </w:p>
        </w:tc>
        <w:tc>
          <w:tcPr>
            <w:tcW w:w="340" w:type="dxa"/>
            <w:vAlign w:val="bottom"/>
          </w:tcPr>
          <w:p>
            <w:pPr>
              <w:jc w:val="right"/>
              <w:spacing w:after="0"/>
              <w:rPr>
                <w:sz w:val="20"/>
                <w:szCs w:val="20"/>
                <w:color w:val="auto"/>
              </w:rPr>
            </w:pPr>
            <w:r>
              <w:rPr>
                <w:rFonts w:ascii="Arial" w:cs="Arial" w:eastAsia="Arial" w:hAnsi="Arial"/>
                <w:sz w:val="18"/>
                <w:szCs w:val="18"/>
                <w:color w:val="32406B"/>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32406B"/>
              </w:rPr>
              <w:t>9,722</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32406B"/>
              </w:rPr>
              <w:t>Total liabilities and stockholders’ equity</w:t>
            </w:r>
          </w:p>
        </w:tc>
        <w:tc>
          <w:tcPr>
            <w:tcW w:w="3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32406B"/>
              </w:rPr>
              <w:t>$ 19,684</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32406B"/>
              </w:rPr>
              <w:t>$ 13,310</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32406B"/>
              </w:rPr>
              <w:t>$13,401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32406B"/>
                <w:w w:val="83"/>
              </w:rPr>
              <w:t>12,119</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32406B"/>
            </w:tcBorders>
          </w:tcPr>
          <w:p>
            <w:pPr>
              <w:spacing w:after="0"/>
              <w:rPr>
                <w:sz w:val="13"/>
                <w:szCs w:val="13"/>
                <w:color w:val="auto"/>
              </w:rPr>
            </w:pPr>
          </w:p>
        </w:tc>
        <w:tc>
          <w:tcPr>
            <w:tcW w:w="4100" w:type="dxa"/>
            <w:vAlign w:val="bottom"/>
            <w:tcBorders>
              <w:bottom w:val="single" w:sz="8" w:color="32406B"/>
            </w:tcBorders>
          </w:tcPr>
          <w:p>
            <w:pPr>
              <w:spacing w:after="0"/>
              <w:rPr>
                <w:sz w:val="13"/>
                <w:szCs w:val="13"/>
                <w:color w:val="auto"/>
              </w:rPr>
            </w:pPr>
          </w:p>
        </w:tc>
        <w:tc>
          <w:tcPr>
            <w:tcW w:w="3820" w:type="dxa"/>
            <w:vAlign w:val="bottom"/>
            <w:tcBorders>
              <w:bottom w:val="single" w:sz="8" w:color="32406B"/>
            </w:tcBorders>
          </w:tcPr>
          <w:p>
            <w:pPr>
              <w:spacing w:after="0"/>
              <w:rPr>
                <w:sz w:val="13"/>
                <w:szCs w:val="13"/>
                <w:color w:val="auto"/>
              </w:rPr>
            </w:pPr>
          </w:p>
        </w:tc>
        <w:tc>
          <w:tcPr>
            <w:tcW w:w="1140" w:type="dxa"/>
            <w:vAlign w:val="bottom"/>
            <w:tcBorders>
              <w:bottom w:val="single" w:sz="8" w:color="32406B"/>
            </w:tcBorders>
          </w:tcPr>
          <w:p>
            <w:pPr>
              <w:spacing w:after="0"/>
              <w:rPr>
                <w:sz w:val="13"/>
                <w:szCs w:val="13"/>
                <w:color w:val="auto"/>
              </w:rPr>
            </w:pPr>
          </w:p>
        </w:tc>
        <w:tc>
          <w:tcPr>
            <w:tcW w:w="1080" w:type="dxa"/>
            <w:vAlign w:val="bottom"/>
            <w:tcBorders>
              <w:bottom w:val="single" w:sz="8" w:color="32406B"/>
            </w:tcBorders>
          </w:tcPr>
          <w:p>
            <w:pPr>
              <w:spacing w:after="0"/>
              <w:rPr>
                <w:sz w:val="13"/>
                <w:szCs w:val="13"/>
                <w:color w:val="auto"/>
              </w:rPr>
            </w:pPr>
          </w:p>
        </w:tc>
        <w:tc>
          <w:tcPr>
            <w:tcW w:w="340" w:type="dxa"/>
            <w:vAlign w:val="bottom"/>
            <w:tcBorders>
              <w:bottom w:val="single" w:sz="8" w:color="32406B"/>
            </w:tcBorders>
          </w:tcPr>
          <w:p>
            <w:pPr>
              <w:spacing w:after="0"/>
              <w:rPr>
                <w:sz w:val="13"/>
                <w:szCs w:val="13"/>
                <w:color w:val="auto"/>
              </w:rPr>
            </w:pPr>
          </w:p>
        </w:tc>
        <w:tc>
          <w:tcPr>
            <w:tcW w:w="580" w:type="dxa"/>
            <w:vAlign w:val="bottom"/>
            <w:tcBorders>
              <w:bottom w:val="single" w:sz="8" w:color="32406B"/>
            </w:tcBorders>
          </w:tcPr>
          <w:p>
            <w:pPr>
              <w:spacing w:after="0"/>
              <w:rPr>
                <w:sz w:val="13"/>
                <w:szCs w:val="13"/>
                <w:color w:val="auto"/>
              </w:rPr>
            </w:pPr>
          </w:p>
        </w:tc>
        <w:tc>
          <w:tcPr>
            <w:tcW w:w="200" w:type="dxa"/>
            <w:vAlign w:val="bottom"/>
            <w:tcBorders>
              <w:bottom w:val="single" w:sz="8" w:color="32406B"/>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20" w:type="dxa"/>
            <w:vAlign w:val="bottom"/>
          </w:tcPr>
          <w:p>
            <w:pPr>
              <w:jc w:val="right"/>
              <w:ind w:right="2192"/>
              <w:spacing w:after="0"/>
              <w:rPr>
                <w:sz w:val="20"/>
                <w:szCs w:val="20"/>
                <w:color w:val="auto"/>
              </w:rPr>
            </w:pPr>
            <w:r>
              <w:rPr>
                <w:rFonts w:ascii="Arial" w:cs="Arial" w:eastAsia="Arial" w:hAnsi="Arial"/>
                <w:sz w:val="18"/>
                <w:szCs w:val="18"/>
                <w:color w:val="32406B"/>
              </w:rPr>
              <w:t>S-7</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2406B"/>
        </w:rPr>
        <w:t>RISK FACTORS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32406B"/>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32406B"/>
        </w:rPr>
        <w:t>Risks Related to Our Business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We hereby incorporate by reference risk factors in Item 1A of our Annual Report on Form 10-K for the year ended December 31, 2010.</w:t>
      </w:r>
    </w:p>
    <w:p>
      <w:pPr>
        <w:spacing w:after="0" w:line="15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32406B"/>
        </w:rPr>
        <w:t>Risks Related to the Offering</w:t>
      </w:r>
    </w:p>
    <w:p>
      <w:pPr>
        <w:spacing w:after="0" w:line="158" w:lineRule="exact"/>
        <w:rPr>
          <w:sz w:val="20"/>
          <w:szCs w:val="20"/>
          <w:color w:val="auto"/>
        </w:rPr>
      </w:pPr>
    </w:p>
    <w:p>
      <w:pPr>
        <w:ind w:right="400"/>
        <w:spacing w:after="0" w:line="329" w:lineRule="auto"/>
        <w:rPr>
          <w:sz w:val="20"/>
          <w:szCs w:val="20"/>
          <w:color w:val="auto"/>
        </w:rPr>
      </w:pPr>
      <w:r>
        <w:rPr>
          <w:rFonts w:ascii="Arial" w:cs="Arial" w:eastAsia="Arial" w:hAnsi="Arial"/>
          <w:sz w:val="16"/>
          <w:szCs w:val="16"/>
          <w:b w:val="1"/>
          <w:bCs w:val="1"/>
          <w:color w:val="32406B"/>
        </w:rPr>
        <w:t>If the National merger has not closed by April 30, 2012, or such earlier date as the Merger Agreement is terminated, we will redeem the Fixed Rate Notes on the Special Mandatory Redemption Date and you may not obtain your expected return on the Notes.</w:t>
      </w:r>
    </w:p>
    <w:p>
      <w:pPr>
        <w:spacing w:after="0" w:line="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32406B"/>
        </w:rPr>
        <w:t>Our ability to close the National merger is subject to various closing conditions, many of which are beyond our control. Therefore we may not be able to close the National merger prior to the Special Mandatory Redemption Date or at all. If the closing of the National merger has not occurred before April 30, 2012, or such earlier date as the Merger Agreement is terminated, then we will redeem the Fixed Rate Notes on the Special Mandatory Redemption Date at a redemption price equal to 101% of the aggregate principal amount of the Fixed Rate Notes, plus accrued and unpaid interest from the date of the initial issuance (or the most recent interest payment date on which interest was paid) to but excluding the Special Mandatory Redemption Date. We will not establish an escrow fund for this purpose, and the holders of the Notes will be subject to the risk that we may be unable to finance or otherwise obtain the funds necessary for the special mandatory redemption in the event that the National merger is not closed. The Notes will not be guaranteed by National or any of our or National’s respective existing or future subsidiaries. If we redeem the Notes pursuant to the special mandatory redemption provisions you may not obtain your expected return on the Notes and may not be able to reinvest the proceeds from such special mandatory redemption in an investment that results in a comparable return. In addition, as a result of the special mandatory redemption provisions of the Notes, the trading prices of the Notes may not reflect the financial results of our business or macroeconomic factors. Your decision to invest in the Notes is made at the time of the offering of the Notes. You will have no rights under the special mandatory redemption provisions as long as the National merger closes, nor will you have any right to require us to repurchase your Notes if, between the closing of the Notes offering and the closing of the National merger, we experience any changes (including any material changes) in our business or financial condition, or if the terms of the National merger or the related transactions change, including in material respects.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An active trading market for the Notes may not develop.</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32406B"/>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32406B"/>
        </w:rPr>
        <w:t>The Notes are exclusively the obligations of Texas Instruments Incorporated and are not obligations of its subsidiaries. A substantial portion of Texas Instruments Incorporated operations are conducted through its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S-8</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32406B"/>
        </w:rPr>
        <w:t>As a result, Texas Instruments Incorporated’s cash flow and ability to service its debt, including the Notes, depend upon the earnings of its subsidiaries and the distribution to it of earnings, loans or other payments by its subsidiaries.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32406B"/>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2011, we had approximately $2.7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32406B"/>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The Notes will be subject to the prior claims of any future secured creditors.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32406B"/>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9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32406B"/>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4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32406B"/>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Increased leverage may harm our financial condition and results of operations.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32406B"/>
        </w:rPr>
        <w:t>As of March 31, 2011, Texas Instruments Incorporated had no indebtedness. On a pro forma basis after giving effect to the National merger, this offering and the application of the net proeeds thereof, as more fully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32406B"/>
        </w:rPr>
        <w:t>described in “Use of Proceeds” in this prospectus supplement, as of March 31, 2011, Texas Instruments Incorporated would have had approximately $3.5 billion of total long-term indebtedness (including the Notes), all of which would have been unsecured and unsubordinated.</w:t>
      </w:r>
    </w:p>
    <w:p>
      <w:pPr>
        <w:spacing w:after="0" w:line="11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32406B"/>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32406B"/>
        </w:rPr>
      </w:pPr>
      <w:r>
        <w:rPr>
          <w:rFonts w:ascii="Arial" w:cs="Arial" w:eastAsia="Arial" w:hAnsi="Arial"/>
          <w:sz w:val="16"/>
          <w:szCs w:val="16"/>
          <w:color w:val="32406B"/>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32406B"/>
        </w:rPr>
      </w:pPr>
    </w:p>
    <w:p>
      <w:pPr>
        <w:ind w:left="900" w:right="60" w:hanging="446"/>
        <w:spacing w:after="0" w:line="268" w:lineRule="auto"/>
        <w:tabs>
          <w:tab w:leader="none" w:pos="900" w:val="left"/>
        </w:tabs>
        <w:numPr>
          <w:ilvl w:val="0"/>
          <w:numId w:val="4"/>
        </w:numPr>
        <w:rPr>
          <w:rFonts w:ascii="Arial" w:cs="Arial" w:eastAsia="Arial" w:hAnsi="Arial"/>
          <w:sz w:val="18"/>
          <w:szCs w:val="18"/>
          <w:color w:val="32406B"/>
        </w:rPr>
      </w:pPr>
      <w:r>
        <w:rPr>
          <w:rFonts w:ascii="Arial" w:cs="Arial" w:eastAsia="Arial" w:hAnsi="Arial"/>
          <w:sz w:val="18"/>
          <w:szCs w:val="18"/>
          <w:color w:val="32406B"/>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32406B"/>
        </w:rPr>
      </w:pPr>
    </w:p>
    <w:p>
      <w:pPr>
        <w:ind w:left="900" w:right="160" w:hanging="446"/>
        <w:spacing w:after="0" w:line="268" w:lineRule="auto"/>
        <w:tabs>
          <w:tab w:leader="none" w:pos="900" w:val="left"/>
        </w:tabs>
        <w:numPr>
          <w:ilvl w:val="0"/>
          <w:numId w:val="4"/>
        </w:numPr>
        <w:rPr>
          <w:rFonts w:ascii="Arial" w:cs="Arial" w:eastAsia="Arial" w:hAnsi="Arial"/>
          <w:sz w:val="18"/>
          <w:szCs w:val="18"/>
          <w:color w:val="32406B"/>
        </w:rPr>
      </w:pPr>
      <w:r>
        <w:rPr>
          <w:rFonts w:ascii="Arial" w:cs="Arial" w:eastAsia="Arial" w:hAnsi="Arial"/>
          <w:sz w:val="18"/>
          <w:szCs w:val="18"/>
          <w:color w:val="32406B"/>
        </w:rPr>
        <w:t>depending on the levels of its outstanding debt, its ability to obtain additional financing for working capital, capital expenditures, general corporate and other purposes may be limited.</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32406B"/>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to seek additional financing in the debt or equity markets;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to refinance or restructure all or a portion of its indebtedness, including the Notes;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to sell selected assets;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to reduce or delay planned capital expenditures; or</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32406B"/>
        </w:rPr>
        <w:t>Such measures might not be sufficient to enable Texas Instruments Incorporated to service its debt. In addition, any such financing, refinancing or sale of assets might not be available on economically favorable terms.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The terms of the Notes will not protect you in the event of highly leveraged transactions or a change of control.</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32406B"/>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Credit ratings of the Notes may change and affect the market price and marketability of the Notes.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32406B"/>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such as future acquisitions.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USE OF PROCEEDS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32406B"/>
        </w:rPr>
        <w:t>We anticipate that we will receive net proceeds of approximately $3.485 billion from this offering after underwriters discounts and commissions and other estimated expenses. We intend to use the net proceeds from the sale of the Notes primarily to fund the National merger. We intend to use the excess, if any, for working capital and general corporate purposes including, but not limited to, funding our operations, purchasing capital equipment, funding potential additional acquisitions, repaying debt and repurchasing shares of our common stock. Prior to the closing of the National merger, we intend to invest the proceeds in certificates of deposit, United States government securities and certain other interest-bearing securities. The proceeds from this offering will not be deposited into an escrow account.</w:t>
      </w:r>
    </w:p>
    <w:p>
      <w:pPr>
        <w:spacing w:after="0" w:line="13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32406B"/>
        </w:rPr>
        <w:t>Upon the closing of the National merger, all or a portion of the proceeds from this offering will be used, together with additional borrowings and available cash and cash equivalents and short-term investments, to purchase shares of National’s common stock for $25 per share or an aggregate of approximately $6.5 billion. The aggregate purchase price will increase to the extent of stock option exercises and the vesting of other forms of equity compensation.</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32406B"/>
        </w:rPr>
        <w:t>If we do not close the National merger by April 30, 2012, or such earlier date as the Merger Agreement is terminated, we will redeem all of the Fixed Rate Notes on the Special Mandatory Redemption Date at a redemption price equal to 101% of the aggregate principal amount of such Fixed Rate Notes, plus accrued and unpaid interest from the date of the initial issuance of such Fixed Rate Notes (or the most recent interest payment date on which interest was paid) to but excluding the Special Mandatory Redemption Date. See “Description of the Notes—Special Mandatory Redemption.”</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32406B"/>
        </w:rPr>
        <w:t>We expect to generate additional cash from operations prior to the closing of the National merger. Prior to the closing of the National merger, we may issue commercial paper, borrow amounts under our $1.0 billion Revolving Credit Agreement dated as of May 6, 2011 among Texas Instruments Incorporated, any designated subsidiary borrowers, the lenders party thereto, Morgan Stanley Senior Funding, Inc., as administrative agent, sole lead arranger and sole bookrunner, and Bank of America, N.A. and JPMorgan Chase Bank, N.A., as co-syndication agents (the “Revolving Credit Facility”) or incur other indebtedness so that we have adequate cash balances following the closing.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S-11</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CAPITALIZATION</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32406B"/>
        </w:rPr>
        <w:t>The following table sets forth our cash, cash equivalents and short-term investments and our capitalization as of March 31, 2011, on an historical basis and on a pro forma basis to give effect to the adjustments included in our pro forma financial information, including the issuance of $3.5 billion aggregate principal amount of the Notes offered hereby. The information below is not necessarily indicative of what our capitalization would have been had the National merger closed as of March 31, 2011. This table should be read in conjunction with “Unaudited Pro Forma Financial Information,” our consolidated financial statements and the related notes all included or incorporated by reference in this prospectus supplement and the accompanying prospectus.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32406B"/>
              </w:rPr>
              <w:t>As of March 31, 2011</w:t>
            </w:r>
          </w:p>
        </w:tc>
        <w:tc>
          <w:tcPr>
            <w:tcW w:w="0" w:type="dxa"/>
            <w:vAlign w:val="bottom"/>
          </w:tcPr>
          <w:p>
            <w:pPr>
              <w:spacing w:after="0"/>
              <w:rPr>
                <w:sz w:val="1"/>
                <w:szCs w:val="1"/>
                <w:color w:val="auto"/>
              </w:rPr>
            </w:pPr>
          </w:p>
        </w:tc>
      </w:tr>
      <w:tr>
        <w:trPr>
          <w:trHeight w:val="142"/>
        </w:trPr>
        <w:tc>
          <w:tcPr>
            <w:tcW w:w="7800" w:type="dxa"/>
            <w:vAlign w:val="bottom"/>
          </w:tcPr>
          <w:p>
            <w:pPr>
              <w:spacing w:after="0" w:line="142" w:lineRule="exact"/>
              <w:rPr>
                <w:sz w:val="20"/>
                <w:szCs w:val="20"/>
                <w:color w:val="auto"/>
              </w:rPr>
            </w:pPr>
            <w:r>
              <w:rPr>
                <w:rFonts w:ascii="Arial" w:cs="Arial" w:eastAsia="Arial" w:hAnsi="Arial"/>
                <w:sz w:val="14"/>
                <w:szCs w:val="14"/>
                <w:b w:val="1"/>
                <w:bCs w:val="1"/>
                <w:color w:val="32406B"/>
              </w:rPr>
              <w:t>(Millions of dollars, except share and per share amounts)</w:t>
            </w:r>
          </w:p>
        </w:tc>
        <w:tc>
          <w:tcPr>
            <w:tcW w:w="168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w w:val="90"/>
              </w:rPr>
              <w:t>Historical</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32406B"/>
                <w:w w:val="88"/>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Cash, cash equivalents and short-term investments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2,857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1,557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32406B"/>
              </w:rPr>
              <w:t>Long-term debt:</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Notes offered hereby</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3,500</w:t>
            </w:r>
          </w:p>
        </w:tc>
        <w:tc>
          <w:tcPr>
            <w:tcW w:w="0" w:type="dxa"/>
            <w:vAlign w:val="bottom"/>
          </w:tcPr>
          <w:p>
            <w:pPr>
              <w:spacing w:after="0"/>
              <w:rPr>
                <w:sz w:val="1"/>
                <w:szCs w:val="1"/>
                <w:color w:val="auto"/>
              </w:rPr>
            </w:pPr>
          </w:p>
        </w:tc>
      </w:tr>
      <w:tr>
        <w:trPr>
          <w:trHeight w:val="223"/>
        </w:trPr>
        <w:tc>
          <w:tcPr>
            <w:tcW w:w="7800" w:type="dxa"/>
            <w:vAlign w:val="bottom"/>
          </w:tcPr>
          <w:p>
            <w:pPr>
              <w:ind w:left="440"/>
              <w:spacing w:after="0"/>
              <w:rPr>
                <w:sz w:val="20"/>
                <w:szCs w:val="20"/>
                <w:color w:val="auto"/>
              </w:rPr>
            </w:pPr>
            <w:r>
              <w:rPr>
                <w:rFonts w:ascii="Arial" w:cs="Arial" w:eastAsia="Arial" w:hAnsi="Arial"/>
                <w:sz w:val="18"/>
                <w:szCs w:val="18"/>
                <w:color w:val="32406B"/>
              </w:rPr>
              <w:t>Other long-term debt</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880"/>
              <w:spacing w:after="0"/>
              <w:rPr>
                <w:sz w:val="20"/>
                <w:szCs w:val="20"/>
                <w:color w:val="auto"/>
              </w:rPr>
            </w:pPr>
            <w:r>
              <w:rPr>
                <w:rFonts w:ascii="Arial" w:cs="Arial" w:eastAsia="Arial" w:hAnsi="Arial"/>
                <w:sz w:val="18"/>
                <w:szCs w:val="18"/>
                <w:color w:val="32406B"/>
              </w:rPr>
              <w:t>Total long-term debt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4,543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32406B"/>
              </w:rPr>
              <w:t>Stockholders’ equity: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Preferred stock, $25 par value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32406B"/>
              </w:rPr>
              <w:t>Authorized – 10,000,000 shares. Participating cumulative preferred. None issued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Common stock, $1 par value.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1,740</w:t>
            </w:r>
          </w:p>
        </w:tc>
        <w:tc>
          <w:tcPr>
            <w:tcW w:w="0" w:type="dxa"/>
            <w:vAlign w:val="bottom"/>
          </w:tcPr>
          <w:p>
            <w:pPr>
              <w:spacing w:after="0"/>
              <w:rPr>
                <w:sz w:val="1"/>
                <w:szCs w:val="1"/>
                <w:color w:val="auto"/>
              </w:rPr>
            </w:pPr>
          </w:p>
        </w:tc>
      </w:tr>
      <w:tr>
        <w:trPr>
          <w:trHeight w:val="216"/>
        </w:trPr>
        <w:tc>
          <w:tcPr>
            <w:tcW w:w="7800" w:type="dxa"/>
            <w:vAlign w:val="bottom"/>
          </w:tcPr>
          <w:p>
            <w:pPr>
              <w:ind w:left="880"/>
              <w:spacing w:after="0"/>
              <w:rPr>
                <w:sz w:val="20"/>
                <w:szCs w:val="20"/>
                <w:color w:val="auto"/>
              </w:rPr>
            </w:pPr>
            <w:r>
              <w:rPr>
                <w:rFonts w:ascii="Arial" w:cs="Arial" w:eastAsia="Arial" w:hAnsi="Arial"/>
                <w:sz w:val="18"/>
                <w:szCs w:val="18"/>
                <w:color w:val="32406B"/>
              </w:rPr>
              <w:t>Authorized – 2,400,000,000 shares. Shares issued: 1,740,394,740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Paid-in-capital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1,116</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32406B"/>
              </w:rPr>
              <w:t>Retained earnings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25,206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w w:val="98"/>
              </w:rPr>
              <w:t>25,185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32406B"/>
              </w:rPr>
              <w:t>Less treasury common stock at cost (579,225,953 shares)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86"/>
              </w:rPr>
              <w:t>(16,738)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9"/>
              </w:rPr>
              <w:t>(16,738)</w:t>
            </w:r>
          </w:p>
        </w:tc>
        <w:tc>
          <w:tcPr>
            <w:tcW w:w="0" w:type="dxa"/>
            <w:vAlign w:val="bottom"/>
          </w:tcPr>
          <w:p>
            <w:pPr>
              <w:spacing w:after="0"/>
              <w:rPr>
                <w:sz w:val="1"/>
                <w:szCs w:val="1"/>
                <w:color w:val="auto"/>
              </w:rPr>
            </w:pPr>
          </w:p>
        </w:tc>
      </w:tr>
      <w:tr>
        <w:trPr>
          <w:trHeight w:val="223"/>
        </w:trPr>
        <w:tc>
          <w:tcPr>
            <w:tcW w:w="7800" w:type="dxa"/>
            <w:vAlign w:val="bottom"/>
          </w:tcPr>
          <w:p>
            <w:pPr>
              <w:ind w:left="440"/>
              <w:spacing w:after="0"/>
              <w:rPr>
                <w:sz w:val="20"/>
                <w:szCs w:val="20"/>
                <w:color w:val="auto"/>
              </w:rPr>
            </w:pPr>
            <w:r>
              <w:rPr>
                <w:rFonts w:ascii="Arial" w:cs="Arial" w:eastAsia="Arial" w:hAnsi="Arial"/>
                <w:sz w:val="18"/>
                <w:szCs w:val="18"/>
                <w:color w:val="32406B"/>
              </w:rPr>
              <w:t>Accumulated other comprehensive income (loss)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32406B"/>
              </w:rPr>
              <w:t>(702)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32406B"/>
              </w:rPr>
              <w:t>(702)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880"/>
              <w:spacing w:after="0"/>
              <w:rPr>
                <w:sz w:val="20"/>
                <w:szCs w:val="20"/>
                <w:color w:val="auto"/>
              </w:rPr>
            </w:pPr>
            <w:r>
              <w:rPr>
                <w:rFonts w:ascii="Arial" w:cs="Arial" w:eastAsia="Arial" w:hAnsi="Arial"/>
                <w:sz w:val="18"/>
                <w:szCs w:val="18"/>
                <w:color w:val="32406B"/>
              </w:rPr>
              <w:t>Total stockholders’ equity</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4"/>
              </w:rPr>
              <w:t>10,574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8"/>
              </w:rPr>
              <w:t>10,601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00" w:type="dxa"/>
            <w:vAlign w:val="bottom"/>
          </w:tcPr>
          <w:p>
            <w:pPr>
              <w:ind w:left="880"/>
              <w:spacing w:after="0"/>
              <w:rPr>
                <w:sz w:val="20"/>
                <w:szCs w:val="20"/>
                <w:color w:val="auto"/>
              </w:rPr>
            </w:pPr>
            <w:r>
              <w:rPr>
                <w:rFonts w:ascii="Arial" w:cs="Arial" w:eastAsia="Arial" w:hAnsi="Arial"/>
                <w:sz w:val="18"/>
                <w:szCs w:val="18"/>
                <w:color w:val="32406B"/>
              </w:rPr>
              <w:t>Total capitalization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10,574</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32406B"/>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w w:val="98"/>
              </w:rPr>
              <w:t>15,144</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540"/>
              <w:spacing w:after="0"/>
              <w:rPr>
                <w:sz w:val="20"/>
                <w:szCs w:val="20"/>
                <w:color w:val="auto"/>
              </w:rPr>
            </w:pPr>
            <w:r>
              <w:rPr>
                <w:rFonts w:ascii="Arial" w:cs="Arial" w:eastAsia="Arial" w:hAnsi="Arial"/>
                <w:sz w:val="18"/>
                <w:szCs w:val="18"/>
                <w:color w:val="32406B"/>
              </w:rPr>
              <w:t>S-12</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23" w:lineRule="auto"/>
        <w:rPr>
          <w:sz w:val="20"/>
          <w:szCs w:val="20"/>
          <w:color w:val="auto"/>
        </w:rPr>
      </w:pPr>
      <w:r>
        <w:rPr>
          <w:rFonts w:ascii="Arial" w:cs="Arial" w:eastAsia="Arial" w:hAnsi="Arial"/>
          <w:sz w:val="18"/>
          <w:szCs w:val="18"/>
          <w:b w:val="1"/>
          <w:bCs w:val="1"/>
          <w:color w:val="32406B"/>
        </w:rPr>
        <w:t xml:space="preserve">RATIOS OF EARNINGS TO FIXED CHARGES </w:t>
      </w:r>
      <w:r>
        <w:rPr>
          <w:rFonts w:ascii="Arial" w:cs="Arial" w:eastAsia="Arial" w:hAnsi="Arial"/>
          <w:sz w:val="18"/>
          <w:szCs w:val="18"/>
          <w:color w:val="32406B"/>
        </w:rPr>
        <w:t>The following table sets forth our ratios of earnings to fixed charges for each of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32406B"/>
                <w:w w:val="88"/>
              </w:rPr>
              <w:t>Pro Forma</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32406B"/>
                <w:w w:val="90"/>
              </w:rPr>
              <w:t>Historical</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32406B"/>
                <w:w w:val="88"/>
              </w:rPr>
              <w:t>Pro Forma</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32406B"/>
                <w:w w:val="87"/>
              </w:rPr>
              <w:t>Historical</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32406B"/>
                <w:w w:val="89"/>
              </w:rPr>
              <w:t>Three</w:t>
            </w:r>
          </w:p>
        </w:tc>
        <w:tc>
          <w:tcPr>
            <w:tcW w:w="3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32406B"/>
                <w:w w:val="89"/>
              </w:rPr>
              <w:t>Three</w:t>
            </w:r>
          </w:p>
        </w:tc>
        <w:tc>
          <w:tcPr>
            <w:tcW w:w="3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88"/>
              </w:rPr>
              <w:t>Months</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88"/>
              </w:rPr>
              <w:t>Months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85"/>
              </w:rPr>
              <w:t>Year</w:t>
            </w:r>
          </w:p>
        </w:tc>
        <w:tc>
          <w:tcPr>
            <w:tcW w:w="248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32406B"/>
                <w:w w:val="87"/>
              </w:rPr>
              <w:t>Year Ended December 31,</w:t>
            </w: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9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32406B"/>
                <w:w w:val="88"/>
              </w:rPr>
              <w:t>Ended</w:t>
            </w:r>
          </w:p>
        </w:tc>
        <w:tc>
          <w:tcPr>
            <w:tcW w:w="92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32406B"/>
                <w:w w:val="88"/>
              </w:rPr>
              <w:t>Ended</w:t>
            </w:r>
          </w:p>
        </w:tc>
        <w:tc>
          <w:tcPr>
            <w:tcW w:w="11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32406B"/>
                <w:w w:val="88"/>
              </w:rPr>
              <w:t>Ended</w:t>
            </w:r>
          </w:p>
        </w:tc>
        <w:tc>
          <w:tcPr>
            <w:tcW w:w="2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9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89"/>
              </w:rPr>
              <w:t>March 31,</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89"/>
              </w:rPr>
              <w:t>March 31,</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85"/>
              </w:rPr>
              <w:t>December 31,</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3"/>
              </w:rPr>
              <w:t>2011</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3"/>
              </w:rPr>
              <w:t>2011</w:t>
            </w: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3"/>
              </w:rPr>
              <w:t>2010</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32406B"/>
              </w:rPr>
              <w:t>2010</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2009</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32406B"/>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32406B"/>
              </w:rPr>
              <w:t>Ratio of earnings to fixed charges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29.4×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230.7×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36.0×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304.8×</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127.9×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109.5×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32406B"/>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32406B"/>
        </w:rPr>
        <w:t>The pro forma ratios of earnings to fixed charges assumes the National merger was completed on January 1, 2010. For the year ended December 31, 2010, the pro forma ratio reflects, among other items, (a) a $112 million increase in interest expense due to the incurrence of approximately $3.5 billion of incremental borrowings, including the Notes offered hereby, and amortization of capitalized debt issuance costs, and (b) an estimated increase in the interest elements of lease expense of $8 million. For the three months ended March 31, 2011, the pro forma ratio reflects, among other items, (a) a $27 million increase in interest expense due to the incurrence of approximately $3.5 billion of incremental borrowings, including the Notes offered hereby, and amortization of capitalized debt issuance costs, and (b) an estimated increase in the interest elements of lease expense of $2 million. The calculation of the pro forma ratio assumes a weighted average interest rate of 1.52% per annum on an assumed $3.5 billion of incremental borrowings, including the Notes offered hereby. See “Unaudited Pro Forma Financial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32406B"/>
        </w:rPr>
        <w:t>UNAUDITED PRO FORMA FINANCIAL INFORMATION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32406B"/>
        </w:rPr>
        <w:t>The following unaudited pro forma condensed combined financial statements give effect to the planned acquisition of National by TI. Due to the estimated significance of the proposed investment in National by TI compared to TI’s total assets as of December 31, 2010, and the probable nature of the acquisition occurring, these unaudited pro forma condensed combined financial statements are presented in this prospectus supplement even though the acquisition of National has not yet been consummated.</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32406B"/>
        </w:rPr>
        <w:t>The following unaudited pro forma condensed combined financial statements are based on the historical consolidated financial statements of TI and National, which are incorporated by reference into this prospectus. In preparing the unaudited pro forma condensed combined statement of income for the twelve months ended December 31, 2010, certain historical financial information for National, which has a fiscal year end that ends on the last Sunday of May, was recast to a reportable period comparable to TI (TI reports on a calendar year basis): to the results for the fiscal year ended May 30, 2010, we added the results for the six months ended November 28, 2010 and subtracted the results for the six months ended November 27, 2009. The other unaudited pro forma condensed combined financial statements are based on historical financial statements that are within 93 days of TI calendar reporting periods and so no further recasting of National’s financial statements was required. In addition certain reclassifications were made to the reported financial information of National to conform to the reporting classifications of TI.</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32406B"/>
        </w:rPr>
        <w:t>The unaudited pro forma condensed combined statements of income for the twelve months ended December 31, 2010, and the three months ended March 31, 2011 and 2010, give effect to the acquisition as if it had been completed on January 1, 2010. The unaudited pro forma condensed combined balance sheet gives effect to the acquisition as if it had been completed on March 31, 2011.</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32406B"/>
        </w:rPr>
        <w:t>The historical financial information has been adjusted to give effect to pro forma events that are (1) directly attributable to the acquisition, (2) factually supportable and (3) expected to have a continuing impact on the combined results of TI and National. The unaudited pro forma condensed combined financial statements do not reflect any operating efficiencies, cost savings or revenue enhancements that may be achieved by the combined companies. In addition, certain nonrecurring expenses expected to be incurred within the first twelve months after the acquisition are also not reflected in the pro forma statements.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32406B"/>
        </w:rPr>
        <w:t>The pro forma adjustments are based on preliminary information available as of the date of this prospectus. Assumptions and estimates underlying the pro forma adjustments are described in the accompanying notes. These preliminary assumptions and estimates are subject to change as TI finalizes the valuations of the assets to be acquired and liabilities to be assumed in connection with its acquisition of National. Such final valuations are dependent upon procedures and other studies that have yet to commence; therefore the final amounts recorded at the closing date of the acquisition may differ significantly from the information presented herein.</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32406B"/>
        </w:rPr>
        <w:t>Upon consummation of the acquisition, TI will review National’s accounting policies to determine if it may be necessary to harmonize any differences in policies. These unaudited pro forma condensed combined financial statements do not assume any differences in accounting policies.</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32406B"/>
        </w:rPr>
        <w:t>These unaudited pro forma condensed combined financial statements are provided for informational purposes only and are not necessarily indicative of what the actual results of operations and financial position would have been had the acquisition taken place on the dates indicated, nor are they indicative of the future consolidated results of operations or financial position of the combined companies.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32406B"/>
        </w:rPr>
        <w:t>The unaudited pro forma condensed combined financial statements, including the notes thereto, should be read in conjunction with the historical financial statements of TI and National incorporated by reference into this prospectus. See “Where You Can Find More Information.”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32406B"/>
        </w:rPr>
        <w:t>S-14</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UNAUDITED PRO FORMA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AS OF MARCH 31,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32406B"/>
                <w:w w:val="80"/>
              </w:rPr>
              <w:t>Texas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32406B"/>
                <w:w w:val="90"/>
              </w:rPr>
              <w:t>National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32406B"/>
              </w:rPr>
              <w:t>Instruments</w:t>
            </w:r>
          </w:p>
        </w:tc>
        <w:tc>
          <w:tcPr>
            <w:tcW w:w="3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Semiconductor</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32406B"/>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32406B"/>
                <w:w w:val="92"/>
              </w:rPr>
              <w:t>March 31,</w:t>
            </w:r>
          </w:p>
        </w:tc>
        <w:tc>
          <w:tcPr>
            <w:tcW w:w="320" w:type="dxa"/>
            <w:vAlign w:val="bottom"/>
          </w:tcPr>
          <w:p>
            <w:pPr>
              <w:spacing w:after="0"/>
              <w:rPr>
                <w:sz w:val="12"/>
                <w:szCs w:val="12"/>
                <w:color w:val="auto"/>
              </w:rPr>
            </w:pPr>
          </w:p>
        </w:tc>
        <w:tc>
          <w:tcPr>
            <w:tcW w:w="15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32406B"/>
                <w:w w:val="91"/>
              </w:rPr>
              <w:t>February 27,</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1"/>
              </w:rPr>
              <w:t>Total Pro Forma</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32406B"/>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32406B"/>
                <w:w w:val="83"/>
              </w:rPr>
              <w:t>2011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32406B"/>
                <w:w w:val="83"/>
              </w:rPr>
              <w:t>2011</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32406B"/>
                <w:w w:val="87"/>
              </w:rPr>
              <w:t>Adjustments</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32406B"/>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1,343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860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4,300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(a)</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32406B"/>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1,000</w:t>
            </w:r>
          </w:p>
        </w:tc>
        <w:tc>
          <w:tcPr>
            <w:tcW w:w="740" w:type="dxa"/>
            <w:vAlign w:val="bottom"/>
          </w:tcPr>
          <w:p>
            <w:pPr>
              <w:ind w:left="20"/>
              <w:spacing w:after="0"/>
              <w:rPr>
                <w:sz w:val="20"/>
                <w:szCs w:val="20"/>
                <w:color w:val="auto"/>
              </w:rPr>
            </w:pPr>
            <w:r>
              <w:rPr>
                <w:rFonts w:ascii="Arial" w:cs="Arial" w:eastAsia="Arial" w:hAnsi="Arial"/>
                <w:sz w:val="18"/>
                <w:szCs w:val="18"/>
                <w:color w:val="32406B"/>
              </w:rPr>
              <w:t>(a)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32406B"/>
              </w:rPr>
              <w:t>(6,500)(b)</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Short-term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1,514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40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32"/>
              <w:spacing w:after="0"/>
              <w:rPr>
                <w:sz w:val="20"/>
                <w:szCs w:val="20"/>
                <w:color w:val="auto"/>
              </w:rPr>
            </w:pPr>
            <w:r>
              <w:rPr>
                <w:rFonts w:ascii="Arial" w:cs="Arial" w:eastAsia="Arial" w:hAnsi="Arial"/>
                <w:sz w:val="18"/>
                <w:szCs w:val="18"/>
                <w:color w:val="32406B"/>
              </w:rPr>
              <w:t>(1,000)(a)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Accounts receivable, net of allowances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1,568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1,678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138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771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170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142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7,044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1,346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b w:val="1"/>
                <w:bCs w:val="1"/>
                <w:color w:val="32406B"/>
              </w:rPr>
              <w:t>(2,200)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6,190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32406B"/>
              </w:rPr>
              <w:t>Property, plant and equipment at cost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6,712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2,216</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8,928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Less 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(3,055)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32406B"/>
              </w:rPr>
              <w:t>(1,796)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(4,851)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32406B"/>
              </w:rPr>
              <w:t>Property, plant and equipment, net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3,657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420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4,077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Long-term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449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924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32"/>
              <w:spacing w:after="0"/>
              <w:rPr>
                <w:sz w:val="20"/>
                <w:szCs w:val="20"/>
                <w:color w:val="auto"/>
              </w:rPr>
            </w:pPr>
            <w:r>
              <w:rPr>
                <w:rFonts w:ascii="Arial" w:cs="Arial" w:eastAsia="Arial" w:hAnsi="Arial"/>
                <w:sz w:val="18"/>
                <w:szCs w:val="18"/>
                <w:color w:val="32406B"/>
              </w:rPr>
              <w:t>(68)(e)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5,053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Acquisition-related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69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1,406</w:t>
            </w:r>
          </w:p>
        </w:tc>
        <w:tc>
          <w:tcPr>
            <w:tcW w:w="740" w:type="dxa"/>
            <w:vAlign w:val="bottom"/>
          </w:tcPr>
          <w:p>
            <w:pPr>
              <w:ind w:left="20"/>
              <w:spacing w:after="0"/>
              <w:rPr>
                <w:sz w:val="20"/>
                <w:szCs w:val="20"/>
                <w:color w:val="auto"/>
              </w:rPr>
            </w:pPr>
            <w:r>
              <w:rPr>
                <w:rFonts w:ascii="Arial" w:cs="Arial" w:eastAsia="Arial" w:hAnsi="Arial"/>
                <w:sz w:val="18"/>
                <w:szCs w:val="18"/>
                <w:color w:val="32406B"/>
              </w:rPr>
              <w:t>(c)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899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Capitalized software licenses,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193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Overfunded retirement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47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99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92"/>
              <w:spacing w:after="0"/>
              <w:rPr>
                <w:sz w:val="20"/>
                <w:szCs w:val="20"/>
                <w:color w:val="auto"/>
              </w:rPr>
            </w:pPr>
            <w:r>
              <w:rPr>
                <w:rFonts w:ascii="Arial" w:cs="Arial" w:eastAsia="Arial" w:hAnsi="Arial"/>
                <w:sz w:val="18"/>
                <w:szCs w:val="18"/>
                <w:color w:val="32406B"/>
              </w:rPr>
              <w:t>11(a)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13,310</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32406B"/>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2,172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4,202</w:t>
            </w:r>
          </w:p>
        </w:tc>
        <w:tc>
          <w:tcPr>
            <w:tcW w:w="7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32406B"/>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w w:val="98"/>
              </w:rPr>
              <w:t>19,684</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32406B"/>
              </w:rPr>
              <w:t>Short-term debt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32406B"/>
              </w:rPr>
              <w:t>(a)</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gridSpan w:val="2"/>
            <w:vMerge w:val="continue"/>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32406B"/>
              </w:rPr>
              <w: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32406B"/>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32406B"/>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800</w:t>
            </w:r>
          </w:p>
        </w:tc>
        <w:tc>
          <w:tcPr>
            <w:tcW w:w="740" w:type="dxa"/>
            <w:vAlign w:val="bottom"/>
            <w:vMerge w:val="continue"/>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32406B"/>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800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Accounts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605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32406B"/>
              </w:rPr>
              <w:t>32(d)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92"/>
              <w:spacing w:after="0"/>
              <w:rPr>
                <w:sz w:val="20"/>
                <w:szCs w:val="20"/>
                <w:color w:val="auto"/>
              </w:rPr>
            </w:pPr>
            <w:r>
              <w:rPr>
                <w:rFonts w:ascii="Arial" w:cs="Arial" w:eastAsia="Arial" w:hAnsi="Arial"/>
                <w:sz w:val="18"/>
                <w:szCs w:val="18"/>
                <w:color w:val="32406B"/>
              </w:rPr>
              <w:t>11(a)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Accrued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348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247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Accrued expenses and other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640</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b w:val="1"/>
                <w:bCs w:val="1"/>
                <w:color w:val="32406B"/>
              </w:rPr>
              <w:t>Total current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1,793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162</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843</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1,043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3,500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Underfunded retirement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527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72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32406B"/>
              </w:rPr>
              <w:t>(11)(d)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492</w:t>
            </w:r>
          </w:p>
        </w:tc>
        <w:tc>
          <w:tcPr>
            <w:tcW w:w="740" w:type="dxa"/>
            <w:vAlign w:val="bottom"/>
          </w:tcPr>
          <w:p>
            <w:pPr>
              <w:ind w:left="20"/>
              <w:spacing w:after="0"/>
              <w:rPr>
                <w:sz w:val="20"/>
                <w:szCs w:val="20"/>
                <w:color w:val="auto"/>
              </w:rPr>
            </w:pPr>
            <w:r>
              <w:rPr>
                <w:rFonts w:ascii="Arial" w:cs="Arial" w:eastAsia="Arial" w:hAnsi="Arial"/>
                <w:sz w:val="18"/>
                <w:szCs w:val="18"/>
                <w:color w:val="32406B"/>
              </w:rPr>
              <w:t>(c)(g)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Deferred credits and other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334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580</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b w:val="1"/>
                <w:bCs w:val="1"/>
                <w:color w:val="32406B"/>
              </w:rPr>
              <w:t>Total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2,736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1,523</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4,824</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1,740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121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32"/>
              <w:spacing w:after="0"/>
              <w:rPr>
                <w:sz w:val="20"/>
                <w:szCs w:val="20"/>
                <w:color w:val="auto"/>
              </w:rPr>
            </w:pPr>
            <w:r>
              <w:rPr>
                <w:rFonts w:ascii="Arial" w:cs="Arial" w:eastAsia="Arial" w:hAnsi="Arial"/>
                <w:sz w:val="18"/>
                <w:szCs w:val="18"/>
                <w:color w:val="32406B"/>
              </w:rPr>
              <w:t>(121)(e)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32406B"/>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1,068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32406B"/>
              </w:rPr>
              <w:t>(246)(e)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512"/>
              <w:spacing w:after="0"/>
              <w:rPr>
                <w:sz w:val="20"/>
                <w:szCs w:val="20"/>
                <w:color w:val="auto"/>
              </w:rPr>
            </w:pPr>
            <w:r>
              <w:rPr>
                <w:rFonts w:ascii="Arial" w:cs="Arial" w:eastAsia="Arial" w:hAnsi="Arial"/>
                <w:sz w:val="18"/>
                <w:szCs w:val="18"/>
                <w:color w:val="32406B"/>
              </w:rPr>
              <w:t>48(f)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Retained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25,206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32406B"/>
              </w:rPr>
              <w:t>(415)(e)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98"/>
              </w:rPr>
              <w:t>25,185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12"/>
              <w:spacing w:after="0"/>
              <w:rPr>
                <w:sz w:val="20"/>
                <w:szCs w:val="20"/>
                <w:color w:val="auto"/>
              </w:rPr>
            </w:pPr>
            <w:r>
              <w:rPr>
                <w:rFonts w:ascii="Arial" w:cs="Arial" w:eastAsia="Arial" w:hAnsi="Arial"/>
                <w:sz w:val="18"/>
                <w:szCs w:val="18"/>
                <w:color w:val="32406B"/>
              </w:rPr>
              <w:t>(21)(d)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32406B"/>
              </w:rPr>
              <w:t>Less treasury common stock at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w w:val="92"/>
              </w:rPr>
              <w:t>(16,738)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9"/>
              </w:rPr>
              <w:t>(16,738)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32406B"/>
              </w:rPr>
              <w:t>Accumulated other comprehensive income (loss), net of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32406B"/>
              </w:rPr>
              <w:t>(702)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32406B"/>
              </w:rPr>
              <w:t>(133)</w:t>
            </w:r>
          </w:p>
        </w:tc>
        <w:tc>
          <w:tcPr>
            <w:tcW w:w="100" w:type="dxa"/>
            <w:vAlign w:val="bottom"/>
          </w:tcPr>
          <w:p>
            <w:pPr>
              <w:spacing w:after="0"/>
              <w:rPr>
                <w:sz w:val="18"/>
                <w:szCs w:val="18"/>
                <w:color w:val="auto"/>
              </w:rPr>
            </w:pPr>
          </w:p>
        </w:tc>
        <w:tc>
          <w:tcPr>
            <w:tcW w:w="1640" w:type="dxa"/>
            <w:vAlign w:val="bottom"/>
            <w:gridSpan w:val="3"/>
          </w:tcPr>
          <w:p>
            <w:pPr>
              <w:jc w:val="right"/>
              <w:ind w:right="492"/>
              <w:spacing w:after="0"/>
              <w:rPr>
                <w:sz w:val="20"/>
                <w:szCs w:val="20"/>
                <w:color w:val="auto"/>
              </w:rPr>
            </w:pPr>
            <w:r>
              <w:rPr>
                <w:rFonts w:ascii="Arial" w:cs="Arial" w:eastAsia="Arial" w:hAnsi="Arial"/>
                <w:sz w:val="18"/>
                <w:szCs w:val="18"/>
                <w:color w:val="32406B"/>
              </w:rPr>
              <w:t>133(e)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32406B"/>
              </w:rPr>
              <w:t>(702)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10,574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649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b w:val="1"/>
                <w:bCs w:val="1"/>
                <w:color w:val="32406B"/>
              </w:rPr>
              <w:t>(622)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w w:val="98"/>
              </w:rPr>
              <w:t>10,601</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32406B"/>
              </w:rPr>
              <w:t>Total liabilities and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13,310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2,172</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4,202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19,684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32406B"/>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UNAUDITED PRO FORMA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FOR THE TWELVE MONTHS ENDED DECEMBER 31,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32406B"/>
                <w:w w:val="80"/>
              </w:rPr>
              <w:t>Texas</w:t>
            </w:r>
          </w:p>
        </w:tc>
        <w:tc>
          <w:tcPr>
            <w:tcW w:w="14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32406B"/>
                <w:w w:val="90"/>
              </w:rPr>
              <w:t>National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32406B"/>
                <w:w w:val="89"/>
              </w:rPr>
              <w:t>Instruments</w:t>
            </w: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32406B"/>
                <w:w w:val="86"/>
              </w:rPr>
              <w:t>Semiconductor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Twelve Months</w:t>
            </w: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32406B"/>
                <w:w w:val="87"/>
              </w:rPr>
              <w:t>Twelve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5"/>
              </w:rPr>
              <w:t>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32406B"/>
                <w:w w:val="88"/>
              </w:rPr>
              <w:t>Ended</w:t>
            </w:r>
          </w:p>
        </w:tc>
        <w:tc>
          <w:tcPr>
            <w:tcW w:w="1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32406B"/>
                <w:w w:val="88"/>
              </w:rPr>
              <w:t>Ended</w:t>
            </w: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32406B"/>
                <w:w w:val="88"/>
              </w:rPr>
              <w:t>Total Pro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90"/>
              </w:rPr>
              <w:t>December 31,</w:t>
            </w: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32406B"/>
                <w:w w:val="91"/>
              </w:rPr>
              <w:t>November 28,</w:t>
            </w:r>
          </w:p>
        </w:tc>
        <w:tc>
          <w:tcPr>
            <w:tcW w:w="160" w:type="dxa"/>
            <w:vAlign w:val="bottom"/>
          </w:tcPr>
          <w:p>
            <w:pPr>
              <w:spacing w:after="0"/>
              <w:rPr>
                <w:sz w:val="12"/>
                <w:szCs w:val="12"/>
                <w:color w:val="auto"/>
              </w:rPr>
            </w:pPr>
          </w:p>
        </w:tc>
        <w:tc>
          <w:tcPr>
            <w:tcW w:w="12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32406B"/>
                <w:w w:val="88"/>
              </w:rPr>
              <w:t>Forma</w:t>
            </w: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32406B"/>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2010</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32406B"/>
                <w:w w:val="89"/>
              </w:rPr>
              <w:t>2010</w:t>
            </w:r>
          </w:p>
        </w:tc>
        <w:tc>
          <w:tcPr>
            <w:tcW w:w="7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87"/>
              </w:rPr>
              <w:t>Adjustments</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32406B"/>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32406B"/>
                <w:w w:val="71"/>
              </w:rPr>
              <w:t>$</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13,966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1,563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32406B"/>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32406B"/>
              </w:rPr>
              <w:t>Cost of revenue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32406B"/>
              </w:rPr>
              <w:t>6,474</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484</w:t>
            </w: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32406B"/>
              </w:rPr>
              <w:t>(3)(h)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6,955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Gross profit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7,492</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1,079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8,574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32406B"/>
              </w:rPr>
              <w:t>1,570</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280</w:t>
            </w: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32406B"/>
                <w:w w:val="90"/>
              </w:rPr>
              <w:t>(6)(h)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1,519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302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(16)(h)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32406B"/>
              </w:rPr>
              <w:t>Restructuring expense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32406B"/>
              </w:rPr>
              <w:t>33</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30</w:t>
            </w: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32406B"/>
              </w:rPr>
              <w:t>Acquisition costs and amortization/divestiture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32406B"/>
              </w:rPr>
              <w:t>(gain)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32406B"/>
              </w:rPr>
              <w:t>(144)</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201 (i)</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b w:val="1"/>
                <w:bCs w:val="1"/>
                <w:color w:val="32406B"/>
              </w:rPr>
              <w:t>Operating profit</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4,514</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467</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(176)</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37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32406B"/>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32406B"/>
                <w:w w:val="94"/>
              </w:rPr>
              <w:t>(3)(j)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32406B"/>
              </w:rPr>
              <w:t>Interest expense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56</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32406B"/>
              </w:rPr>
              <w:t>56(k)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Income before taxes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4,551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409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32406B"/>
              </w:rPr>
              <w:t>(235)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4,725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32406B"/>
              </w:rPr>
              <w:t>Provision for income taxes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32406B"/>
              </w:rPr>
              <w:t>1,323</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104</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32406B"/>
              </w:rPr>
              <w:t>(82)(l)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1,345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income</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b w:val="1"/>
                <w:bCs w:val="1"/>
                <w:color w:val="32406B"/>
                <w:w w:val="71"/>
              </w:rPr>
              <w:t>$</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3,228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32406B"/>
                <w:w w:val="71"/>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305</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87"/>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32406B"/>
              </w:rPr>
              <w:t>153)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Earnings per share:</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32406B"/>
              </w:rPr>
              <w:t>Basic</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b w:val="1"/>
                <w:bCs w:val="1"/>
                <w:color w:val="32406B"/>
                <w:w w:val="71"/>
              </w:rPr>
              <w:t>$</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2.66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420"/>
              <w:spacing w:after="0"/>
              <w:rPr>
                <w:sz w:val="20"/>
                <w:szCs w:val="20"/>
                <w:color w:val="auto"/>
              </w:rPr>
            </w:pPr>
            <w:r>
              <w:rPr>
                <w:rFonts w:ascii="Arial" w:cs="Arial" w:eastAsia="Arial" w:hAnsi="Arial"/>
                <w:sz w:val="18"/>
                <w:szCs w:val="18"/>
                <w:b w:val="1"/>
                <w:bCs w:val="1"/>
                <w:color w:val="32406B"/>
              </w:rPr>
              <w:t>Diluted</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32406B"/>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2.62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32406B"/>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Average shares outstanding (millions):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b w:val="1"/>
                <w:bCs w:val="1"/>
                <w:color w:val="32406B"/>
              </w:rPr>
              <w:t>Basic</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32406B"/>
              </w:rPr>
              <w:t>1,199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32406B"/>
              </w:rPr>
              <w:t>1,199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32406B"/>
              </w:rPr>
              <w:t>Diluted</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1,213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32406B"/>
                <w:w w:val="97"/>
              </w:rPr>
              <w:t>—(m)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2406B"/>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32406B"/>
        </w:rPr>
        <w:t>UNAUDITED PRO FORMA STATEMENT OF INCOME</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32406B"/>
        </w:rPr>
        <w:t>FOR THE THREE MONTHS ENDED MARCH 31,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32406B"/>
                <w:w w:val="80"/>
              </w:rPr>
              <w:t>Texas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32406B"/>
                <w:w w:val="90"/>
              </w:rPr>
              <w:t>National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87"/>
              </w:rPr>
              <w:t>Instruments</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32406B"/>
                <w:w w:val="86"/>
              </w:rPr>
              <w:t>Semiconductor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8"/>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89"/>
              </w:rPr>
              <w:t>Three Months</w:t>
            </w:r>
          </w:p>
        </w:tc>
        <w:tc>
          <w:tcPr>
            <w:tcW w:w="76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89"/>
              </w:rPr>
              <w:t>Three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32406B"/>
                <w:w w:val="88"/>
              </w:rPr>
              <w:t>Ended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32406B"/>
                <w:w w:val="88"/>
              </w:rPr>
              <w:t>Ended</w:t>
            </w: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32406B"/>
                <w:w w:val="88"/>
              </w:rPr>
              <w:t>Total Pro</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32406B"/>
                <w:w w:val="92"/>
              </w:rPr>
              <w:t>March 31,</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32406B"/>
                <w:w w:val="91"/>
              </w:rPr>
              <w:t>February 27,</w:t>
            </w:r>
          </w:p>
        </w:tc>
        <w:tc>
          <w:tcPr>
            <w:tcW w:w="16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93"/>
              </w:rPr>
              <w:t>Forma</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32406B"/>
                <w:w w:val="83"/>
              </w:rPr>
              <w:t>2011</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32406B"/>
                <w:w w:val="83"/>
              </w:rPr>
              <w:t>2011</w:t>
            </w:r>
          </w:p>
        </w:tc>
        <w:tc>
          <w:tcPr>
            <w:tcW w:w="7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87"/>
              </w:rPr>
              <w:t>Adjustments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32406B"/>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344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Cost of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1,664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115</w:t>
            </w:r>
          </w:p>
        </w:tc>
        <w:tc>
          <w:tcPr>
            <w:tcW w:w="160" w:type="dxa"/>
            <w:vAlign w:val="bottom"/>
          </w:tcPr>
          <w:p>
            <w:pPr>
              <w:spacing w:after="0"/>
              <w:rPr>
                <w:sz w:val="18"/>
                <w:szCs w:val="18"/>
                <w:color w:val="auto"/>
              </w:rPr>
            </w:pPr>
          </w:p>
        </w:tc>
        <w:tc>
          <w:tcPr>
            <w:tcW w:w="1200" w:type="dxa"/>
            <w:vAlign w:val="bottom"/>
            <w:gridSpan w:val="3"/>
          </w:tcPr>
          <w:p>
            <w:pPr>
              <w:jc w:val="right"/>
              <w:ind w:right="272"/>
              <w:spacing w:after="0"/>
              <w:rPr>
                <w:sz w:val="20"/>
                <w:szCs w:val="20"/>
                <w:color w:val="auto"/>
              </w:rPr>
            </w:pPr>
            <w:r>
              <w:rPr>
                <w:rFonts w:ascii="Arial" w:cs="Arial" w:eastAsia="Arial" w:hAnsi="Arial"/>
                <w:sz w:val="18"/>
                <w:szCs w:val="18"/>
                <w:color w:val="32406B"/>
              </w:rPr>
              <w:t>(1)(h)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1,728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229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1</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422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66</w:t>
            </w: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32406B"/>
                <w:w w:val="95"/>
              </w:rPr>
              <w:t>(1)(h)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63</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32406B"/>
                <w:w w:val="95"/>
              </w:rPr>
              <w:t>(1)(h)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Restructuring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8</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Acquisition costs and amortization,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(i)</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b w:val="1"/>
                <w:bCs w:val="1"/>
                <w:color w:val="32406B"/>
              </w:rPr>
              <w:t>Operating profit</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908</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91</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(47)</w:t>
            </w:r>
          </w:p>
        </w:tc>
        <w:tc>
          <w:tcPr>
            <w:tcW w:w="6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3</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32406B"/>
                <w:w w:val="99"/>
              </w:rPr>
              <w:t>(1)(j)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14</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13</w:t>
            </w:r>
          </w:p>
        </w:tc>
        <w:tc>
          <w:tcPr>
            <w:tcW w:w="600" w:type="dxa"/>
            <w:vAlign w:val="bottom"/>
          </w:tcPr>
          <w:p>
            <w:pPr>
              <w:ind w:left="20"/>
              <w:spacing w:after="0"/>
              <w:rPr>
                <w:sz w:val="20"/>
                <w:szCs w:val="20"/>
                <w:color w:val="auto"/>
              </w:rPr>
            </w:pPr>
            <w:r>
              <w:rPr>
                <w:rFonts w:ascii="Arial" w:cs="Arial" w:eastAsia="Arial" w:hAnsi="Arial"/>
                <w:sz w:val="18"/>
                <w:szCs w:val="18"/>
                <w:color w:val="32406B"/>
              </w:rPr>
              <w:t>(k)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Income before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918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80</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32406B"/>
              </w:rPr>
              <w:t>(61)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Provision for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252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21</w:t>
            </w:r>
          </w:p>
        </w:tc>
        <w:tc>
          <w:tcPr>
            <w:tcW w:w="160" w:type="dxa"/>
            <w:vAlign w:val="bottom"/>
          </w:tcPr>
          <w:p>
            <w:pPr>
              <w:spacing w:after="0"/>
              <w:rPr>
                <w:sz w:val="18"/>
                <w:szCs w:val="18"/>
                <w:color w:val="auto"/>
              </w:rPr>
            </w:pPr>
          </w:p>
        </w:tc>
        <w:tc>
          <w:tcPr>
            <w:tcW w:w="1200" w:type="dxa"/>
            <w:vAlign w:val="bottom"/>
            <w:gridSpan w:val="3"/>
          </w:tcPr>
          <w:p>
            <w:pPr>
              <w:jc w:val="right"/>
              <w:ind w:right="312"/>
              <w:spacing w:after="0"/>
              <w:rPr>
                <w:sz w:val="20"/>
                <w:szCs w:val="20"/>
                <w:color w:val="auto"/>
              </w:rPr>
            </w:pPr>
            <w:r>
              <w:rPr>
                <w:rFonts w:ascii="Arial" w:cs="Arial" w:eastAsia="Arial" w:hAnsi="Arial"/>
                <w:sz w:val="18"/>
                <w:szCs w:val="18"/>
                <w:color w:val="32406B"/>
              </w:rPr>
              <w:t>(22)(l)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59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87"/>
              </w:rPr>
              <w:t>($</w:t>
            </w: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32406B"/>
              </w:rPr>
              <w:t>39)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32406B"/>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Earnings per share:</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32406B"/>
              </w:rPr>
              <w:t>Basic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0.56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32406B"/>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b w:val="1"/>
                <w:bCs w:val="1"/>
                <w:color w:val="32406B"/>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0.55</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32406B"/>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Average shares outstanding (millions):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b w:val="1"/>
                <w:bCs w:val="1"/>
                <w:color w:val="32406B"/>
              </w:rPr>
              <w:t>Basic</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1,167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32406B"/>
              </w:rPr>
              <w:t>Diluted</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1,194</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32406B"/>
                <w:w w:val="93"/>
              </w:rPr>
              <w:t>—(m)</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2406B"/>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32406B"/>
        </w:rPr>
        <w:t>UNAUDITED PRO FORMA STATEMENT OF INCOME</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32406B"/>
        </w:rPr>
        <w:t>FOR THE THREE MONTHS ENDED MARCH 31,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32406B"/>
                <w:w w:val="80"/>
              </w:rPr>
              <w:t>Texas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32406B"/>
                <w:w w:val="90"/>
              </w:rPr>
              <w:t>National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87"/>
              </w:rPr>
              <w:t>Instruments</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32406B"/>
                <w:w w:val="86"/>
              </w:rPr>
              <w:t>Semiconductor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8"/>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89"/>
              </w:rPr>
              <w:t>Three Months</w:t>
            </w:r>
          </w:p>
        </w:tc>
        <w:tc>
          <w:tcPr>
            <w:tcW w:w="76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89"/>
              </w:rPr>
              <w:t>Three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32406B"/>
                <w:w w:val="88"/>
              </w:rPr>
              <w:t>Ended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32406B"/>
                <w:w w:val="88"/>
              </w:rPr>
              <w:t>Ended</w:t>
            </w: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32406B"/>
                <w:w w:val="88"/>
              </w:rPr>
              <w:t>Total Pro</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32406B"/>
                <w:w w:val="92"/>
              </w:rPr>
              <w:t>March 31,</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32406B"/>
                <w:w w:val="91"/>
              </w:rPr>
              <w:t>February 28,</w:t>
            </w:r>
          </w:p>
        </w:tc>
        <w:tc>
          <w:tcPr>
            <w:tcW w:w="16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93"/>
              </w:rPr>
              <w:t>Forma</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32406B"/>
                <w:w w:val="89"/>
              </w:rPr>
              <w:t>2010</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32406B"/>
                <w:w w:val="89"/>
              </w:rPr>
              <w:t>2010</w:t>
            </w:r>
          </w:p>
        </w:tc>
        <w:tc>
          <w:tcPr>
            <w:tcW w:w="7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87"/>
              </w:rPr>
              <w:t>Adjustments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32406B"/>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3,205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362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Cost of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1,516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118</w:t>
            </w:r>
          </w:p>
        </w:tc>
        <w:tc>
          <w:tcPr>
            <w:tcW w:w="160" w:type="dxa"/>
            <w:vAlign w:val="bottom"/>
          </w:tcPr>
          <w:p>
            <w:pPr>
              <w:spacing w:after="0"/>
              <w:rPr>
                <w:sz w:val="18"/>
                <w:szCs w:val="18"/>
                <w:color w:val="auto"/>
              </w:rPr>
            </w:pPr>
          </w:p>
        </w:tc>
        <w:tc>
          <w:tcPr>
            <w:tcW w:w="1200" w:type="dxa"/>
            <w:vAlign w:val="bottom"/>
            <w:gridSpan w:val="3"/>
          </w:tcPr>
          <w:p>
            <w:pPr>
              <w:jc w:val="right"/>
              <w:ind w:right="272"/>
              <w:spacing w:after="0"/>
              <w:rPr>
                <w:sz w:val="20"/>
                <w:szCs w:val="20"/>
                <w:color w:val="auto"/>
              </w:rPr>
            </w:pPr>
            <w:r>
              <w:rPr>
                <w:rFonts w:ascii="Arial" w:cs="Arial" w:eastAsia="Arial" w:hAnsi="Arial"/>
                <w:sz w:val="18"/>
                <w:szCs w:val="18"/>
                <w:color w:val="32406B"/>
              </w:rPr>
              <w:t>(2)(h)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1,689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244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2</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370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69</w:t>
            </w: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32406B"/>
                <w:w w:val="95"/>
              </w:rPr>
              <w:t>(1)(h)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82</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32406B"/>
                <w:w w:val="95"/>
              </w:rPr>
              <w:t>(6)(h)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Restructuring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6</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Acquisition costs and amortization,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(i)</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b w:val="1"/>
                <w:bCs w:val="1"/>
                <w:color w:val="32406B"/>
              </w:rPr>
              <w:t>Operating profit</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950</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86</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(41)</w:t>
            </w:r>
          </w:p>
        </w:tc>
        <w:tc>
          <w:tcPr>
            <w:tcW w:w="6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rPr>
              <w:t>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1</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32406B"/>
                <w:w w:val="99"/>
              </w:rPr>
              <w:t>(1)(j)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15</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13</w:t>
            </w:r>
          </w:p>
        </w:tc>
        <w:tc>
          <w:tcPr>
            <w:tcW w:w="600" w:type="dxa"/>
            <w:vAlign w:val="bottom"/>
          </w:tcPr>
          <w:p>
            <w:pPr>
              <w:ind w:left="20"/>
              <w:spacing w:after="0"/>
              <w:rPr>
                <w:sz w:val="20"/>
                <w:szCs w:val="20"/>
                <w:color w:val="auto"/>
              </w:rPr>
            </w:pPr>
            <w:r>
              <w:rPr>
                <w:rFonts w:ascii="Arial" w:cs="Arial" w:eastAsia="Arial" w:hAnsi="Arial"/>
                <w:sz w:val="18"/>
                <w:szCs w:val="18"/>
                <w:color w:val="32406B"/>
              </w:rPr>
              <w:t>(k)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Income before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957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72</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32406B"/>
              </w:rPr>
              <w:t>(55)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32406B"/>
              </w:rPr>
              <w:t>Provision for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299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32406B"/>
              </w:rPr>
              <w:t>19</w:t>
            </w:r>
          </w:p>
        </w:tc>
        <w:tc>
          <w:tcPr>
            <w:tcW w:w="160" w:type="dxa"/>
            <w:vAlign w:val="bottom"/>
          </w:tcPr>
          <w:p>
            <w:pPr>
              <w:spacing w:after="0"/>
              <w:rPr>
                <w:sz w:val="18"/>
                <w:szCs w:val="18"/>
                <w:color w:val="auto"/>
              </w:rPr>
            </w:pPr>
          </w:p>
        </w:tc>
        <w:tc>
          <w:tcPr>
            <w:tcW w:w="1200" w:type="dxa"/>
            <w:vAlign w:val="bottom"/>
            <w:gridSpan w:val="3"/>
          </w:tcPr>
          <w:p>
            <w:pPr>
              <w:jc w:val="right"/>
              <w:ind w:right="312"/>
              <w:spacing w:after="0"/>
              <w:rPr>
                <w:sz w:val="20"/>
                <w:szCs w:val="20"/>
                <w:color w:val="auto"/>
              </w:rPr>
            </w:pPr>
            <w:r>
              <w:rPr>
                <w:rFonts w:ascii="Arial" w:cs="Arial" w:eastAsia="Arial" w:hAnsi="Arial"/>
                <w:sz w:val="18"/>
                <w:szCs w:val="18"/>
                <w:color w:val="32406B"/>
              </w:rPr>
              <w:t>(20)(l)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32406B"/>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32406B"/>
              </w:rPr>
              <w:t>53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87"/>
              </w:rPr>
              <w:t>($</w:t>
            </w: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32406B"/>
              </w:rPr>
              <w:t>35)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32406B"/>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Earnings per share:</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32406B"/>
              </w:rPr>
              <w:t>Basic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0.53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32406B"/>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b w:val="1"/>
                <w:bCs w:val="1"/>
                <w:color w:val="32406B"/>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0.52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32406B"/>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Average shares outstanding (millions):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b w:val="1"/>
                <w:bCs w:val="1"/>
                <w:color w:val="32406B"/>
              </w:rPr>
              <w:t>Basic</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1,233</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32406B"/>
              </w:rPr>
              <w:t>Diluted</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1,246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32406B"/>
                <w:w w:val="93"/>
              </w:rPr>
              <w:t>—(m)</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2406B"/>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Notes to Unaudited Pro Forma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Pro Forma Balance Sheet:</w:t>
      </w:r>
    </w:p>
    <w:p>
      <w:pPr>
        <w:spacing w:after="0" w:line="83" w:lineRule="exact"/>
        <w:rPr>
          <w:sz w:val="20"/>
          <w:szCs w:val="20"/>
          <w:color w:val="auto"/>
        </w:rPr>
      </w:pPr>
    </w:p>
    <w:p>
      <w:pPr>
        <w:ind w:left="900" w:hanging="446"/>
        <w:spacing w:after="0" w:line="306" w:lineRule="auto"/>
        <w:tabs>
          <w:tab w:leader="none" w:pos="900" w:val="left"/>
        </w:tabs>
        <w:numPr>
          <w:ilvl w:val="0"/>
          <w:numId w:val="6"/>
        </w:numPr>
        <w:rPr>
          <w:rFonts w:ascii="Arial" w:cs="Arial" w:eastAsia="Arial" w:hAnsi="Arial"/>
          <w:sz w:val="16"/>
          <w:szCs w:val="16"/>
          <w:color w:val="32406B"/>
        </w:rPr>
      </w:pPr>
      <w:r>
        <w:rPr>
          <w:rFonts w:ascii="Arial" w:cs="Arial" w:eastAsia="Arial" w:hAnsi="Arial"/>
          <w:sz w:val="16"/>
          <w:szCs w:val="16"/>
          <w:color w:val="32406B"/>
        </w:rPr>
        <w:t>Reflects proceeds from the issuance of an estimated $4.3 billion of debt expected to be issued in connection with the acquisition by TI of National. Also reflects debt issuance costs of $11 million that will be capitalized and amortized over the estimated life of the debt being issued. Also reflects an estimated $1.0 billion from TI’s short-term investments that will be converted to cash and used to fund the acquisition.</w:t>
      </w:r>
    </w:p>
    <w:p>
      <w:pPr>
        <w:spacing w:after="0" w:line="12" w:lineRule="exact"/>
        <w:rPr>
          <w:rFonts w:ascii="Arial" w:cs="Arial" w:eastAsia="Arial" w:hAnsi="Arial"/>
          <w:sz w:val="16"/>
          <w:szCs w:val="16"/>
          <w:color w:val="32406B"/>
        </w:rPr>
      </w:pPr>
    </w:p>
    <w:p>
      <w:pPr>
        <w:ind w:left="900" w:right="60" w:hanging="446"/>
        <w:spacing w:after="0" w:line="298" w:lineRule="auto"/>
        <w:tabs>
          <w:tab w:leader="none" w:pos="900" w:val="left"/>
        </w:tabs>
        <w:numPr>
          <w:ilvl w:val="0"/>
          <w:numId w:val="6"/>
        </w:numPr>
        <w:rPr>
          <w:rFonts w:ascii="Arial" w:cs="Arial" w:eastAsia="Arial" w:hAnsi="Arial"/>
          <w:sz w:val="16"/>
          <w:szCs w:val="16"/>
          <w:color w:val="32406B"/>
        </w:rPr>
      </w:pPr>
      <w:r>
        <w:rPr>
          <w:rFonts w:ascii="Arial" w:cs="Arial" w:eastAsia="Arial" w:hAnsi="Arial"/>
          <w:sz w:val="16"/>
          <w:szCs w:val="16"/>
          <w:color w:val="32406B"/>
        </w:rPr>
        <w:t>Reflects the preliminary estimate of $6.5 billion of cash consideration expected to be transferred to effect the acquisition of National. Estimated cash consideration is based on the preliminary estimate of outstanding shares of National common stock at time of closing and estimated settlement of stock options, restricted stock units (RSUs) and performance stock units (PSUs) expected to be exchanged for cash at closing. These estimated amounts do not purport to represent what the actual cash consideration transferred will be when the acquisition is closed.</w:t>
      </w:r>
    </w:p>
    <w:p>
      <w:pPr>
        <w:spacing w:after="0" w:line="18" w:lineRule="exact"/>
        <w:rPr>
          <w:rFonts w:ascii="Arial" w:cs="Arial" w:eastAsia="Arial" w:hAnsi="Arial"/>
          <w:sz w:val="16"/>
          <w:szCs w:val="16"/>
          <w:color w:val="32406B"/>
        </w:rPr>
      </w:pPr>
    </w:p>
    <w:p>
      <w:pPr>
        <w:ind w:left="900" w:right="200" w:hanging="446"/>
        <w:spacing w:after="0" w:line="268" w:lineRule="auto"/>
        <w:tabs>
          <w:tab w:leader="none" w:pos="90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Reflects preliminary estimates of the fair value adjustments for assets to be acquired and liabilities to be assumed. This also includes a preliminary estimate for identified intangible assets.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The following is a preliminary estimate of the assets to be acquired and the liabilities to be assumed, reconciled to the preliminary estimate of consideration expected to be transferred (in millions):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32406B"/>
        </w:rPr>
        <w:t>Book value of net assets acquired and liabilities assumed at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32406B"/>
        </w:rPr>
        <w:t>Elimination of existing goodwill (See item (e) below)</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32406B"/>
        </w:rPr>
        <w:t>Adjusted book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32406B"/>
        </w:rPr>
        <w:t>Adjustments to:</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32406B"/>
        </w:rPr>
        <w:t>Recognize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32406B"/>
        </w:rPr>
        <w:t>Deferred tax liability (See (g) below)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32406B"/>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32406B"/>
        </w:rPr>
        <w:t>Estimate of consideration to be transferred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2406B"/>
        </w:rPr>
        <w:t>Summary of Estimated Consideration to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color w:val="32406B"/>
        </w:rPr>
        <w:t>Cash payments for shares outstanding and options, RSUs and PSUs to be exchanged for cash at closing (See (b) above)</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32406B"/>
        </w:rPr>
        <w:t>Fair value of TI replacement options and RSUs issued for vested service (See item (f)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32406B"/>
        </w:rPr>
        <w:t>Total estimate of consideration to be transferred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28" w:hanging="228"/>
        <w:spacing w:after="0"/>
        <w:tabs>
          <w:tab w:leader="none" w:pos="228"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649</w:t>
      </w:r>
    </w:p>
    <w:p>
      <w:pPr>
        <w:spacing w:after="0" w:line="15" w:lineRule="exact"/>
        <w:rPr>
          <w:rFonts w:ascii="Arial" w:cs="Arial" w:eastAsia="Arial" w:hAnsi="Arial"/>
          <w:sz w:val="18"/>
          <w:szCs w:val="18"/>
          <w:color w:val="32406B"/>
        </w:rPr>
      </w:pPr>
    </w:p>
    <w:p>
      <w:pPr>
        <w:ind w:left="268"/>
        <w:spacing w:after="0"/>
        <w:rPr>
          <w:rFonts w:ascii="Arial" w:cs="Arial" w:eastAsia="Arial" w:hAnsi="Arial"/>
          <w:sz w:val="18"/>
          <w:szCs w:val="18"/>
          <w:color w:val="32406B"/>
        </w:rPr>
      </w:pPr>
      <w:r>
        <w:rPr>
          <w:rFonts w:ascii="Arial" w:cs="Arial" w:eastAsia="Arial" w:hAnsi="Arial"/>
          <w:sz w:val="16"/>
          <w:szCs w:val="16"/>
          <w:color w:val="32406B"/>
        </w:rPr>
        <w:t>(68)</w:t>
      </w:r>
    </w:p>
    <w:p>
      <w:pPr>
        <w:spacing w:after="0" w:line="52" w:lineRule="exact"/>
        <w:rPr>
          <w:rFonts w:ascii="Arial" w:cs="Arial" w:eastAsia="Arial" w:hAnsi="Arial"/>
          <w:sz w:val="18"/>
          <w:szCs w:val="18"/>
          <w:color w:val="32406B"/>
        </w:rPr>
      </w:pPr>
    </w:p>
    <w:p>
      <w:pPr>
        <w:ind w:left="228"/>
        <w:spacing w:after="0"/>
        <w:rPr>
          <w:rFonts w:ascii="Arial" w:cs="Arial" w:eastAsia="Arial" w:hAnsi="Arial"/>
          <w:sz w:val="18"/>
          <w:szCs w:val="18"/>
          <w:color w:val="32406B"/>
        </w:rPr>
      </w:pPr>
      <w:r>
        <w:rPr>
          <w:rFonts w:ascii="Arial" w:cs="Arial" w:eastAsia="Arial" w:hAnsi="Arial"/>
          <w:sz w:val="18"/>
          <w:szCs w:val="18"/>
          <w:color w:val="32406B"/>
        </w:rPr>
        <w:t>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317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32406B"/>
        </w:rPr>
        <w:t>1,406</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32406B"/>
        </w:rPr>
        <w:t>(492)</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32406B"/>
        </w:rPr>
        <w:t>5,053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8"/>
          <w:szCs w:val="18"/>
          <w:color w:val="32406B"/>
        </w:rPr>
        <w:t>$6,548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17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59" w:lineRule="exact"/>
        <w:rPr>
          <w:sz w:val="20"/>
          <w:szCs w:val="20"/>
          <w:color w:val="auto"/>
        </w:rPr>
      </w:pPr>
    </w:p>
    <w:p>
      <w:pPr>
        <w:ind w:left="108" w:hanging="108"/>
        <w:spacing w:after="0"/>
        <w:tabs>
          <w:tab w:leader="none" w:pos="108"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6,500</w:t>
      </w:r>
    </w:p>
    <w:p>
      <w:pPr>
        <w:spacing w:after="0" w:line="15" w:lineRule="exact"/>
        <w:rPr>
          <w:rFonts w:ascii="Arial" w:cs="Arial" w:eastAsia="Arial" w:hAnsi="Arial"/>
          <w:sz w:val="18"/>
          <w:szCs w:val="18"/>
          <w:color w:val="32406B"/>
        </w:rPr>
      </w:pPr>
    </w:p>
    <w:p>
      <w:pPr>
        <w:ind w:left="328"/>
        <w:spacing w:after="0"/>
        <w:rPr>
          <w:rFonts w:ascii="Arial" w:cs="Arial" w:eastAsia="Arial" w:hAnsi="Arial"/>
          <w:sz w:val="18"/>
          <w:szCs w:val="18"/>
          <w:color w:val="32406B"/>
        </w:rPr>
      </w:pPr>
      <w:r>
        <w:rPr>
          <w:rFonts w:ascii="Arial" w:cs="Arial" w:eastAsia="Arial" w:hAnsi="Arial"/>
          <w:sz w:val="18"/>
          <w:szCs w:val="18"/>
          <w:color w:val="32406B"/>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8"/>
          <w:szCs w:val="18"/>
          <w:color w:val="32406B"/>
        </w:rPr>
        <w:t>$6,548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17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92" w:space="720"/>
            <w:col w:w="588"/>
          </w:cols>
          <w:pgMar w:left="240" w:top="459" w:right="259" w:bottom="1440" w:gutter="0" w:footer="0" w:header="0"/>
          <w:type w:val="continuous"/>
        </w:sectPr>
      </w:pPr>
    </w:p>
    <w:p>
      <w:pPr>
        <w:spacing w:after="0" w:line="12" w:lineRule="exact"/>
        <w:rPr>
          <w:sz w:val="20"/>
          <w:szCs w:val="20"/>
          <w:color w:val="auto"/>
        </w:rPr>
      </w:pPr>
    </w:p>
    <w:p>
      <w:pPr>
        <w:ind w:left="900" w:right="320" w:hanging="446"/>
        <w:spacing w:after="0" w:line="306" w:lineRule="auto"/>
        <w:tabs>
          <w:tab w:leader="none" w:pos="900" w:val="left"/>
        </w:tabs>
        <w:numPr>
          <w:ilvl w:val="0"/>
          <w:numId w:val="9"/>
        </w:numPr>
        <w:rPr>
          <w:rFonts w:ascii="Arial" w:cs="Arial" w:eastAsia="Arial" w:hAnsi="Arial"/>
          <w:sz w:val="16"/>
          <w:szCs w:val="16"/>
          <w:color w:val="32406B"/>
        </w:rPr>
      </w:pPr>
      <w:r>
        <w:rPr>
          <w:rFonts w:ascii="Arial" w:cs="Arial" w:eastAsia="Arial" w:hAnsi="Arial"/>
          <w:sz w:val="16"/>
          <w:szCs w:val="16"/>
          <w:color w:val="32406B"/>
        </w:rPr>
        <w:t>Reflects estimated costs of $32 million associated with the acquisition expected to be incurred prior to the closing for legal, accounting, financial advisory, printing and similar expenses. Such costs have been excluded from the unaudited pro forma combined statements of income, but are charged directly to shareholder’s equity, net of estimated taxes, in the unaudited pro forma combined balance sheet.</w:t>
      </w:r>
    </w:p>
    <w:p>
      <w:pPr>
        <w:spacing w:after="0" w:line="12" w:lineRule="exact"/>
        <w:rPr>
          <w:rFonts w:ascii="Arial" w:cs="Arial" w:eastAsia="Arial" w:hAnsi="Arial"/>
          <w:sz w:val="16"/>
          <w:szCs w:val="16"/>
          <w:color w:val="32406B"/>
        </w:rPr>
      </w:pPr>
    </w:p>
    <w:p>
      <w:pPr>
        <w:ind w:left="900" w:hanging="446"/>
        <w:spacing w:after="0"/>
        <w:tabs>
          <w:tab w:leader="none" w:pos="90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Reflects the write-off of existing National goodwill and the elimination of the historical equity balances of National as of closing.</w:t>
      </w:r>
    </w:p>
    <w:p>
      <w:pPr>
        <w:spacing w:after="0" w:line="76" w:lineRule="exact"/>
        <w:rPr>
          <w:rFonts w:ascii="Arial" w:cs="Arial" w:eastAsia="Arial" w:hAnsi="Arial"/>
          <w:sz w:val="18"/>
          <w:szCs w:val="18"/>
          <w:color w:val="32406B"/>
        </w:rPr>
      </w:pPr>
    </w:p>
    <w:p>
      <w:pPr>
        <w:ind w:left="900" w:right="40" w:hanging="446"/>
        <w:spacing w:after="0" w:line="291" w:lineRule="auto"/>
        <w:tabs>
          <w:tab w:leader="none" w:pos="900" w:val="left"/>
        </w:tabs>
        <w:numPr>
          <w:ilvl w:val="0"/>
          <w:numId w:val="9"/>
        </w:numPr>
        <w:rPr>
          <w:rFonts w:ascii="Arial" w:cs="Arial" w:eastAsia="Arial" w:hAnsi="Arial"/>
          <w:sz w:val="16"/>
          <w:szCs w:val="16"/>
          <w:color w:val="32406B"/>
        </w:rPr>
      </w:pPr>
      <w:r>
        <w:rPr>
          <w:rFonts w:ascii="Arial" w:cs="Arial" w:eastAsia="Arial" w:hAnsi="Arial"/>
          <w:sz w:val="16"/>
          <w:szCs w:val="16"/>
          <w:color w:val="32406B"/>
        </w:rPr>
        <w:t>Reflects the issuance of TI’s replacement stock options and RSUs for National’s outstanding options, RSUs and PSUs expected to be converted at closing. The number of National share-based awards subject to conversion and the assumed conversion ratio are preliminary estimates. The replacement awards are measured on the closing date based on the preliminary estimate of fair value. A portion of that fair value amount, representing the pre-combination vested service provided by National employees, will be included in the total consideration transferred as part of the acquisition. The remaining portion will be included in post-combination share-based compensation expense as the National employees continue to provide service over the remaining vesting periods. The preliminary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S-19</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32406B"/>
        </w:rPr>
        <w:t>Notes to Unaudited Pro Forma Financial Information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32406B"/>
        </w:rPr>
        <w:t>allocation of the fair value associated with the replacement options and RSUs was determined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32406B"/>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32406B"/>
                <w:w w:val="98"/>
              </w:rPr>
              <w:t>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32406B"/>
              </w:rPr>
              <w:t>RSUs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32406B"/>
              </w:rPr>
              <w:t>PSUs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5"/>
              </w:rPr>
              <w:t>National stock options, RSUs and PSUs subject to conversion into TI stock options and RSUs at</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32406B"/>
              </w:rPr>
              <w:t>closing</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87"/>
              </w:rPr>
              <w:t>1,530,821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4,841,835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1,001,000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32406B"/>
                <w:w w:val="92"/>
              </w:rPr>
              <w:t>Assumed Conversion Ratio ($25 conversion price/$35.50 assumed fair value of TI common stock at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32406B"/>
              </w:rPr>
              <w:t>closing)</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32406B"/>
              </w:rPr>
              <w:t>.70423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rPr>
              <w:t>.70423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2406B"/>
              </w:rPr>
              <w:t>.70423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32406B"/>
              </w:rPr>
              <w:t>Equivalent TI replacement stock options and RSUs to be granted at closing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87"/>
              </w:rPr>
              <w:t>1,078,043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3,409,743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704,930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32406B"/>
              </w:rPr>
              <w:t>Average Fair Value of TI replacement options and RSUs at closing</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32406B"/>
              </w:rPr>
              <w:t>7.17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35.50</w:t>
            </w:r>
          </w:p>
        </w:tc>
        <w:tc>
          <w:tcPr>
            <w:tcW w:w="2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2406B"/>
              </w:rPr>
              <w:t>35.50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32406B"/>
              </w:rPr>
              <w:t>Pro forma fair value amount of TI replacement options and RSUs to be granted at closing</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87"/>
              </w:rPr>
              <w:t>7,729,568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121,045,875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90"/>
              </w:rPr>
              <w:t>25,025,000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32406B"/>
              </w:rPr>
              <w:t>Pro forma fair value amount of TI replacement options and RSUs expected to vest</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32406B"/>
                <w:w w:val="87"/>
              </w:rPr>
              <w:t>7,227,146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32406B"/>
                <w:w w:val="87"/>
              </w:rPr>
              <w:t>113,177,894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2406B"/>
                <w:w w:val="90"/>
              </w:rPr>
              <w:t>23,398,375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line="203" w:lineRule="exact"/>
              <w:rPr>
                <w:sz w:val="20"/>
                <w:szCs w:val="20"/>
                <w:color w:val="auto"/>
              </w:rPr>
            </w:pPr>
            <w:r>
              <w:rPr>
                <w:rFonts w:ascii="Arial" w:cs="Arial" w:eastAsia="Arial" w:hAnsi="Arial"/>
                <w:sz w:val="18"/>
                <w:szCs w:val="18"/>
                <w:color w:val="32406B"/>
                <w:w w:val="97"/>
              </w:rPr>
              <w:t>Portion of pro forma amount included in consideration transferred at closing (applicable to pre-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32406B"/>
              </w:rPr>
              <w:t>combination vested service provided by National employees)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87"/>
              </w:rPr>
              <w:t>2,860,745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35,368,092</w:t>
            </w: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9,749,323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32406B"/>
                <w:w w:val="91"/>
              </w:rPr>
              <w:t>Portion of pro forma amount to be included in post-combination share-based compensation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32406B"/>
                <w:w w:val="96"/>
              </w:rPr>
              <w:t>over the remaining term of unvested service to be provided by National employees (see item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32406B"/>
              </w:rPr>
              <w:t>(h) below)</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32406B"/>
                <w:w w:val="87"/>
              </w:rPr>
              <w:t>4,366,401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900" w:type="dxa"/>
            <w:vAlign w:val="bottom"/>
          </w:tcPr>
          <w:p>
            <w:pPr>
              <w:jc w:val="right"/>
              <w:spacing w:after="0"/>
              <w:rPr>
                <w:sz w:val="20"/>
                <w:szCs w:val="20"/>
                <w:color w:val="auto"/>
              </w:rPr>
            </w:pPr>
            <w:r>
              <w:rPr>
                <w:rFonts w:ascii="Arial" w:cs="Arial" w:eastAsia="Arial" w:hAnsi="Arial"/>
                <w:sz w:val="18"/>
                <w:szCs w:val="18"/>
                <w:color w:val="32406B"/>
                <w:w w:val="97"/>
              </w:rPr>
              <w:t>77,809,802</w:t>
            </w:r>
          </w:p>
        </w:tc>
        <w:tc>
          <w:tcPr>
            <w:tcW w:w="22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2406B"/>
                <w:w w:val="90"/>
              </w:rPr>
              <w:t>13,649,052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Adjusts deferred income taxes, which are primarily associated with identified intangible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Income Statements</w:t>
      </w:r>
    </w:p>
    <w:p>
      <w:pPr>
        <w:spacing w:after="0" w:line="83" w:lineRule="exact"/>
        <w:rPr>
          <w:sz w:val="20"/>
          <w:szCs w:val="20"/>
          <w:color w:val="auto"/>
        </w:rPr>
      </w:pPr>
    </w:p>
    <w:p>
      <w:pPr>
        <w:ind w:left="900" w:right="200" w:hanging="446"/>
        <w:spacing w:after="0" w:line="255" w:lineRule="auto"/>
        <w:tabs>
          <w:tab w:leader="none" w:pos="90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Reflects the net adjustments to share-based compensation expense for the post-combination portion of National’s stock options, RSUs and PSUs to be converted for TI replacement options and RSUs at closing. (See item (f) above.) The new share-based compensation expense is amortized on a straight line basis over the remaining vesting periods. The following table reflects the (a) elimination of National’s historical share-based compensation expense and (b) fair value of TI replacement stock options and RSUs to be recognized over the periods for which post-combination service of National employees is required.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32406B"/>
              </w:rPr>
              <w:t>National</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32406B"/>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32406B"/>
                <w:w w:val="92"/>
              </w:rPr>
              <w:t>Historical*</w:t>
            </w:r>
          </w:p>
        </w:tc>
        <w:tc>
          <w:tcPr>
            <w:tcW w:w="8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32406B"/>
              </w:rPr>
              <w:t>Pro Forma</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w w:val="85"/>
              </w:rPr>
              <w:t>Pro Forma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5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32406B"/>
                <w:w w:val="96"/>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Twelve Months Ended December 31, 2010: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b w:val="1"/>
                <w:bCs w:val="1"/>
                <w:color w:val="32406B"/>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32406B"/>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(3)</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32406B"/>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17</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32406B"/>
              </w:rPr>
              <w:t>11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(6)</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32406B"/>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42</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880"/>
              <w:spacing w:after="0"/>
              <w:rPr>
                <w:sz w:val="20"/>
                <w:szCs w:val="20"/>
                <w:color w:val="auto"/>
              </w:rPr>
            </w:pPr>
            <w:r>
              <w:rPr>
                <w:rFonts w:ascii="Arial" w:cs="Arial" w:eastAsia="Arial" w:hAnsi="Arial"/>
                <w:sz w:val="18"/>
                <w:szCs w:val="18"/>
                <w:color w:val="32406B"/>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32406B"/>
              </w:rPr>
              <w:t>$</w:t>
            </w:r>
          </w:p>
        </w:tc>
        <w:tc>
          <w:tcPr>
            <w:tcW w:w="380" w:type="dxa"/>
            <w:vAlign w:val="bottom"/>
          </w:tcPr>
          <w:p>
            <w:pPr>
              <w:jc w:val="right"/>
              <w:spacing w:after="0"/>
              <w:rPr>
                <w:sz w:val="20"/>
                <w:szCs w:val="20"/>
                <w:color w:val="auto"/>
              </w:rPr>
            </w:pPr>
            <w:r>
              <w:rPr>
                <w:rFonts w:ascii="Arial" w:cs="Arial" w:eastAsia="Arial" w:hAnsi="Arial"/>
                <w:sz w:val="18"/>
                <w:szCs w:val="18"/>
                <w:color w:val="32406B"/>
              </w:rPr>
              <w:t>67</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32406B"/>
              </w:rPr>
              <w:t>$</w:t>
            </w: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32406B"/>
              </w:rPr>
              <w:t>42</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32406B"/>
            </w:tcBorders>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540" w:right="5420" w:hanging="5532"/>
        <w:spacing w:after="0" w:line="525" w:lineRule="auto"/>
        <w:tabs>
          <w:tab w:leader="none" w:pos="216" w:val="left"/>
        </w:tabs>
        <w:numPr>
          <w:ilvl w:val="0"/>
          <w:numId w:val="12"/>
        </w:numPr>
        <w:rPr>
          <w:rFonts w:ascii="Arial" w:cs="Arial" w:eastAsia="Arial" w:hAnsi="Arial"/>
          <w:sz w:val="16"/>
          <w:szCs w:val="16"/>
          <w:color w:val="32406B"/>
        </w:rPr>
      </w:pPr>
      <w:r>
        <w:rPr>
          <w:rFonts w:ascii="Arial" w:cs="Arial" w:eastAsia="Arial" w:hAnsi="Arial"/>
          <w:sz w:val="16"/>
          <w:szCs w:val="16"/>
          <w:color w:val="32406B"/>
        </w:rPr>
        <w:t>National Historical amounts are for the twelve months ended November 28, 2010. S-20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Notes to Unaudited Pro Forma Financial Information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32406B"/>
              </w:rPr>
              <w:t>National</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32406B"/>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32406B"/>
                <w:w w:val="92"/>
              </w:rPr>
              <w:t>Historical*</w:t>
            </w:r>
          </w:p>
        </w:tc>
        <w:tc>
          <w:tcPr>
            <w:tcW w:w="8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32406B"/>
              </w:rPr>
              <w:t>Pro Forma</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w w:val="85"/>
              </w:rPr>
              <w:t>Pro Forma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5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32406B"/>
                <w:w w:val="96"/>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Three Months Ended March 31, 2011: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b w:val="1"/>
                <w:bCs w:val="1"/>
                <w:color w:val="32406B"/>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32406B"/>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32406B"/>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32406B"/>
              </w:rPr>
              <w:t>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(1)</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32406B"/>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880"/>
              <w:spacing w:after="0"/>
              <w:rPr>
                <w:sz w:val="20"/>
                <w:szCs w:val="20"/>
                <w:color w:val="auto"/>
              </w:rPr>
            </w:pPr>
            <w:r>
              <w:rPr>
                <w:rFonts w:ascii="Arial" w:cs="Arial" w:eastAsia="Arial" w:hAnsi="Arial"/>
                <w:sz w:val="18"/>
                <w:szCs w:val="18"/>
                <w:color w:val="32406B"/>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32406B"/>
              </w:rPr>
              <w:t>$</w:t>
            </w:r>
          </w:p>
        </w:tc>
        <w:tc>
          <w:tcPr>
            <w:tcW w:w="380" w:type="dxa"/>
            <w:vAlign w:val="bottom"/>
          </w:tcPr>
          <w:p>
            <w:pPr>
              <w:jc w:val="right"/>
              <w:spacing w:after="0"/>
              <w:rPr>
                <w:sz w:val="20"/>
                <w:szCs w:val="20"/>
                <w:color w:val="auto"/>
              </w:rPr>
            </w:pPr>
            <w:r>
              <w:rPr>
                <w:rFonts w:ascii="Arial" w:cs="Arial" w:eastAsia="Arial" w:hAnsi="Arial"/>
                <w:sz w:val="18"/>
                <w:szCs w:val="18"/>
                <w:color w:val="32406B"/>
              </w:rPr>
              <w:t>13</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32406B"/>
              </w:rPr>
              <w:t>$</w:t>
            </w: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32406B"/>
              </w:rPr>
              <w:t>10</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32406B"/>
            </w:tcBorders>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500" w:type="dxa"/>
            <w:vAlign w:val="bottom"/>
            <w:gridSpan w:val="2"/>
          </w:tcPr>
          <w:p>
            <w:pPr>
              <w:spacing w:after="0"/>
              <w:rPr>
                <w:sz w:val="20"/>
                <w:szCs w:val="20"/>
                <w:color w:val="auto"/>
              </w:rPr>
            </w:pPr>
            <w:r>
              <w:rPr>
                <w:rFonts w:ascii="Arial" w:cs="Arial" w:eastAsia="Arial" w:hAnsi="Arial"/>
                <w:sz w:val="18"/>
                <w:szCs w:val="18"/>
                <w:color w:val="32406B"/>
              </w:rPr>
              <w:t>*  National Historical results are for three months ended February 27, 2011.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32406B"/>
              </w:rPr>
              <w:t>National</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32406B"/>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32406B"/>
                <w:w w:val="92"/>
              </w:rPr>
              <w:t>Historical*</w:t>
            </w:r>
          </w:p>
        </w:tc>
        <w:tc>
          <w:tcPr>
            <w:tcW w:w="8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32406B"/>
              </w:rPr>
              <w:t>Pro Forma</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w w:val="85"/>
              </w:rPr>
              <w:t>Pro Forma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32406B"/>
                <w:w w:val="96"/>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Three Months Ended March 31, 2010: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b w:val="1"/>
                <w:bCs w:val="1"/>
                <w:color w:val="32406B"/>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32406B"/>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32406B"/>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32406B"/>
              </w:rPr>
              <w:t>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(1)</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32406B"/>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880"/>
              <w:spacing w:after="0"/>
              <w:rPr>
                <w:sz w:val="20"/>
                <w:szCs w:val="20"/>
                <w:color w:val="auto"/>
              </w:rPr>
            </w:pPr>
            <w:r>
              <w:rPr>
                <w:rFonts w:ascii="Arial" w:cs="Arial" w:eastAsia="Arial" w:hAnsi="Arial"/>
                <w:sz w:val="18"/>
                <w:szCs w:val="18"/>
                <w:color w:val="32406B"/>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32406B"/>
              </w:rPr>
              <w:t>$</w:t>
            </w:r>
          </w:p>
        </w:tc>
        <w:tc>
          <w:tcPr>
            <w:tcW w:w="380" w:type="dxa"/>
            <w:vAlign w:val="bottom"/>
          </w:tcPr>
          <w:p>
            <w:pPr>
              <w:jc w:val="right"/>
              <w:spacing w:after="0"/>
              <w:rPr>
                <w:sz w:val="20"/>
                <w:szCs w:val="20"/>
                <w:color w:val="auto"/>
              </w:rPr>
            </w:pPr>
            <w:r>
              <w:rPr>
                <w:rFonts w:ascii="Arial" w:cs="Arial" w:eastAsia="Arial" w:hAnsi="Arial"/>
                <w:sz w:val="18"/>
                <w:szCs w:val="18"/>
                <w:color w:val="32406B"/>
              </w:rPr>
              <w:t>19</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32406B"/>
              </w:rPr>
              <w:t>$</w:t>
            </w: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32406B"/>
              </w:rPr>
              <w:t>10</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32406B"/>
            </w:tcBorders>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National Historical results are for three months ended February 28, 2010.</w:t>
      </w:r>
    </w:p>
    <w:p>
      <w:pPr>
        <w:spacing w:after="0" w:line="157" w:lineRule="exact"/>
        <w:rPr>
          <w:rFonts w:ascii="Arial" w:cs="Arial" w:eastAsia="Arial" w:hAnsi="Arial"/>
          <w:sz w:val="18"/>
          <w:szCs w:val="18"/>
          <w:color w:val="32406B"/>
        </w:rPr>
      </w:pPr>
    </w:p>
    <w:p>
      <w:pPr>
        <w:ind w:left="900" w:hanging="446"/>
        <w:spacing w:after="0"/>
        <w:tabs>
          <w:tab w:leader="none" w:pos="900" w:val="left"/>
        </w:tabs>
        <w:numPr>
          <w:ilvl w:val="1"/>
          <w:numId w:val="13"/>
        </w:numPr>
        <w:rPr>
          <w:rFonts w:ascii="Arial" w:cs="Arial" w:eastAsia="Arial" w:hAnsi="Arial"/>
          <w:sz w:val="16"/>
          <w:szCs w:val="16"/>
          <w:color w:val="32406B"/>
        </w:rPr>
      </w:pPr>
      <w:r>
        <w:rPr>
          <w:rFonts w:ascii="Arial" w:cs="Arial" w:eastAsia="Arial" w:hAnsi="Arial"/>
          <w:sz w:val="16"/>
          <w:szCs w:val="16"/>
          <w:color w:val="32406B"/>
        </w:rPr>
        <w:t>Reflects the preliminary estimate of amortization of acquired intangibles on a straight-line basis over an estimated useful life of 7 years.</w:t>
      </w:r>
    </w:p>
    <w:p>
      <w:pPr>
        <w:spacing w:after="0" w:line="99" w:lineRule="exact"/>
        <w:rPr>
          <w:rFonts w:ascii="Arial" w:cs="Arial" w:eastAsia="Arial" w:hAnsi="Arial"/>
          <w:sz w:val="16"/>
          <w:szCs w:val="16"/>
          <w:color w:val="32406B"/>
        </w:rPr>
      </w:pPr>
    </w:p>
    <w:p>
      <w:pPr>
        <w:ind w:left="900" w:right="320" w:hanging="446"/>
        <w:spacing w:after="0" w:line="268" w:lineRule="auto"/>
        <w:tabs>
          <w:tab w:leader="none" w:pos="900" w:val="left"/>
        </w:tabs>
        <w:numPr>
          <w:ilvl w:val="1"/>
          <w:numId w:val="13"/>
        </w:numPr>
        <w:rPr>
          <w:rFonts w:ascii="Arial" w:cs="Arial" w:eastAsia="Arial" w:hAnsi="Arial"/>
          <w:sz w:val="18"/>
          <w:szCs w:val="18"/>
          <w:color w:val="32406B"/>
        </w:rPr>
      </w:pPr>
      <w:r>
        <w:rPr>
          <w:rFonts w:ascii="Arial" w:cs="Arial" w:eastAsia="Arial" w:hAnsi="Arial"/>
          <w:sz w:val="18"/>
          <w:szCs w:val="18"/>
          <w:color w:val="32406B"/>
        </w:rPr>
        <w:t>Represents interest income foregone on TI’s short-term investments due to the assumed reduction in levels of those investments used to finance a portion of the acquisition.</w:t>
      </w:r>
    </w:p>
    <w:p>
      <w:pPr>
        <w:spacing w:after="0" w:line="37" w:lineRule="exact"/>
        <w:rPr>
          <w:rFonts w:ascii="Arial" w:cs="Arial" w:eastAsia="Arial" w:hAnsi="Arial"/>
          <w:sz w:val="18"/>
          <w:szCs w:val="18"/>
          <w:color w:val="32406B"/>
        </w:rPr>
      </w:pPr>
    </w:p>
    <w:p>
      <w:pPr>
        <w:ind w:left="900" w:right="160" w:hanging="446"/>
        <w:spacing w:after="0" w:line="255" w:lineRule="auto"/>
        <w:tabs>
          <w:tab w:leader="none" w:pos="900" w:val="left"/>
        </w:tabs>
        <w:numPr>
          <w:ilvl w:val="1"/>
          <w:numId w:val="13"/>
        </w:numPr>
        <w:rPr>
          <w:rFonts w:ascii="Arial" w:cs="Arial" w:eastAsia="Arial" w:hAnsi="Arial"/>
          <w:sz w:val="18"/>
          <w:szCs w:val="18"/>
          <w:color w:val="32406B"/>
        </w:rPr>
      </w:pPr>
      <w:r>
        <w:rPr>
          <w:rFonts w:ascii="Arial" w:cs="Arial" w:eastAsia="Arial" w:hAnsi="Arial"/>
          <w:sz w:val="18"/>
          <w:szCs w:val="18"/>
          <w:color w:val="32406B"/>
        </w:rPr>
        <w:t>Reflects interest expense on additional debt expected to be issued (see (a) above) as if it had been issued at the beginning of the applicable period using an assumed weighted average interest rate of 1.26%. Short-term debt is assumed to be repaid within six to nine months after closing. For the floating-rate short-term debt, a variance of 1/8 of a percent (0.00125%) in the interest rate for the periods outstanding would not have resulted in a material difference in pro forma interest expense. Also includes amortization of capitalized debt issuance costs over the estimated life of the related debt.</w:t>
      </w:r>
    </w:p>
    <w:p>
      <w:pPr>
        <w:spacing w:after="0" w:line="48" w:lineRule="exact"/>
        <w:rPr>
          <w:rFonts w:ascii="Arial" w:cs="Arial" w:eastAsia="Arial" w:hAnsi="Arial"/>
          <w:sz w:val="18"/>
          <w:szCs w:val="18"/>
          <w:color w:val="32406B"/>
        </w:rPr>
      </w:pPr>
    </w:p>
    <w:p>
      <w:pPr>
        <w:ind w:left="900" w:hanging="446"/>
        <w:spacing w:after="0"/>
        <w:tabs>
          <w:tab w:leader="none" w:pos="900" w:val="left"/>
        </w:tabs>
        <w:numPr>
          <w:ilvl w:val="1"/>
          <w:numId w:val="13"/>
        </w:numPr>
        <w:rPr>
          <w:rFonts w:ascii="Arial" w:cs="Arial" w:eastAsia="Arial" w:hAnsi="Arial"/>
          <w:sz w:val="16"/>
          <w:szCs w:val="16"/>
          <w:color w:val="32406B"/>
        </w:rPr>
      </w:pPr>
      <w:r>
        <w:rPr>
          <w:rFonts w:ascii="Arial" w:cs="Arial" w:eastAsia="Arial" w:hAnsi="Arial"/>
          <w:sz w:val="16"/>
          <w:szCs w:val="16"/>
          <w:color w:val="32406B"/>
        </w:rPr>
        <w:t>Tax effects of the pro forma adjustments are based on the federal statutory tax rate of 35% and do not comprehend the effect of any state taxes.</w:t>
      </w:r>
    </w:p>
    <w:p>
      <w:pPr>
        <w:spacing w:after="0" w:line="99" w:lineRule="exact"/>
        <w:rPr>
          <w:rFonts w:ascii="Arial" w:cs="Arial" w:eastAsia="Arial" w:hAnsi="Arial"/>
          <w:sz w:val="16"/>
          <w:szCs w:val="16"/>
          <w:color w:val="32406B"/>
        </w:rPr>
      </w:pPr>
    </w:p>
    <w:p>
      <w:pPr>
        <w:ind w:left="900" w:right="60" w:hanging="446"/>
        <w:spacing w:after="0" w:line="290" w:lineRule="auto"/>
        <w:tabs>
          <w:tab w:leader="none" w:pos="900" w:val="left"/>
        </w:tabs>
        <w:numPr>
          <w:ilvl w:val="1"/>
          <w:numId w:val="13"/>
        </w:numPr>
        <w:rPr>
          <w:rFonts w:ascii="Arial" w:cs="Arial" w:eastAsia="Arial" w:hAnsi="Arial"/>
          <w:sz w:val="16"/>
          <w:szCs w:val="16"/>
          <w:color w:val="32406B"/>
        </w:rPr>
      </w:pPr>
      <w:r>
        <w:rPr>
          <w:rFonts w:ascii="Arial" w:cs="Arial" w:eastAsia="Arial" w:hAnsi="Arial"/>
          <w:sz w:val="16"/>
          <w:szCs w:val="16"/>
          <w:color w:val="32406B"/>
        </w:rPr>
        <w:t>Reflects adjustment to the EPS calculation for the TI replacement RSUs and stock options issued at closing. TI’s RSUs are considered to be participating securities, and for EPS calculations a portion of net income is allocated to these participating securities and therefore is excluded from the calculation of EPS allocated to common stock. The effect of the additional RSUs was to increase the amount of net income allocated to RSUs for the twelve months ended December 31, 2010 from $44 million to $58 million, and for the three months ended March 31, 2011 from $10 million to $13 million, and for the three months ended March 31, 2010 from $8 million to $10 million, respectively. These amounts are deducted from net income to obtain the net income allocated to common stock on which the diluted EPS calculation is based. The TI replacement stock options did not have a material effect on the number of dilutive average shares outstanding for the periods presented.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DESCRIPTION OF THE NOTES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32406B"/>
        </w:rPr>
        <w:t>The summary herein of certain provisions of the indenture does not purport to be complete and is subject to, and is qualified in its entirety by reference to, all the provisions of the indenture, a form of which has been filed as an exhibit to the registration statement to which the accompanying prospectus forms a part.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General</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32406B"/>
        </w:rPr>
        <w:t xml:space="preserve">The 2013 Floating Rate Notes and the 2013 Notes will mature on May 15, 2013, the 2014 Notes will mature on May 15, 2014, and the 2016 Notes will mature on May 16, 2016. The Notes will be issued in book-entry form only, in denominations of $2,000 and multiples of $1,000 thereafter. Interest on the Notes will accrue from May 23, 2011 at the respective rates per annum shown on the cover of this prospectus supplement. The Fixed Rate Notes will be payable semi-annually in arrears on May 15 and November 15, commencing on November 15, 2011 to the persons in whose names the Notes are registered at the close of business on the preceding May 1 or November 1, as the case may be. Interest on the Notes will be paid to but excluding the relevant interest payment date. Interest on the Notes will be calculated on the basis of a 360-day year comprised of twelve 30-day months, </w:t>
      </w:r>
      <w:r>
        <w:rPr>
          <w:rFonts w:ascii="Arial" w:cs="Arial" w:eastAsia="Arial" w:hAnsi="Arial"/>
          <w:sz w:val="16"/>
          <w:szCs w:val="16"/>
          <w:i w:val="1"/>
          <w:iCs w:val="1"/>
          <w:color w:val="32406B"/>
        </w:rPr>
        <w:t>provided</w:t>
      </w:r>
      <w:r>
        <w:rPr>
          <w:rFonts w:ascii="Arial" w:cs="Arial" w:eastAsia="Arial" w:hAnsi="Arial"/>
          <w:sz w:val="16"/>
          <w:szCs w:val="16"/>
          <w:color w:val="32406B"/>
        </w:rPr>
        <w:t xml:space="preserve"> that interest on the 2013 Floating Rate Notes will be calculated on the basis of a 360-day year, actual days elapsed.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Interest on the 2013 Floating Rate Notes will be payable quarterly in arrears and determined as set forth below under “—Interest on Floating Rate Notes.”</w:t>
      </w:r>
    </w:p>
    <w:p>
      <w:pPr>
        <w:spacing w:after="0" w:line="18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32406B"/>
        </w:rPr>
        <w:t>The Notes will be issued under an indenture to be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32406B"/>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2011, Texas Instruments Incorporated had no outstanding indebtedness. As of March 31, 2011, we had approximately $2.7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pacing w:after="0" w:line="10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32406B"/>
        </w:rPr>
        <w:t>On pro forma basis after giving effect to the adjustments included in our pro forma financial information, including the issuance of the Notes offered hereby and the application of the net proceeds thereof, as of March 31, 2011:</w:t>
      </w:r>
    </w:p>
    <w:p>
      <w:pPr>
        <w:spacing w:after="0" w:line="37" w:lineRule="exact"/>
        <w:rPr>
          <w:sz w:val="20"/>
          <w:szCs w:val="20"/>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Texas Instruments Incorporated would have had approximately $3.5 billion of total long-term indebtedness (including the Notes), all of which would constitute senior and unsubordinated indebtedness;</w:t>
      </w:r>
    </w:p>
    <w:p>
      <w:pPr>
        <w:spacing w:after="0" w:line="37" w:lineRule="exact"/>
        <w:rPr>
          <w:rFonts w:ascii="Arial" w:cs="Arial" w:eastAsia="Arial" w:hAnsi="Arial"/>
          <w:sz w:val="18"/>
          <w:szCs w:val="18"/>
          <w:color w:val="32406B"/>
        </w:rPr>
      </w:pPr>
    </w:p>
    <w:p>
      <w:pPr>
        <w:ind w:left="900" w:hanging="446"/>
        <w:spacing w:after="0"/>
        <w:tabs>
          <w:tab w:leader="none" w:pos="90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we would have had approximately $9.1 billion of total liabilities on a consolidated basis;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14"/>
        </w:numPr>
        <w:rPr>
          <w:rFonts w:ascii="Arial" w:cs="Arial" w:eastAsia="Arial" w:hAnsi="Arial"/>
          <w:sz w:val="16"/>
          <w:szCs w:val="16"/>
          <w:color w:val="32406B"/>
        </w:rPr>
      </w:pPr>
      <w:r>
        <w:rPr>
          <w:rFonts w:ascii="Arial" w:cs="Arial" w:eastAsia="Arial" w:hAnsi="Arial"/>
          <w:sz w:val="16"/>
          <w:szCs w:val="16"/>
          <w:color w:val="32406B"/>
        </w:rPr>
        <w:t>Texas Instruments Incorporated would not have had any secured indebtedness to which the Notes would have been effectively subordinated;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00" w:hanging="446"/>
        <w:spacing w:after="0" w:line="332" w:lineRule="auto"/>
        <w:tabs>
          <w:tab w:leader="none" w:pos="900" w:val="left"/>
        </w:tabs>
        <w:numPr>
          <w:ilvl w:val="0"/>
          <w:numId w:val="15"/>
        </w:numPr>
        <w:rPr>
          <w:rFonts w:ascii="Arial" w:cs="Arial" w:eastAsia="Arial" w:hAnsi="Arial"/>
          <w:sz w:val="16"/>
          <w:szCs w:val="16"/>
          <w:color w:val="32406B"/>
        </w:rPr>
      </w:pPr>
      <w:r>
        <w:rPr>
          <w:rFonts w:ascii="Arial" w:cs="Arial" w:eastAsia="Arial" w:hAnsi="Arial"/>
          <w:sz w:val="16"/>
          <w:szCs w:val="16"/>
          <w:color w:val="32406B"/>
        </w:rPr>
        <w:t>Texas Instruments Incorporated’s subsidiaries (including National and its subsidiaries) would have had approximately $3.0 billion of liabilities (including trade payables but excluding intercompany debt) to which the Notes would have been structurally subordinated.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Interest on Floating Rate Notes</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32406B"/>
        </w:rPr>
        <w:t xml:space="preserve">Interest on the 2013 Floating Rate Notes will be payable on February 15, May 15, August 15 and November 15 commencing on August 15, 2011 to the persons in whose names the Notes are registered at the close of business on the preceding February 1, May 1, August 1 or November 1, as the case may be, </w:t>
      </w:r>
      <w:r>
        <w:rPr>
          <w:rFonts w:ascii="Arial" w:cs="Arial" w:eastAsia="Arial" w:hAnsi="Arial"/>
          <w:sz w:val="15"/>
          <w:szCs w:val="15"/>
          <w:i w:val="1"/>
          <w:iCs w:val="1"/>
          <w:color w:val="32406B"/>
        </w:rPr>
        <w:t xml:space="preserve">provided </w:t>
      </w:r>
      <w:r>
        <w:rPr>
          <w:rFonts w:ascii="Arial" w:cs="Arial" w:eastAsia="Arial" w:hAnsi="Arial"/>
          <w:sz w:val="15"/>
          <w:szCs w:val="15"/>
          <w:color w:val="32406B"/>
        </w:rPr>
        <w:t>that if interest is due on a day that is not a business day, interest will be paid on the next succeeding business day (such date of payment, an “interest</w:t>
      </w:r>
      <w:r>
        <w:rPr>
          <w:rFonts w:ascii="Arial" w:cs="Arial" w:eastAsia="Arial" w:hAnsi="Arial"/>
          <w:sz w:val="15"/>
          <w:szCs w:val="15"/>
          <w:i w:val="1"/>
          <w:iCs w:val="1"/>
          <w:color w:val="32406B"/>
        </w:rPr>
        <w:t xml:space="preserve"> </w:t>
      </w:r>
      <w:r>
        <w:rPr>
          <w:rFonts w:ascii="Arial" w:cs="Arial" w:eastAsia="Arial" w:hAnsi="Arial"/>
          <w:sz w:val="15"/>
          <w:szCs w:val="15"/>
          <w:color w:val="32406B"/>
        </w:rPr>
        <w:t>payment date”). Interest payments for the 2013 Floating Rate Notes shall be the amount of interest accrued from the date of issue or from the last interest payment date to, but excluding, the interest payment date. Interest on the 2013 Floating Rate Notes will be calculated on the basis of a 360-day year, actual days elapsed.</w:t>
      </w:r>
    </w:p>
    <w:p>
      <w:pPr>
        <w:spacing w:after="0" w:line="8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32406B"/>
        </w:rPr>
        <w:t>The amount of interest for each day the 2013 Floating Rate Notes are outstanding (the “daily interest amount”) will be calculated by dividing the interest rate in effect for that day by 360 and multiplying the result by the principal amount of the 2013 Floating Rate Notes. The amount of interest to be paid on the 2013 Floating Rate Notes on any interest payment date will be calculated by adding the daily interest amounts for each day in the interest period.</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32406B"/>
        </w:rPr>
        <w:t>The 2013 Floating Rate Notes will bear interest for each interest period at a per annum rate equal to three-month USD LIBOR, as determined by the Calculation Agent on the Interest Determination Date (as defined below) for such period, plus 0.18%. Promptly upon determination, the Calculation Agent will inform the trustee and the Issuer of the interest rate for the next interest period. Absent manifest error, the determination of the interest rate by the Calculation Agent shall be binding and conclusive on the holders of the 2013 Floating Rate Notes, the trustee and the Issuer. The interest rate will in no event be higher than the maximum rate permitted by New York law as the same may be modified by United States law of general application.</w:t>
      </w:r>
    </w:p>
    <w:p>
      <w:pPr>
        <w:spacing w:after="0" w:line="10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32406B"/>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32406B"/>
        </w:rPr>
        <w:t>On any Interest Determination Date, USD LIBOR will be equal to the offered rate for deposits in U.S. dollars having an index maturity of three months, in amounts of at least $1,000,000, as such rate appears on “Reuters Page LIBOR01” at approximately 11:00 a.m., London time, on such Interest Determination Date. If on an Interest Determination Date, such rate does not appear on the “Reuters Page LIBOR01” as of 11:00 a.m. (London time), or if the “Reuters Page LIBOR01” is not available on such date, the trustee will obtain such rate from Bloomberg L.P.’s page “BBAM.”</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32406B"/>
        </w:rPr>
        <w:t>If no offered rate appears on “Reuters Page LIBOR01” or Bloomberg L.P.’s page “BBAM” on an Interest Determination Date at approximately 11:00 a.m., London time, then the Calculation Agent (after consultation with the Issuer) will select four major banks in the London interbank market and shall request each of their principal London offices to provide a quotation of the rate at which three-month deposits in U.S. dollars in amounts of at least $1,000,000 are offered by it to prime banks in the London interbank market, on that date and at that time, that is representative of single transactions at that time. If at least two quotations are provided, USD LIBOR will be the arithmetic average of the quotations provided. Otherwise, the Calculation Agent will select three major banks in New York City and shall request each of them to provide a quotation of the rate offered by them at approximately 11:00 a.m., New York City time, on the Interest Determination Date for loans in U.S. dollars to leading European banks having an index maturity of three months for the applicable interest period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32406B"/>
        </w:rPr>
        <w:t>an amount of at least $1,000,000 that is representative of single transactions at that time. If three quotations are provided, USD LIBOR will be the arithmetic average of the quotations provided. Otherwise, the rate of USD LIBOR for the next interest period will be set equal to the rate of USD LIBOR for the then current interest period.</w:t>
      </w:r>
    </w:p>
    <w:p>
      <w:pPr>
        <w:spacing w:after="0" w:line="12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32406B"/>
        </w:rPr>
        <w:t>Upon request from any holder of the 2013 Floating Rate Notes, the Calculation Agent will provide the interest rate in effect on the 2013 Floating Rate Notes for the current interest period and, if it has been determined, the interest rate to be in effect for the next interest period.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For purposes of the foregoing discussion of interest payable on the 2013 Floating Rate Notes, the following definitions are applicable: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“Calculation Agent” means the calculation agent as appointed by Texas Instruments Incorporated, which initially shall be the trustee.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“Interest Determination Date” with respect to an interest period will be the second London Business Day preceding the first day of the interest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“London Business Day” is a day on which dealings in deposits in U.S. dollars are transacted in the London interbank market.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Issuance of Additional Notes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32406B"/>
        </w:rPr>
        <w:t xml:space="preserve">Texas Instruments Incorporated may, without the consent of the holders, increase the principal amount of any series of Notes by issuing additional Notes of such series in the future on the same terms and conditions, except for any differences in the issue price and interest accrued prior to the issue date of the additional Notes; </w:t>
      </w:r>
      <w:r>
        <w:rPr>
          <w:rFonts w:ascii="Arial" w:cs="Arial" w:eastAsia="Arial" w:hAnsi="Arial"/>
          <w:sz w:val="16"/>
          <w:szCs w:val="16"/>
          <w:i w:val="1"/>
          <w:iCs w:val="1"/>
          <w:color w:val="32406B"/>
        </w:rPr>
        <w:t>provided</w:t>
      </w:r>
      <w:r>
        <w:rPr>
          <w:rFonts w:ascii="Arial" w:cs="Arial" w:eastAsia="Arial" w:hAnsi="Arial"/>
          <w:sz w:val="16"/>
          <w:szCs w:val="16"/>
          <w:color w:val="32406B"/>
        </w:rPr>
        <w:t xml:space="preserve"> that the additional Notes are fungible with the applicable series of Notes offered hereby for U.S. federal income tax purposes. The additional Notes of a series will have the same CUSIP number as the applicable series of Notes.</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32406B"/>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Optional Redemption</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32406B"/>
        </w:rPr>
        <w:t>The Fixed Rate Notes will be redeemable, in whole or in part at any time, or from time to time, at Texas Instruments Incorporated’s option, each at a “make-whole premium” redemption price calculated by Texas Instruments Incorporated equal to the greater of:</w:t>
      </w:r>
    </w:p>
    <w:p>
      <w:pPr>
        <w:spacing w:after="0" w:line="37" w:lineRule="exact"/>
        <w:rPr>
          <w:sz w:val="20"/>
          <w:szCs w:val="20"/>
          <w:color w:val="auto"/>
        </w:rPr>
      </w:pPr>
    </w:p>
    <w:p>
      <w:pPr>
        <w:ind w:left="1120" w:hanging="217"/>
        <w:spacing w:after="0"/>
        <w:tabs>
          <w:tab w:leader="none" w:pos="112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100% of the principal amount of the Fixed Rate Notes to be redeemed; and</w:t>
      </w:r>
    </w:p>
    <w:p>
      <w:pPr>
        <w:spacing w:after="0" w:line="76" w:lineRule="exact"/>
        <w:rPr>
          <w:rFonts w:ascii="Arial" w:cs="Arial" w:eastAsia="Arial" w:hAnsi="Arial"/>
          <w:sz w:val="18"/>
          <w:szCs w:val="18"/>
          <w:color w:val="32406B"/>
        </w:rPr>
      </w:pPr>
    </w:p>
    <w:p>
      <w:pPr>
        <w:ind w:left="460" w:right="60" w:firstLine="443"/>
        <w:spacing w:after="0" w:line="256" w:lineRule="auto"/>
        <w:tabs>
          <w:tab w:leader="none" w:pos="1157"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5 basis points with respect to the 2013 Notes, 7.5 basis points with respect to the 2014 Notes, and 10 basis points with respect to the 2016 Notes.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32406B"/>
        </w:rPr>
        <w:t>plus, in each case, accrued interest thereon to the date of redemption. Notwithstanding the foregoing, installments of interest on Fixed Rate Notes that are due and payable on interest payment dates falling on or prior to a redemption date will be payable on the interest payment date to the registered holders as of the close of business on the relevant record date as set forth in the Fixed Rate Notes and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32406B"/>
        </w:rPr>
        <w:t>“Comparable Treasury Issue” means the United States Treasury security selected by the Quotation Agent as having a maturity comparable to the remaining term of the Fixed Rate Notes to be redeemed that would be utilized, at the time of selection and in accordance with customary financial practice, in pricing new issues of corporate debt securities of comparable maturity to the remaining term of such Fixed Rate Notes.</w:t>
      </w:r>
    </w:p>
    <w:p>
      <w:pPr>
        <w:spacing w:after="0" w:line="9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32406B"/>
        </w:rPr>
        <w:t>“Comparable Treasury Price”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“Quotation Agent” means the Reference Treasury Dealer appointed by Texas Instruments Incorporated.</w:t>
      </w:r>
    </w:p>
    <w:p>
      <w:pPr>
        <w:spacing w:after="0" w:line="158"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32406B"/>
        </w:rPr>
        <w:t>“Reference Treasury Dealer” means (i) Morgan Stanley &amp; Co. Incorporated, J.P. Morgan Securities LLC, Merrill Lynch, Pierce, Fenner &amp; Smith Incorporated and Citigroup Global Markets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29"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32406B"/>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32406B"/>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32406B"/>
        </w:rPr>
        <w:t>Notice of any redemption will be mailed at least 30 days but not more than 60 days before the redemption date to each holder of the Fixed Rate Notes to be redeemed. Unless Texas Instruments Incorporated defaults in payment of the redemption price, on and after the redemption date, interest will cease to accrue on the Fixed Rate Notes or portions thereof called for redemption. If less than all of the Fixed Rate Notes are to be redeemed, the Fixed Rate Notes to be redeemed shall be selected by lot by The Depository Trust Company, in the case of Fixed Rate Notes represented by a global note, or by the trustee by a method the trustee deems to be fair and appropriate, in the case of Fixed Rate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Special Mandatory Redemption</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32406B"/>
        </w:rPr>
        <w:t>If the National merger has not closed by April 30, 2012, or such earlier date as the Merger Agreement is terminated, we will redeem all of the Fixed Rate Notes on the Special Mandatory Redemption Date (as defined below) at a redemption price equal to 101% of the aggregate principal amount of the Fixed Rate Notes, plus accrued and unpaid interest from the date of the initial issuance (or the most recent interest payment date on which interest was paid) to but excluding the Special Mandatory Redemption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S-25</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32406B"/>
        </w:rPr>
        <w:t>Notice of a special mandatory redemption will be distributed promptly after the occurrence of the event triggering such redemption to the registered address of each holder. If funds sufficient to pay the Special Mandatory Redemption Price of all of the Fixed Rate Notes to be redeemed on the Special Mandatory Redemption Date are deposited with a paying agent or the trustee on or before such Special Mandatory Redemption Date, on and after such Special Mandatory Redemption Date, interest will cease to accrue on the Fixed Rate Notes and, other than the right to receive the Special Mandatory Redemption Price, all rights under the Fixed Rate Notes shall terminate.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For purposes of the foregoing discussion of a special mandatory redemption, the following definitions are applicable: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“National merger” means our acquisition of National Semiconductor as contemplated by the Merger Agreement.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32406B"/>
        </w:rPr>
        <w:t>“Merger Agreement” means the Agreement and Plan of Merger by and among National Semiconductor Corporation, Texas Instruments Incorporated and Orion Merger Corp. dated as of April 4, 2011, as amended from time to time in accordance with its terms.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32406B"/>
        </w:rPr>
        <w:t>“Special Mandatory Redemption Date” means the 15</w:t>
      </w:r>
      <w:r>
        <w:rPr>
          <w:rFonts w:ascii="Arial" w:cs="Arial" w:eastAsia="Arial" w:hAnsi="Arial"/>
          <w:sz w:val="11"/>
          <w:szCs w:val="11"/>
          <w:color w:val="32406B"/>
        </w:rPr>
        <w:t>th</w:t>
      </w:r>
      <w:r>
        <w:rPr>
          <w:rFonts w:ascii="Arial" w:cs="Arial" w:eastAsia="Arial" w:hAnsi="Arial"/>
          <w:sz w:val="18"/>
          <w:szCs w:val="18"/>
          <w:color w:val="32406B"/>
        </w:rPr>
        <w:t xml:space="preserve"> business day following the earlier to occur of (a) April 30, 2012, and (b) the date the Merger Agreement is terminated.</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32406B"/>
        </w:rPr>
        <w:t>“Special Mandatory Redemption Price” means 101% of the aggregate principal amount of the Fixed Rate Notes to be redeemed together with accrued and unpaid interest, if any, from the date of initial issuance (or the most recent interest payment date on which interest on the Fixed Rate Notes of the applicable series was paid or duly provided for) to, but not including, the Special Mandatory Redemption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An event of default for any series of debt securities is defined under the indenture as being:</w:t>
      </w:r>
    </w:p>
    <w:p>
      <w:pPr>
        <w:spacing w:after="0" w:line="77" w:lineRule="exact"/>
        <w:rPr>
          <w:sz w:val="20"/>
          <w:szCs w:val="20"/>
          <w:color w:val="auto"/>
        </w:rPr>
      </w:pPr>
    </w:p>
    <w:p>
      <w:pPr>
        <w:ind w:left="900" w:hanging="446"/>
        <w:spacing w:after="0" w:line="347" w:lineRule="auto"/>
        <w:tabs>
          <w:tab w:leader="none" w:pos="900" w:val="left"/>
        </w:tabs>
        <w:numPr>
          <w:ilvl w:val="0"/>
          <w:numId w:val="17"/>
        </w:numPr>
        <w:rPr>
          <w:rFonts w:ascii="Arial" w:cs="Arial" w:eastAsia="Arial" w:hAnsi="Arial"/>
          <w:sz w:val="15"/>
          <w:szCs w:val="15"/>
          <w:color w:val="32406B"/>
        </w:rPr>
      </w:pPr>
      <w:r>
        <w:rPr>
          <w:rFonts w:ascii="Arial" w:cs="Arial" w:eastAsia="Arial" w:hAnsi="Arial"/>
          <w:sz w:val="15"/>
          <w:szCs w:val="15"/>
          <w:color w:val="32406B"/>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446"/>
        <w:spacing w:after="0"/>
        <w:tabs>
          <w:tab w:leader="none" w:pos="900" w:val="left"/>
        </w:tabs>
        <w:numPr>
          <w:ilvl w:val="0"/>
          <w:numId w:val="17"/>
        </w:numPr>
        <w:rPr>
          <w:rFonts w:ascii="Arial" w:cs="Arial" w:eastAsia="Arial" w:hAnsi="Arial"/>
          <w:sz w:val="16"/>
          <w:szCs w:val="16"/>
          <w:color w:val="32406B"/>
        </w:rPr>
      </w:pPr>
      <w:r>
        <w:rPr>
          <w:rFonts w:ascii="Arial" w:cs="Arial" w:eastAsia="Arial" w:hAnsi="Arial"/>
          <w:sz w:val="16"/>
          <w:szCs w:val="16"/>
          <w:color w:val="32406B"/>
        </w:rPr>
        <w:t>our default in the payment of interest on any debt securities of such series when due and payable, if that default continues for a period of 30 days;</w:t>
      </w:r>
    </w:p>
    <w:p>
      <w:pPr>
        <w:spacing w:after="0" w:line="126" w:lineRule="exact"/>
        <w:rPr>
          <w:rFonts w:ascii="Arial" w:cs="Arial" w:eastAsia="Arial" w:hAnsi="Arial"/>
          <w:sz w:val="16"/>
          <w:szCs w:val="16"/>
          <w:color w:val="32406B"/>
        </w:rPr>
      </w:pPr>
    </w:p>
    <w:p>
      <w:pPr>
        <w:ind w:left="900" w:right="140" w:hanging="446"/>
        <w:spacing w:after="0" w:line="256" w:lineRule="auto"/>
        <w:tabs>
          <w:tab w:leader="none" w:pos="90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48" w:lineRule="exact"/>
        <w:rPr>
          <w:rFonts w:ascii="Arial" w:cs="Arial" w:eastAsia="Arial" w:hAnsi="Arial"/>
          <w:sz w:val="18"/>
          <w:szCs w:val="18"/>
          <w:color w:val="32406B"/>
        </w:rPr>
      </w:pPr>
    </w:p>
    <w:p>
      <w:pPr>
        <w:ind w:left="900" w:hanging="446"/>
        <w:spacing w:after="0"/>
        <w:tabs>
          <w:tab w:leader="none" w:pos="90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there occurs any other event of default provided for in such series of debt securities;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a court having jurisdiction enters a decree or order for:</w:t>
      </w:r>
    </w:p>
    <w:p>
      <w:pPr>
        <w:spacing w:after="0" w:line="96" w:lineRule="exact"/>
        <w:rPr>
          <w:rFonts w:ascii="Arial" w:cs="Arial" w:eastAsia="Arial" w:hAnsi="Arial"/>
          <w:sz w:val="18"/>
          <w:szCs w:val="18"/>
          <w:color w:val="32406B"/>
        </w:rPr>
      </w:pPr>
    </w:p>
    <w:p>
      <w:pPr>
        <w:ind w:left="1480" w:hanging="446"/>
        <w:spacing w:after="0"/>
        <w:tabs>
          <w:tab w:leader="none" w:pos="1480" w:val="left"/>
        </w:tabs>
        <w:numPr>
          <w:ilvl w:val="1"/>
          <w:numId w:val="17"/>
        </w:numPr>
        <w:rPr>
          <w:rFonts w:ascii="Arial" w:cs="Arial" w:eastAsia="Arial" w:hAnsi="Arial"/>
          <w:sz w:val="20"/>
          <w:szCs w:val="20"/>
          <w:color w:val="32406B"/>
          <w:vertAlign w:val="superscript"/>
        </w:rPr>
      </w:pPr>
      <w:r>
        <w:rPr>
          <w:rFonts w:ascii="Arial" w:cs="Arial" w:eastAsia="Arial" w:hAnsi="Arial"/>
          <w:sz w:val="16"/>
          <w:szCs w:val="16"/>
          <w:color w:val="32406B"/>
        </w:rPr>
        <w:t>relief in respect of us in an involuntary case under any applicable bankruptcy, insolvency, or other similar law now or hereafter in effect;</w:t>
      </w:r>
    </w:p>
    <w:p>
      <w:pPr>
        <w:spacing w:after="0" w:line="88" w:lineRule="exact"/>
        <w:rPr>
          <w:rFonts w:ascii="Arial" w:cs="Arial" w:eastAsia="Arial" w:hAnsi="Arial"/>
          <w:sz w:val="20"/>
          <w:szCs w:val="20"/>
          <w:color w:val="32406B"/>
          <w:vertAlign w:val="superscript"/>
        </w:rPr>
      </w:pPr>
    </w:p>
    <w:p>
      <w:pPr>
        <w:ind w:left="1480" w:right="260" w:hanging="446"/>
        <w:spacing w:after="0" w:line="228" w:lineRule="auto"/>
        <w:tabs>
          <w:tab w:leader="none" w:pos="1480" w:val="left"/>
        </w:tabs>
        <w:numPr>
          <w:ilvl w:val="1"/>
          <w:numId w:val="17"/>
        </w:numPr>
        <w:rPr>
          <w:rFonts w:ascii="Arial" w:cs="Arial" w:eastAsia="Arial" w:hAnsi="Arial"/>
          <w:sz w:val="22"/>
          <w:szCs w:val="22"/>
          <w:color w:val="32406B"/>
          <w:vertAlign w:val="superscript"/>
        </w:rPr>
      </w:pPr>
      <w:r>
        <w:rPr>
          <w:rFonts w:ascii="Arial" w:cs="Arial" w:eastAsia="Arial" w:hAnsi="Arial"/>
          <w:sz w:val="18"/>
          <w:szCs w:val="18"/>
          <w:color w:val="32406B"/>
        </w:rPr>
        <w:t>appointment of a receiver, liquidator, assignee, custodian, trustee, sequestrator, or similar official of us or for all or substantially all of our property and assets; 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8" w:lineRule="exact"/>
        <w:rPr>
          <w:sz w:val="20"/>
          <w:szCs w:val="20"/>
          <w:color w:val="auto"/>
        </w:rPr>
      </w:pPr>
    </w:p>
    <w:p>
      <w:pPr>
        <w:ind w:left="1040"/>
        <w:spacing w:after="0"/>
        <w:rPr>
          <w:sz w:val="20"/>
          <w:szCs w:val="20"/>
          <w:color w:val="auto"/>
        </w:rPr>
      </w:pPr>
      <w:r>
        <w:rPr>
          <w:rFonts w:ascii="Arial" w:cs="Arial" w:eastAsia="Arial" w:hAnsi="Arial"/>
          <w:sz w:val="11"/>
          <w:szCs w:val="11"/>
          <w:color w:val="32406B"/>
        </w:rPr>
        <w:t>¡</w:t>
      </w:r>
    </w:p>
    <w:p>
      <w:pPr>
        <w:spacing w:after="0" w:line="20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we:</w:t>
      </w:r>
    </w:p>
    <w:p>
      <w:pPr>
        <w:spacing w:after="0" w:line="83" w:lineRule="exact"/>
        <w:rPr>
          <w:sz w:val="20"/>
          <w:szCs w:val="20"/>
          <w:color w:val="auto"/>
        </w:rPr>
      </w:pPr>
    </w:p>
    <w:p>
      <w:pPr>
        <w:ind w:left="1040"/>
        <w:spacing w:after="0"/>
        <w:rPr>
          <w:sz w:val="20"/>
          <w:szCs w:val="20"/>
          <w:color w:val="auto"/>
        </w:rPr>
      </w:pPr>
      <w:r>
        <w:rPr>
          <w:rFonts w:ascii="Arial" w:cs="Arial" w:eastAsia="Arial" w:hAnsi="Arial"/>
          <w:sz w:val="11"/>
          <w:szCs w:val="11"/>
          <w:color w:val="32406B"/>
        </w:rPr>
        <w:t>¡</w:t>
      </w:r>
    </w:p>
    <w:p>
      <w:pPr>
        <w:spacing w:after="0" w:line="373" w:lineRule="exact"/>
        <w:rPr>
          <w:sz w:val="20"/>
          <w:szCs w:val="20"/>
          <w:color w:val="auto"/>
        </w:rPr>
      </w:pPr>
    </w:p>
    <w:p>
      <w:pPr>
        <w:ind w:left="1040"/>
        <w:spacing w:after="0"/>
        <w:rPr>
          <w:sz w:val="20"/>
          <w:szCs w:val="20"/>
          <w:color w:val="auto"/>
        </w:rPr>
      </w:pPr>
      <w:r>
        <w:rPr>
          <w:rFonts w:ascii="Arial" w:cs="Arial" w:eastAsia="Arial" w:hAnsi="Arial"/>
          <w:sz w:val="11"/>
          <w:szCs w:val="11"/>
          <w:color w:val="32406B"/>
        </w:rPr>
        <w:t>¡</w:t>
      </w:r>
    </w:p>
    <w:p>
      <w:pPr>
        <w:spacing w:after="0" w:line="373" w:lineRule="exact"/>
        <w:rPr>
          <w:sz w:val="20"/>
          <w:szCs w:val="20"/>
          <w:color w:val="auto"/>
        </w:rPr>
      </w:pPr>
    </w:p>
    <w:p>
      <w:pPr>
        <w:ind w:left="1040"/>
        <w:spacing w:after="0"/>
        <w:rPr>
          <w:sz w:val="20"/>
          <w:szCs w:val="20"/>
          <w:color w:val="auto"/>
        </w:rPr>
      </w:pPr>
      <w:r>
        <w:rPr>
          <w:rFonts w:ascii="Arial" w:cs="Arial" w:eastAsia="Arial" w:hAnsi="Arial"/>
          <w:sz w:val="11"/>
          <w:szCs w:val="11"/>
          <w:color w:val="32406B"/>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32406B"/>
        </w:rPr>
        <w:t>the winding up or liquidation of our affairs and such decree or order shall remain unstayed and in effect for a period of 60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-643890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32406B"/>
        </w:rPr>
        <w:t>commence a voluntary case under any applicable bankruptcy, insolvency, or other similar law now or hereafter in effect, or consent to the entry of an order for relief in an involuntary case under any such law;</w:t>
      </w:r>
    </w:p>
    <w:p>
      <w:pPr>
        <w:spacing w:after="0" w:line="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32406B"/>
        </w:rPr>
        <w:t>consent to the appointment of or taking possession by a receiver, liquidator, assignee, custodian, trustee, sequestrator, or similar official of ours for all or substantially all of our property and assets; 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32406B"/>
        </w:rPr>
        <w:t>effect any general assignment for the benefit of creditors.</w:t>
      </w:r>
    </w:p>
    <w:p>
      <w:pPr>
        <w:spacing w:after="0" w:line="185" w:lineRule="exact"/>
        <w:rPr>
          <w:sz w:val="20"/>
          <w:szCs w:val="20"/>
          <w:color w:val="auto"/>
        </w:rPr>
      </w:pPr>
    </w:p>
    <w:p>
      <w:pPr>
        <w:sectPr>
          <w:pgSz w:w="11900" w:h="16838" w:orient="portrait"/>
          <w:cols w:equalWidth="0" w:num="2">
            <w:col w:w="1360" w:space="120"/>
            <w:col w:w="9860"/>
          </w:cols>
          <w:pgMar w:left="240" w:top="459" w:right="319" w:bottom="1440" w:gutter="0" w:footer="0" w:header="0"/>
        </w:sectPr>
      </w:pPr>
    </w:p>
    <w:p>
      <w:pPr>
        <w:ind w:left="460"/>
        <w:spacing w:after="0"/>
        <w:rPr>
          <w:sz w:val="20"/>
          <w:szCs w:val="20"/>
          <w:color w:val="auto"/>
        </w:rPr>
      </w:pPr>
      <w:r>
        <w:rPr>
          <w:rFonts w:ascii="Arial" w:cs="Arial" w:eastAsia="Arial" w:hAnsi="Arial"/>
          <w:sz w:val="18"/>
          <w:szCs w:val="18"/>
          <w:color w:val="32406B"/>
        </w:rPr>
        <w:t>The default by us under any other debt, including any other series of debt securities, is not a default under the indenture.</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32406B"/>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32406B"/>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32406B"/>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32406B"/>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w:t>
      </w:r>
    </w:p>
    <w:p>
      <w:pPr>
        <w:spacing w:after="0" w:line="10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32406B"/>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S-27</w:t>
      </w:r>
    </w:p>
    <w:p>
      <w:pPr>
        <w:sectPr>
          <w:pgSz w:w="11900" w:h="16838" w:orient="portrait"/>
          <w:cols w:equalWidth="0" w:num="1">
            <w:col w:w="11340"/>
          </w:cols>
          <w:pgMar w:left="240" w:top="459" w:right="3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25" w:lineRule="auto"/>
        <w:rPr>
          <w:sz w:val="20"/>
          <w:szCs w:val="20"/>
          <w:color w:val="auto"/>
        </w:rPr>
      </w:pPr>
      <w:r>
        <w:rPr>
          <w:rFonts w:ascii="Arial" w:cs="Arial" w:eastAsia="Arial" w:hAnsi="Arial"/>
          <w:sz w:val="16"/>
          <w:szCs w:val="16"/>
          <w:color w:val="32406B"/>
        </w:rPr>
        <w:t>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holder gives the trustee written notice of a continuing event of default;</w:t>
      </w:r>
    </w:p>
    <w:p>
      <w:pPr>
        <w:spacing w:after="0" w:line="103" w:lineRule="exact"/>
        <w:rPr>
          <w:rFonts w:ascii="Arial" w:cs="Arial" w:eastAsia="Arial" w:hAnsi="Arial"/>
          <w:sz w:val="18"/>
          <w:szCs w:val="18"/>
          <w:color w:val="32406B"/>
        </w:rPr>
      </w:pPr>
    </w:p>
    <w:p>
      <w:pPr>
        <w:ind w:left="900" w:right="120" w:hanging="446"/>
        <w:spacing w:after="0" w:line="268" w:lineRule="auto"/>
        <w:tabs>
          <w:tab w:leader="none" w:pos="90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holders of at least 25% in aggregate principal amount of such series of debt securities make a written request to the trustee to pursue the remedy in respect of such event of default;</w:t>
      </w:r>
    </w:p>
    <w:p>
      <w:pPr>
        <w:spacing w:after="0" w:line="37" w:lineRule="exact"/>
        <w:rPr>
          <w:rFonts w:ascii="Arial" w:cs="Arial" w:eastAsia="Arial" w:hAnsi="Arial"/>
          <w:sz w:val="18"/>
          <w:szCs w:val="18"/>
          <w:color w:val="32406B"/>
        </w:rPr>
      </w:pPr>
    </w:p>
    <w:p>
      <w:pPr>
        <w:ind w:left="900" w:hanging="446"/>
        <w:spacing w:after="0"/>
        <w:tabs>
          <w:tab w:leader="none" w:pos="90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requesting holder or holders offer the trustee indemnity satisfactory to the trustee against any costs, liability, or expense;</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32406B"/>
        </w:rPr>
      </w:pPr>
    </w:p>
    <w:p>
      <w:pPr>
        <w:ind w:left="900" w:right="40" w:hanging="446"/>
        <w:spacing w:after="0" w:line="268" w:lineRule="auto"/>
        <w:tabs>
          <w:tab w:leader="none" w:pos="90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during such 60-day period, the holders of a majority in aggregate principal amount of such series of debt securities do not give the trustee a direction that is inconsistent with the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32406B"/>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32406B"/>
        </w:rPr>
        <w:t>The indenture requires certain of our officers to certify, on or before a fixed date in each year in which any security is outstanding, as to their knowledge of our compliance with all conditions and covenants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Book-Entry; Delivery and Form; Global Note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32406B"/>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32406B"/>
        </w:rPr>
        <w:t>société anonyme</w:t>
      </w:r>
      <w:r>
        <w:rPr>
          <w:rFonts w:ascii="Arial" w:cs="Arial" w:eastAsia="Arial" w:hAnsi="Arial"/>
          <w:sz w:val="18"/>
          <w:szCs w:val="18"/>
          <w:color w:val="32406B"/>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32406B"/>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32406B"/>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S-28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32406B"/>
        </w:rPr>
        <w:t>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32406B"/>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32406B"/>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32406B"/>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32406B"/>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32406B"/>
        </w:rPr>
        <w:t>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32406B"/>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32406B"/>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32406B"/>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32406B"/>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32406B"/>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32406B"/>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32406B"/>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Notices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Notices to holders of the Notes will be made by first class mail, postage prepaid, to the addresses that appear on the security register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Concerning Our Relationship with the Trustee</w:t>
      </w:r>
    </w:p>
    <w:p>
      <w:pPr>
        <w:spacing w:after="0" w:line="8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32406B"/>
        </w:rPr>
        <w:t>Texas Instruments Incorporated does not currently have any other relationships with the trustee, but in the future may enter into ordinary banking relationships with affiliates of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32406B"/>
        </w:rPr>
        <w:t>MATERIAL U.S. FEDERAL INCOME TAX CONSEQUENCES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The following are the material U.S. federal income tax consequences of ownership and disposition of the Notes. This discussion only applies to Notes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2406B"/>
        </w:rPr>
        <w:t>are:</w:t>
      </w:r>
    </w:p>
    <w:p>
      <w:pPr>
        <w:spacing w:after="0" w:line="70" w:lineRule="exact"/>
        <w:rPr>
          <w:sz w:val="20"/>
          <w:szCs w:val="20"/>
          <w:color w:val="auto"/>
        </w:rPr>
      </w:pPr>
    </w:p>
    <w:p>
      <w:pPr>
        <w:ind w:left="900" w:right="60" w:hanging="446"/>
        <w:spacing w:after="0" w:line="259" w:lineRule="auto"/>
        <w:tabs>
          <w:tab w:leader="none" w:pos="90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purchased by those initial holders who purchase such Notes in this offering at their “issue price,” which will equal the first price to the public (not including bond houses, brokers or similar persons or organizations acting in the capacity of underwriters, placement agents or wholesalers) at which a substantial amount of the Notes of such series is sold for money; and</w:t>
      </w:r>
    </w:p>
    <w:p>
      <w:pPr>
        <w:spacing w:after="0" w:line="45" w:lineRule="exact"/>
        <w:rPr>
          <w:rFonts w:ascii="Arial" w:cs="Arial" w:eastAsia="Arial" w:hAnsi="Arial"/>
          <w:sz w:val="18"/>
          <w:szCs w:val="18"/>
          <w:color w:val="32406B"/>
        </w:rPr>
      </w:pPr>
    </w:p>
    <w:p>
      <w:pPr>
        <w:ind w:left="900" w:hanging="446"/>
        <w:spacing w:after="0"/>
        <w:tabs>
          <w:tab w:leader="none" w:pos="90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held as capital assets.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This discussion does not describe all of the tax consequences that may be relevant to holders in light of their particular circumstances, including alternative minimum tax consequences and tax consequences applicable to holders subject to special rules, such as:</w:t>
      </w:r>
    </w:p>
    <w:p>
      <w:pPr>
        <w:spacing w:after="0" w:line="3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tax-exempt organizations;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traders in securities that elect the mark-to-market method of accounting for their securities;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certain financial institutions;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insurance companies;</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dealers in securities or foreign currencies;</w:t>
      </w:r>
    </w:p>
    <w:p>
      <w:pPr>
        <w:spacing w:after="0" w:line="103" w:lineRule="exact"/>
        <w:rPr>
          <w:rFonts w:ascii="Arial" w:cs="Arial" w:eastAsia="Arial" w:hAnsi="Arial"/>
          <w:sz w:val="18"/>
          <w:szCs w:val="18"/>
          <w:color w:val="32406B"/>
        </w:rPr>
      </w:pPr>
    </w:p>
    <w:p>
      <w:pPr>
        <w:ind w:left="900" w:right="320" w:hanging="446"/>
        <w:spacing w:after="0" w:line="268" w:lineRule="auto"/>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persons holding Notes as part of a hedge, straddle or other integrated transaction for U.S. federal income tax purposes, or persons entering into a constructive sale with respect to the Notes;</w:t>
      </w:r>
    </w:p>
    <w:p>
      <w:pPr>
        <w:spacing w:after="0" w:line="37" w:lineRule="exact"/>
        <w:rPr>
          <w:rFonts w:ascii="Arial" w:cs="Arial" w:eastAsia="Arial" w:hAnsi="Arial"/>
          <w:sz w:val="18"/>
          <w:szCs w:val="18"/>
          <w:color w:val="32406B"/>
        </w:rPr>
      </w:pPr>
    </w:p>
    <w:p>
      <w:pPr>
        <w:ind w:left="900" w:hanging="446"/>
        <w:spacing w:after="0"/>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U.S. Holders (as defined below) whose functional currency is not the U.S. dollar; or</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partnerships or other entities classified as partnerships for U.S. federal income tax purposes.</w:t>
      </w:r>
    </w:p>
    <w:p>
      <w:pPr>
        <w:spacing w:after="0" w:line="18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32406B"/>
        </w:rPr>
        <w:t>If a partnership or other entity classified as a partnership for U.S. federal income tax purposes holds the Notes, the tax treatment of a partner will generally depend upon the status of the partner and the activities of the partnership. Partners of partnerships holding the Notes are urged to consult their own tax advisors.</w:t>
      </w:r>
    </w:p>
    <w:p>
      <w:pPr>
        <w:spacing w:after="0" w:line="4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32406B"/>
        </w:rPr>
        <w:t>This summary is based on the Internal Revenue Code of 1986, as amended to the date hereof (the “Code”), administrative pronouncements, judicial decisions and final, temporary and proposed Treasury Regulations, in each case as in effect on the date hereof, changes to any of which subsequent to the date of this prospectus supplement may affect the tax consequences described herein. Persons considering the purchase of Notes are urged to consult their tax advisors with regard to the application of the U.S. federal income tax laws to their particular situations as well as any tax consequences arising under the laws of any state, local or foreign taxing jurisdiction.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As used herein, the term “U.S. Holder” means a beneficial owner of a Note that is, for U.S. federal income tax purposes:</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an individual citizen or resident of the United States;</w:t>
      </w:r>
    </w:p>
    <w:p>
      <w:pPr>
        <w:spacing w:after="0" w:line="103" w:lineRule="exact"/>
        <w:rPr>
          <w:rFonts w:ascii="Arial" w:cs="Arial" w:eastAsia="Arial" w:hAnsi="Arial"/>
          <w:sz w:val="18"/>
          <w:szCs w:val="18"/>
          <w:color w:val="32406B"/>
        </w:rPr>
      </w:pPr>
    </w:p>
    <w:p>
      <w:pPr>
        <w:ind w:left="900" w:right="80" w:hanging="446"/>
        <w:spacing w:after="0" w:line="268" w:lineRule="auto"/>
        <w:tabs>
          <w:tab w:leader="none" w:pos="90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a corporation, or other entity taxable as a corporation, created or organized in or under the laws of the United States, any state thereof or the District of Columbia; or</w:t>
      </w:r>
    </w:p>
    <w:p>
      <w:pPr>
        <w:spacing w:after="0" w:line="37" w:lineRule="exact"/>
        <w:rPr>
          <w:rFonts w:ascii="Arial" w:cs="Arial" w:eastAsia="Arial" w:hAnsi="Arial"/>
          <w:sz w:val="18"/>
          <w:szCs w:val="18"/>
          <w:color w:val="32406B"/>
        </w:rPr>
      </w:pPr>
    </w:p>
    <w:p>
      <w:pPr>
        <w:ind w:left="900" w:hanging="446"/>
        <w:spacing w:after="0"/>
        <w:tabs>
          <w:tab w:leader="none" w:pos="90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an estate or trust the income of which is subject to U.S. federal income taxation regardless of its source.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32406B"/>
        </w:rPr>
        <w:t>The term “U.S. Holder” also includes certain former citizens and residents of the United States.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32406B"/>
        </w:rPr>
        <w:t>S-32</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Potential Contingent Payment Debt Treatment</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32406B"/>
        </w:rPr>
        <w:t>If the National merger has not closed by April 30, 2012, or such earlier date as the Merger Agreement is terminated, then TI would generally be required to repurchase the Notes at 101% of their principal amount plus accrued and unpaid interest, as described under “Description of the Notes—Special Mandatory Redemption.” Although the issue is not free from doubt, TI intends to take the position that such requirement does not result in the Notes being treated as contingent payment debt instruments under the applicable Treasury Regulations. TI’s position is not binding on the Internal Revenue Service (the “IRS”). If the IRS successfully takes a contrary position, U.S. Holders may be required to treat any gain recognized on the sale or other disposition of the Notes as ordinary income rather than as capital gain. Furthermore, U.S. Holders would be required to accrue interest income on a constant yield basis at an assumed yield determined at the time of issuance of the Notes, with adjustments to such accruals when any contingent payments are made that differ from the payments calculated based on the assumed yield. U.S. Holders should consult their tax advisors regarding the tax consequences of the Notes being treated as contingent payment debt instruments. The remainder of this discussion assumes that the Notes are not treated as contingent payment debt instruments.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Payments of Interest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The Notes will be issued without original issue discount for U.S. federal income tax purposes. Accordingly, interest paid on a Note will be taxable to a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32406B"/>
        </w:rPr>
        <w:t>Holder as ordinary interest income at the time it accrues or is received in accordance with the holder’s method of accounting for federal income tax purposes.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Sale, Exchange, Redemption or Other Disposition of the Notes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32406B"/>
        </w:rPr>
        <w:t>Upon the sale, exchange, redemption or other taxable disposition of a Note, a U.S. Holder will recognize taxable gain or loss equal to the difference between the amount realized on the sale, exchange, redemption or other taxable disposition and the holder’s tax basis in the Note. A U.S. Holder’s tax basis in a Note will, in general, be the U.S. Holder’s cost therefor. For these purposes, the amount realized does not include any amount attributable to accrued interest. Amounts attributable to accrued interest are treated as interest as described under “Payments of Interest” above.</w:t>
      </w:r>
    </w:p>
    <w:p>
      <w:pPr>
        <w:spacing w:after="0" w:line="9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32406B"/>
        </w:rPr>
        <w:t>Gain or loss realized on the sale, exchange, redemption or other taxable disposition of a Note will generally be capital gain or loss and will be long-term capital gain or loss if at the time of the sale, exchange, redemption or other taxable disposition the Note has been held by the holder for more than one year. The deductibility of capital losses is subject to limitations.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Backup Withholding and Information Reporting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Information returns will be filed with the IRS in connection with payments on the Notes and the proceeds from a sale or other disposition of the Notes other than with respect to certain exempt recipients. A U.S. Holder will be subject to backup withholding on these payments if the U.S. Holder fails to provide its taxpayer identification number to the paying agent and comply with certain certification procedures or otherwise establish an exemption from backup withholding.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As used herein, the term “Non-U.S. Holder” means a beneficial owner of a Note that is, for U.S. federal income tax purposes:</w:t>
      </w:r>
    </w:p>
    <w:p>
      <w:pPr>
        <w:spacing w:after="0" w:line="7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 nonresident alien individual;</w:t>
      </w:r>
    </w:p>
    <w:p>
      <w:pPr>
        <w:spacing w:after="0" w:line="103" w:lineRule="exact"/>
        <w:rPr>
          <w:rFonts w:ascii="Arial" w:cs="Arial" w:eastAsia="Arial" w:hAnsi="Arial"/>
          <w:sz w:val="18"/>
          <w:szCs w:val="18"/>
          <w:color w:val="32406B"/>
        </w:rPr>
      </w:pPr>
    </w:p>
    <w:p>
      <w:pPr>
        <w:ind w:left="900" w:hanging="446"/>
        <w:spacing w:after="0"/>
        <w:tabs>
          <w:tab w:leader="none" w:pos="90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 foreign corporation;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a foreign estate or trust.</w:t>
      </w:r>
    </w:p>
    <w:p>
      <w:pPr>
        <w:spacing w:after="0" w:line="1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32406B"/>
        </w:rPr>
        <w:t>“Non-U.S. Holder” does not include a holder who is a nonresident alien individual present in the United States for 183 days or more in the taxable year of disposition of a Note. Such a holder is urged to consult his or her own tax advisor regarding the U.S. federal income tax consequences of the sale, exchange, redemption or other disposition of a Note.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Payments on the Notes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Payments of principal, interest and premium on the Notes by TI or any paying agent to any Non-U.S. Holder will not be subject to U.S. federal withholding tax, provided that, in the case of interest:</w:t>
      </w:r>
    </w:p>
    <w:p>
      <w:pPr>
        <w:spacing w:after="0" w:line="37" w:lineRule="exact"/>
        <w:rPr>
          <w:sz w:val="20"/>
          <w:szCs w:val="20"/>
          <w:color w:val="auto"/>
        </w:rPr>
      </w:pPr>
    </w:p>
    <w:p>
      <w:pPr>
        <w:ind w:left="900" w:right="320" w:hanging="446"/>
        <w:spacing w:after="0" w:line="325" w:lineRule="auto"/>
        <w:tabs>
          <w:tab w:leader="none" w:pos="900" w:val="left"/>
        </w:tabs>
        <w:numPr>
          <w:ilvl w:val="0"/>
          <w:numId w:val="25"/>
        </w:numPr>
        <w:rPr>
          <w:rFonts w:ascii="Arial" w:cs="Arial" w:eastAsia="Arial" w:hAnsi="Arial"/>
          <w:sz w:val="16"/>
          <w:szCs w:val="16"/>
          <w:color w:val="32406B"/>
        </w:rPr>
      </w:pPr>
      <w:r>
        <w:rPr>
          <w:rFonts w:ascii="Arial" w:cs="Arial" w:eastAsia="Arial" w:hAnsi="Arial"/>
          <w:sz w:val="16"/>
          <w:szCs w:val="16"/>
          <w:color w:val="32406B"/>
        </w:rPr>
        <w:t>the Non-U.S. Holder does not own, actually or constructively, 10 percent or more of the total combined voting power of all classes of stock of TI entitled to vote and is not a controlled foreign corporation related, directly or indirectly, to TI through stock ownership; and</w:t>
      </w:r>
    </w:p>
    <w:p>
      <w:pPr>
        <w:spacing w:after="0" w:line="1" w:lineRule="exact"/>
        <w:rPr>
          <w:rFonts w:ascii="Arial" w:cs="Arial" w:eastAsia="Arial" w:hAnsi="Arial"/>
          <w:sz w:val="16"/>
          <w:szCs w:val="16"/>
          <w:color w:val="32406B"/>
        </w:rPr>
      </w:pPr>
    </w:p>
    <w:p>
      <w:pPr>
        <w:ind w:left="900" w:right="80" w:hanging="446"/>
        <w:spacing w:after="0" w:line="332" w:lineRule="auto"/>
        <w:tabs>
          <w:tab w:leader="none" w:pos="900" w:val="left"/>
        </w:tabs>
        <w:numPr>
          <w:ilvl w:val="0"/>
          <w:numId w:val="25"/>
        </w:numPr>
        <w:rPr>
          <w:rFonts w:ascii="Arial" w:cs="Arial" w:eastAsia="Arial" w:hAnsi="Arial"/>
          <w:sz w:val="16"/>
          <w:szCs w:val="16"/>
          <w:color w:val="32406B"/>
        </w:rPr>
      </w:pPr>
      <w:r>
        <w:rPr>
          <w:rFonts w:ascii="Arial" w:cs="Arial" w:eastAsia="Arial" w:hAnsi="Arial"/>
          <w:sz w:val="16"/>
          <w:szCs w:val="16"/>
          <w:color w:val="32406B"/>
        </w:rPr>
        <w:t>the Non-U.S. Holder certifies on an IRS Form W-8BEN (or other applicable IRS Form W-8), under penalties of perjury, that it is not a United States person (as defined in the Code) and TI does not have actual knowledge or reason to know that the Non-U.S. Holder is a United States person.</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32406B"/>
        </w:rPr>
        <w:t>If interest on a Note is effectively connected with the conduct by a Non-U.S. Holder of a trade or business in the United States (and, if required by an applicable income tax treaty, is attributable to a permanent establishment maintained by the Non-U.S. Holder in the United States), the Non-U.S. Holder, although exempt from the withholding tax discussed in the preceding paragraph, will generally be taxed in the same manner as a U.S. Holder (see “—Tax Consequences to U.S. Holders” above), except that the holder will generally be required to provide to TI a properly executed IRS Form W-8ECI in order to claim an exemption from withholding tax. These holders should consult their own tax advisors with respect to other U.S. tax consequences of the ownership and disposition of Notes, including the possible imposition of a branch profits tax at a rate of 30% (or a lower treaty rate).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Sale, Exchange, Redemption or Other Disposition of the Notes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32406B"/>
        </w:rPr>
        <w:t>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18"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32406B"/>
        </w:rPr>
        <w:t>If gain realized on a sale, exchange, redemption or other disposition of a Note is effectively connected with a Non-U.S. Holder’s conduct of a trade or business in the United States, the Non-U.S. Holder will generally be taxed in the same manner as a U.S. Holder (see “—Tax Consequences to U.S. Holders” above), subject to an applicable income tax treaty providing otherwise. These holders should consult their own tax advisors with respect to other U.S. tax consequences of the ownership and disposition of Notes, including the possible imposition of a branch profits tax at a rate of 30% (or a lower treaty rate).</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Backup Withholding and Information Reporting</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32406B"/>
        </w:rPr>
        <w:t>Information returns will be filed with the IRS in connection with payments of interest on the Notes. Unless the Non-U.S. Holder complies with certification procedures to establish that it is not a United States person, information returns may be filed with the IRS in connection with the proceeds from a sale or other disposition (including a retirement or redemption) of the Notes and the Non-U.S. Holder may be subject to backup withholding on payments of interest on the Notes or on the proceeds from a sale or other disposition (including a retirement or redemption)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UNDERWRITERS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32406B"/>
        </w:rPr>
        <w:t>Subject to the terms and conditions stated in the underwriting agreement dated the date of this prospectus supplement, each underwriter named below, for whom Morgan Stanley &amp; Co. Incorporated and J.P. Morgan Securities LLC are acting as representatives, has severally agreed to purchase, and we have agreed to sell to that underwriter, the aggregate principal amount of 2013 Floating Rate Notes, 2013 Notes, 2014 Notes and 2016 Notes set forth opposite the underwriter’s name in the following table: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32406B"/>
                <w:w w:val="87"/>
              </w:rPr>
              <w:t>Principal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32406B"/>
                <w:w w:val="88"/>
              </w:rPr>
              <w:t>Amount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32406B"/>
              </w:rPr>
              <w:t>Principal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32406B"/>
              </w:rPr>
              <w:t>Principal</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32406B"/>
                <w:w w:val="89"/>
              </w:rPr>
              <w:t>2013 Floating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32406B"/>
                <w:w w:val="97"/>
              </w:rPr>
              <w:t>Amount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32406B"/>
              </w:rPr>
              <w:t>Amount of</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88"/>
              </w:rPr>
              <w:t>Amount of</w:t>
            </w:r>
          </w:p>
        </w:tc>
        <w:tc>
          <w:tcPr>
            <w:tcW w:w="0" w:type="dxa"/>
            <w:vAlign w:val="bottom"/>
          </w:tcPr>
          <w:p>
            <w:pPr>
              <w:spacing w:after="0"/>
              <w:rPr>
                <w:sz w:val="1"/>
                <w:szCs w:val="1"/>
                <w:color w:val="auto"/>
              </w:rPr>
            </w:pPr>
          </w:p>
        </w:tc>
      </w:tr>
      <w:tr>
        <w:trPr>
          <w:trHeight w:val="161"/>
        </w:trPr>
        <w:tc>
          <w:tcPr>
            <w:tcW w:w="5120" w:type="dxa"/>
            <w:vAlign w:val="bottom"/>
            <w:gridSpan w:val="3"/>
          </w:tcPr>
          <w:p>
            <w:pPr>
              <w:spacing w:after="0"/>
              <w:rPr>
                <w:sz w:val="20"/>
                <w:szCs w:val="20"/>
                <w:color w:val="auto"/>
              </w:rPr>
            </w:pPr>
            <w:r>
              <w:rPr>
                <w:rFonts w:ascii="Arial" w:cs="Arial" w:eastAsia="Arial" w:hAnsi="Arial"/>
                <w:sz w:val="14"/>
                <w:szCs w:val="14"/>
                <w:b w:val="1"/>
                <w:bCs w:val="1"/>
                <w:color w:val="32406B"/>
              </w:rPr>
              <w:t>Name</w:t>
            </w: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32406B"/>
                <w:w w:val="87"/>
              </w:rPr>
              <w:t>Rate Notes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32406B"/>
                <w:w w:val="91"/>
              </w:rPr>
              <w:t>2013 Notes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32406B"/>
              </w:rPr>
              <w:t>2014 Notes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2406B"/>
                <w:w w:val="83"/>
              </w:rPr>
              <w:t>2016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Morgan Stanley &amp; Co. Incorporated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210,000,000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91"/>
              </w:rPr>
              <w:t>105,000,000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210,000,000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32406B"/>
              </w:rPr>
              <w:t>J.P. Morgan Securities LLC</w:t>
            </w:r>
          </w:p>
        </w:tc>
        <w:tc>
          <w:tcPr>
            <w:tcW w:w="16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210,000,000</w:t>
            </w: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32406B"/>
                <w:w w:val="91"/>
              </w:rPr>
              <w:t>105,000,000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210,000,000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tcPr>
          <w:p>
            <w:pPr>
              <w:jc w:val="right"/>
              <w:spacing w:after="0"/>
              <w:rPr>
                <w:sz w:val="20"/>
                <w:szCs w:val="20"/>
                <w:color w:val="auto"/>
              </w:rPr>
            </w:pPr>
            <w:r>
              <w:rPr>
                <w:rFonts w:ascii="Arial" w:cs="Arial" w:eastAsia="Arial" w:hAnsi="Arial"/>
                <w:sz w:val="18"/>
                <w:szCs w:val="18"/>
                <w:color w:val="32406B"/>
              </w:rPr>
              <w:t>210,000,000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Merrill Lynch, Pierce, Fenner &amp; Smith</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740" w:type="dxa"/>
            <w:vAlign w:val="bottom"/>
            <w:shd w:val="clear" w:color="auto" w:fill="CCEEFF"/>
          </w:tcPr>
          <w:p>
            <w:pPr>
              <w:ind w:left="740"/>
              <w:spacing w:after="0"/>
              <w:rPr>
                <w:sz w:val="20"/>
                <w:szCs w:val="20"/>
                <w:color w:val="auto"/>
              </w:rPr>
            </w:pPr>
            <w:r>
              <w:rPr>
                <w:rFonts w:ascii="Arial" w:cs="Arial" w:eastAsia="Arial" w:hAnsi="Arial"/>
                <w:sz w:val="18"/>
                <w:szCs w:val="18"/>
                <w:color w:val="32406B"/>
              </w:rPr>
              <w:t>Incorporated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142,000,000</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71,000,000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142,000,000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142,000,000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32406B"/>
              </w:rPr>
              <w:t>Citigroup Global Markets Inc.</w:t>
            </w:r>
          </w:p>
        </w:tc>
        <w:tc>
          <w:tcPr>
            <w:tcW w:w="16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56,000,000</w:t>
            </w: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32406B"/>
              </w:rPr>
              <w:t>28,000,000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56,000,000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tcPr>
          <w:p>
            <w:pPr>
              <w:jc w:val="right"/>
              <w:spacing w:after="0"/>
              <w:rPr>
                <w:sz w:val="20"/>
                <w:szCs w:val="20"/>
                <w:color w:val="auto"/>
              </w:rPr>
            </w:pPr>
            <w:r>
              <w:rPr>
                <w:rFonts w:ascii="Arial" w:cs="Arial" w:eastAsia="Arial" w:hAnsi="Arial"/>
                <w:sz w:val="18"/>
                <w:szCs w:val="18"/>
                <w:color w:val="32406B"/>
              </w:rPr>
              <w:t>56,000,000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BNP Paribas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55,000,000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110,000,000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32406B"/>
              </w:rPr>
              <w:t>Mitsubishi UFJ Securities (USA), Inc.</w:t>
            </w:r>
          </w:p>
        </w:tc>
        <w:tc>
          <w:tcPr>
            <w:tcW w:w="16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32406B"/>
              </w:rPr>
              <w:t>110,000,000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32406B"/>
              </w:rPr>
              <w:t>55,000,000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110,000,000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tcPr>
          <w:p>
            <w:pPr>
              <w:jc w:val="right"/>
              <w:spacing w:after="0"/>
              <w:rPr>
                <w:sz w:val="20"/>
                <w:szCs w:val="20"/>
                <w:color w:val="auto"/>
              </w:rPr>
            </w:pPr>
            <w:r>
              <w:rPr>
                <w:rFonts w:ascii="Arial" w:cs="Arial" w:eastAsia="Arial" w:hAnsi="Arial"/>
                <w:sz w:val="18"/>
                <w:szCs w:val="18"/>
                <w:color w:val="32406B"/>
              </w:rPr>
              <w:t>110,000,000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Mizuho Securities USA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55,000,000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110,000,000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32406B"/>
              </w:rPr>
              <w:t>Barclays Capital Inc.</w:t>
            </w:r>
          </w:p>
        </w:tc>
        <w:tc>
          <w:tcPr>
            <w:tcW w:w="16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26,000,000</w:t>
            </w: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32406B"/>
              </w:rPr>
              <w:t>13,000,000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26,000,000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tcPr>
          <w:p>
            <w:pPr>
              <w:jc w:val="right"/>
              <w:spacing w:after="0"/>
              <w:rPr>
                <w:sz w:val="20"/>
                <w:szCs w:val="20"/>
                <w:color w:val="auto"/>
              </w:rPr>
            </w:pPr>
            <w:r>
              <w:rPr>
                <w:rFonts w:ascii="Arial" w:cs="Arial" w:eastAsia="Arial" w:hAnsi="Arial"/>
                <w:sz w:val="18"/>
                <w:szCs w:val="18"/>
                <w:color w:val="32406B"/>
              </w:rPr>
              <w:t>26,000,000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The Williams Capital Group, L.P.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26,000,000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13,000,000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26,000,000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40" w:type="dxa"/>
            <w:vAlign w:val="bottom"/>
            <w:vMerge w:val="restart"/>
          </w:tcPr>
          <w:p>
            <w:pPr>
              <w:ind w:left="60"/>
              <w:spacing w:after="0"/>
              <w:rPr>
                <w:sz w:val="20"/>
                <w:szCs w:val="20"/>
                <w:color w:val="auto"/>
              </w:rPr>
            </w:pPr>
            <w:r>
              <w:rPr>
                <w:rFonts w:ascii="Arial" w:cs="Arial" w:eastAsia="Arial" w:hAnsi="Arial"/>
                <w:sz w:val="18"/>
                <w:szCs w:val="18"/>
                <w:color w:val="32406B"/>
              </w:rPr>
              <w:t>Total</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32406B"/>
                <w:w w:val="92"/>
              </w:rPr>
              <w:t>1,000,000,000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32406B"/>
                <w:w w:val="91"/>
              </w:rPr>
              <w:t>500,000,000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080" w:type="dxa"/>
            <w:vAlign w:val="bottom"/>
          </w:tcPr>
          <w:p>
            <w:pPr>
              <w:jc w:val="right"/>
              <w:spacing w:after="0"/>
              <w:rPr>
                <w:sz w:val="20"/>
                <w:szCs w:val="20"/>
                <w:color w:val="auto"/>
              </w:rPr>
            </w:pPr>
            <w:r>
              <w:rPr>
                <w:rFonts w:ascii="Arial" w:cs="Arial" w:eastAsia="Arial" w:hAnsi="Arial"/>
                <w:sz w:val="18"/>
                <w:szCs w:val="18"/>
                <w:color w:val="32406B"/>
                <w:w w:val="92"/>
              </w:rPr>
              <w:t>1,000,000,000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1100" w:type="dxa"/>
            <w:vAlign w:val="bottom"/>
          </w:tcPr>
          <w:p>
            <w:pPr>
              <w:jc w:val="right"/>
              <w:spacing w:after="0"/>
              <w:rPr>
                <w:sz w:val="20"/>
                <w:szCs w:val="20"/>
                <w:color w:val="auto"/>
              </w:rPr>
            </w:pPr>
            <w:r>
              <w:rPr>
                <w:rFonts w:ascii="Arial" w:cs="Arial" w:eastAsia="Arial" w:hAnsi="Arial"/>
                <w:sz w:val="18"/>
                <w:szCs w:val="18"/>
                <w:color w:val="32406B"/>
                <w:w w:val="93"/>
              </w:rPr>
              <w:t>1,000,000,000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32406B"/>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99"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32406B"/>
        </w:rPr>
        <w:t>The underwriters propose to offer each series of the Notes directly to the public at the public offering prices set forth on the cover page of this prospectus supplement and some of each series of the Notes to dealers at the public offering price less a concession not to exceed 0.10% of the principal amount of the 2013 Floating Rate Notes and the 2013 Notes, 0.15% of the principal amount of the 2014 Notes and 0.20% of the principal amount of the 2016 Notes. The underwriters may allow, and any such dealer may reallow, a concession not to exceed 0.05% of the principal amount of the 2013 Floating Rate Notes and the 2013</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32406B"/>
        </w:rPr>
        <w:t>Notes, 0.075% of the principal amount of the 2014 Notes and 0.10% of the principal amount of the 2016 Notes. After the initial offering of the Notes to the public, the representatives may change the public offering price and other selling terms.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32406B"/>
        </w:rPr>
        <w:t>The following table shows the underwriting discounts and commissions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5"/>
              </w:rPr>
              <w:t>Paid by Texas</w:t>
            </w:r>
          </w:p>
        </w:tc>
      </w:tr>
      <w:tr>
        <w:trPr>
          <w:trHeight w:val="149"/>
        </w:trPr>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9"/>
              </w:rPr>
              <w:t>Instruments</w:t>
            </w:r>
          </w:p>
        </w:tc>
      </w:tr>
      <w:tr>
        <w:trPr>
          <w:trHeight w:val="161"/>
        </w:trPr>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8"/>
              </w:rPr>
              <w:t>Incorporated</w:t>
            </w:r>
          </w:p>
        </w:tc>
        <w:tc>
          <w:tcPr>
            <w:tcW w:w="200" w:type="dxa"/>
            <w:vAlign w:val="bottom"/>
          </w:tcPr>
          <w:p>
            <w:pPr>
              <w:spacing w:after="0"/>
              <w:rPr>
                <w:sz w:val="14"/>
                <w:szCs w:val="14"/>
                <w:color w:val="auto"/>
              </w:rPr>
            </w:pP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8"/>
                <w:szCs w:val="18"/>
                <w:color w:val="32406B"/>
                <w:w w:val="87"/>
              </w:rPr>
              <w:t>Per 2013</w:t>
            </w: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Floating Rate Note</w:t>
            </w:r>
          </w:p>
        </w:tc>
        <w:tc>
          <w:tcPr>
            <w:tcW w:w="7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0.15%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32406B"/>
                <w:w w:val="87"/>
              </w:rPr>
              <w:t>Per 2013</w:t>
            </w:r>
          </w:p>
        </w:tc>
        <w:tc>
          <w:tcPr>
            <w:tcW w:w="3120" w:type="dxa"/>
            <w:vAlign w:val="bottom"/>
          </w:tcPr>
          <w:p>
            <w:pPr>
              <w:ind w:left="20"/>
              <w:spacing w:after="0"/>
              <w:rPr>
                <w:sz w:val="20"/>
                <w:szCs w:val="20"/>
                <w:color w:val="auto"/>
              </w:rPr>
            </w:pPr>
            <w:r>
              <w:rPr>
                <w:rFonts w:ascii="Arial" w:cs="Arial" w:eastAsia="Arial" w:hAnsi="Arial"/>
                <w:sz w:val="18"/>
                <w:szCs w:val="18"/>
                <w:color w:val="32406B"/>
              </w:rPr>
              <w:t>Note</w:t>
            </w:r>
          </w:p>
        </w:tc>
        <w:tc>
          <w:tcPr>
            <w:tcW w:w="7640" w:type="dxa"/>
            <w:vAlign w:val="bottom"/>
            <w:gridSpan w:val="3"/>
          </w:tcPr>
          <w:p>
            <w:pPr>
              <w:jc w:val="right"/>
              <w:ind w:right="60"/>
              <w:spacing w:after="0"/>
              <w:rPr>
                <w:sz w:val="20"/>
                <w:szCs w:val="20"/>
                <w:color w:val="auto"/>
              </w:rPr>
            </w:pPr>
            <w:r>
              <w:rPr>
                <w:rFonts w:ascii="Arial" w:cs="Arial" w:eastAsia="Arial" w:hAnsi="Arial"/>
                <w:sz w:val="18"/>
                <w:szCs w:val="18"/>
                <w:color w:val="32406B"/>
              </w:rPr>
              <w:t>0.15%</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32406B"/>
                <w:w w:val="87"/>
              </w:rPr>
              <w:t>Per 2014</w:t>
            </w: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Note</w:t>
            </w:r>
          </w:p>
        </w:tc>
        <w:tc>
          <w:tcPr>
            <w:tcW w:w="7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0.25%</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32406B"/>
                <w:w w:val="87"/>
              </w:rPr>
              <w:t>Per 2016</w:t>
            </w:r>
          </w:p>
        </w:tc>
        <w:tc>
          <w:tcPr>
            <w:tcW w:w="3120" w:type="dxa"/>
            <w:vAlign w:val="bottom"/>
          </w:tcPr>
          <w:p>
            <w:pPr>
              <w:ind w:left="20"/>
              <w:spacing w:after="0"/>
              <w:rPr>
                <w:sz w:val="20"/>
                <w:szCs w:val="20"/>
                <w:color w:val="auto"/>
              </w:rPr>
            </w:pPr>
            <w:r>
              <w:rPr>
                <w:rFonts w:ascii="Arial" w:cs="Arial" w:eastAsia="Arial" w:hAnsi="Arial"/>
                <w:sz w:val="18"/>
                <w:szCs w:val="18"/>
                <w:color w:val="32406B"/>
              </w:rPr>
              <w:t>Note</w:t>
            </w:r>
          </w:p>
        </w:tc>
        <w:tc>
          <w:tcPr>
            <w:tcW w:w="7640" w:type="dxa"/>
            <w:vAlign w:val="bottom"/>
            <w:gridSpan w:val="3"/>
          </w:tcPr>
          <w:p>
            <w:pPr>
              <w:jc w:val="right"/>
              <w:ind w:right="60"/>
              <w:spacing w:after="0"/>
              <w:rPr>
                <w:sz w:val="20"/>
                <w:szCs w:val="20"/>
                <w:color w:val="auto"/>
              </w:rPr>
            </w:pPr>
            <w:r>
              <w:rPr>
                <w:rFonts w:ascii="Arial" w:cs="Arial" w:eastAsia="Arial" w:hAnsi="Arial"/>
                <w:sz w:val="18"/>
                <w:szCs w:val="18"/>
                <w:color w:val="32406B"/>
              </w:rPr>
              <w:t>0.35%</w:t>
            </w:r>
          </w:p>
        </w:tc>
      </w:tr>
      <w:tr>
        <w:trPr>
          <w:trHeight w:val="356"/>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640" w:type="dxa"/>
            <w:vAlign w:val="bottom"/>
            <w:gridSpan w:val="3"/>
          </w:tcPr>
          <w:p>
            <w:pPr>
              <w:jc w:val="right"/>
              <w:ind w:right="5540"/>
              <w:spacing w:after="0"/>
              <w:rPr>
                <w:sz w:val="20"/>
                <w:szCs w:val="20"/>
                <w:color w:val="auto"/>
              </w:rPr>
            </w:pPr>
            <w:r>
              <w:rPr>
                <w:rFonts w:ascii="Arial" w:cs="Arial" w:eastAsia="Arial" w:hAnsi="Arial"/>
                <w:sz w:val="18"/>
                <w:szCs w:val="18"/>
                <w:color w:val="32406B"/>
              </w:rPr>
              <w:t>S-35</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We estimate that our total expenses for this offering, other than underwriting discounts and commissions, will be approximately $4.5 million.</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32406B"/>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32406B"/>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We intend to use the net proceeds of this offering in lieu of borrowings under our $2.5 billion Bridge Loan Agreement dated as of May 6, 2011 among Texas Instruments Incorporated, any designated subsidiary borrowers, the lenders party thereto, Morgan Stanley Senior Funding, Inc., as administrative agent, sole lead arranger and sole bookrunner, and Bank of America, N.A. and JPMorgan Chase Bank, N.A., as co-syndication agents (the “Bridge Facility”). In addition, net proceeds of this offering may reduce or eliminate our need to borrow under our Revolving Credit Facility. Certain of the underwriters and their affiliates perform various financial advisory, investment banking and commercial banking services from time to time for us and our affiliates. Morgan Stanley Senior Funding, Inc., an affiliate of Morgan Stanley &amp; Co. Incorporated, is acting as administrative agent, sole lead arranger and sole bookrunner under the Bridge Facility and the Revolving Credit Facility, and will receive payment of certain fees in those capacities, including a fee of approximately $125,000 following completion of this offering. Morgan Stanley &amp; Co. Incorporated is also acting as our financial advisor in connection with the National merger. JPMorgan Chase Bank, N.A., an affiliate of J.P. Morgan Securities LLC, and Bank of America, N.A., an affiliate of Merrill Lynch, Pierce, Fenner &amp; Smith Incorporated, are acting as co-syndication agents and lenders under the Bridge Facility and Revolving Credit Facility. Citibank, N.A., an affiliate of Citigroup Global Markets Inc., BNP Paribas, an affiliate of BNP Paribas Securities Corp., the Bank of Tokyo-Mitsubishi UFJ, Ltd., an affiliate of Mitsubishi UFJ Securities (USA), Inc., Mizuho Corporate Bank, Ltd., an affiliate of Mizuho Securities USA Inc., and Barclays Bank PLC, an affiliate of Barclays Capital Inc., are acting as lenders under the Bridge Facility and Revolving Credit Facility. The Bridge Facility will be terminated upon the closing of the offering of Notes contemplated hereby.</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In connection with the issuance of the Notes, we may enter into interest rate swap agreements with financial institutions, which may include one or more of the underwriters or their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New Issue of Notes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32406B"/>
        </w:rPr>
        <w:t>There are currently no public trading markets for the Notes. We have not applied and do not intend to apply to list the Notes on any securities exchange. The underwriters have advised us that they intend to make a market in each series of the Notes. However, they are not obligated to do so and may discontinue any market-making in the Notes at any time in their sole discretion. Therefore, we cannot assure you that liquid trading markets for the Notes will develop, that you will be able to sell your Notes at a particular time or that the price you receive when you sell will be favorable.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Sales Outside the United States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The Notes may be offered and sold in the United States and certain jurisdictions outside the United States in which such offer and sale is permitted.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European Economic Area</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32406B"/>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32406B"/>
        </w:rPr>
        <w:t>“Relevant Implementation Date”) it has not made and will not make an offer of the Notes to the public in that Relevant Member State other than:</w:t>
      </w:r>
    </w:p>
    <w:p>
      <w:pPr>
        <w:spacing w:after="0" w:line="7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to any legal entity that is a qualified investor as defined in the Prospectus Directive;</w:t>
      </w:r>
    </w:p>
    <w:p>
      <w:pPr>
        <w:spacing w:after="0" w:line="76" w:lineRule="exact"/>
        <w:rPr>
          <w:rFonts w:ascii="Arial" w:cs="Arial" w:eastAsia="Arial" w:hAnsi="Arial"/>
          <w:sz w:val="18"/>
          <w:szCs w:val="18"/>
          <w:color w:val="32406B"/>
        </w:rPr>
      </w:pPr>
    </w:p>
    <w:p>
      <w:pPr>
        <w:ind w:left="900" w:right="80" w:hanging="446"/>
        <w:spacing w:after="0" w:line="259" w:lineRule="auto"/>
        <w:tabs>
          <w:tab w:leader="none" w:pos="90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45" w:lineRule="exact"/>
        <w:rPr>
          <w:rFonts w:ascii="Arial" w:cs="Arial" w:eastAsia="Arial" w:hAnsi="Arial"/>
          <w:sz w:val="18"/>
          <w:szCs w:val="18"/>
          <w:color w:val="32406B"/>
        </w:rPr>
      </w:pPr>
    </w:p>
    <w:p>
      <w:pPr>
        <w:ind w:left="900" w:hanging="446"/>
        <w:spacing w:after="0"/>
        <w:tabs>
          <w:tab w:leader="none" w:pos="90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in any other circumstances falling within Article (3)(2) of the Prospectus Directive;</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32406B"/>
        </w:rPr>
        <w:t>provided that no such offer of Notes shall require us or any underwriter to publish a prospectus pursuant to Article 3 of the Prospectus Directive. For purposes of the foregoing, the expression an “offer of notes to the public” in relation to the Notes in any Relevant Member State means the communication in any form and by means of sufficient information on the terms of the offer and the Notes to be offered so as to enable an investor to decide to purchase or subscribe for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the Relevant Member State; and “2010 PD Amending Directive” means Directive 2010/73/EU.</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United Kingdom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Each underwriter has represented and agreed that:</w:t>
      </w:r>
    </w:p>
    <w:p>
      <w:pPr>
        <w:spacing w:after="0" w:line="77" w:lineRule="exact"/>
        <w:rPr>
          <w:sz w:val="20"/>
          <w:szCs w:val="20"/>
          <w:color w:val="auto"/>
        </w:rPr>
      </w:pPr>
    </w:p>
    <w:p>
      <w:pPr>
        <w:ind w:left="1360" w:right="40" w:hanging="555"/>
        <w:spacing w:after="0" w:line="306" w:lineRule="auto"/>
        <w:tabs>
          <w:tab w:leader="none" w:pos="1360" w:val="left"/>
        </w:tabs>
        <w:numPr>
          <w:ilvl w:val="0"/>
          <w:numId w:val="27"/>
        </w:numPr>
        <w:rPr>
          <w:rFonts w:ascii="Arial" w:cs="Arial" w:eastAsia="Arial" w:hAnsi="Arial"/>
          <w:sz w:val="16"/>
          <w:szCs w:val="16"/>
          <w:color w:val="32406B"/>
        </w:rPr>
      </w:pPr>
      <w:r>
        <w:rPr>
          <w:rFonts w:ascii="Arial" w:cs="Arial" w:eastAsia="Arial" w:hAnsi="Arial"/>
          <w:sz w:val="16"/>
          <w:szCs w:val="16"/>
          <w:color w:val="32406B"/>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Notes in circumstances in which Section 21(1) of the FSMA does not apply to us; and</w:t>
      </w:r>
    </w:p>
    <w:p>
      <w:pPr>
        <w:spacing w:after="0" w:line="12" w:lineRule="exact"/>
        <w:rPr>
          <w:rFonts w:ascii="Arial" w:cs="Arial" w:eastAsia="Arial" w:hAnsi="Arial"/>
          <w:sz w:val="16"/>
          <w:szCs w:val="16"/>
          <w:color w:val="32406B"/>
        </w:rPr>
      </w:pPr>
    </w:p>
    <w:p>
      <w:pPr>
        <w:ind w:left="1360" w:right="360" w:hanging="555"/>
        <w:spacing w:after="0" w:line="268" w:lineRule="auto"/>
        <w:tabs>
          <w:tab w:leader="none" w:pos="136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it has complied and will comply with all applicable provisions of the FSMA with respect to anything done by it in relation to the Notes in, from or otherwise involving the United Kingdom.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Hong Kong</w:t>
      </w:r>
    </w:p>
    <w:p>
      <w:pPr>
        <w:spacing w:after="0" w:line="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32406B"/>
        </w:rPr>
        <w:t>Each underwriter has represented and agreed that the Notes have not been offered or sold, and will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Japan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32406B"/>
        </w:rPr>
        <w:t>The Notes have not been and will not be registered under the Financial Instrument and Exchange Law of Japan (the “Financial Instrument and Exchange Law”) and each underwriter has represented and agreed that 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S-37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32406B"/>
        </w:rPr>
        <w:t>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 and Exchange Law and any other applicable laws, regulations and ministerial guidelines of Japan.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Singapore</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32406B"/>
        </w:rPr>
        <w:t>Each underwriter has represented and agreed that this prospectus supplement and the accompanying prospectus has not been registered as a prospectus with the Monetary Authority of Singapore, and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32406B"/>
        </w:rPr>
        <w:t>Section 275(1A) of the SFA, and in accordance with the conditions, specified in Section 275 of the SFA or (iii) otherwise pursuant to, and in accordance with the conditions of, any other applicable provision of the SFA.</w:t>
      </w:r>
    </w:p>
    <w:p>
      <w:pPr>
        <w:spacing w:after="0" w:line="12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32406B"/>
        </w:rPr>
        <w:t>Where the Notes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of the SFA except: (1) to an institutional investor under Section 274 of the SFA or to a relevant person, or any person pursuant to Section 275(1A) of the SFA, and in accordance with the conditions, specified in Section 275 of the SFA; (2) where no consideration is given for the transfer; or (3) by operation of law.</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Other Jurisdictions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32406B"/>
        </w:rPr>
        <w:t>Each underwriter has represented and agreed that it has not offered, sold or delivered and will not offer, sell or deliver any of the Notes directly or indirectly or distribute this prospectus supplement and the accompanying prospectus or any other offering material relating to the Notes in or from any jurisdiction except under circumstances that will result in compliance with the applicable laws and regulations thereof and that will not impose any obligations on us except as set forth in the underwriting agreement and the pricing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Price Stabilization and Short Positions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In connection with the offering, the underwriters may purchase and sell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6"/>
          <w:szCs w:val="16"/>
          <w:color w:val="32406B"/>
        </w:rPr>
      </w:pPr>
      <w:r>
        <w:rPr>
          <w:rFonts w:ascii="Arial" w:cs="Arial" w:eastAsia="Arial" w:hAnsi="Arial"/>
          <w:sz w:val="16"/>
          <w:szCs w:val="16"/>
          <w:color w:val="32406B"/>
        </w:rPr>
        <w:t>Short sales involve secondary market sales by the underwriters of a greater number of Notes than they are required to purchase in the offering.</w:t>
      </w:r>
    </w:p>
    <w:p>
      <w:pPr>
        <w:spacing w:after="0" w:line="126" w:lineRule="exact"/>
        <w:rPr>
          <w:rFonts w:ascii="Arial" w:cs="Arial" w:eastAsia="Arial" w:hAnsi="Arial"/>
          <w:sz w:val="16"/>
          <w:szCs w:val="16"/>
          <w:color w:val="32406B"/>
        </w:rPr>
      </w:pPr>
    </w:p>
    <w:p>
      <w:pPr>
        <w:ind w:left="900" w:hanging="446"/>
        <w:spacing w:after="0"/>
        <w:tabs>
          <w:tab w:leader="none" w:pos="900" w:val="left"/>
        </w:tabs>
        <w:numPr>
          <w:ilvl w:val="0"/>
          <w:numId w:val="28"/>
        </w:numPr>
        <w:rPr>
          <w:rFonts w:ascii="Arial" w:cs="Arial" w:eastAsia="Arial" w:hAnsi="Arial"/>
          <w:sz w:val="16"/>
          <w:szCs w:val="16"/>
          <w:color w:val="32406B"/>
        </w:rPr>
      </w:pPr>
      <w:r>
        <w:rPr>
          <w:rFonts w:ascii="Arial" w:cs="Arial" w:eastAsia="Arial" w:hAnsi="Arial"/>
          <w:sz w:val="16"/>
          <w:szCs w:val="16"/>
          <w:color w:val="32406B"/>
        </w:rPr>
        <w:t>Covering transactions involve purchases of Notes in the open market after the distribution has been completed in order to cover short positions.</w:t>
      </w:r>
    </w:p>
    <w:p>
      <w:pPr>
        <w:spacing w:after="0" w:line="126" w:lineRule="exact"/>
        <w:rPr>
          <w:rFonts w:ascii="Arial" w:cs="Arial" w:eastAsia="Arial" w:hAnsi="Arial"/>
          <w:sz w:val="16"/>
          <w:szCs w:val="16"/>
          <w:color w:val="32406B"/>
        </w:rPr>
      </w:pPr>
    </w:p>
    <w:p>
      <w:pPr>
        <w:ind w:left="900" w:hanging="446"/>
        <w:spacing w:after="0"/>
        <w:tabs>
          <w:tab w:leader="none" w:pos="90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Stabilizing transactions involve bids to purchase Notes so long as the stabilizing bids do not exceed a specified maximum.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32406B"/>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S-39</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VALIDITY OF SECURITIES</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32406B"/>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EXPERTS</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32406B"/>
        </w:rPr>
        <w:t>Ernst &amp; Young LLP, independent registered public accounting firm, has audited our consolidated financial statements incorporated by reference herein for the year ended December 31, 2010, as set forth in their report, which is incorporated by reference in this prospectus supplement and the accompanying prospectus.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32406B"/>
        </w:rPr>
        <w:t>The consolidated financial statements and related financial statement schedule of National Semiconductor Corporation and subsidiaries as of May 30, 2010 and May 31, 2009, and for each of the years in the three-year period ended May 30, 2010, have been incorporated by reference herein in reliance upon the report of KPMG LLP, an independent registered public accounting firm, incorporated by reference herein, and upon the authority of said firm as experts in accounting and auditing.</w:t>
      </w:r>
    </w:p>
    <w:p>
      <w:pPr>
        <w:spacing w:after="0" w:line="13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32406B"/>
        </w:rPr>
        <w:t>The audit report on the consolidated financial statements of National Semiconductor Corporation and subsidiaries refers to changes in the National’s method of accounting for the valuation of financial assets and liabilities and the measurement date of its defined benefit pension plans at the beginning of fiscal year 2009, and its method of accounting for uncertain tax positions at the beginning of fiscal 2008 resulting from the adoption of new accounting pronouncements.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WHERE YOU CAN FIND MORE INFORMATION</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32406B"/>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32406B"/>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48"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32406B"/>
        </w:rPr>
      </w:pPr>
      <w:r>
        <w:rPr>
          <w:rFonts w:ascii="Arial" w:cs="Arial" w:eastAsia="Arial" w:hAnsi="Arial"/>
          <w:sz w:val="16"/>
          <w:szCs w:val="16"/>
          <w:color w:val="32406B"/>
        </w:rPr>
        <w:t>Current Reports on Form 8-K filed on February 18, 2011, March 14, 2011, April 4, 2011, April 5, 2011, April 27, 2011, and May 16, 2011,</w:t>
      </w:r>
    </w:p>
    <w:p>
      <w:pPr>
        <w:spacing w:after="0" w:line="99" w:lineRule="exact"/>
        <w:rPr>
          <w:rFonts w:ascii="Arial" w:cs="Arial" w:eastAsia="Arial" w:hAnsi="Arial"/>
          <w:sz w:val="16"/>
          <w:szCs w:val="16"/>
          <w:color w:val="32406B"/>
        </w:rPr>
      </w:pPr>
    </w:p>
    <w:p>
      <w:pPr>
        <w:ind w:left="900" w:hanging="446"/>
        <w:spacing w:after="0"/>
        <w:tabs>
          <w:tab w:leader="none" w:pos="90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Quarterly Report on Form 10-Q for the three months ended March 31, 2011, filed on May 5, 2011, and</w:t>
      </w:r>
    </w:p>
    <w:p>
      <w:pPr>
        <w:spacing w:after="0" w:line="76" w:lineRule="exact"/>
        <w:rPr>
          <w:rFonts w:ascii="Arial" w:cs="Arial" w:eastAsia="Arial" w:hAnsi="Arial"/>
          <w:sz w:val="18"/>
          <w:szCs w:val="18"/>
          <w:color w:val="32406B"/>
        </w:rPr>
      </w:pPr>
    </w:p>
    <w:p>
      <w:pPr>
        <w:ind w:left="900" w:hanging="446"/>
        <w:spacing w:after="0"/>
        <w:tabs>
          <w:tab w:leader="none" w:pos="90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Annual Report on Form 10-K for the year ended December 31, 2010, filed on February 25, 2011.</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Any statement contained in a previously filed document incorporated by reference into this prospectus is deemed to be modified or superseded for purposes of this prospectus to the extent that a statement contained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S-40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32406B"/>
        </w:rPr>
        <w:t>this prospectus, or in a subsequently filed document also incorporated by reference herein, modifies or supersedes that statement.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32406B"/>
        </w:rPr>
        <w:t>You may request a copy of these filings at no cost, by writing or telephoning us at: 12500 TI Boulevard, P.O. Box 660199, Dallas, Texas 75266-0199,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32406B"/>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32406B"/>
        </w:rPr>
        <w:t>However, the information on our website is not a part of this prospectus or any prospectus supplement that we file.</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32406B"/>
        </w:rPr>
        <w:t>S-41</w:t>
      </w:r>
    </w:p>
    <w:p>
      <w:pPr>
        <w:sectPr>
          <w:pgSz w:w="11900" w:h="16838" w:orient="portrait"/>
          <w:cols w:equalWidth="0" w:num="1">
            <w:col w:w="10980"/>
          </w:cols>
          <w:pgMar w:left="240" w:top="459" w:right="6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118110</wp:posOffset>
            </wp:positionV>
            <wp:extent cx="2667000" cy="6261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32406B"/>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32406B"/>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540"/>
        <w:spacing w:after="0"/>
        <w:tabs>
          <w:tab w:leader="none" w:pos="760" w:val="left"/>
        </w:tabs>
        <w:rPr>
          <w:sz w:val="20"/>
          <w:szCs w:val="20"/>
          <w:color w:val="auto"/>
        </w:rPr>
      </w:pPr>
      <w:r>
        <w:rPr>
          <w:rFonts w:ascii="Arial" w:cs="Arial" w:eastAsia="Arial" w:hAnsi="Arial"/>
          <w:sz w:val="18"/>
          <w:szCs w:val="18"/>
          <w:color w:val="32406B"/>
        </w:rPr>
        <w:t>•</w:t>
      </w:r>
      <w:r>
        <w:rPr>
          <w:sz w:val="20"/>
          <w:szCs w:val="20"/>
          <w:color w:val="auto"/>
        </w:rPr>
        <w:tab/>
      </w:r>
      <w:r>
        <w:rPr>
          <w:rFonts w:ascii="Arial" w:cs="Arial" w:eastAsia="Arial" w:hAnsi="Arial"/>
          <w:sz w:val="16"/>
          <w:szCs w:val="16"/>
          <w:color w:val="32406B"/>
        </w:rPr>
        <w:t>Common stock</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4180"/>
        <w:spacing w:after="0"/>
        <w:tabs>
          <w:tab w:leader="none" w:pos="140" w:val="left"/>
        </w:tabs>
        <w:rPr>
          <w:sz w:val="20"/>
          <w:szCs w:val="20"/>
          <w:color w:val="auto"/>
        </w:rPr>
      </w:pPr>
      <w:r>
        <w:rPr>
          <w:rFonts w:ascii="Arial" w:cs="Arial" w:eastAsia="Arial" w:hAnsi="Arial"/>
          <w:sz w:val="18"/>
          <w:szCs w:val="18"/>
          <w:color w:val="32406B"/>
        </w:rPr>
        <w:t>•</w:t>
      </w:r>
      <w:r>
        <w:rPr>
          <w:sz w:val="20"/>
          <w:szCs w:val="20"/>
          <w:color w:val="auto"/>
        </w:rPr>
        <w:tab/>
      </w:r>
      <w:r>
        <w:rPr>
          <w:rFonts w:ascii="Arial" w:cs="Arial" w:eastAsia="Arial" w:hAnsi="Arial"/>
          <w:sz w:val="15"/>
          <w:szCs w:val="15"/>
          <w:color w:val="32406B"/>
        </w:rPr>
        <w:t>Warrants</w:t>
      </w:r>
    </w:p>
    <w:p>
      <w:pPr>
        <w:spacing w:after="0" w:line="117" w:lineRule="exact"/>
        <w:rPr>
          <w:sz w:val="20"/>
          <w:szCs w:val="20"/>
          <w:color w:val="auto"/>
        </w:rPr>
      </w:pPr>
    </w:p>
    <w:p>
      <w:pPr>
        <w:sectPr>
          <w:pgSz w:w="11900" w:h="16838" w:orient="portrait"/>
          <w:cols w:equalWidth="0" w:num="2">
            <w:col w:w="5640" w:space="720"/>
            <w:col w:w="5060"/>
          </w:cols>
          <w:pgMar w:left="240" w:top="459" w:right="239" w:bottom="1440" w:gutter="0" w:footer="0" w:header="0"/>
          <w:type w:val="continuous"/>
        </w:sectPr>
      </w:pPr>
    </w:p>
    <w:p>
      <w:pPr>
        <w:ind w:left="540"/>
        <w:spacing w:after="0"/>
        <w:tabs>
          <w:tab w:leader="none" w:pos="760" w:val="left"/>
        </w:tabs>
        <w:rPr>
          <w:sz w:val="20"/>
          <w:szCs w:val="20"/>
          <w:color w:val="auto"/>
        </w:rPr>
      </w:pPr>
      <w:r>
        <w:rPr>
          <w:rFonts w:ascii="Arial" w:cs="Arial" w:eastAsia="Arial" w:hAnsi="Arial"/>
          <w:sz w:val="18"/>
          <w:szCs w:val="18"/>
          <w:color w:val="32406B"/>
        </w:rPr>
        <w:t>•</w:t>
      </w:r>
      <w:r>
        <w:rPr>
          <w:sz w:val="20"/>
          <w:szCs w:val="20"/>
          <w:color w:val="auto"/>
        </w:rPr>
        <w:tab/>
      </w:r>
      <w:r>
        <w:rPr>
          <w:rFonts w:ascii="Arial" w:cs="Arial" w:eastAsia="Arial" w:hAnsi="Arial"/>
          <w:sz w:val="15"/>
          <w:szCs w:val="15"/>
          <w:color w:val="32406B"/>
        </w:rPr>
        <w:t>Preferred stock</w:t>
      </w:r>
    </w:p>
    <w:p>
      <w:pPr>
        <w:spacing w:after="0" w:line="20" w:lineRule="exact"/>
        <w:rPr>
          <w:sz w:val="20"/>
          <w:szCs w:val="20"/>
          <w:color w:val="auto"/>
        </w:rPr>
      </w:pPr>
      <w:r>
        <w:rPr>
          <w:sz w:val="20"/>
          <w:szCs w:val="20"/>
          <w:color w:val="auto"/>
        </w:rPr>
        <w:br w:type="column"/>
      </w:r>
    </w:p>
    <w:p>
      <w:pPr>
        <w:jc w:val="center"/>
        <w:ind w:right="4440"/>
        <w:spacing w:after="0"/>
        <w:tabs>
          <w:tab w:leader="none" w:pos="140" w:val="left"/>
        </w:tabs>
        <w:rPr>
          <w:sz w:val="20"/>
          <w:szCs w:val="20"/>
          <w:color w:val="auto"/>
        </w:rPr>
      </w:pPr>
      <w:r>
        <w:rPr>
          <w:rFonts w:ascii="Arial" w:cs="Arial" w:eastAsia="Arial" w:hAnsi="Arial"/>
          <w:sz w:val="18"/>
          <w:szCs w:val="18"/>
          <w:color w:val="32406B"/>
        </w:rPr>
        <w:t>•</w:t>
      </w:r>
      <w:r>
        <w:rPr>
          <w:sz w:val="20"/>
          <w:szCs w:val="20"/>
          <w:color w:val="auto"/>
        </w:rPr>
        <w:tab/>
      </w:r>
      <w:r>
        <w:rPr>
          <w:rFonts w:ascii="Arial" w:cs="Arial" w:eastAsia="Arial" w:hAnsi="Arial"/>
          <w:sz w:val="16"/>
          <w:szCs w:val="16"/>
          <w:color w:val="32406B"/>
        </w:rPr>
        <w:t>Units</w:t>
      </w:r>
    </w:p>
    <w:p>
      <w:pPr>
        <w:spacing w:after="0" w:line="117" w:lineRule="exact"/>
        <w:rPr>
          <w:sz w:val="20"/>
          <w:szCs w:val="20"/>
          <w:color w:val="auto"/>
        </w:rPr>
      </w:pPr>
    </w:p>
    <w:p>
      <w:pPr>
        <w:sectPr>
          <w:pgSz w:w="11900" w:h="16838" w:orient="portrait"/>
          <w:cols w:equalWidth="0" w:num="2">
            <w:col w:w="5640" w:space="720"/>
            <w:col w:w="5060"/>
          </w:cols>
          <w:pgMar w:left="240" w:top="459" w:right="239" w:bottom="1440" w:gutter="0" w:footer="0" w:header="0"/>
          <w:type w:val="continuous"/>
        </w:sectPr>
      </w:pPr>
    </w:p>
    <w:p>
      <w:pPr>
        <w:ind w:left="780" w:hanging="232"/>
        <w:spacing w:after="0"/>
        <w:tabs>
          <w:tab w:leader="none" w:pos="7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Debt securities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32406B"/>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60" w:type="dxa"/>
            <w:vAlign w:val="bottom"/>
          </w:tcPr>
          <w:p>
            <w:pPr>
              <w:spacing w:after="0"/>
              <w:rPr>
                <w:sz w:val="20"/>
                <w:szCs w:val="20"/>
                <w:color w:val="auto"/>
              </w:rPr>
            </w:pPr>
            <w:r>
              <w:rPr>
                <w:rFonts w:ascii="Arial" w:cs="Arial" w:eastAsia="Arial" w:hAnsi="Arial"/>
                <w:sz w:val="18"/>
                <w:szCs w:val="18"/>
                <w:color w:val="32406B"/>
              </w:rPr>
              <w:t>•</w:t>
            </w:r>
          </w:p>
        </w:tc>
        <w:tc>
          <w:tcPr>
            <w:tcW w:w="2480" w:type="dxa"/>
            <w:vAlign w:val="bottom"/>
          </w:tcPr>
          <w:p>
            <w:pPr>
              <w:ind w:left="80"/>
              <w:spacing w:after="0"/>
              <w:rPr>
                <w:sz w:val="20"/>
                <w:szCs w:val="20"/>
                <w:color w:val="auto"/>
              </w:rPr>
            </w:pPr>
            <w:r>
              <w:rPr>
                <w:rFonts w:ascii="Arial" w:cs="Arial" w:eastAsia="Arial" w:hAnsi="Arial"/>
                <w:sz w:val="18"/>
                <w:szCs w:val="18"/>
                <w:color w:val="32406B"/>
              </w:rPr>
              <w:t>Maturity</w:t>
            </w:r>
          </w:p>
        </w:tc>
        <w:tc>
          <w:tcPr>
            <w:tcW w:w="980" w:type="dxa"/>
            <w:vAlign w:val="bottom"/>
          </w:tcPr>
          <w:p>
            <w:pPr>
              <w:ind w:left="820"/>
              <w:spacing w:after="0"/>
              <w:rPr>
                <w:sz w:val="20"/>
                <w:szCs w:val="20"/>
                <w:color w:val="auto"/>
              </w:rPr>
            </w:pPr>
            <w:r>
              <w:rPr>
                <w:rFonts w:ascii="Arial" w:cs="Arial" w:eastAsia="Arial" w:hAnsi="Arial"/>
                <w:sz w:val="18"/>
                <w:szCs w:val="18"/>
                <w:color w:val="32406B"/>
              </w:rPr>
              <w:t>•</w:t>
            </w:r>
          </w:p>
        </w:tc>
        <w:tc>
          <w:tcPr>
            <w:tcW w:w="3140" w:type="dxa"/>
            <w:vAlign w:val="bottom"/>
          </w:tcPr>
          <w:p>
            <w:pPr>
              <w:ind w:left="80"/>
              <w:spacing w:after="0"/>
              <w:rPr>
                <w:sz w:val="20"/>
                <w:szCs w:val="20"/>
                <w:color w:val="auto"/>
              </w:rPr>
            </w:pPr>
            <w:r>
              <w:rPr>
                <w:rFonts w:ascii="Arial" w:cs="Arial" w:eastAsia="Arial" w:hAnsi="Arial"/>
                <w:sz w:val="18"/>
                <w:szCs w:val="18"/>
                <w:color w:val="32406B"/>
              </w:rPr>
              <w:t>Redemption terms</w:t>
            </w:r>
          </w:p>
        </w:tc>
        <w:tc>
          <w:tcPr>
            <w:tcW w:w="1060" w:type="dxa"/>
            <w:vAlign w:val="bottom"/>
          </w:tcPr>
          <w:p>
            <w:pPr>
              <w:ind w:left="900"/>
              <w:spacing w:after="0"/>
              <w:rPr>
                <w:sz w:val="20"/>
                <w:szCs w:val="20"/>
                <w:color w:val="auto"/>
              </w:rPr>
            </w:pPr>
            <w:r>
              <w:rPr>
                <w:rFonts w:ascii="Arial" w:cs="Arial" w:eastAsia="Arial" w:hAnsi="Arial"/>
                <w:sz w:val="18"/>
                <w:szCs w:val="18"/>
                <w:color w:val="32406B"/>
              </w:rPr>
              <w:t>•</w:t>
            </w:r>
          </w:p>
        </w:tc>
        <w:tc>
          <w:tcPr>
            <w:tcW w:w="1620" w:type="dxa"/>
            <w:vAlign w:val="bottom"/>
          </w:tcPr>
          <w:p>
            <w:pPr>
              <w:ind w:left="80"/>
              <w:spacing w:after="0"/>
              <w:rPr>
                <w:sz w:val="20"/>
                <w:szCs w:val="20"/>
                <w:color w:val="auto"/>
              </w:rPr>
            </w:pPr>
            <w:r>
              <w:rPr>
                <w:rFonts w:ascii="Arial" w:cs="Arial" w:eastAsia="Arial" w:hAnsi="Arial"/>
                <w:sz w:val="18"/>
                <w:szCs w:val="18"/>
                <w:color w:val="32406B"/>
                <w:w w:val="99"/>
              </w:rPr>
              <w:t>Liquidation amount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32406B"/>
              </w:rPr>
              <w:t>•</w:t>
            </w:r>
          </w:p>
        </w:tc>
        <w:tc>
          <w:tcPr>
            <w:tcW w:w="2480" w:type="dxa"/>
            <w:vAlign w:val="bottom"/>
          </w:tcPr>
          <w:p>
            <w:pPr>
              <w:ind w:left="80"/>
              <w:spacing w:after="0"/>
              <w:rPr>
                <w:sz w:val="20"/>
                <w:szCs w:val="20"/>
                <w:color w:val="auto"/>
              </w:rPr>
            </w:pPr>
            <w:r>
              <w:rPr>
                <w:rFonts w:ascii="Arial" w:cs="Arial" w:eastAsia="Arial" w:hAnsi="Arial"/>
                <w:sz w:val="18"/>
                <w:szCs w:val="18"/>
                <w:color w:val="32406B"/>
              </w:rPr>
              <w:t>Interest rate</w:t>
            </w:r>
          </w:p>
        </w:tc>
        <w:tc>
          <w:tcPr>
            <w:tcW w:w="4120" w:type="dxa"/>
            <w:vAlign w:val="bottom"/>
            <w:gridSpan w:val="2"/>
          </w:tcPr>
          <w:p>
            <w:pPr>
              <w:ind w:left="820"/>
              <w:spacing w:after="0"/>
              <w:rPr>
                <w:sz w:val="20"/>
                <w:szCs w:val="20"/>
                <w:color w:val="auto"/>
              </w:rPr>
            </w:pPr>
            <w:r>
              <w:rPr>
                <w:rFonts w:ascii="Arial" w:cs="Arial" w:eastAsia="Arial" w:hAnsi="Arial"/>
                <w:sz w:val="18"/>
                <w:szCs w:val="18"/>
                <w:color w:val="32406B"/>
              </w:rPr>
              <w:t>•  Listing on a security exchange</w:t>
            </w:r>
          </w:p>
        </w:tc>
        <w:tc>
          <w:tcPr>
            <w:tcW w:w="1060" w:type="dxa"/>
            <w:vAlign w:val="bottom"/>
          </w:tcPr>
          <w:p>
            <w:pPr>
              <w:ind w:left="900"/>
              <w:spacing w:after="0"/>
              <w:rPr>
                <w:sz w:val="20"/>
                <w:szCs w:val="20"/>
                <w:color w:val="auto"/>
              </w:rPr>
            </w:pPr>
            <w:r>
              <w:rPr>
                <w:rFonts w:ascii="Arial" w:cs="Arial" w:eastAsia="Arial" w:hAnsi="Arial"/>
                <w:sz w:val="18"/>
                <w:szCs w:val="18"/>
                <w:color w:val="32406B"/>
              </w:rPr>
              <w:t>•</w:t>
            </w:r>
          </w:p>
        </w:tc>
        <w:tc>
          <w:tcPr>
            <w:tcW w:w="1620" w:type="dxa"/>
            <w:vAlign w:val="bottom"/>
          </w:tcPr>
          <w:p>
            <w:pPr>
              <w:ind w:left="80"/>
              <w:spacing w:after="0"/>
              <w:rPr>
                <w:sz w:val="20"/>
                <w:szCs w:val="20"/>
                <w:color w:val="auto"/>
              </w:rPr>
            </w:pPr>
            <w:r>
              <w:rPr>
                <w:rFonts w:ascii="Arial" w:cs="Arial" w:eastAsia="Arial" w:hAnsi="Arial"/>
                <w:sz w:val="18"/>
                <w:szCs w:val="18"/>
                <w:color w:val="32406B"/>
                <w:w w:val="84"/>
              </w:rPr>
              <w:t>Subsidiary guarantees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32406B"/>
              </w:rPr>
              <w:t>•</w:t>
            </w:r>
          </w:p>
        </w:tc>
        <w:tc>
          <w:tcPr>
            <w:tcW w:w="2480" w:type="dxa"/>
            <w:vAlign w:val="bottom"/>
          </w:tcPr>
          <w:p>
            <w:pPr>
              <w:ind w:left="80"/>
              <w:spacing w:after="0"/>
              <w:rPr>
                <w:sz w:val="20"/>
                <w:szCs w:val="20"/>
                <w:color w:val="auto"/>
              </w:rPr>
            </w:pPr>
            <w:r>
              <w:rPr>
                <w:rFonts w:ascii="Arial" w:cs="Arial" w:eastAsia="Arial" w:hAnsi="Arial"/>
                <w:sz w:val="18"/>
                <w:szCs w:val="18"/>
                <w:color w:val="32406B"/>
              </w:rPr>
              <w:t>Currency of payments</w:t>
            </w:r>
          </w:p>
        </w:tc>
        <w:tc>
          <w:tcPr>
            <w:tcW w:w="4120" w:type="dxa"/>
            <w:vAlign w:val="bottom"/>
            <w:gridSpan w:val="2"/>
          </w:tcPr>
          <w:p>
            <w:pPr>
              <w:ind w:left="820"/>
              <w:spacing w:after="0"/>
              <w:rPr>
                <w:sz w:val="20"/>
                <w:szCs w:val="20"/>
                <w:color w:val="auto"/>
              </w:rPr>
            </w:pPr>
            <w:r>
              <w:rPr>
                <w:rFonts w:ascii="Arial" w:cs="Arial" w:eastAsia="Arial" w:hAnsi="Arial"/>
                <w:sz w:val="18"/>
                <w:szCs w:val="18"/>
                <w:color w:val="32406B"/>
              </w:rPr>
              <w:t>•  Amount payable at maturity</w:t>
            </w:r>
          </w:p>
        </w:tc>
        <w:tc>
          <w:tcPr>
            <w:tcW w:w="1060" w:type="dxa"/>
            <w:vAlign w:val="bottom"/>
          </w:tcPr>
          <w:p>
            <w:pPr>
              <w:ind w:left="900"/>
              <w:spacing w:after="0"/>
              <w:rPr>
                <w:sz w:val="20"/>
                <w:szCs w:val="20"/>
                <w:color w:val="auto"/>
              </w:rPr>
            </w:pPr>
            <w:r>
              <w:rPr>
                <w:rFonts w:ascii="Arial" w:cs="Arial" w:eastAsia="Arial" w:hAnsi="Arial"/>
                <w:sz w:val="18"/>
                <w:szCs w:val="18"/>
                <w:color w:val="32406B"/>
              </w:rPr>
              <w:t>•</w:t>
            </w:r>
          </w:p>
        </w:tc>
        <w:tc>
          <w:tcPr>
            <w:tcW w:w="1620" w:type="dxa"/>
            <w:vAlign w:val="bottom"/>
          </w:tcPr>
          <w:p>
            <w:pPr>
              <w:ind w:left="80"/>
              <w:spacing w:after="0"/>
              <w:rPr>
                <w:sz w:val="20"/>
                <w:szCs w:val="20"/>
                <w:color w:val="auto"/>
              </w:rPr>
            </w:pPr>
            <w:r>
              <w:rPr>
                <w:rFonts w:ascii="Arial" w:cs="Arial" w:eastAsia="Arial" w:hAnsi="Arial"/>
                <w:sz w:val="18"/>
                <w:szCs w:val="18"/>
                <w:color w:val="32406B"/>
              </w:rPr>
              <w:t>Sinking fund terms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32406B"/>
              </w:rPr>
              <w:t>•</w:t>
            </w:r>
          </w:p>
        </w:tc>
        <w:tc>
          <w:tcPr>
            <w:tcW w:w="2480" w:type="dxa"/>
            <w:vAlign w:val="bottom"/>
          </w:tcPr>
          <w:p>
            <w:pPr>
              <w:ind w:left="80"/>
              <w:spacing w:after="0"/>
              <w:rPr>
                <w:sz w:val="20"/>
                <w:szCs w:val="20"/>
                <w:color w:val="auto"/>
              </w:rPr>
            </w:pPr>
            <w:r>
              <w:rPr>
                <w:rFonts w:ascii="Arial" w:cs="Arial" w:eastAsia="Arial" w:hAnsi="Arial"/>
                <w:sz w:val="18"/>
                <w:szCs w:val="18"/>
                <w:color w:val="32406B"/>
              </w:rPr>
              <w:t>Dividends</w:t>
            </w:r>
          </w:p>
        </w:tc>
        <w:tc>
          <w:tcPr>
            <w:tcW w:w="980" w:type="dxa"/>
            <w:vAlign w:val="bottom"/>
          </w:tcPr>
          <w:p>
            <w:pPr>
              <w:ind w:left="820"/>
              <w:spacing w:after="0"/>
              <w:rPr>
                <w:sz w:val="20"/>
                <w:szCs w:val="20"/>
                <w:color w:val="auto"/>
              </w:rPr>
            </w:pPr>
            <w:r>
              <w:rPr>
                <w:rFonts w:ascii="Arial" w:cs="Arial" w:eastAsia="Arial" w:hAnsi="Arial"/>
                <w:sz w:val="18"/>
                <w:szCs w:val="18"/>
                <w:color w:val="32406B"/>
              </w:rPr>
              <w:t>•</w:t>
            </w:r>
          </w:p>
        </w:tc>
        <w:tc>
          <w:tcPr>
            <w:tcW w:w="3140" w:type="dxa"/>
            <w:vAlign w:val="bottom"/>
          </w:tcPr>
          <w:p>
            <w:pPr>
              <w:ind w:left="80"/>
              <w:spacing w:after="0"/>
              <w:rPr>
                <w:sz w:val="20"/>
                <w:szCs w:val="20"/>
                <w:color w:val="auto"/>
              </w:rPr>
            </w:pPr>
            <w:r>
              <w:rPr>
                <w:rFonts w:ascii="Arial" w:cs="Arial" w:eastAsia="Arial" w:hAnsi="Arial"/>
                <w:sz w:val="18"/>
                <w:szCs w:val="18"/>
                <w:color w:val="32406B"/>
              </w:rPr>
              <w:t>Conversion or exchange rights</w:t>
            </w: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32406B"/>
        </w:rPr>
        <w:t>Our Common Stock is quoted on the New York Stock Exchange under the ticker symbol TXN. On February 23, 2010, the reported last sale price on the New York Stock Exchange for our Common Stock was $24.30.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520" w:firstLine="456"/>
        <w:spacing w:after="0" w:line="335" w:lineRule="auto"/>
        <w:rPr>
          <w:sz w:val="20"/>
          <w:szCs w:val="20"/>
          <w:color w:val="auto"/>
        </w:rPr>
      </w:pPr>
      <w:r>
        <w:rPr>
          <w:rFonts w:ascii="Arial" w:cs="Arial" w:eastAsia="Arial" w:hAnsi="Arial"/>
          <w:sz w:val="19"/>
          <w:szCs w:val="19"/>
          <w:b w:val="1"/>
          <w:bCs w:val="1"/>
          <w:color w:val="32406B"/>
        </w:rPr>
        <w:t>Investing in these securities involves certain risks. See “Item 1A–Risk Factors” beginning on page 8 of our annual report on Form 10-K for the year ended December 31, 2009,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32406B"/>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The date of this prospectus is February 24, 2010</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You should rely only on the information contained in or incorporated by reference in this prospectus, in any supplement hereto or in any related free-writing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32406B"/>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The Company</w:t>
              </w:r>
            </w:hyperlink>
          </w:p>
        </w:tc>
        <w:tc>
          <w:tcPr>
            <w:tcW w:w="6880" w:type="dxa"/>
            <w:vAlign w:val="bottom"/>
          </w:tcPr>
          <w:p>
            <w:pPr>
              <w:spacing w:after="0"/>
              <w:rPr>
                <w:sz w:val="24"/>
                <w:szCs w:val="24"/>
                <w:color w:val="auto"/>
              </w:rPr>
            </w:pPr>
          </w:p>
        </w:tc>
        <w:tc>
          <w:tcPr>
            <w:tcW w:w="280" w:type="dxa"/>
            <w:vAlign w:val="bottom"/>
            <w:tcBorders>
              <w:bottom w:val="single" w:sz="8" w:color="32406B"/>
            </w:tcBorders>
          </w:tcPr>
          <w:p>
            <w:pPr>
              <w:jc w:val="right"/>
              <w:spacing w:after="0"/>
              <w:rPr>
                <w:sz w:val="20"/>
                <w:szCs w:val="20"/>
                <w:color w:val="auto"/>
              </w:rPr>
            </w:pPr>
            <w:r>
              <w:rPr>
                <w:rFonts w:ascii="Arial" w:cs="Arial" w:eastAsia="Arial" w:hAnsi="Arial"/>
                <w:sz w:val="14"/>
                <w:szCs w:val="14"/>
                <w:b w:val="1"/>
                <w:bCs w:val="1"/>
                <w:color w:val="32406B"/>
                <w:w w:val="77"/>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8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32406B"/>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3</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8</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18</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32406B"/>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22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3322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The Company</w:t>
      </w:r>
    </w:p>
    <w:p>
      <w:pPr>
        <w:spacing w:after="0" w:line="177" w:lineRule="exact"/>
        <w:rPr>
          <w:sz w:val="20"/>
          <w:szCs w:val="20"/>
          <w:color w:val="auto"/>
        </w:rPr>
      </w:pPr>
    </w:p>
    <w:p>
      <w:pPr>
        <w:ind w:left="200" w:firstLine="443"/>
        <w:spacing w:after="0" w:line="318" w:lineRule="auto"/>
        <w:rPr>
          <w:sz w:val="20"/>
          <w:szCs w:val="20"/>
          <w:color w:val="auto"/>
        </w:rPr>
      </w:pPr>
      <w:r>
        <w:rPr>
          <w:rFonts w:ascii="Arial" w:cs="Arial" w:eastAsia="Arial" w:hAnsi="Arial"/>
          <w:sz w:val="15"/>
          <w:szCs w:val="15"/>
          <w:color w:val="32406B"/>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 We were the world’s fourth largest semiconductor company in 2009 as measured by revenue, according to preliminary estimates from an external source. Additionally, we sell calculators and related products.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32406B"/>
        </w:rPr>
        <w:t>Our principal executive offices are located at 12500 TI Boulevard, Dallas, Texas 75266-0199, and our telephone number is (972) 995-3773.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32406B"/>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32406B"/>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32406B"/>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2</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32406B"/>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32406B"/>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Current Report on Form 8-K filed on February 19, 2010 and</w:t>
      </w:r>
    </w:p>
    <w:p>
      <w:pPr>
        <w:spacing w:after="0" w:line="90" w:lineRule="exact"/>
        <w:rPr>
          <w:rFonts w:ascii="Arial" w:cs="Arial" w:eastAsia="Arial" w:hAnsi="Arial"/>
          <w:sz w:val="18"/>
          <w:szCs w:val="18"/>
          <w:color w:val="32406B"/>
        </w:rPr>
      </w:pPr>
    </w:p>
    <w:p>
      <w:pPr>
        <w:ind w:left="1480" w:hanging="567"/>
        <w:spacing w:after="0"/>
        <w:tabs>
          <w:tab w:leader="none" w:pos="14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Annual Report on Form 10-K for the year ended December 31, 2009, filed on February 23, 2010.</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32406B"/>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32406B"/>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32406B"/>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Forward-looking statements describe our business strategy, outlook, objectives, plans, intentions or goals. All such forward-looking statements are subject to certain risks and uncertainties that could cause actual results to differ materially from those in forward-looking statements. Such statements address future events and conditions concerning:</w:t>
      </w:r>
    </w:p>
    <w:p>
      <w:pPr>
        <w:spacing w:after="0" w:line="35"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capital expenditures,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earnings,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liquidity and capital resources,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litigation,</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accounting matters,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possible corporate restructurings, acquisitions and dispositions,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compliance with debt and other restrictive covenants,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interest rates and dividends, and</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the overall economy of our industry segments.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What happens in each case could vary materially from what we expect because of things such as:</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market demand for semiconductors, particularly in key markets such as communications, entertainment electronics and computing;</w:t>
      </w:r>
    </w:p>
    <w:p>
      <w:pPr>
        <w:spacing w:after="0" w:line="90" w:lineRule="exact"/>
        <w:rPr>
          <w:rFonts w:ascii="Arial" w:cs="Arial" w:eastAsia="Arial" w:hAnsi="Arial"/>
          <w:sz w:val="18"/>
          <w:szCs w:val="18"/>
          <w:color w:val="32406B"/>
        </w:rPr>
      </w:pPr>
    </w:p>
    <w:p>
      <w:pPr>
        <w:ind w:left="900" w:right="440" w:hanging="325"/>
        <w:spacing w:after="0" w:line="268" w:lineRule="auto"/>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TI’s ability to develop, manufacture and market innovative products in a rapidly changing technological environment;</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TI’s ability to compete in products and prices in an intensely competitive industry;</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32406B"/>
        </w:rPr>
      </w:pPr>
    </w:p>
    <w:p>
      <w:pPr>
        <w:ind w:left="900" w:right="760" w:hanging="325"/>
        <w:spacing w:after="0" w:line="332" w:lineRule="auto"/>
        <w:tabs>
          <w:tab w:leader="none" w:pos="900" w:val="left"/>
        </w:tabs>
        <w:numPr>
          <w:ilvl w:val="0"/>
          <w:numId w:val="34"/>
        </w:numPr>
        <w:rPr>
          <w:rFonts w:ascii="Arial" w:cs="Arial" w:eastAsia="Arial" w:hAnsi="Arial"/>
          <w:sz w:val="16"/>
          <w:szCs w:val="16"/>
          <w:color w:val="32406B"/>
        </w:rPr>
      </w:pPr>
      <w:r>
        <w:rPr>
          <w:rFonts w:ascii="Arial" w:cs="Arial" w:eastAsia="Arial" w:hAnsi="Arial"/>
          <w:sz w:val="16"/>
          <w:szCs w:val="16"/>
          <w:color w:val="32406B"/>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4" w:lineRule="exact"/>
        <w:rPr>
          <w:rFonts w:ascii="Arial" w:cs="Arial" w:eastAsia="Arial" w:hAnsi="Arial"/>
          <w:sz w:val="16"/>
          <w:szCs w:val="16"/>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6"/>
          <w:szCs w:val="16"/>
          <w:color w:val="32406B"/>
        </w:rPr>
      </w:pPr>
      <w:r>
        <w:rPr>
          <w:rFonts w:ascii="Arial" w:cs="Arial" w:eastAsia="Arial" w:hAnsi="Arial"/>
          <w:sz w:val="16"/>
          <w:szCs w:val="16"/>
          <w:color w:val="32406B"/>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32406B"/>
        </w:rPr>
      </w:pPr>
    </w:p>
    <w:p>
      <w:pPr>
        <w:ind w:left="900" w:hanging="325"/>
        <w:spacing w:after="0" w:line="268" w:lineRule="auto"/>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32406B"/>
        </w:rPr>
      </w:pPr>
    </w:p>
    <w:p>
      <w:pPr>
        <w:ind w:left="900" w:right="60" w:hanging="325"/>
        <w:spacing w:after="0" w:line="332" w:lineRule="auto"/>
        <w:tabs>
          <w:tab w:leader="none" w:pos="900" w:val="left"/>
        </w:tabs>
        <w:numPr>
          <w:ilvl w:val="0"/>
          <w:numId w:val="34"/>
        </w:numPr>
        <w:rPr>
          <w:rFonts w:ascii="Arial" w:cs="Arial" w:eastAsia="Arial" w:hAnsi="Arial"/>
          <w:sz w:val="16"/>
          <w:szCs w:val="16"/>
          <w:color w:val="32406B"/>
        </w:rPr>
      </w:pPr>
      <w:r>
        <w:rPr>
          <w:rFonts w:ascii="Arial" w:cs="Arial" w:eastAsia="Arial" w:hAnsi="Arial"/>
          <w:sz w:val="16"/>
          <w:szCs w:val="16"/>
          <w:color w:val="32406B"/>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32406B"/>
        </w:rPr>
      </w:pPr>
    </w:p>
    <w:p>
      <w:pPr>
        <w:ind w:left="900" w:hanging="325"/>
        <w:spacing w:after="0"/>
        <w:tabs>
          <w:tab w:leader="none" w:pos="900" w:val="left"/>
        </w:tabs>
        <w:numPr>
          <w:ilvl w:val="0"/>
          <w:numId w:val="34"/>
        </w:numPr>
        <w:rPr>
          <w:rFonts w:ascii="Arial" w:cs="Arial" w:eastAsia="Arial" w:hAnsi="Arial"/>
          <w:sz w:val="16"/>
          <w:szCs w:val="16"/>
          <w:color w:val="32406B"/>
        </w:rPr>
      </w:pPr>
      <w:r>
        <w:rPr>
          <w:rFonts w:ascii="Arial" w:cs="Arial" w:eastAsia="Arial" w:hAnsi="Arial"/>
          <w:sz w:val="16"/>
          <w:szCs w:val="16"/>
          <w:color w:val="32406B"/>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customer demand that differs from company forecasts;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financial impact of inadequate or excess TI inventory that results from demand that differs from projections;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6"/>
          <w:szCs w:val="16"/>
          <w:color w:val="32406B"/>
        </w:rPr>
      </w:pPr>
      <w:r>
        <w:rPr>
          <w:rFonts w:ascii="Arial" w:cs="Arial" w:eastAsia="Arial" w:hAnsi="Arial"/>
          <w:sz w:val="16"/>
          <w:szCs w:val="16"/>
          <w:color w:val="32406B"/>
        </w:rPr>
        <w:t>the ability of TI and its customers and suppliers to access their bank accounts and lines of credit or otherwise access the capital markets;</w:t>
      </w:r>
    </w:p>
    <w:p>
      <w:pPr>
        <w:spacing w:after="0" w:line="113" w:lineRule="exact"/>
        <w:rPr>
          <w:rFonts w:ascii="Arial" w:cs="Arial" w:eastAsia="Arial" w:hAnsi="Arial"/>
          <w:sz w:val="16"/>
          <w:szCs w:val="16"/>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impairments of our non-financial assets;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product liability or warranty claims, or recalls by TI customers for a product containing a TI part;</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TI’s ability to recruit and retain skilled personnel; and</w:t>
      </w:r>
    </w:p>
    <w:p>
      <w:pPr>
        <w:spacing w:after="0" w:line="90" w:lineRule="exact"/>
        <w:rPr>
          <w:rFonts w:ascii="Arial" w:cs="Arial" w:eastAsia="Arial" w:hAnsi="Arial"/>
          <w:sz w:val="18"/>
          <w:szCs w:val="18"/>
          <w:color w:val="32406B"/>
        </w:rPr>
      </w:pPr>
    </w:p>
    <w:p>
      <w:pPr>
        <w:ind w:left="900" w:right="440" w:hanging="325"/>
        <w:spacing w:after="0" w:line="268" w:lineRule="auto"/>
        <w:tabs>
          <w:tab w:leader="none" w:pos="90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32406B"/>
        </w:rPr>
        <w:t>These lists are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2406B"/>
        </w:rPr>
        <w:t>USE OF PROCEEDS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32406B"/>
        </w:rPr>
        <w:t>We intend to use the net proceeds from the sale of the securities for working capital and general corporate purposes including, but not limited, to funding our operations, purchasing capital equipment, funding potential acquisitions, repaying debt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00" w:firstLine="3392"/>
        <w:spacing w:after="0" w:line="520" w:lineRule="auto"/>
        <w:rPr>
          <w:sz w:val="20"/>
          <w:szCs w:val="20"/>
          <w:color w:val="auto"/>
        </w:rPr>
      </w:pPr>
      <w:r>
        <w:rPr>
          <w:rFonts w:ascii="Arial" w:cs="Arial" w:eastAsia="Arial" w:hAnsi="Arial"/>
          <w:sz w:val="16"/>
          <w:szCs w:val="16"/>
          <w:b w:val="1"/>
          <w:bCs w:val="1"/>
          <w:color w:val="32406B"/>
        </w:rPr>
        <w:t xml:space="preserve">RATIOS OF EARNINGS TO FIXED CHARGES </w:t>
      </w:r>
      <w:r>
        <w:rPr>
          <w:rFonts w:ascii="Arial" w:cs="Arial" w:eastAsia="Arial" w:hAnsi="Arial"/>
          <w:sz w:val="16"/>
          <w:szCs w:val="16"/>
          <w:color w:val="32406B"/>
        </w:rPr>
        <w:t>Our ratio of earnings to fixed charges was as follows for the respective periods indicated: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32406B"/>
        </w:rPr>
        <w:t>For the Fiscal Years Ended December 31,</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2220" w:type="dxa"/>
            <w:vAlign w:val="bottom"/>
            <w:tcBorders>
              <w:top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32406B"/>
              </w:rPr>
              <w:t>2009</w:t>
            </w:r>
          </w:p>
        </w:tc>
        <w:tc>
          <w:tcPr>
            <w:tcW w:w="2100" w:type="dxa"/>
            <w:vAlign w:val="bottom"/>
            <w:tcBorders>
              <w:top w:val="single" w:sz="8" w:color="auto"/>
            </w:tcBorders>
            <w:gridSpan w:val="2"/>
          </w:tcPr>
          <w:p>
            <w:pPr>
              <w:jc w:val="right"/>
              <w:ind w:right="652"/>
              <w:spacing w:after="0" w:line="156" w:lineRule="exact"/>
              <w:rPr>
                <w:sz w:val="20"/>
                <w:szCs w:val="20"/>
                <w:color w:val="auto"/>
              </w:rPr>
            </w:pPr>
            <w:r>
              <w:rPr>
                <w:rFonts w:ascii="Arial" w:cs="Arial" w:eastAsia="Arial" w:hAnsi="Arial"/>
                <w:sz w:val="14"/>
                <w:szCs w:val="14"/>
                <w:b w:val="1"/>
                <w:bCs w:val="1"/>
                <w:color w:val="32406B"/>
              </w:rPr>
              <w:t>2008</w:t>
            </w:r>
          </w:p>
        </w:tc>
        <w:tc>
          <w:tcPr>
            <w:tcW w:w="2100" w:type="dxa"/>
            <w:vAlign w:val="bottom"/>
            <w:tcBorders>
              <w:top w:val="single" w:sz="8" w:color="auto"/>
            </w:tcBorders>
            <w:gridSpan w:val="2"/>
          </w:tcPr>
          <w:p>
            <w:pPr>
              <w:jc w:val="right"/>
              <w:ind w:right="672"/>
              <w:spacing w:after="0" w:line="156" w:lineRule="exact"/>
              <w:rPr>
                <w:sz w:val="20"/>
                <w:szCs w:val="20"/>
                <w:color w:val="auto"/>
              </w:rPr>
            </w:pPr>
            <w:r>
              <w:rPr>
                <w:rFonts w:ascii="Arial" w:cs="Arial" w:eastAsia="Arial" w:hAnsi="Arial"/>
                <w:sz w:val="14"/>
                <w:szCs w:val="14"/>
                <w:b w:val="1"/>
                <w:bCs w:val="1"/>
                <w:color w:val="32406B"/>
              </w:rPr>
              <w:t>2007</w:t>
            </w:r>
          </w:p>
        </w:tc>
        <w:tc>
          <w:tcPr>
            <w:tcW w:w="2100" w:type="dxa"/>
            <w:vAlign w:val="bottom"/>
            <w:tcBorders>
              <w:top w:val="single" w:sz="8" w:color="auto"/>
            </w:tcBorders>
            <w:gridSpan w:val="2"/>
          </w:tcPr>
          <w:p>
            <w:pPr>
              <w:jc w:val="right"/>
              <w:ind w:right="672"/>
              <w:spacing w:after="0" w:line="156" w:lineRule="exact"/>
              <w:rPr>
                <w:sz w:val="20"/>
                <w:szCs w:val="20"/>
                <w:color w:val="auto"/>
              </w:rPr>
            </w:pPr>
            <w:r>
              <w:rPr>
                <w:rFonts w:ascii="Arial" w:cs="Arial" w:eastAsia="Arial" w:hAnsi="Arial"/>
                <w:sz w:val="14"/>
                <w:szCs w:val="14"/>
                <w:b w:val="1"/>
                <w:bCs w:val="1"/>
                <w:color w:val="32406B"/>
              </w:rPr>
              <w:t>2006</w:t>
            </w:r>
          </w:p>
        </w:tc>
        <w:tc>
          <w:tcPr>
            <w:tcW w:w="1980" w:type="dxa"/>
            <w:vAlign w:val="bottom"/>
            <w:tcBorders>
              <w:top w:val="single" w:sz="8" w:color="auto"/>
            </w:tcBorders>
            <w:gridSpan w:val="2"/>
          </w:tcPr>
          <w:p>
            <w:pPr>
              <w:jc w:val="right"/>
              <w:ind w:right="612"/>
              <w:spacing w:after="0" w:line="156" w:lineRule="exact"/>
              <w:rPr>
                <w:sz w:val="20"/>
                <w:szCs w:val="20"/>
                <w:color w:val="auto"/>
              </w:rPr>
            </w:pPr>
            <w:r>
              <w:rPr>
                <w:rFonts w:ascii="Arial" w:cs="Arial" w:eastAsia="Arial" w:hAnsi="Arial"/>
                <w:sz w:val="14"/>
                <w:szCs w:val="14"/>
                <w:b w:val="1"/>
                <w:bCs w:val="1"/>
                <w:color w:val="32406B"/>
              </w:rPr>
              <w:t>2005</w:t>
            </w:r>
          </w:p>
        </w:tc>
      </w:tr>
      <w:tr>
        <w:trPr>
          <w:trHeight w:val="102"/>
        </w:trPr>
        <w:tc>
          <w:tcPr>
            <w:tcW w:w="22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r>
      <w:tr>
        <w:trPr>
          <w:trHeight w:val="216"/>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8"/>
              </w:rPr>
              <w:t>127.9x</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8"/>
              </w:rPr>
              <w:t>109.5x</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2"/>
              </w:rPr>
              <w:t>154.7x</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0"/>
              </w:rPr>
              <w:t>94.1x</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0"/>
              </w:rPr>
              <w:t>70.2x</w:t>
            </w: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32406B"/>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32406B"/>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5</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32406B"/>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32406B"/>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Common Stock</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32406B"/>
        </w:rPr>
        <w:t>As of January 31, 2010, there were 1,241,888,536 shares of common stock outstanding which were held of record by 24,136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New York Stock Exchange. The transfer agent and registrar for our common stock is Computershare Investor Services, LLC, 2 North LaSalle Street, 3</w:t>
      </w:r>
      <w:r>
        <w:rPr>
          <w:rFonts w:ascii="Arial" w:cs="Arial" w:eastAsia="Arial" w:hAnsi="Arial"/>
          <w:sz w:val="10"/>
          <w:szCs w:val="10"/>
          <w:color w:val="32406B"/>
        </w:rPr>
        <w:t>rd</w:t>
      </w:r>
      <w:r>
        <w:rPr>
          <w:rFonts w:ascii="Arial" w:cs="Arial" w:eastAsia="Arial" w:hAnsi="Arial"/>
          <w:sz w:val="15"/>
          <w:szCs w:val="15"/>
          <w:color w:val="32406B"/>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32406B"/>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32406B"/>
        </w:rPr>
        <w:t>As of January 31, 2010,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6</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32406B"/>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32406B"/>
        </w:rPr>
        <w:t>th</w:t>
      </w:r>
      <w:r>
        <w:rPr>
          <w:rFonts w:ascii="Arial" w:cs="Arial" w:eastAsia="Arial" w:hAnsi="Arial"/>
          <w:sz w:val="16"/>
          <w:szCs w:val="16"/>
          <w:color w:val="32406B"/>
        </w:rPr>
        <w:t xml:space="preserve"> day prior to such annual meeting or the 10</w:t>
      </w:r>
      <w:r>
        <w:rPr>
          <w:rFonts w:ascii="Arial" w:cs="Arial" w:eastAsia="Arial" w:hAnsi="Arial"/>
          <w:sz w:val="10"/>
          <w:szCs w:val="10"/>
          <w:color w:val="32406B"/>
        </w:rPr>
        <w:t>th</w:t>
      </w:r>
      <w:r>
        <w:rPr>
          <w:rFonts w:ascii="Arial" w:cs="Arial" w:eastAsia="Arial" w:hAnsi="Arial"/>
          <w:sz w:val="16"/>
          <w:szCs w:val="16"/>
          <w:color w:val="32406B"/>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32406B"/>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32406B"/>
        </w:rPr>
      </w:pPr>
    </w:p>
    <w:p>
      <w:pPr>
        <w:ind w:left="900" w:right="320" w:hanging="325"/>
        <w:spacing w:after="0" w:line="268" w:lineRule="auto"/>
        <w:tabs>
          <w:tab w:leader="none" w:pos="90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32406B"/>
        </w:rPr>
      </w:pPr>
    </w:p>
    <w:p>
      <w:pPr>
        <w:ind w:left="900" w:right="160" w:hanging="325"/>
        <w:spacing w:after="0" w:line="332" w:lineRule="auto"/>
        <w:tabs>
          <w:tab w:leader="none" w:pos="900" w:val="left"/>
        </w:tabs>
        <w:numPr>
          <w:ilvl w:val="0"/>
          <w:numId w:val="35"/>
        </w:numPr>
        <w:rPr>
          <w:rFonts w:ascii="Arial" w:cs="Arial" w:eastAsia="Arial" w:hAnsi="Arial"/>
          <w:sz w:val="16"/>
          <w:szCs w:val="16"/>
          <w:color w:val="32406B"/>
        </w:rPr>
      </w:pPr>
      <w:r>
        <w:rPr>
          <w:rFonts w:ascii="Arial" w:cs="Arial" w:eastAsia="Arial" w:hAnsi="Arial"/>
          <w:sz w:val="16"/>
          <w:szCs w:val="16"/>
          <w:color w:val="32406B"/>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32406B"/>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7</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2406B"/>
        </w:rPr>
        <w:t>DESCRIPTION OF DEBT SECURITIES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32406B"/>
        </w:rPr>
        <w:t>Our debt securities, consisting of notes, debentures or other evidences of indebtedness, may be issued from time to time in one or more series pursuant to an indenture to be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32406B"/>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32406B"/>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32406B"/>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32406B"/>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32406B"/>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32406B"/>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debt securities’ designation;</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aggregate principal amount of the debt securities;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percentage of their principal amount (i.e. price) at which the debt securities will be issued;</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date or dates on which the debt securities will mature and the right, if any, to extend such date or dates;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8</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right, if any, to extend the interest payment periods and the duration of that extension;</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manner of paying principal and interest and the place or places where principal and interest will be payable;</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provisions for a sinking fund purchase or other analogous fund, if any;</w:t>
      </w:r>
    </w:p>
    <w:p>
      <w:pPr>
        <w:spacing w:after="0" w:line="90" w:lineRule="exact"/>
        <w:rPr>
          <w:rFonts w:ascii="Arial" w:cs="Arial" w:eastAsia="Arial" w:hAnsi="Arial"/>
          <w:sz w:val="18"/>
          <w:szCs w:val="18"/>
          <w:color w:val="32406B"/>
        </w:rPr>
      </w:pPr>
    </w:p>
    <w:p>
      <w:pPr>
        <w:ind w:left="900" w:right="740" w:hanging="325"/>
        <w:spacing w:after="0" w:line="268" w:lineRule="auto"/>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form of the debt securities;</w:t>
      </w:r>
    </w:p>
    <w:p>
      <w:pPr>
        <w:spacing w:after="0" w:line="90" w:lineRule="exact"/>
        <w:rPr>
          <w:rFonts w:ascii="Arial" w:cs="Arial" w:eastAsia="Arial" w:hAnsi="Arial"/>
          <w:sz w:val="18"/>
          <w:szCs w:val="18"/>
          <w:color w:val="32406B"/>
        </w:rPr>
      </w:pPr>
    </w:p>
    <w:p>
      <w:pPr>
        <w:ind w:left="900" w:right="180" w:hanging="325"/>
        <w:spacing w:after="0" w:line="268" w:lineRule="auto"/>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terms and conditions, if any, upon which we may have to repay the debt securities early at your option;</w:t>
      </w:r>
    </w:p>
    <w:p>
      <w:pPr>
        <w:spacing w:after="0" w:line="90" w:lineRule="exact"/>
        <w:rPr>
          <w:rFonts w:ascii="Arial" w:cs="Arial" w:eastAsia="Arial" w:hAnsi="Arial"/>
          <w:sz w:val="18"/>
          <w:szCs w:val="18"/>
          <w:color w:val="32406B"/>
        </w:rPr>
      </w:pPr>
    </w:p>
    <w:p>
      <w:pPr>
        <w:ind w:left="900" w:right="360" w:hanging="325"/>
        <w:spacing w:after="0" w:line="268" w:lineRule="auto"/>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32406B"/>
        </w:rPr>
      </w:pPr>
    </w:p>
    <w:p>
      <w:pPr>
        <w:ind w:left="900" w:right="280" w:hanging="325"/>
        <w:spacing w:after="0" w:line="268" w:lineRule="auto"/>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32406B"/>
        </w:rPr>
      </w:pPr>
    </w:p>
    <w:p>
      <w:pPr>
        <w:ind w:left="900" w:right="220" w:hanging="325"/>
        <w:spacing w:after="0" w:line="268" w:lineRule="auto"/>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whether and upon what terms the debt securities may be defeased;</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any events of default or covenants in addition to or in lieu of those set forth in the indenture;</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provisions for electronic issuance of debt securities or for debt securities in uncertificated form; and</w:t>
      </w:r>
    </w:p>
    <w:p>
      <w:pPr>
        <w:spacing w:after="0" w:line="90" w:lineRule="exact"/>
        <w:rPr>
          <w:rFonts w:ascii="Arial" w:cs="Arial" w:eastAsia="Arial" w:hAnsi="Arial"/>
          <w:sz w:val="18"/>
          <w:szCs w:val="18"/>
          <w:color w:val="32406B"/>
        </w:rPr>
      </w:pPr>
    </w:p>
    <w:p>
      <w:pPr>
        <w:ind w:left="900" w:hanging="325"/>
        <w:spacing w:after="0" w:line="268" w:lineRule="auto"/>
        <w:tabs>
          <w:tab w:leader="none" w:pos="90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32406B"/>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32406B"/>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32406B"/>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9</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32406B"/>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32406B"/>
        </w:rPr>
        <w:t>Certain Definitions</w:t>
      </w:r>
      <w:r>
        <w:rPr>
          <w:rFonts w:ascii="Arial" w:cs="Arial" w:eastAsia="Arial" w:hAnsi="Arial"/>
          <w:sz w:val="16"/>
          <w:szCs w:val="16"/>
          <w:color w:val="32406B"/>
        </w:rPr>
        <w:t>. The term “</w:t>
      </w:r>
      <w:r>
        <w:rPr>
          <w:rFonts w:ascii="Arial" w:cs="Arial" w:eastAsia="Arial" w:hAnsi="Arial"/>
          <w:sz w:val="16"/>
          <w:szCs w:val="16"/>
          <w:b w:val="1"/>
          <w:bCs w:val="1"/>
          <w:color w:val="32406B"/>
        </w:rPr>
        <w:t>attributable debt</w:t>
      </w:r>
      <w:r>
        <w:rPr>
          <w:rFonts w:ascii="Arial" w:cs="Arial" w:eastAsia="Arial" w:hAnsi="Arial"/>
          <w:sz w:val="16"/>
          <w:szCs w:val="16"/>
          <w:color w:val="32406B"/>
        </w:rPr>
        <w:t>” in respect of a sale and leaseback transaction means, at the time of determination, the lesser of (1)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32406B"/>
        </w:rPr>
        <w:t>The term “</w:t>
      </w:r>
      <w:r>
        <w:rPr>
          <w:rFonts w:ascii="Arial" w:cs="Arial" w:eastAsia="Arial" w:hAnsi="Arial"/>
          <w:sz w:val="16"/>
          <w:szCs w:val="16"/>
          <w:b w:val="1"/>
          <w:bCs w:val="1"/>
          <w:color w:val="32406B"/>
        </w:rPr>
        <w:t>consolidated net tangible assets</w:t>
      </w:r>
      <w:r>
        <w:rPr>
          <w:rFonts w:ascii="Arial" w:cs="Arial" w:eastAsia="Arial" w:hAnsi="Arial"/>
          <w:sz w:val="16"/>
          <w:szCs w:val="16"/>
          <w:color w:val="32406B"/>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32406B"/>
        </w:rPr>
        <w:t>The term “</w:t>
      </w:r>
      <w:r>
        <w:rPr>
          <w:rFonts w:ascii="Arial" w:cs="Arial" w:eastAsia="Arial" w:hAnsi="Arial"/>
          <w:sz w:val="18"/>
          <w:szCs w:val="18"/>
          <w:b w:val="1"/>
          <w:bCs w:val="1"/>
          <w:color w:val="32406B"/>
        </w:rPr>
        <w:t>funded debt</w:t>
      </w:r>
      <w:r>
        <w:rPr>
          <w:rFonts w:ascii="Arial" w:cs="Arial" w:eastAsia="Arial" w:hAnsi="Arial"/>
          <w:sz w:val="18"/>
          <w:szCs w:val="18"/>
          <w:color w:val="32406B"/>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32406B"/>
        </w:rPr>
        <w:t>The term “</w:t>
      </w:r>
      <w:r>
        <w:rPr>
          <w:rFonts w:ascii="Arial" w:cs="Arial" w:eastAsia="Arial" w:hAnsi="Arial"/>
          <w:sz w:val="16"/>
          <w:szCs w:val="16"/>
          <w:b w:val="1"/>
          <w:bCs w:val="1"/>
          <w:color w:val="32406B"/>
        </w:rPr>
        <w:t>intangible assets</w:t>
      </w:r>
      <w:r>
        <w:rPr>
          <w:rFonts w:ascii="Arial" w:cs="Arial" w:eastAsia="Arial" w:hAnsi="Arial"/>
          <w:sz w:val="16"/>
          <w:szCs w:val="16"/>
          <w:color w:val="32406B"/>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32406B"/>
        </w:rPr>
        <w:t>The term “</w:t>
      </w:r>
      <w:r>
        <w:rPr>
          <w:rFonts w:ascii="Arial" w:cs="Arial" w:eastAsia="Arial" w:hAnsi="Arial"/>
          <w:sz w:val="18"/>
          <w:szCs w:val="18"/>
          <w:b w:val="1"/>
          <w:bCs w:val="1"/>
          <w:color w:val="32406B"/>
        </w:rPr>
        <w:t>net rental payments</w:t>
      </w:r>
      <w:r>
        <w:rPr>
          <w:rFonts w:ascii="Arial" w:cs="Arial" w:eastAsia="Arial" w:hAnsi="Arial"/>
          <w:sz w:val="18"/>
          <w:szCs w:val="18"/>
          <w:color w:val="32406B"/>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32406B"/>
        </w:rPr>
        <w:t>The term “</w:t>
      </w:r>
      <w:r>
        <w:rPr>
          <w:rFonts w:ascii="Arial" w:cs="Arial" w:eastAsia="Arial" w:hAnsi="Arial"/>
          <w:sz w:val="16"/>
          <w:szCs w:val="16"/>
          <w:b w:val="1"/>
          <w:bCs w:val="1"/>
          <w:color w:val="32406B"/>
        </w:rPr>
        <w:t>principal manufacturing property</w:t>
      </w:r>
      <w:r>
        <w:rPr>
          <w:rFonts w:ascii="Arial" w:cs="Arial" w:eastAsia="Arial" w:hAnsi="Arial"/>
          <w:sz w:val="16"/>
          <w:szCs w:val="16"/>
          <w:color w:val="32406B"/>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i w:val="1"/>
          <w:iCs w:val="1"/>
          <w:color w:val="32406B"/>
        </w:rPr>
        <w:t>Restrictions on Liens</w:t>
      </w:r>
      <w:r>
        <w:rPr>
          <w:rFonts w:ascii="Arial" w:cs="Arial" w:eastAsia="Arial" w:hAnsi="Arial"/>
          <w:sz w:val="16"/>
          <w:szCs w:val="16"/>
          <w:color w:val="32406B"/>
        </w:rPr>
        <w:t>. The indenture provides that, unless as may otherwise be indicated by resolution of our board of directors, officer’s certificate, or</w:t>
      </w:r>
      <w:r>
        <w:rPr>
          <w:rFonts w:ascii="Arial" w:cs="Arial" w:eastAsia="Arial" w:hAnsi="Arial"/>
          <w:sz w:val="16"/>
          <w:szCs w:val="16"/>
          <w:i w:val="1"/>
          <w:iCs w:val="1"/>
          <w:color w:val="32406B"/>
        </w:rPr>
        <w:t xml:space="preserve"> </w:t>
      </w:r>
      <w:r>
        <w:rPr>
          <w:rFonts w:ascii="Arial" w:cs="Arial" w:eastAsia="Arial" w:hAnsi="Arial"/>
          <w:sz w:val="16"/>
          <w:szCs w:val="16"/>
          <w:color w:val="32406B"/>
        </w:rPr>
        <w:t>supplemental indenture, we will not issue or assume any debt for money borrowed (which, including guarantees of debt for borrowed money, we refer to as “</w:t>
      </w:r>
      <w:r>
        <w:rPr>
          <w:rFonts w:ascii="Arial" w:cs="Arial" w:eastAsia="Arial" w:hAnsi="Arial"/>
          <w:sz w:val="16"/>
          <w:szCs w:val="16"/>
          <w:b w:val="1"/>
          <w:bCs w:val="1"/>
          <w:color w:val="32406B"/>
        </w:rPr>
        <w:t>debt</w:t>
      </w:r>
      <w:r>
        <w:rPr>
          <w:rFonts w:ascii="Arial" w:cs="Arial" w:eastAsia="Arial" w:hAnsi="Arial"/>
          <w:sz w:val="16"/>
          <w:szCs w:val="16"/>
          <w:color w:val="32406B"/>
        </w:rPr>
        <w:t>”), if the debt is secured by a mortgage, pledge, lien or other encumbrance (which we refer to as a “</w:t>
      </w:r>
      <w:r>
        <w:rPr>
          <w:rFonts w:ascii="Arial" w:cs="Arial" w:eastAsia="Arial" w:hAnsi="Arial"/>
          <w:sz w:val="16"/>
          <w:szCs w:val="16"/>
          <w:b w:val="1"/>
          <w:bCs w:val="1"/>
          <w:color w:val="32406B"/>
        </w:rPr>
        <w:t>mortgage</w:t>
      </w:r>
      <w:r>
        <w:rPr>
          <w:rFonts w:ascii="Arial" w:cs="Arial" w:eastAsia="Arial" w:hAnsi="Arial"/>
          <w:sz w:val="16"/>
          <w:szCs w:val="16"/>
          <w:color w:val="32406B"/>
        </w:rPr>
        <w:t>”) upon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10</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32406B"/>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2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mortgages existing as of the closing date of the offering of the relevant series of debt securities;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38"/>
        </w:numPr>
        <w:rPr>
          <w:rFonts w:ascii="Arial" w:cs="Arial" w:eastAsia="Arial" w:hAnsi="Arial"/>
          <w:sz w:val="16"/>
          <w:szCs w:val="16"/>
          <w:color w:val="32406B"/>
        </w:rPr>
      </w:pPr>
      <w:r>
        <w:rPr>
          <w:rFonts w:ascii="Arial" w:cs="Arial" w:eastAsia="Arial" w:hAnsi="Arial"/>
          <w:sz w:val="16"/>
          <w:szCs w:val="16"/>
          <w:color w:val="32406B"/>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32406B"/>
        </w:rPr>
      </w:pPr>
    </w:p>
    <w:p>
      <w:pPr>
        <w:ind w:left="900" w:right="240" w:hanging="325"/>
        <w:spacing w:after="0" w:line="268" w:lineRule="auto"/>
        <w:tabs>
          <w:tab w:leader="none" w:pos="9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32406B"/>
        </w:rPr>
      </w:pPr>
    </w:p>
    <w:p>
      <w:pPr>
        <w:jc w:val="both"/>
        <w:ind w:left="900" w:right="220" w:hanging="325"/>
        <w:spacing w:after="0" w:line="306" w:lineRule="auto"/>
        <w:tabs>
          <w:tab w:leader="none" w:pos="900" w:val="left"/>
        </w:tabs>
        <w:numPr>
          <w:ilvl w:val="0"/>
          <w:numId w:val="38"/>
        </w:numPr>
        <w:rPr>
          <w:rFonts w:ascii="Arial" w:cs="Arial" w:eastAsia="Arial" w:hAnsi="Arial"/>
          <w:sz w:val="16"/>
          <w:szCs w:val="16"/>
          <w:color w:val="32406B"/>
        </w:rPr>
      </w:pPr>
      <w:r>
        <w:rPr>
          <w:rFonts w:ascii="Arial" w:cs="Arial" w:eastAsia="Arial" w:hAnsi="Arial"/>
          <w:sz w:val="16"/>
          <w:szCs w:val="16"/>
          <w:color w:val="32406B"/>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32406B"/>
        </w:rPr>
      </w:pPr>
    </w:p>
    <w:p>
      <w:pPr>
        <w:ind w:left="900" w:right="240" w:hanging="325"/>
        <w:spacing w:after="0" w:line="268" w:lineRule="auto"/>
        <w:tabs>
          <w:tab w:leader="none" w:pos="9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32406B"/>
        </w:rPr>
      </w:pPr>
    </w:p>
    <w:p>
      <w:pPr>
        <w:ind w:left="900" w:right="320" w:hanging="325"/>
        <w:spacing w:after="0" w:line="268" w:lineRule="auto"/>
        <w:tabs>
          <w:tab w:leader="none" w:pos="9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32406B"/>
        </w:rPr>
      </w:pPr>
    </w:p>
    <w:p>
      <w:pPr>
        <w:ind w:left="900" w:hanging="325"/>
        <w:spacing w:after="0" w:line="255" w:lineRule="auto"/>
        <w:tabs>
          <w:tab w:leader="none" w:pos="9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32406B"/>
        </w:rPr>
      </w:pPr>
    </w:p>
    <w:p>
      <w:pPr>
        <w:ind w:left="900" w:right="200" w:hanging="325"/>
        <w:spacing w:after="0" w:line="268" w:lineRule="auto"/>
        <w:tabs>
          <w:tab w:leader="none" w:pos="90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32406B"/>
        </w:rPr>
        <w:t>Restrictions on Sale and Leaseback Transactions</w:t>
      </w:r>
      <w:r>
        <w:rPr>
          <w:rFonts w:ascii="Arial" w:cs="Arial" w:eastAsia="Arial" w:hAnsi="Arial"/>
          <w:sz w:val="16"/>
          <w:szCs w:val="16"/>
          <w:color w:val="32406B"/>
        </w:rPr>
        <w:t>. The indenture provides that, unless as may otherwise be indicated by resolution of our board of directors,</w:t>
      </w:r>
      <w:r>
        <w:rPr>
          <w:rFonts w:ascii="Arial" w:cs="Arial" w:eastAsia="Arial" w:hAnsi="Arial"/>
          <w:sz w:val="16"/>
          <w:szCs w:val="16"/>
          <w:i w:val="1"/>
          <w:iCs w:val="1"/>
          <w:color w:val="32406B"/>
        </w:rPr>
        <w:t xml:space="preserve"> </w:t>
      </w:r>
      <w:r>
        <w:rPr>
          <w:rFonts w:ascii="Arial" w:cs="Arial" w:eastAsia="Arial" w:hAnsi="Arial"/>
          <w:sz w:val="16"/>
          <w:szCs w:val="16"/>
          <w:color w:val="32406B"/>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32406B"/>
        </w:rPr>
      </w:pPr>
    </w:p>
    <w:p>
      <w:pPr>
        <w:ind w:left="900" w:right="660" w:hanging="325"/>
        <w:spacing w:after="0" w:line="332" w:lineRule="auto"/>
        <w:tabs>
          <w:tab w:leader="none" w:pos="900" w:val="left"/>
        </w:tabs>
        <w:numPr>
          <w:ilvl w:val="0"/>
          <w:numId w:val="39"/>
        </w:numPr>
        <w:rPr>
          <w:rFonts w:ascii="Arial" w:cs="Arial" w:eastAsia="Arial" w:hAnsi="Arial"/>
          <w:sz w:val="16"/>
          <w:szCs w:val="16"/>
          <w:color w:val="32406B"/>
        </w:rPr>
      </w:pPr>
      <w:r>
        <w:rPr>
          <w:rFonts w:ascii="Arial" w:cs="Arial" w:eastAsia="Arial" w:hAnsi="Arial"/>
          <w:sz w:val="16"/>
          <w:szCs w:val="16"/>
          <w:color w:val="32406B"/>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32406B"/>
        </w:rPr>
      </w:pPr>
    </w:p>
    <w:p>
      <w:pPr>
        <w:ind w:left="1480" w:hanging="446"/>
        <w:spacing w:after="0"/>
        <w:tabs>
          <w:tab w:leader="none" w:pos="1480" w:val="left"/>
        </w:tabs>
        <w:numPr>
          <w:ilvl w:val="1"/>
          <w:numId w:val="39"/>
        </w:numPr>
        <w:rPr>
          <w:rFonts w:ascii="Arial" w:cs="Arial" w:eastAsia="Arial" w:hAnsi="Arial"/>
          <w:sz w:val="16"/>
          <w:szCs w:val="16"/>
          <w:color w:val="32406B"/>
        </w:rPr>
      </w:pPr>
      <w:r>
        <w:rPr>
          <w:rFonts w:ascii="Arial" w:cs="Arial" w:eastAsia="Arial" w:hAnsi="Arial"/>
          <w:sz w:val="16"/>
          <w:szCs w:val="16"/>
          <w:color w:val="32406B"/>
        </w:rPr>
        <w:t>the proceeds of such sale and leaseback transaction and we elect to designate such amount as a credit against such transaction, or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11</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40"/>
        </w:numPr>
        <w:rPr>
          <w:rFonts w:ascii="Arial" w:cs="Arial" w:eastAsia="Arial" w:hAnsi="Arial"/>
          <w:sz w:val="18"/>
          <w:szCs w:val="18"/>
          <w:color w:val="32406B"/>
        </w:rPr>
      </w:pPr>
      <w:r>
        <w:rPr>
          <w:rFonts w:ascii="Arial" w:cs="Arial" w:eastAsia="Arial" w:hAnsi="Arial"/>
          <w:sz w:val="18"/>
          <w:szCs w:val="18"/>
          <w:color w:val="32406B"/>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32406B"/>
        </w:rPr>
      </w:pPr>
    </w:p>
    <w:p>
      <w:pPr>
        <w:ind w:left="900" w:right="20" w:hanging="325"/>
        <w:spacing w:after="0" w:line="259" w:lineRule="auto"/>
        <w:tabs>
          <w:tab w:leader="none" w:pos="90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32406B"/>
        </w:rPr>
        <w:t>Exempted Debt</w:t>
      </w:r>
      <w:r>
        <w:rPr>
          <w:rFonts w:ascii="Arial" w:cs="Arial" w:eastAsia="Arial" w:hAnsi="Arial"/>
          <w:sz w:val="18"/>
          <w:szCs w:val="18"/>
          <w:color w:val="32406B"/>
        </w:rPr>
        <w:t>. The indenture provides that, notwithstanding the restrictions on mortgages and sale and leaseback transactions described above, we may, in</w:t>
      </w:r>
      <w:r>
        <w:rPr>
          <w:rFonts w:ascii="Arial" w:cs="Arial" w:eastAsia="Arial" w:hAnsi="Arial"/>
          <w:sz w:val="18"/>
          <w:szCs w:val="18"/>
          <w:i w:val="1"/>
          <w:iCs w:val="1"/>
          <w:color w:val="32406B"/>
        </w:rPr>
        <w:t xml:space="preserve"> </w:t>
      </w:r>
      <w:r>
        <w:rPr>
          <w:rFonts w:ascii="Arial" w:cs="Arial" w:eastAsia="Arial" w:hAnsi="Arial"/>
          <w:sz w:val="18"/>
          <w:szCs w:val="18"/>
          <w:color w:val="32406B"/>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32406B"/>
        </w:rPr>
        <w:t>exempted debt</w:t>
      </w:r>
      <w:r>
        <w:rPr>
          <w:rFonts w:ascii="Arial" w:cs="Arial" w:eastAsia="Arial" w:hAnsi="Arial"/>
          <w:sz w:val="18"/>
          <w:szCs w:val="18"/>
          <w:color w:val="32406B"/>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32406B"/>
        </w:rPr>
        <w:t>Consolidation, Merger and Sale or Conveyance</w:t>
      </w:r>
      <w:r>
        <w:rPr>
          <w:rFonts w:ascii="Arial" w:cs="Arial" w:eastAsia="Arial" w:hAnsi="Arial"/>
          <w:sz w:val="18"/>
          <w:szCs w:val="18"/>
          <w:color w:val="32406B"/>
        </w:rPr>
        <w:t>. We may not consolidate with, merge with or into, or sell, or convey (including by way of lease) all or</w:t>
      </w:r>
      <w:r>
        <w:rPr>
          <w:rFonts w:ascii="Arial" w:cs="Arial" w:eastAsia="Arial" w:hAnsi="Arial"/>
          <w:sz w:val="18"/>
          <w:szCs w:val="18"/>
          <w:i w:val="1"/>
          <w:iCs w:val="1"/>
          <w:color w:val="32406B"/>
        </w:rPr>
        <w:t xml:space="preserve"> </w:t>
      </w:r>
      <w:r>
        <w:rPr>
          <w:rFonts w:ascii="Arial" w:cs="Arial" w:eastAsia="Arial" w:hAnsi="Arial"/>
          <w:sz w:val="18"/>
          <w:szCs w:val="18"/>
          <w:color w:val="32406B"/>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32406B"/>
        </w:rPr>
      </w:pPr>
    </w:p>
    <w:p>
      <w:pPr>
        <w:ind w:left="900" w:hanging="325"/>
        <w:spacing w:after="0"/>
        <w:tabs>
          <w:tab w:leader="none" w:pos="90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32406B"/>
        </w:rPr>
      </w:pPr>
    </w:p>
    <w:p>
      <w:pPr>
        <w:jc w:val="both"/>
        <w:ind w:left="900" w:right="80" w:hanging="325"/>
        <w:spacing w:after="0" w:line="259" w:lineRule="auto"/>
        <w:tabs>
          <w:tab w:leader="none" w:pos="90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32406B"/>
        </w:rPr>
      </w:pPr>
    </w:p>
    <w:p>
      <w:pPr>
        <w:ind w:left="900" w:right="240" w:hanging="325"/>
        <w:spacing w:after="0" w:line="268" w:lineRule="auto"/>
        <w:tabs>
          <w:tab w:leader="none" w:pos="90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32406B"/>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12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An event of default for any series of debt securities is defined under the indenture as being:</w:t>
      </w:r>
    </w:p>
    <w:p>
      <w:pPr>
        <w:spacing w:after="0" w:line="90" w:lineRule="exact"/>
        <w:rPr>
          <w:sz w:val="20"/>
          <w:szCs w:val="20"/>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our default in the payment of principal or premium on the debt securities of such series when due and payable whether at maturity, upon acceleration, redemption, or otherwise, if that default continues for a period of five days;</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43"/>
        </w:numPr>
        <w:rPr>
          <w:rFonts w:ascii="Arial" w:cs="Arial" w:eastAsia="Arial" w:hAnsi="Arial"/>
          <w:sz w:val="16"/>
          <w:szCs w:val="16"/>
          <w:color w:val="32406B"/>
        </w:rPr>
      </w:pPr>
      <w:r>
        <w:rPr>
          <w:rFonts w:ascii="Arial" w:cs="Arial" w:eastAsia="Arial" w:hAnsi="Arial"/>
          <w:sz w:val="16"/>
          <w:szCs w:val="16"/>
          <w:color w:val="32406B"/>
        </w:rPr>
        <w:t>our default in the payment of interest on any debt securities of such series when due and payable, if that default continues for a period of 60 days;</w:t>
      </w:r>
    </w:p>
    <w:p>
      <w:pPr>
        <w:spacing w:after="0" w:line="113" w:lineRule="exact"/>
        <w:rPr>
          <w:rFonts w:ascii="Arial" w:cs="Arial" w:eastAsia="Arial" w:hAnsi="Arial"/>
          <w:sz w:val="16"/>
          <w:szCs w:val="16"/>
          <w:color w:val="32406B"/>
        </w:rPr>
      </w:pPr>
    </w:p>
    <w:p>
      <w:pPr>
        <w:ind w:left="900" w:right="140" w:hanging="325"/>
        <w:spacing w:after="0" w:line="256" w:lineRule="auto"/>
        <w:tabs>
          <w:tab w:leader="none" w:pos="90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32406B"/>
        </w:rPr>
      </w:pPr>
    </w:p>
    <w:p>
      <w:pPr>
        <w:ind w:left="900" w:hanging="325"/>
        <w:spacing w:after="0"/>
        <w:tabs>
          <w:tab w:leader="none" w:pos="90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there occurs any other event of default provided for in such series of debt securities;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a court having jurisdiction enters a decree or order for:</w:t>
      </w:r>
    </w:p>
    <w:p>
      <w:pPr>
        <w:spacing w:after="0" w:line="90" w:lineRule="exact"/>
        <w:rPr>
          <w:rFonts w:ascii="Arial" w:cs="Arial" w:eastAsia="Arial" w:hAnsi="Arial"/>
          <w:sz w:val="18"/>
          <w:szCs w:val="18"/>
          <w:color w:val="32406B"/>
        </w:rPr>
      </w:pPr>
    </w:p>
    <w:p>
      <w:pPr>
        <w:ind w:left="1480" w:hanging="446"/>
        <w:spacing w:after="0"/>
        <w:tabs>
          <w:tab w:leader="none" w:pos="1480" w:val="left"/>
        </w:tabs>
        <w:numPr>
          <w:ilvl w:val="1"/>
          <w:numId w:val="43"/>
        </w:numPr>
        <w:rPr>
          <w:rFonts w:ascii="Arial" w:cs="Arial" w:eastAsia="Arial" w:hAnsi="Arial"/>
          <w:sz w:val="16"/>
          <w:szCs w:val="16"/>
          <w:color w:val="32406B"/>
        </w:rPr>
      </w:pPr>
      <w:r>
        <w:rPr>
          <w:rFonts w:ascii="Arial" w:cs="Arial" w:eastAsia="Arial" w:hAnsi="Arial"/>
          <w:sz w:val="16"/>
          <w:szCs w:val="16"/>
          <w:color w:val="32406B"/>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32406B"/>
        </w:rPr>
      </w:pPr>
    </w:p>
    <w:p>
      <w:pPr>
        <w:ind w:left="1480" w:right="260" w:hanging="446"/>
        <w:spacing w:after="0" w:line="268" w:lineRule="auto"/>
        <w:tabs>
          <w:tab w:leader="none" w:pos="1480" w:val="left"/>
        </w:tabs>
        <w:numPr>
          <w:ilvl w:val="1"/>
          <w:numId w:val="43"/>
        </w:numPr>
        <w:rPr>
          <w:rFonts w:ascii="Arial" w:cs="Arial" w:eastAsia="Arial" w:hAnsi="Arial"/>
          <w:sz w:val="18"/>
          <w:szCs w:val="18"/>
          <w:color w:val="32406B"/>
        </w:rPr>
      </w:pPr>
      <w:r>
        <w:rPr>
          <w:rFonts w:ascii="Arial" w:cs="Arial" w:eastAsia="Arial" w:hAnsi="Arial"/>
          <w:sz w:val="18"/>
          <w:szCs w:val="18"/>
          <w:color w:val="32406B"/>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32406B"/>
        </w:rPr>
      </w:pPr>
    </w:p>
    <w:p>
      <w:pPr>
        <w:ind w:left="1480" w:hanging="446"/>
        <w:spacing w:after="0"/>
        <w:tabs>
          <w:tab w:leader="none" w:pos="1480" w:val="left"/>
        </w:tabs>
        <w:numPr>
          <w:ilvl w:val="1"/>
          <w:numId w:val="43"/>
        </w:numPr>
        <w:rPr>
          <w:rFonts w:ascii="Arial" w:cs="Arial" w:eastAsia="Arial" w:hAnsi="Arial"/>
          <w:sz w:val="16"/>
          <w:szCs w:val="16"/>
          <w:color w:val="32406B"/>
        </w:rPr>
      </w:pPr>
      <w:r>
        <w:rPr>
          <w:rFonts w:ascii="Arial" w:cs="Arial" w:eastAsia="Arial" w:hAnsi="Arial"/>
          <w:sz w:val="16"/>
          <w:szCs w:val="16"/>
          <w:color w:val="32406B"/>
        </w:rPr>
        <w:t>the winding up or liquidation of our affairs and such decree or order shall remain unstayed and in effect for a period of 60 consecutive days.</w:t>
      </w:r>
    </w:p>
    <w:p>
      <w:pPr>
        <w:spacing w:after="0" w:line="113" w:lineRule="exact"/>
        <w:rPr>
          <w:rFonts w:ascii="Arial" w:cs="Arial" w:eastAsia="Arial" w:hAnsi="Arial"/>
          <w:sz w:val="16"/>
          <w:szCs w:val="16"/>
          <w:color w:val="32406B"/>
        </w:rPr>
      </w:pPr>
    </w:p>
    <w:p>
      <w:pPr>
        <w:ind w:left="900" w:hanging="325"/>
        <w:spacing w:after="0"/>
        <w:tabs>
          <w:tab w:leader="none" w:pos="90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we:</w:t>
      </w:r>
    </w:p>
    <w:p>
      <w:pPr>
        <w:spacing w:after="0" w:line="90" w:lineRule="exact"/>
        <w:rPr>
          <w:rFonts w:ascii="Arial" w:cs="Arial" w:eastAsia="Arial" w:hAnsi="Arial"/>
          <w:sz w:val="18"/>
          <w:szCs w:val="18"/>
          <w:color w:val="32406B"/>
        </w:rPr>
      </w:pPr>
    </w:p>
    <w:p>
      <w:pPr>
        <w:ind w:left="1480" w:right="260" w:hanging="446"/>
        <w:spacing w:after="0" w:line="268" w:lineRule="auto"/>
        <w:tabs>
          <w:tab w:leader="none" w:pos="1480" w:val="left"/>
        </w:tabs>
        <w:numPr>
          <w:ilvl w:val="1"/>
          <w:numId w:val="43"/>
        </w:numPr>
        <w:rPr>
          <w:rFonts w:ascii="Arial" w:cs="Arial" w:eastAsia="Arial" w:hAnsi="Arial"/>
          <w:sz w:val="18"/>
          <w:szCs w:val="18"/>
          <w:color w:val="32406B"/>
        </w:rPr>
      </w:pPr>
      <w:r>
        <w:rPr>
          <w:rFonts w:ascii="Arial" w:cs="Arial" w:eastAsia="Arial" w:hAnsi="Arial"/>
          <w:sz w:val="18"/>
          <w:szCs w:val="18"/>
          <w:color w:val="32406B"/>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32406B"/>
        </w:rPr>
      </w:pPr>
    </w:p>
    <w:p>
      <w:pPr>
        <w:ind w:left="1480" w:right="220" w:hanging="446"/>
        <w:spacing w:after="0" w:line="268" w:lineRule="auto"/>
        <w:tabs>
          <w:tab w:leader="none" w:pos="1480" w:val="left"/>
        </w:tabs>
        <w:numPr>
          <w:ilvl w:val="1"/>
          <w:numId w:val="43"/>
        </w:numPr>
        <w:rPr>
          <w:rFonts w:ascii="Arial" w:cs="Arial" w:eastAsia="Arial" w:hAnsi="Arial"/>
          <w:sz w:val="18"/>
          <w:szCs w:val="18"/>
          <w:color w:val="32406B"/>
        </w:rPr>
      </w:pPr>
      <w:r>
        <w:rPr>
          <w:rFonts w:ascii="Arial" w:cs="Arial" w:eastAsia="Arial" w:hAnsi="Arial"/>
          <w:sz w:val="18"/>
          <w:szCs w:val="18"/>
          <w:color w:val="32406B"/>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32406B"/>
        </w:rPr>
      </w:pPr>
    </w:p>
    <w:p>
      <w:pPr>
        <w:ind w:left="1480" w:hanging="446"/>
        <w:spacing w:after="0"/>
        <w:tabs>
          <w:tab w:leader="none" w:pos="1480" w:val="left"/>
        </w:tabs>
        <w:numPr>
          <w:ilvl w:val="1"/>
          <w:numId w:val="43"/>
        </w:numPr>
        <w:rPr>
          <w:rFonts w:ascii="Arial" w:cs="Arial" w:eastAsia="Arial" w:hAnsi="Arial"/>
          <w:sz w:val="18"/>
          <w:szCs w:val="18"/>
          <w:color w:val="32406B"/>
        </w:rPr>
      </w:pPr>
      <w:r>
        <w:rPr>
          <w:rFonts w:ascii="Arial" w:cs="Arial" w:eastAsia="Arial" w:hAnsi="Arial"/>
          <w:sz w:val="18"/>
          <w:szCs w:val="18"/>
          <w:color w:val="32406B"/>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32406B"/>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32406B"/>
        </w:rPr>
        <w:t>If an event of default specified in the last two bullet points above occurs with respect to us and is continuing, either the trustee or the holders of not less than 25% in aggregate principal amount of the debt securities of all series then outstanding under the indenture (treated as one class) may, by written notice to us and to the trustee, if such notice is given by the holders, declare the entire principal amount of, and accrued interest, if any, on each series of debt securities then outstanding to be immediately due and payable.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13</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32406B"/>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32406B"/>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32406B"/>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the holder gives the trustee written notice of a continuing event of default;</w:t>
      </w:r>
    </w:p>
    <w:p>
      <w:pPr>
        <w:spacing w:after="0" w:line="90" w:lineRule="exact"/>
        <w:rPr>
          <w:rFonts w:ascii="Arial" w:cs="Arial" w:eastAsia="Arial" w:hAnsi="Arial"/>
          <w:sz w:val="18"/>
          <w:szCs w:val="18"/>
          <w:color w:val="32406B"/>
        </w:rPr>
      </w:pPr>
    </w:p>
    <w:p>
      <w:pPr>
        <w:ind w:left="900" w:right="100" w:hanging="325"/>
        <w:spacing w:after="0" w:line="268" w:lineRule="auto"/>
        <w:tabs>
          <w:tab w:leader="none" w:pos="9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32406B"/>
        </w:rPr>
      </w:pPr>
    </w:p>
    <w:p>
      <w:pPr>
        <w:ind w:left="900" w:right="20" w:hanging="325"/>
        <w:spacing w:after="0" w:line="268" w:lineRule="auto"/>
        <w:tabs>
          <w:tab w:leader="none" w:pos="90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32406B"/>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32406B"/>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14</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32406B"/>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32406B"/>
        </w:rPr>
      </w:pPr>
    </w:p>
    <w:p>
      <w:pPr>
        <w:ind w:left="900" w:right="260" w:hanging="325"/>
        <w:spacing w:after="0" w:line="268" w:lineRule="auto"/>
        <w:tabs>
          <w:tab w:leader="none" w:pos="90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32406B"/>
        </w:rPr>
      </w:pPr>
    </w:p>
    <w:p>
      <w:pPr>
        <w:ind w:left="900" w:right="60" w:hanging="325"/>
        <w:spacing w:after="0" w:line="290" w:lineRule="auto"/>
        <w:tabs>
          <w:tab w:leader="none" w:pos="900" w:val="left"/>
        </w:tabs>
        <w:numPr>
          <w:ilvl w:val="0"/>
          <w:numId w:val="45"/>
        </w:numPr>
        <w:rPr>
          <w:rFonts w:ascii="Arial" w:cs="Arial" w:eastAsia="Arial" w:hAnsi="Arial"/>
          <w:sz w:val="16"/>
          <w:szCs w:val="16"/>
          <w:color w:val="32406B"/>
        </w:rPr>
      </w:pPr>
      <w:r>
        <w:rPr>
          <w:rFonts w:ascii="Arial" w:cs="Arial" w:eastAsia="Arial" w:hAnsi="Arial"/>
          <w:sz w:val="16"/>
          <w:szCs w:val="16"/>
          <w:color w:val="32406B"/>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32406B"/>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32406B"/>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32406B"/>
        </w:rPr>
        <w:t>legal defeasance</w:t>
      </w:r>
      <w:r>
        <w:rPr>
          <w:rFonts w:ascii="Arial" w:cs="Arial" w:eastAsia="Arial" w:hAnsi="Arial"/>
          <w:sz w:val="16"/>
          <w:szCs w:val="16"/>
          <w:color w:val="32406B"/>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6"/>
        </w:numPr>
        <w:rPr>
          <w:rFonts w:ascii="Arial" w:cs="Arial" w:eastAsia="Arial" w:hAnsi="Arial"/>
          <w:sz w:val="16"/>
          <w:szCs w:val="16"/>
          <w:color w:val="32406B"/>
        </w:rPr>
      </w:pPr>
      <w:r>
        <w:rPr>
          <w:rFonts w:ascii="Arial" w:cs="Arial" w:eastAsia="Arial" w:hAnsi="Arial"/>
          <w:sz w:val="16"/>
          <w:szCs w:val="16"/>
          <w:color w:val="32406B"/>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32406B"/>
        </w:rPr>
      </w:pPr>
    </w:p>
    <w:p>
      <w:pPr>
        <w:ind w:left="900" w:right="240" w:hanging="325"/>
        <w:spacing w:after="0" w:line="268" w:lineRule="auto"/>
        <w:tabs>
          <w:tab w:leader="none" w:pos="90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2406B"/>
        </w:rPr>
        <w:t>15</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32406B"/>
        </w:rPr>
      </w:pPr>
      <w:r>
        <w:rPr>
          <w:rFonts w:ascii="Arial" w:cs="Arial" w:eastAsia="Arial" w:hAnsi="Arial"/>
          <w:sz w:val="16"/>
          <w:szCs w:val="16"/>
          <w:color w:val="32406B"/>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32406B"/>
        </w:rPr>
      </w:pPr>
    </w:p>
    <w:p>
      <w:pPr>
        <w:ind w:left="900" w:right="120" w:hanging="325"/>
        <w:spacing w:after="0" w:line="298" w:lineRule="auto"/>
        <w:tabs>
          <w:tab w:leader="none" w:pos="900" w:val="left"/>
        </w:tabs>
        <w:numPr>
          <w:ilvl w:val="0"/>
          <w:numId w:val="47"/>
        </w:numPr>
        <w:rPr>
          <w:rFonts w:ascii="Arial" w:cs="Arial" w:eastAsia="Arial" w:hAnsi="Arial"/>
          <w:sz w:val="16"/>
          <w:szCs w:val="16"/>
          <w:color w:val="32406B"/>
        </w:rPr>
      </w:pPr>
      <w:r>
        <w:rPr>
          <w:rFonts w:ascii="Arial" w:cs="Arial" w:eastAsia="Arial" w:hAnsi="Arial"/>
          <w:sz w:val="16"/>
          <w:szCs w:val="16"/>
          <w:color w:val="32406B"/>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32406B"/>
        </w:rPr>
      </w:pPr>
    </w:p>
    <w:p>
      <w:pPr>
        <w:ind w:left="900" w:hanging="325"/>
        <w:spacing w:after="0" w:line="268" w:lineRule="auto"/>
        <w:tabs>
          <w:tab w:leader="none" w:pos="90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32406B"/>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to convey, mortgage or pledge any assets as security for the securities of one or more series;</w:t>
      </w:r>
    </w:p>
    <w:p>
      <w:pPr>
        <w:spacing w:after="0" w:line="90" w:lineRule="exact"/>
        <w:rPr>
          <w:rFonts w:ascii="Arial" w:cs="Arial" w:eastAsia="Arial" w:hAnsi="Arial"/>
          <w:sz w:val="18"/>
          <w:szCs w:val="18"/>
          <w:color w:val="32406B"/>
        </w:rPr>
      </w:pPr>
    </w:p>
    <w:p>
      <w:pPr>
        <w:ind w:left="900" w:right="660" w:hanging="325"/>
        <w:spacing w:after="0" w:line="268" w:lineRule="auto"/>
        <w:tabs>
          <w:tab w:leader="none" w:pos="9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32406B"/>
        </w:rPr>
      </w:pPr>
    </w:p>
    <w:p>
      <w:pPr>
        <w:jc w:val="both"/>
        <w:ind w:left="900" w:right="300" w:hanging="325"/>
        <w:spacing w:after="0" w:line="306" w:lineRule="auto"/>
        <w:tabs>
          <w:tab w:leader="none" w:pos="900" w:val="left"/>
        </w:tabs>
        <w:numPr>
          <w:ilvl w:val="0"/>
          <w:numId w:val="48"/>
        </w:numPr>
        <w:rPr>
          <w:rFonts w:ascii="Arial" w:cs="Arial" w:eastAsia="Arial" w:hAnsi="Arial"/>
          <w:sz w:val="16"/>
          <w:szCs w:val="16"/>
          <w:color w:val="32406B"/>
        </w:rPr>
      </w:pPr>
      <w:r>
        <w:rPr>
          <w:rFonts w:ascii="Arial" w:cs="Arial" w:eastAsia="Arial" w:hAnsi="Arial"/>
          <w:sz w:val="16"/>
          <w:szCs w:val="16"/>
          <w:color w:val="32406B"/>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32406B"/>
        </w:rPr>
      </w:pPr>
    </w:p>
    <w:p>
      <w:pPr>
        <w:ind w:left="900" w:hanging="325"/>
        <w:spacing w:after="0"/>
        <w:tabs>
          <w:tab w:leader="none" w:pos="9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to comply with the provisions described under “—Certain Covenants —Consolidation, Merger and Sale or Conveyance”;</w:t>
      </w:r>
    </w:p>
    <w:p>
      <w:pPr>
        <w:spacing w:after="0" w:line="90" w:lineRule="exact"/>
        <w:rPr>
          <w:rFonts w:ascii="Arial" w:cs="Arial" w:eastAsia="Arial" w:hAnsi="Arial"/>
          <w:sz w:val="18"/>
          <w:szCs w:val="18"/>
          <w:color w:val="32406B"/>
        </w:rPr>
      </w:pPr>
    </w:p>
    <w:p>
      <w:pPr>
        <w:ind w:left="900" w:hanging="325"/>
        <w:spacing w:after="0" w:line="268" w:lineRule="auto"/>
        <w:tabs>
          <w:tab w:leader="none" w:pos="9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to establish the form or forms or terms of the debt securities as permitted by the indenture;</w:t>
      </w:r>
    </w:p>
    <w:p>
      <w:pPr>
        <w:spacing w:after="0" w:line="90" w:lineRule="exact"/>
        <w:rPr>
          <w:rFonts w:ascii="Arial" w:cs="Arial" w:eastAsia="Arial" w:hAnsi="Arial"/>
          <w:sz w:val="18"/>
          <w:szCs w:val="18"/>
          <w:color w:val="32406B"/>
        </w:rPr>
      </w:pPr>
    </w:p>
    <w:p>
      <w:pPr>
        <w:ind w:left="900" w:right="660" w:hanging="325"/>
        <w:spacing w:after="0" w:line="268" w:lineRule="auto"/>
        <w:tabs>
          <w:tab w:leader="none" w:pos="9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32406B"/>
        </w:rPr>
      </w:pPr>
    </w:p>
    <w:p>
      <w:pPr>
        <w:ind w:left="900" w:right="240" w:hanging="325"/>
        <w:spacing w:after="0" w:line="332" w:lineRule="auto"/>
        <w:tabs>
          <w:tab w:leader="none" w:pos="900" w:val="left"/>
        </w:tabs>
        <w:numPr>
          <w:ilvl w:val="0"/>
          <w:numId w:val="48"/>
        </w:numPr>
        <w:rPr>
          <w:rFonts w:ascii="Arial" w:cs="Arial" w:eastAsia="Arial" w:hAnsi="Arial"/>
          <w:sz w:val="16"/>
          <w:szCs w:val="16"/>
          <w:color w:val="32406B"/>
        </w:rPr>
      </w:pPr>
      <w:r>
        <w:rPr>
          <w:rFonts w:ascii="Arial" w:cs="Arial" w:eastAsia="Arial" w:hAnsi="Arial"/>
          <w:sz w:val="16"/>
          <w:szCs w:val="16"/>
          <w:color w:val="32406B"/>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32406B"/>
        </w:rPr>
      </w:pPr>
    </w:p>
    <w:p>
      <w:pPr>
        <w:ind w:left="900" w:hanging="325"/>
        <w:spacing w:after="0"/>
        <w:tabs>
          <w:tab w:leader="none" w:pos="90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16</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32406B"/>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changes the stated maturity of the principal of, or any installment of interest on, any debt securities of such series;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reduces the principal amount of, or premium, if any, or interest on, any debt securities of such series;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changes the provisions for calculating the optional redemption price, including the definitions relating thereto;</w:t>
      </w:r>
    </w:p>
    <w:p>
      <w:pPr>
        <w:spacing w:after="0" w:line="90" w:lineRule="exact"/>
        <w:rPr>
          <w:rFonts w:ascii="Arial" w:cs="Arial" w:eastAsia="Arial" w:hAnsi="Arial"/>
          <w:sz w:val="18"/>
          <w:szCs w:val="18"/>
          <w:color w:val="32406B"/>
        </w:rPr>
      </w:pPr>
    </w:p>
    <w:p>
      <w:pPr>
        <w:ind w:left="900" w:right="60" w:hanging="325"/>
        <w:spacing w:after="0" w:line="268" w:lineRule="auto"/>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32406B"/>
        </w:rPr>
      </w:pPr>
    </w:p>
    <w:p>
      <w:pPr>
        <w:ind w:left="900" w:right="20" w:hanging="325"/>
        <w:spacing w:after="0" w:line="268" w:lineRule="auto"/>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32406B"/>
        </w:rPr>
      </w:pPr>
    </w:p>
    <w:p>
      <w:pPr>
        <w:ind w:left="900" w:hanging="325"/>
        <w:spacing w:after="0"/>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waives a default in the payment of principal of or interest on the debt securities;</w:t>
      </w:r>
    </w:p>
    <w:p>
      <w:pPr>
        <w:spacing w:after="0" w:line="90" w:lineRule="exact"/>
        <w:rPr>
          <w:rFonts w:ascii="Arial" w:cs="Arial" w:eastAsia="Arial" w:hAnsi="Arial"/>
          <w:sz w:val="18"/>
          <w:szCs w:val="18"/>
          <w:color w:val="32406B"/>
        </w:rPr>
      </w:pPr>
    </w:p>
    <w:p>
      <w:pPr>
        <w:ind w:left="900" w:right="80" w:hanging="325"/>
        <w:spacing w:after="0" w:line="268" w:lineRule="auto"/>
        <w:tabs>
          <w:tab w:leader="none" w:pos="90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32406B"/>
        </w:rPr>
      </w:pPr>
    </w:p>
    <w:p>
      <w:pPr>
        <w:ind w:left="900" w:right="300" w:hanging="325"/>
        <w:spacing w:after="0" w:line="332" w:lineRule="auto"/>
        <w:tabs>
          <w:tab w:leader="none" w:pos="900" w:val="left"/>
        </w:tabs>
        <w:numPr>
          <w:ilvl w:val="0"/>
          <w:numId w:val="49"/>
        </w:numPr>
        <w:rPr>
          <w:rFonts w:ascii="Arial" w:cs="Arial" w:eastAsia="Arial" w:hAnsi="Arial"/>
          <w:sz w:val="16"/>
          <w:szCs w:val="16"/>
          <w:color w:val="32406B"/>
        </w:rPr>
      </w:pPr>
      <w:r>
        <w:rPr>
          <w:rFonts w:ascii="Arial" w:cs="Arial" w:eastAsia="Arial" w:hAnsi="Arial"/>
          <w:sz w:val="16"/>
          <w:szCs w:val="16"/>
          <w:color w:val="32406B"/>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32406B"/>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32406B"/>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17</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32406B"/>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32406B"/>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32406B"/>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32406B"/>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32406B"/>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18</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406B"/>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32406B"/>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32406B"/>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32406B"/>
        </w:rPr>
        <w:t>Registered Global Securities</w:t>
      </w:r>
      <w:r>
        <w:rPr>
          <w:rFonts w:ascii="Arial" w:cs="Arial" w:eastAsia="Arial" w:hAnsi="Arial"/>
          <w:sz w:val="16"/>
          <w:szCs w:val="16"/>
          <w:color w:val="32406B"/>
        </w:rPr>
        <w:t>. We may issue the registered debt securities, warrants and units in the form of one or more fully registered global securities</w:t>
      </w:r>
      <w:r>
        <w:rPr>
          <w:rFonts w:ascii="Arial" w:cs="Arial" w:eastAsia="Arial" w:hAnsi="Arial"/>
          <w:sz w:val="16"/>
          <w:szCs w:val="16"/>
          <w:i w:val="1"/>
          <w:iCs w:val="1"/>
          <w:color w:val="32406B"/>
        </w:rPr>
        <w:t xml:space="preserve"> </w:t>
      </w:r>
      <w:r>
        <w:rPr>
          <w:rFonts w:ascii="Arial" w:cs="Arial" w:eastAsia="Arial" w:hAnsi="Arial"/>
          <w:sz w:val="16"/>
          <w:szCs w:val="16"/>
          <w:color w:val="32406B"/>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32406B"/>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32406B"/>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32406B"/>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32406B"/>
        </w:rPr>
        <w:t>19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32406B"/>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32406B"/>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32406B"/>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32406B"/>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20</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2406B"/>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directly to purchasers;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through agents;</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through underwriters; and</w:t>
      </w:r>
    </w:p>
    <w:p>
      <w:pPr>
        <w:spacing w:after="0" w:line="90" w:lineRule="exact"/>
        <w:rPr>
          <w:rFonts w:ascii="Arial" w:cs="Arial" w:eastAsia="Arial" w:hAnsi="Arial"/>
          <w:sz w:val="18"/>
          <w:szCs w:val="18"/>
          <w:color w:val="32406B"/>
        </w:rPr>
      </w:pPr>
    </w:p>
    <w:p>
      <w:pPr>
        <w:ind w:left="900" w:hanging="325"/>
        <w:spacing w:after="0"/>
        <w:tabs>
          <w:tab w:leader="none" w:pos="90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32406B"/>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32406B"/>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32406B"/>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32406B"/>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32406B"/>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32406B"/>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21</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32406B"/>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32406B"/>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2406B"/>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32406B"/>
        </w:rPr>
        <w:t>Ernst &amp; Young LLP, independent registered public accounting firm, has audited our consolidated financial statements incorporated by reference in our Annual Report on Form 10-K for the year ended December 31, 2009, and management’s assessment of the effectiveness of our internal control over financial reporting as of December 31, 2009, as set forth in their reports, which are incorporated by reference in this prospectus and elsewhere in the registration statement. Our financial statements and management’s assessment are incorporated by reference in reliance on Ernst &amp; Young LLP’s reports, given 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32406B"/>
        </w:rPr>
        <w:t>22</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32406B"/>
        </w:rPr>
        <w:t>$3,500,000,000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112395</wp:posOffset>
            </wp:positionV>
            <wp:extent cx="2667000" cy="6261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32406B"/>
        </w:rPr>
        <w:t>$1,000,000,000 Floating Rate Notes due 2013</w:t>
      </w:r>
    </w:p>
    <w:p>
      <w:pPr>
        <w:spacing w:after="0" w:line="21" w:lineRule="exact"/>
        <w:rPr>
          <w:sz w:val="20"/>
          <w:szCs w:val="20"/>
          <w:color w:val="auto"/>
        </w:rPr>
      </w:pPr>
    </w:p>
    <w:p>
      <w:pPr>
        <w:ind w:left="3140" w:hanging="411"/>
        <w:spacing w:after="0"/>
        <w:tabs>
          <w:tab w:leader="none" w:pos="3140" w:val="left"/>
        </w:tabs>
        <w:numPr>
          <w:ilvl w:val="0"/>
          <w:numId w:val="51"/>
        </w:numPr>
        <w:rPr>
          <w:rFonts w:ascii="Arial" w:cs="Arial" w:eastAsia="Arial" w:hAnsi="Arial"/>
          <w:sz w:val="32"/>
          <w:szCs w:val="32"/>
          <w:b w:val="1"/>
          <w:bCs w:val="1"/>
          <w:i w:val="1"/>
          <w:iCs w:val="1"/>
          <w:color w:val="32406B"/>
        </w:rPr>
      </w:pPr>
      <w:r>
        <w:rPr>
          <w:rFonts w:ascii="Arial" w:cs="Arial" w:eastAsia="Arial" w:hAnsi="Arial"/>
          <w:sz w:val="32"/>
          <w:szCs w:val="32"/>
          <w:b w:val="1"/>
          <w:bCs w:val="1"/>
          <w:i w:val="1"/>
          <w:iCs w:val="1"/>
          <w:color w:val="32406B"/>
        </w:rPr>
        <w:t>500,000,000</w:t>
      </w:r>
      <w:r>
        <w:rPr>
          <w:rFonts w:ascii="Arial" w:cs="Arial" w:eastAsia="Arial" w:hAnsi="Arial"/>
          <w:sz w:val="28"/>
          <w:szCs w:val="28"/>
          <w:b w:val="1"/>
          <w:bCs w:val="1"/>
          <w:i w:val="1"/>
          <w:iCs w:val="1"/>
          <w:color w:val="32406B"/>
        </w:rPr>
        <w:t>0.875% Notes due 2013</w:t>
      </w:r>
    </w:p>
    <w:p>
      <w:pPr>
        <w:ind w:left="2720"/>
        <w:spacing w:after="0"/>
        <w:rPr>
          <w:rFonts w:ascii="Arial" w:cs="Arial" w:eastAsia="Arial" w:hAnsi="Arial"/>
          <w:sz w:val="32"/>
          <w:szCs w:val="32"/>
          <w:b w:val="1"/>
          <w:bCs w:val="1"/>
          <w:i w:val="1"/>
          <w:iCs w:val="1"/>
          <w:color w:val="32406B"/>
        </w:rPr>
      </w:pPr>
      <w:r>
        <w:rPr>
          <w:rFonts w:ascii="Arial" w:cs="Arial" w:eastAsia="Arial" w:hAnsi="Arial"/>
          <w:sz w:val="32"/>
          <w:szCs w:val="32"/>
          <w:b w:val="1"/>
          <w:bCs w:val="1"/>
          <w:i w:val="1"/>
          <w:iCs w:val="1"/>
          <w:color w:val="32406B"/>
        </w:rPr>
        <w:t>$1,000,000,000</w:t>
      </w:r>
      <w:r>
        <w:rPr>
          <w:rFonts w:ascii="Arial" w:cs="Arial" w:eastAsia="Arial" w:hAnsi="Arial"/>
          <w:sz w:val="28"/>
          <w:szCs w:val="28"/>
          <w:b w:val="1"/>
          <w:bCs w:val="1"/>
          <w:i w:val="1"/>
          <w:iCs w:val="1"/>
          <w:color w:val="32406B"/>
        </w:rPr>
        <w:t>1.375% Notes due 2014</w:t>
      </w:r>
    </w:p>
    <w:p>
      <w:pPr>
        <w:spacing w:after="0" w:line="1" w:lineRule="exact"/>
        <w:rPr>
          <w:rFonts w:ascii="Arial" w:cs="Arial" w:eastAsia="Arial" w:hAnsi="Arial"/>
          <w:sz w:val="32"/>
          <w:szCs w:val="32"/>
          <w:b w:val="1"/>
          <w:bCs w:val="1"/>
          <w:i w:val="1"/>
          <w:iCs w:val="1"/>
          <w:color w:val="32406B"/>
        </w:rPr>
      </w:pPr>
    </w:p>
    <w:p>
      <w:pPr>
        <w:ind w:left="2720"/>
        <w:spacing w:after="0"/>
        <w:rPr>
          <w:rFonts w:ascii="Arial" w:cs="Arial" w:eastAsia="Arial" w:hAnsi="Arial"/>
          <w:sz w:val="32"/>
          <w:szCs w:val="32"/>
          <w:b w:val="1"/>
          <w:bCs w:val="1"/>
          <w:i w:val="1"/>
          <w:iCs w:val="1"/>
          <w:color w:val="32406B"/>
        </w:rPr>
      </w:pPr>
      <w:r>
        <w:rPr>
          <w:rFonts w:ascii="Arial" w:cs="Arial" w:eastAsia="Arial" w:hAnsi="Arial"/>
          <w:sz w:val="32"/>
          <w:szCs w:val="32"/>
          <w:b w:val="1"/>
          <w:bCs w:val="1"/>
          <w:i w:val="1"/>
          <w:iCs w:val="1"/>
          <w:color w:val="32406B"/>
        </w:rPr>
        <w:t>$1,000,000,000</w:t>
      </w:r>
      <w:r>
        <w:rPr>
          <w:rFonts w:ascii="Arial" w:cs="Arial" w:eastAsia="Arial" w:hAnsi="Arial"/>
          <w:sz w:val="28"/>
          <w:szCs w:val="28"/>
          <w:b w:val="1"/>
          <w:bCs w:val="1"/>
          <w:i w:val="1"/>
          <w:iCs w:val="1"/>
          <w:color w:val="32406B"/>
        </w:rPr>
        <w:t>2.375% Notes due 2016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32406B"/>
        </w:rPr>
        <w:t>PROSPECTUS SUPPLEMENT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32406B"/>
        </w:rPr>
        <w:t>May 16, 2011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32406B"/>
        </w:rPr>
        <w:t>Joint Book-Running Managers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3700" w:type="dxa"/>
            <w:vAlign w:val="bottom"/>
          </w:tcPr>
          <w:p>
            <w:pPr>
              <w:spacing w:after="0"/>
              <w:rPr>
                <w:sz w:val="20"/>
                <w:szCs w:val="20"/>
                <w:color w:val="auto"/>
              </w:rPr>
            </w:pPr>
            <w:r>
              <w:rPr>
                <w:rFonts w:ascii="Arial" w:cs="Arial" w:eastAsia="Arial" w:hAnsi="Arial"/>
                <w:sz w:val="24"/>
                <w:szCs w:val="24"/>
                <w:i w:val="1"/>
                <w:iCs w:val="1"/>
                <w:color w:val="32406B"/>
              </w:rPr>
              <w:t>Morgan Stanley</w:t>
            </w:r>
          </w:p>
        </w:tc>
        <w:tc>
          <w:tcPr>
            <w:tcW w:w="2240" w:type="dxa"/>
            <w:vAlign w:val="bottom"/>
            <w:gridSpan w:val="2"/>
          </w:tcPr>
          <w:p>
            <w:pPr>
              <w:ind w:left="480"/>
              <w:spacing w:after="0"/>
              <w:rPr>
                <w:sz w:val="20"/>
                <w:szCs w:val="20"/>
                <w:color w:val="auto"/>
              </w:rPr>
            </w:pPr>
            <w:r>
              <w:rPr>
                <w:rFonts w:ascii="Arial" w:cs="Arial" w:eastAsia="Arial" w:hAnsi="Arial"/>
                <w:sz w:val="24"/>
                <w:szCs w:val="24"/>
                <w:i w:val="1"/>
                <w:iCs w:val="1"/>
                <w:color w:val="32406B"/>
              </w:rPr>
              <w:t>J.P. Morgan</w:t>
            </w:r>
          </w:p>
        </w:tc>
        <w:tc>
          <w:tcPr>
            <w:tcW w:w="3180" w:type="dxa"/>
            <w:vAlign w:val="bottom"/>
            <w:gridSpan w:val="2"/>
          </w:tcPr>
          <w:p>
            <w:pPr>
              <w:ind w:left="920"/>
              <w:spacing w:after="0"/>
              <w:rPr>
                <w:sz w:val="20"/>
                <w:szCs w:val="20"/>
                <w:color w:val="auto"/>
              </w:rPr>
            </w:pPr>
            <w:r>
              <w:rPr>
                <w:rFonts w:ascii="Arial" w:cs="Arial" w:eastAsia="Arial" w:hAnsi="Arial"/>
                <w:sz w:val="24"/>
                <w:szCs w:val="24"/>
                <w:i w:val="1"/>
                <w:iCs w:val="1"/>
                <w:color w:val="32406B"/>
              </w:rPr>
              <w:t>BofA Merrill Lynch</w:t>
            </w:r>
          </w:p>
        </w:tc>
        <w:tc>
          <w:tcPr>
            <w:tcW w:w="2300" w:type="dxa"/>
            <w:vAlign w:val="bottom"/>
          </w:tcPr>
          <w:p>
            <w:pPr>
              <w:jc w:val="right"/>
              <w:spacing w:after="0"/>
              <w:rPr>
                <w:sz w:val="20"/>
                <w:szCs w:val="20"/>
                <w:color w:val="auto"/>
              </w:rPr>
            </w:pPr>
            <w:r>
              <w:rPr>
                <w:rFonts w:ascii="Arial" w:cs="Arial" w:eastAsia="Arial" w:hAnsi="Arial"/>
                <w:sz w:val="24"/>
                <w:szCs w:val="24"/>
                <w:i w:val="1"/>
                <w:iCs w:val="1"/>
                <w:color w:val="32406B"/>
              </w:rPr>
              <w:t>Citi</w:t>
            </w:r>
          </w:p>
        </w:tc>
      </w:tr>
      <w:tr>
        <w:trPr>
          <w:trHeight w:val="77"/>
        </w:trPr>
        <w:tc>
          <w:tcPr>
            <w:tcW w:w="3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380" w:type="dxa"/>
            <w:vAlign w:val="bottom"/>
            <w:tcBorders>
              <w:bottom w:val="single" w:sz="8" w:color="32406B"/>
            </w:tcBorders>
            <w:gridSpan w:val="2"/>
          </w:tcPr>
          <w:p>
            <w:pPr>
              <w:spacing w:after="0"/>
              <w:rPr>
                <w:sz w:val="6"/>
                <w:szCs w:val="6"/>
                <w:color w:val="auto"/>
              </w:rPr>
            </w:pPr>
          </w:p>
        </w:tc>
        <w:tc>
          <w:tcPr>
            <w:tcW w:w="2220" w:type="dxa"/>
            <w:vAlign w:val="bottom"/>
          </w:tcPr>
          <w:p>
            <w:pPr>
              <w:spacing w:after="0"/>
              <w:rPr>
                <w:sz w:val="6"/>
                <w:szCs w:val="6"/>
                <w:color w:val="auto"/>
              </w:rPr>
            </w:pPr>
          </w:p>
        </w:tc>
        <w:tc>
          <w:tcPr>
            <w:tcW w:w="2300" w:type="dxa"/>
            <w:vAlign w:val="bottom"/>
          </w:tcPr>
          <w:p>
            <w:pPr>
              <w:spacing w:after="0"/>
              <w:rPr>
                <w:sz w:val="6"/>
                <w:szCs w:val="6"/>
                <w:color w:val="auto"/>
              </w:rPr>
            </w:pPr>
          </w:p>
        </w:tc>
      </w:tr>
      <w:tr>
        <w:trPr>
          <w:trHeight w:val="250"/>
        </w:trPr>
        <w:tc>
          <w:tcPr>
            <w:tcW w:w="3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0" w:type="dxa"/>
            <w:vAlign w:val="bottom"/>
            <w:gridSpan w:val="3"/>
          </w:tcPr>
          <w:p>
            <w:pPr>
              <w:ind w:left="820"/>
              <w:spacing w:after="0"/>
              <w:rPr>
                <w:sz w:val="20"/>
                <w:szCs w:val="20"/>
                <w:color w:val="auto"/>
              </w:rPr>
            </w:pPr>
            <w:r>
              <w:rPr>
                <w:rFonts w:ascii="Arial" w:cs="Arial" w:eastAsia="Arial" w:hAnsi="Arial"/>
                <w:sz w:val="14"/>
                <w:szCs w:val="14"/>
                <w:i w:val="1"/>
                <w:iCs w:val="1"/>
                <w:color w:val="32406B"/>
              </w:rPr>
              <w:t>Co-Managers</w:t>
            </w:r>
          </w:p>
        </w:tc>
        <w:tc>
          <w:tcPr>
            <w:tcW w:w="2300" w:type="dxa"/>
            <w:vAlign w:val="bottom"/>
          </w:tcPr>
          <w:p>
            <w:pPr>
              <w:spacing w:after="0"/>
              <w:rPr>
                <w:sz w:val="21"/>
                <w:szCs w:val="21"/>
                <w:color w:val="auto"/>
              </w:rPr>
            </w:pPr>
          </w:p>
        </w:tc>
      </w:tr>
      <w:tr>
        <w:trPr>
          <w:trHeight w:val="350"/>
        </w:trPr>
        <w:tc>
          <w:tcPr>
            <w:tcW w:w="3700" w:type="dxa"/>
            <w:vAlign w:val="bottom"/>
          </w:tcPr>
          <w:p>
            <w:pPr>
              <w:spacing w:after="0"/>
              <w:rPr>
                <w:sz w:val="20"/>
                <w:szCs w:val="20"/>
                <w:color w:val="auto"/>
              </w:rPr>
            </w:pPr>
            <w:r>
              <w:rPr>
                <w:rFonts w:ascii="Arial" w:cs="Arial" w:eastAsia="Arial" w:hAnsi="Arial"/>
                <w:sz w:val="18"/>
                <w:szCs w:val="18"/>
                <w:i w:val="1"/>
                <w:iCs w:val="1"/>
                <w:color w:val="32406B"/>
              </w:rPr>
              <w:t>BNP PARIBAS</w:t>
            </w:r>
          </w:p>
        </w:tc>
        <w:tc>
          <w:tcPr>
            <w:tcW w:w="2240" w:type="dxa"/>
            <w:vAlign w:val="bottom"/>
            <w:gridSpan w:val="2"/>
          </w:tcPr>
          <w:p>
            <w:pPr>
              <w:ind w:left="300"/>
              <w:spacing w:after="0"/>
              <w:rPr>
                <w:sz w:val="20"/>
                <w:szCs w:val="20"/>
                <w:color w:val="auto"/>
              </w:rPr>
            </w:pPr>
            <w:r>
              <w:rPr>
                <w:rFonts w:ascii="Arial" w:cs="Arial" w:eastAsia="Arial" w:hAnsi="Arial"/>
                <w:sz w:val="18"/>
                <w:szCs w:val="18"/>
                <w:i w:val="1"/>
                <w:iCs w:val="1"/>
                <w:color w:val="32406B"/>
                <w:w w:val="95"/>
              </w:rPr>
              <w:t>Mitsubishi UFJ Securities</w:t>
            </w: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i w:val="1"/>
                <w:iCs w:val="1"/>
                <w:color w:val="32406B"/>
              </w:rPr>
              <w:t>Mizuho Securities USA Inc.</w:t>
            </w:r>
          </w:p>
        </w:tc>
      </w:tr>
      <w:tr>
        <w:trPr>
          <w:trHeight w:val="284"/>
        </w:trPr>
        <w:tc>
          <w:tcPr>
            <w:tcW w:w="3700" w:type="dxa"/>
            <w:vAlign w:val="bottom"/>
          </w:tcPr>
          <w:p>
            <w:pPr>
              <w:ind w:left="2220"/>
              <w:spacing w:after="0"/>
              <w:rPr>
                <w:sz w:val="20"/>
                <w:szCs w:val="20"/>
                <w:color w:val="auto"/>
              </w:rPr>
            </w:pPr>
            <w:r>
              <w:rPr>
                <w:rFonts w:ascii="Arial" w:cs="Arial" w:eastAsia="Arial" w:hAnsi="Arial"/>
                <w:sz w:val="18"/>
                <w:szCs w:val="18"/>
                <w:i w:val="1"/>
                <w:iCs w:val="1"/>
                <w:color w:val="32406B"/>
              </w:rPr>
              <w:t>Barclays Capital</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i w:val="1"/>
                <w:iCs w:val="1"/>
                <w:color w:val="32406B"/>
              </w:rPr>
              <w:t>The Williams Capital Group, L.P.</w:t>
            </w:r>
          </w:p>
        </w:tc>
        <w:tc>
          <w:tcPr>
            <w:tcW w:w="23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lowerLetter"/>
      <w:start w:val="4"/>
    </w:lvl>
  </w:abstractNum>
  <w:abstractNum w:abstractNumId="9">
    <w:nsid w:val="1E7FF521"/>
    <w:multiLevelType w:val="hybridMultilevel"/>
    <w:lvl w:ilvl="0">
      <w:lvlJc w:val="left"/>
      <w:lvlText w:val="(%1)"/>
      <w:numFmt w:val="lowerLetter"/>
      <w:start w:val="7"/>
    </w:lvl>
  </w:abstractNum>
  <w:abstractNum w:abstractNumId="10">
    <w:nsid w:val="7C3DBD3D"/>
    <w:multiLevelType w:val="hybridMultilevel"/>
    <w:lvl w:ilvl="0">
      <w:lvlJc w:val="left"/>
      <w:lvlText w:val="(%1)"/>
      <w:numFmt w:val="lowerLetter"/>
      <w:start w:val="8"/>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lvl w:ilvl="1">
      <w:lvlJc w:val="left"/>
      <w:lvlText w:val="(%2)"/>
      <w:numFmt w:val="lowerLetter"/>
      <w:start w:val="9"/>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
      <w:numFmt w:val="bullet"/>
      <w:start w:val="1"/>
    </w:lvl>
    <w:lvl w:ilvl="1">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lvl w:ilvl="1">
      <w:lvlJc w:val="left"/>
      <w:lvlText w:val="•"/>
      <w:numFmt w:val="bullet"/>
      <w:start w:val="1"/>
    </w:lvl>
  </w:abstractNum>
  <w:abstractNum w:abstractNumId="39">
    <w:nsid w:val="7A6D8D3C"/>
    <w:multiLevelType w:val="hybridMultilevel"/>
    <w:lvl w:ilvl="0">
      <w:lvlJc w:val="left"/>
      <w:lvlText w:val="•"/>
      <w:numFmt w:val="bullet"/>
      <w:start w:val="1"/>
    </w:lvl>
    <w:lvl w:ilvl="1">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lvl w:ilvl="1">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2019-12-10T04:26:12Z</dcterms:created>
  <dcterms:modified xsi:type="dcterms:W3CDTF">2019-12-10T04:26:12Z</dcterms:modified>
</cp:coreProperties>
</file>