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15240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42545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29210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860" w:type="dxa"/>
        <w:tblCellMar>
          <w:top w:w="0" w:type="dxa"/>
          <w:left w:w="0" w:type="dxa"/>
          <w:bottom w:w="0" w:type="dxa"/>
          <w:right w:w="0" w:type="dxa"/>
        </w:tblCellMar>
      </w:tblPr>
      <w:tr>
        <w:trPr>
          <w:trHeight w:val="239"/>
        </w:trPr>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Delaware</w:t>
            </w:r>
          </w:p>
        </w:tc>
        <w:tc>
          <w:tcPr>
            <w:tcW w:w="5400" w:type="dxa"/>
            <w:vAlign w:val="bottom"/>
          </w:tcPr>
          <w:p>
            <w:pPr>
              <w:jc w:val="center"/>
              <w:ind w:right="60"/>
              <w:spacing w:after="0"/>
              <w:rPr>
                <w:sz w:val="20"/>
                <w:szCs w:val="20"/>
                <w:color w:val="auto"/>
              </w:rPr>
            </w:pPr>
            <w:r>
              <w:rPr>
                <w:rFonts w:ascii="Arial" w:cs="Arial" w:eastAsia="Arial" w:hAnsi="Arial"/>
                <w:sz w:val="18"/>
                <w:szCs w:val="18"/>
                <w:b w:val="1"/>
                <w:bCs w:val="1"/>
                <w:color w:val="auto"/>
                <w:w w:val="99"/>
              </w:rPr>
              <w:t>001-03761</w:t>
            </w:r>
          </w:p>
        </w:tc>
        <w:tc>
          <w:tcPr>
            <w:tcW w:w="1680" w:type="dxa"/>
            <w:vAlign w:val="bottom"/>
            <w:gridSpan w:val="2"/>
          </w:tcPr>
          <w:p>
            <w:pPr>
              <w:jc w:val="center"/>
              <w:ind w:left="399"/>
              <w:spacing w:after="0"/>
              <w:rPr>
                <w:sz w:val="20"/>
                <w:szCs w:val="20"/>
                <w:color w:val="auto"/>
              </w:rPr>
            </w:pPr>
            <w:r>
              <w:rPr>
                <w:rFonts w:ascii="Arial" w:cs="Arial" w:eastAsia="Arial" w:hAnsi="Arial"/>
                <w:sz w:val="18"/>
                <w:szCs w:val="18"/>
                <w:b w:val="1"/>
                <w:bCs w:val="1"/>
                <w:color w:val="auto"/>
                <w:w w:val="99"/>
              </w:rPr>
              <w:t>75-0289970</w:t>
            </w:r>
          </w:p>
        </w:tc>
      </w:tr>
      <w:tr>
        <w:trPr>
          <w:trHeight w:val="144"/>
        </w:trPr>
        <w:tc>
          <w:tcPr>
            <w:tcW w:w="21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(State or other jurisdiction</w:t>
            </w:r>
          </w:p>
        </w:tc>
        <w:tc>
          <w:tcPr>
            <w:tcW w:w="540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(Commission</w:t>
            </w:r>
          </w:p>
        </w:tc>
        <w:tc>
          <w:tcPr>
            <w:tcW w:w="5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incorporation)</w:t>
            </w:r>
          </w:p>
        </w:tc>
        <w:tc>
          <w:tcPr>
            <w:tcW w:w="5400" w:type="dxa"/>
            <w:vAlign w:val="bottom"/>
          </w:tcPr>
          <w:p>
            <w:pPr>
              <w:jc w:val="center"/>
              <w:ind w:right="6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rPr>
              <w:t>identification no.)</w:t>
            </w:r>
          </w:p>
        </w:tc>
      </w:tr>
      <w:tr>
        <w:trPr>
          <w:trHeight w:val="487"/>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12500 TI Boulevard</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Dallas, Texas 75243</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00"/>
        </w:trPr>
        <w:tc>
          <w:tcPr>
            <w:tcW w:w="1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Registrant’s telephone number, including area code: (214) 479-3773</w:t>
            </w:r>
          </w:p>
        </w:tc>
        <w:tc>
          <w:tcPr>
            <w:tcW w:w="50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bl>
    <w:p>
      <w:pPr>
        <w:spacing w:after="0" w:line="346"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6"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9"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42"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5"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700" w:type="dxa"/>
            <w:vAlign w:val="bottom"/>
            <w:gridSpan w:val="3"/>
            <w:vMerge w:val="restart"/>
          </w:tcPr>
          <w:p>
            <w:pPr>
              <w:jc w:val="center"/>
              <w:ind w:right="640"/>
              <w:spacing w:after="0"/>
              <w:rPr>
                <w:sz w:val="20"/>
                <w:szCs w:val="20"/>
                <w:color w:val="auto"/>
              </w:rPr>
            </w:pPr>
            <w:r>
              <w:rPr>
                <w:rFonts w:ascii="Arial" w:cs="Arial" w:eastAsia="Arial" w:hAnsi="Arial"/>
                <w:sz w:val="18"/>
                <w:szCs w:val="18"/>
                <w:b w:val="1"/>
                <w:bCs w:val="1"/>
                <w:color w:val="auto"/>
                <w:w w:val="99"/>
              </w:rPr>
              <w:t>Title of each class</w:t>
            </w: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5"/>
        </w:trPr>
        <w:tc>
          <w:tcPr>
            <w:tcW w:w="4700" w:type="dxa"/>
            <w:vAlign w:val="bottom"/>
            <w:gridSpan w:val="3"/>
            <w:vMerge w:val="continue"/>
          </w:tcPr>
          <w:p>
            <w:pPr>
              <w:spacing w:after="0"/>
              <w:rPr>
                <w:sz w:val="20"/>
                <w:szCs w:val="20"/>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Symbol(s)</w:t>
            </w: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$1.00</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274"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Registrant’s news release dated July 22, 2025, regarding its second-quarter results of operations and financial condition is attached hereto as Exhibit 99.</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 -GAAP measures are supplemental to the comparable GAAP measures. Reconciliation to the most directly comparable GAAP measures is included in the “Non-GAAP financial information” section of the news release.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Designation</w:t>
      </w:r>
    </w:p>
    <w:p>
      <w:pPr>
        <w:ind w:left="320"/>
        <w:spacing w:after="0" w:line="203" w:lineRule="auto"/>
        <w:rPr>
          <w:sz w:val="20"/>
          <w:szCs w:val="20"/>
          <w:color w:val="auto"/>
        </w:rPr>
      </w:pPr>
      <w:r>
        <w:rPr>
          <w:rFonts w:ascii="Arial" w:cs="Arial" w:eastAsia="Arial" w:hAnsi="Arial"/>
          <w:sz w:val="14"/>
          <w:szCs w:val="14"/>
          <w:color w:val="auto"/>
        </w:rPr>
        <w:t>of Exhibit</w:t>
      </w:r>
    </w:p>
    <w:p>
      <w:pPr>
        <w:ind w:left="440"/>
        <w:spacing w:after="0" w:line="221" w:lineRule="auto"/>
        <w:rPr>
          <w:sz w:val="20"/>
          <w:szCs w:val="20"/>
          <w:color w:val="auto"/>
        </w:rPr>
      </w:pPr>
      <w:r>
        <w:rPr>
          <w:rFonts w:ascii="Arial" w:cs="Arial" w:eastAsia="Arial" w:hAnsi="Arial"/>
          <w:sz w:val="14"/>
          <w:szCs w:val="14"/>
          <w:color w:val="auto"/>
        </w:rPr>
        <w:t>in this</w:t>
      </w:r>
    </w:p>
    <w:p>
      <w:pPr>
        <w:spacing w:after="0" w:line="1" w:lineRule="exact"/>
        <w:rPr>
          <w:sz w:val="20"/>
          <w:szCs w:val="20"/>
          <w:color w:val="auto"/>
        </w:rPr>
      </w:pPr>
    </w:p>
    <w:p>
      <w:pPr>
        <w:ind w:left="400"/>
        <w:spacing w:after="0"/>
        <w:tabs>
          <w:tab w:leader="none" w:pos="1580" w:val="left"/>
        </w:tabs>
        <w:rPr>
          <w:sz w:val="20"/>
          <w:szCs w:val="20"/>
          <w:color w:val="auto"/>
        </w:rPr>
      </w:pPr>
      <w:r>
        <w:rPr>
          <w:rFonts w:ascii="Arial" w:cs="Arial" w:eastAsia="Arial" w:hAnsi="Arial"/>
          <w:sz w:val="14"/>
          <w:szCs w:val="14"/>
          <w:color w:val="auto"/>
        </w:rPr>
        <w:t>Report</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6129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68" w:lineRule="exact"/>
        <w:rPr>
          <w:sz w:val="20"/>
          <w:szCs w:val="20"/>
          <w:color w:val="auto"/>
        </w:rPr>
      </w:pPr>
    </w:p>
    <w:p>
      <w:pPr>
        <w:ind w:left="1600" w:hanging="107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Registrant’s News Release</w:t>
      </w:r>
    </w:p>
    <w:p>
      <w:pPr>
        <w:spacing w:after="0" w:line="3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Dated July 22, 2025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20" w:type="dxa"/>
            <w:vAlign w:val="bottom"/>
          </w:tcPr>
          <w:p>
            <w:pPr>
              <w:spacing w:after="0"/>
              <w:rPr>
                <w:sz w:val="20"/>
                <w:szCs w:val="20"/>
                <w:color w:val="auto"/>
              </w:rPr>
            </w:pPr>
          </w:p>
        </w:tc>
        <w:tc>
          <w:tcPr>
            <w:tcW w:w="7380" w:type="dxa"/>
            <w:vAlign w:val="bottom"/>
            <w:gridSpan w:val="2"/>
          </w:tcPr>
          <w:p>
            <w:pPr>
              <w:ind w:left="2260"/>
              <w:spacing w:after="0"/>
              <w:rPr>
                <w:sz w:val="20"/>
                <w:szCs w:val="20"/>
                <w:color w:val="auto"/>
              </w:rPr>
            </w:pPr>
            <w:r>
              <w:rPr>
                <w:rFonts w:ascii="Arial" w:cs="Arial" w:eastAsia="Arial" w:hAnsi="Arial"/>
                <w:sz w:val="18"/>
                <w:szCs w:val="18"/>
                <w:color w:val="auto"/>
              </w:rPr>
              <w:t>TEXAS INSTRUMENTS INCORPORATED</w:t>
            </w:r>
          </w:p>
        </w:tc>
      </w:tr>
      <w:tr>
        <w:trPr>
          <w:trHeight w:val="455"/>
        </w:trPr>
        <w:tc>
          <w:tcPr>
            <w:tcW w:w="3820" w:type="dxa"/>
            <w:vAlign w:val="bottom"/>
          </w:tcPr>
          <w:p>
            <w:pPr>
              <w:spacing w:after="0"/>
              <w:rPr>
                <w:sz w:val="20"/>
                <w:szCs w:val="20"/>
                <w:color w:val="auto"/>
              </w:rPr>
            </w:pPr>
            <w:r>
              <w:rPr>
                <w:rFonts w:ascii="Arial" w:cs="Arial" w:eastAsia="Arial" w:hAnsi="Arial"/>
                <w:sz w:val="18"/>
                <w:szCs w:val="18"/>
                <w:color w:val="auto"/>
              </w:rPr>
              <w:t>Date: July 22, 2025</w:t>
            </w:r>
          </w:p>
        </w:tc>
        <w:tc>
          <w:tcPr>
            <w:tcW w:w="3100" w:type="dxa"/>
            <w:vAlign w:val="bottom"/>
          </w:tcPr>
          <w:p>
            <w:pPr>
              <w:ind w:left="22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Lizardi</w:t>
            </w:r>
          </w:p>
        </w:tc>
      </w:tr>
      <w:tr>
        <w:trPr>
          <w:trHeight w:val="218"/>
        </w:trPr>
        <w:tc>
          <w:tcPr>
            <w:tcW w:w="38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Lizardi</w:t>
            </w:r>
          </w:p>
        </w:tc>
      </w:tr>
      <w:tr>
        <w:trPr>
          <w:trHeight w:val="229"/>
        </w:trPr>
        <w:tc>
          <w:tcPr>
            <w:tcW w:w="38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8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second quarter 2025 financial results and shareholder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Conference call at 3:30 p.m. Central time today on </w:t>
      </w:r>
      <w:r>
        <w:rPr>
          <w:rFonts w:ascii="Arial" w:cs="Arial" w:eastAsia="Arial" w:hAnsi="Arial"/>
          <w:sz w:val="18"/>
          <w:szCs w:val="18"/>
          <w:u w:val="single" w:color="auto"/>
          <w:color w:val="3A3AFF"/>
        </w:rPr>
        <w:t>ti.com/ir</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DALLAS (July 22, 2025) – Texas Instruments Incorporated (TI) (Nasdaq: TXN) today reported second quarter revenue of $4.45 billion, net income of $1.30 billion and earnings per share of $1.41. Earnings per share included a 2-cent benefit that was not in the company's original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Regarding the company's performance and returns to shareholders, Haviv Ilan, TI's president and CEO, made the following comments:</w:t>
      </w:r>
    </w:p>
    <w:p>
      <w:pPr>
        <w:spacing w:after="0" w:line="225" w:lineRule="exact"/>
        <w:rPr>
          <w:sz w:val="20"/>
          <w:szCs w:val="20"/>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9% sequentially, led by continued broad recovery in industrial, and 16% from the same quarter a year ago.</w:t>
      </w:r>
    </w:p>
    <w:p>
      <w:pPr>
        <w:spacing w:after="0" w:line="225" w:lineRule="exact"/>
        <w:rPr>
          <w:rFonts w:ascii="Arial" w:cs="Arial" w:eastAsia="Arial" w:hAnsi="Arial"/>
          <w:sz w:val="18"/>
          <w:szCs w:val="18"/>
          <w:color w:val="auto"/>
        </w:rPr>
      </w:pPr>
    </w:p>
    <w:p>
      <w:pPr>
        <w:ind w:left="620" w:right="32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$6.4 billion for the trailing 12 months again underscored the strength of our business model, the quality of our product portfolio and the benefit of 300mm production. Free cash flow for the same period was $1.8 billion.</w:t>
      </w:r>
    </w:p>
    <w:p>
      <w:pPr>
        <w:spacing w:after="0" w:line="152"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$3.9 billion in R&amp;D and SG&amp;A, invested $4.9 billion in capital expenditures and returned $6.7 billion to owners.</w:t>
      </w:r>
    </w:p>
    <w:p>
      <w:pPr>
        <w:spacing w:after="0" w:line="152" w:lineRule="exact"/>
        <w:rPr>
          <w:rFonts w:ascii="Arial" w:cs="Arial" w:eastAsia="Arial" w:hAnsi="Arial"/>
          <w:sz w:val="18"/>
          <w:szCs w:val="18"/>
          <w:color w:val="auto"/>
        </w:rPr>
      </w:pPr>
    </w:p>
    <w:p>
      <w:pPr>
        <w:ind w:left="620" w:right="4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third quarter outlook is for revenue in the range of $4.45 billion to $4.80 billion and earnings per share between $1.36 and $1.60, which does not include changes related to recently enacted U.S. tax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line="285" w:lineRule="auto"/>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 plus proceeds from U.S. CHIPS and Science Act (CHIPS Act) incentives.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Q2 2025</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6"/>
            <w:vMerge w:val="restart"/>
          </w:tcPr>
          <w:p>
            <w:pPr>
              <w:ind w:left="140"/>
              <w:spacing w:after="0"/>
              <w:rPr>
                <w:sz w:val="20"/>
                <w:szCs w:val="20"/>
                <w:color w:val="auto"/>
              </w:rPr>
            </w:pPr>
            <w:r>
              <w:rPr>
                <w:rFonts w:ascii="Arial" w:cs="Arial" w:eastAsia="Arial" w:hAnsi="Arial"/>
                <w:sz w:val="18"/>
                <w:szCs w:val="18"/>
                <w:color w:val="auto"/>
              </w:rPr>
              <w:t>Q2 2024</w:t>
            </w:r>
          </w:p>
        </w:tc>
        <w:tc>
          <w:tcPr>
            <w:tcW w:w="1540" w:type="dxa"/>
            <w:vAlign w:val="bottom"/>
            <w:vMerge w:val="restart"/>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line="20" w:lineRule="exact"/>
              <w:rPr>
                <w:sz w:val="1"/>
                <w:szCs w:val="1"/>
                <w:color w:val="auto"/>
              </w:rPr>
            </w:pPr>
          </w:p>
        </w:tc>
      </w:tr>
      <w:tr>
        <w:trPr>
          <w:trHeight w:val="547"/>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6"/>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0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4,448</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gridSpan w:val="2"/>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3,822</w:t>
            </w: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1,563</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1,295</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1,127</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585"/>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color w:val="auto"/>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Q2 2025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Q2 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20"/>
              <w:spacing w:after="0"/>
              <w:rPr>
                <w:sz w:val="20"/>
                <w:szCs w:val="20"/>
                <w:color w:val="auto"/>
              </w:rPr>
            </w:pPr>
            <w:r>
              <w:rPr>
                <w:rFonts w:ascii="Arial" w:cs="Arial" w:eastAsia="Arial" w:hAnsi="Arial"/>
                <w:sz w:val="18"/>
                <w:szCs w:val="18"/>
                <w:color w:val="auto"/>
              </w:rPr>
              <w:t>Q2 2024</w:t>
            </w:r>
          </w:p>
        </w:tc>
        <w:tc>
          <w:tcPr>
            <w:tcW w:w="1540" w:type="dxa"/>
            <w:vAlign w:val="bottom"/>
          </w:tcPr>
          <w:p>
            <w:pPr>
              <w:ind w:lef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DBDBDB"/>
          </w:tcPr>
          <w:p>
            <w:pPr>
              <w:spacing w:after="0"/>
              <w:rPr>
                <w:sz w:val="19"/>
                <w:szCs w:val="19"/>
                <w:color w:val="auto"/>
              </w:rPr>
            </w:pP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1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6,439</w:t>
            </w: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gridSpan w:val="3"/>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6,449</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1,763</w:t>
            </w:r>
          </w:p>
        </w:tc>
        <w:tc>
          <w:tcPr>
            <w:tcW w:w="80" w:type="dxa"/>
            <w:vAlign w:val="bottom"/>
          </w:tcPr>
          <w:p>
            <w:pPr>
              <w:spacing w:after="0"/>
              <w:rPr>
                <w:sz w:val="19"/>
                <w:szCs w:val="19"/>
                <w:color w:val="auto"/>
              </w:rPr>
            </w:pPr>
          </w:p>
        </w:tc>
        <w:tc>
          <w:tcPr>
            <w:tcW w:w="3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1,494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10.6 %</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240" w:type="dxa"/>
            <w:vAlign w:val="bottom"/>
            <w:gridSpan w:val="3"/>
            <w:shd w:val="clear" w:color="auto" w:fill="DBDBDB"/>
          </w:tcPr>
          <w:p>
            <w:pPr>
              <w:jc w:val="right"/>
              <w:ind w:right="20"/>
              <w:spacing w:after="0"/>
              <w:rPr>
                <w:sz w:val="20"/>
                <w:szCs w:val="20"/>
                <w:color w:val="auto"/>
              </w:rPr>
            </w:pPr>
            <w:r>
              <w:rPr>
                <w:rFonts w:ascii="Arial" w:cs="Arial" w:eastAsia="Arial" w:hAnsi="Arial"/>
                <w:sz w:val="18"/>
                <w:szCs w:val="18"/>
                <w:color w:val="auto"/>
              </w:rPr>
              <w:t>9.3 %</w:t>
            </w: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color w:val="auto"/>
                <w:w w:val="99"/>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Q2 2025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Q2 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60"/>
              <w:spacing w:after="0"/>
              <w:rPr>
                <w:sz w:val="20"/>
                <w:szCs w:val="20"/>
                <w:color w:val="auto"/>
              </w:rPr>
            </w:pPr>
            <w:r>
              <w:rPr>
                <w:rFonts w:ascii="Arial" w:cs="Arial" w:eastAsia="Arial" w:hAnsi="Arial"/>
                <w:sz w:val="18"/>
                <w:szCs w:val="18"/>
                <w:color w:val="auto"/>
              </w:rPr>
              <w:t>Q2 2024</w:t>
            </w:r>
          </w:p>
        </w:tc>
        <w:tc>
          <w:tcPr>
            <w:tcW w:w="1540" w:type="dxa"/>
            <w:vAlign w:val="bottom"/>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1,235</w:t>
            </w:r>
          </w:p>
        </w:tc>
        <w:tc>
          <w:tcPr>
            <w:tcW w:w="6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4,900</w:t>
            </w:r>
          </w:p>
        </w:tc>
        <w:tc>
          <w:tcPr>
            <w:tcW w:w="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gridSpan w:val="2"/>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4,675</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1,810</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878 %</w:t>
            </w: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1,537</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6,710</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4,860</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1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4,448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1,873</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2,575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485</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1,478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1,295</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1.41</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908</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912</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720" w:type="dxa"/>
            <w:vAlign w:val="bottom"/>
            <w:tcBorders>
              <w:top w:val="single" w:sz="8" w:color="DBDBDB"/>
              <w:bottom w:val="single" w:sz="8" w:color="DBDBDB"/>
            </w:tcBorders>
            <w:gridSpan w:val="2"/>
            <w:vMerge w:val="restart"/>
          </w:tcPr>
          <w:p>
            <w:pPr>
              <w:jc w:val="center"/>
              <w:ind w:left="3330"/>
              <w:spacing w:after="0"/>
              <w:rPr>
                <w:sz w:val="20"/>
                <w:szCs w:val="20"/>
                <w:color w:val="auto"/>
              </w:rPr>
            </w:pPr>
            <w:r>
              <w:rPr>
                <w:rFonts w:ascii="Arial" w:cs="Arial" w:eastAsia="Arial" w:hAnsi="Arial"/>
                <w:sz w:val="18"/>
                <w:szCs w:val="18"/>
                <w:b w:val="1"/>
                <w:bCs w:val="1"/>
                <w:color w:val="auto"/>
                <w:w w:val="99"/>
              </w:rPr>
              <w:t>Supplemental Information</w:t>
            </w: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2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99"/>
              </w:rPr>
              <w:t>(Quarterly, except as noted)</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199</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Discrete tax items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70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1,295</w:t>
            </w:r>
          </w:p>
        </w:tc>
        <w:tc>
          <w:tcPr>
            <w:tcW w:w="10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1,127</w:t>
            </w:r>
          </w:p>
        </w:tc>
      </w:tr>
      <w:tr>
        <w:trPr>
          <w:trHeight w:val="229"/>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0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1,288</w:t>
            </w:r>
          </w:p>
        </w:tc>
        <w:tc>
          <w:tcPr>
            <w:tcW w:w="10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1,121</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80" w:top="890"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9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4"/>
                <w:szCs w:val="24"/>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3,044</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2,740</w:t>
            </w: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2,315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6,948</w:t>
            </w:r>
          </w:p>
        </w:tc>
      </w:tr>
      <w:tr>
        <w:trPr>
          <w:trHeight w:val="229"/>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($24) and ($28)</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1,934</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2,429</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2,072</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1,981</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r>
      <w:tr>
        <w:trPr>
          <w:trHeight w:val="223"/>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4,812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4,106</w:t>
            </w:r>
          </w:p>
        </w:tc>
      </w:tr>
      <w:tr>
        <w:trPr>
          <w:trHeight w:val="229"/>
        </w:trPr>
        <w:tc>
          <w:tcPr>
            <w:tcW w:w="772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2,379</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r>
      <w:tr>
        <w:trPr>
          <w:trHeight w:val="223"/>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14,484</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16,789</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16,878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14,622</w:t>
            </w:r>
          </w:p>
        </w:tc>
      </w:tr>
      <w:tr>
        <w:trPr>
          <w:trHeight w:val="230"/>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(4,557)</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(3,448)</w:t>
            </w:r>
          </w:p>
        </w:tc>
      </w:tr>
      <w:tr>
        <w:trPr>
          <w:trHeight w:val="223"/>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12,321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11,174</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2,169</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1,421</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34,933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35,048</w:t>
            </w: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30"/>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881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858</w:t>
            </w: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772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963</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r>
      <w:tr>
        <w:trPr>
          <w:trHeight w:val="223"/>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2,492</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3,637</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14,043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12,842</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1,810</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1,187</w:t>
            </w: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18,530</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17,834</w:t>
            </w:r>
          </w:p>
        </w:tc>
      </w:tr>
      <w:tr>
        <w:trPr>
          <w:trHeight w:val="21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4,245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3,666</w:t>
            </w:r>
          </w:p>
        </w:tc>
      </w:tr>
      <w:tr>
        <w:trPr>
          <w:trHeight w:val="230"/>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52,249</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52,135</w:t>
            </w: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June 30, 2025 – 832; June 30, 2024 – 828</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(41,676)</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(40,128)</w:t>
            </w:r>
          </w:p>
        </w:tc>
      </w:tr>
      <w:tr>
        <w:trPr>
          <w:trHeight w:val="229"/>
        </w:trPr>
        <w:tc>
          <w:tcPr>
            <w:tcW w:w="772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16,403</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17,214</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34,933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35,048</w:t>
            </w: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80" w:top="890"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1,295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Stock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Losses on sales of assets</w:t>
            </w:r>
          </w:p>
        </w:tc>
        <w:tc>
          <w:tcPr>
            <w:tcW w:w="5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Deferred taxes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1,860</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37"/>
        </w:trPr>
        <w:tc>
          <w:tcPr>
            <w:tcW w:w="7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(1,305)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Proceeds from CHIPS Act incentives</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asset sales</w:t>
            </w:r>
          </w:p>
        </w:tc>
        <w:tc>
          <w:tcPr>
            <w:tcW w:w="5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1,131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(1,335)</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Repayment of debt</w:t>
            </w:r>
          </w:p>
        </w:tc>
        <w:tc>
          <w:tcPr>
            <w:tcW w:w="5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Dividends paid</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37"/>
        </w:trPr>
        <w:tc>
          <w:tcPr>
            <w:tcW w:w="7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2,763</w:t>
            </w:r>
          </w:p>
        </w:tc>
        <w:tc>
          <w:tcPr>
            <w:tcW w:w="10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3,044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120"/>
              <w:spacing w:after="0"/>
              <w:rPr>
                <w:sz w:val="20"/>
                <w:szCs w:val="20"/>
                <w:color w:val="auto"/>
              </w:rPr>
            </w:pPr>
            <w:r>
              <w:rPr>
                <w:rFonts w:ascii="Arial" w:cs="Arial" w:eastAsia="Arial" w:hAnsi="Arial"/>
                <w:sz w:val="18"/>
                <w:szCs w:val="18"/>
                <w:color w:val="auto"/>
              </w:rPr>
              <w:t>Investment tax credit (ITC) used to reduce income taxes payable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203</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120"/>
              <w:spacing w:after="0"/>
              <w:rPr>
                <w:sz w:val="20"/>
                <w:szCs w:val="20"/>
                <w:color w:val="auto"/>
              </w:rPr>
            </w:pPr>
            <w:r>
              <w:rPr>
                <w:rFonts w:ascii="Arial" w:cs="Arial" w:eastAsia="Arial" w:hAnsi="Arial"/>
                <w:sz w:val="18"/>
                <w:szCs w:val="18"/>
                <w:color w:val="auto"/>
              </w:rPr>
              <w:t>Proceeds from CHIPS Act incentives</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2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cash benefit related to the CHIPS Act</w:t>
            </w:r>
          </w:p>
        </w:tc>
        <w:tc>
          <w:tcPr>
            <w:tcW w:w="540" w:type="dxa"/>
            <w:vAlign w:val="bottom"/>
            <w:tcBorders>
              <w:top w:val="single" w:sz="8" w:color="auto"/>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203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460" w:type="dxa"/>
            <w:vAlign w:val="bottom"/>
            <w:tcBorders>
              <w:top w:val="single" w:sz="8" w:color="auto"/>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80" w:top="89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40"/>
          </w:cols>
          <w:pgMar w:left="380" w:top="890" w:right="37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Q2 2025</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Q2 2024</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2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80" w:type="dxa"/>
            <w:vAlign w:val="bottom"/>
            <w:tcBorders>
              <w:top w:val="single" w:sz="8" w:color="auto"/>
            </w:tcBorders>
            <w:shd w:val="clear" w:color="auto" w:fill="DBDBDB"/>
          </w:tcPr>
          <w:p>
            <w:pPr>
              <w:spacing w:after="0"/>
              <w:rPr>
                <w:sz w:val="19"/>
                <w:szCs w:val="19"/>
                <w:color w:val="auto"/>
              </w:rPr>
            </w:pP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66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6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66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is calculated as cash flows from operating activities (also referred to as cash flow from operations) less capital expenditures, plus proceeds from CHIPS Act incentives.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8"/>
              </w:rPr>
              <w:t>For Three</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4"/>
            <w:vMerge w:val="restart"/>
          </w:tcPr>
          <w:p>
            <w:pPr>
              <w:jc w:val="right"/>
              <w:ind w:right="610"/>
              <w:spacing w:after="0"/>
              <w:rPr>
                <w:sz w:val="20"/>
                <w:szCs w:val="20"/>
                <w:color w:val="auto"/>
              </w:rPr>
            </w:pPr>
            <w:r>
              <w:rPr>
                <w:rFonts w:ascii="Arial" w:cs="Arial" w:eastAsia="Arial" w:hAnsi="Arial"/>
                <w:sz w:val="18"/>
                <w:szCs w:val="18"/>
                <w:b w:val="1"/>
                <w:bCs w:val="1"/>
                <w:color w:val="auto"/>
              </w:rPr>
              <w:t>For 12 Months Ended</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5"/>
                <w:szCs w:val="15"/>
                <w:color w:val="auto"/>
              </w:rPr>
            </w:pPr>
          </w:p>
        </w:tc>
        <w:tc>
          <w:tcPr>
            <w:tcW w:w="1560" w:type="dxa"/>
            <w:vAlign w:val="bottom"/>
            <w:tcBorders>
              <w:right w:val="single" w:sz="8" w:color="auto"/>
            </w:tcBorders>
            <w:gridSpan w:val="3"/>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Months Ended</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1"/>
                <w:szCs w:val="21"/>
                <w:color w:val="auto"/>
              </w:rPr>
            </w:pPr>
          </w:p>
        </w:tc>
        <w:tc>
          <w:tcPr>
            <w:tcW w:w="136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DBDBDB"/>
            </w:tcBorders>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180" w:type="dxa"/>
            <w:vAlign w:val="bottom"/>
            <w:tcBorders>
              <w:bottom w:val="single" w:sz="8" w:color="DBDBDB"/>
              <w:right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DBDBDB"/>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1,860</w:t>
            </w:r>
          </w:p>
        </w:tc>
        <w:tc>
          <w:tcPr>
            <w:tcW w:w="180" w:type="dxa"/>
            <w:vAlign w:val="bottom"/>
            <w:tcBorders>
              <w:right w:val="single" w:sz="8" w:color="auto"/>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6,439</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6,449</w:t>
            </w: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(1,305)</w:t>
            </w: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(4,936)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CHIPS Act incentives</w:t>
            </w:r>
          </w:p>
        </w:tc>
        <w:tc>
          <w:tcPr>
            <w:tcW w:w="200" w:type="dxa"/>
            <w:vAlign w:val="bottom"/>
            <w:shd w:val="clear" w:color="auto" w:fill="DBDBDB"/>
          </w:tcPr>
          <w:p>
            <w:pPr>
              <w:spacing w:after="0"/>
              <w:rPr>
                <w:sz w:val="19"/>
                <w:szCs w:val="19"/>
                <w:color w:val="auto"/>
              </w:rPr>
            </w:pPr>
          </w:p>
        </w:tc>
        <w:tc>
          <w:tcPr>
            <w:tcW w:w="1360" w:type="dxa"/>
            <w:vAlign w:val="bottom"/>
            <w:tcBorders>
              <w:right w:val="single" w:sz="8" w:color="auto"/>
            </w:tcBorders>
            <w:gridSpan w:val="2"/>
            <w:shd w:val="clear" w:color="auto" w:fill="DBDBDB"/>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260</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80" w:type="dxa"/>
            <w:vAlign w:val="bottom"/>
          </w:tcPr>
          <w:p>
            <w:pPr>
              <w:ind w:left="20"/>
              <w:spacing w:after="0"/>
              <w:rPr>
                <w:sz w:val="20"/>
                <w:szCs w:val="20"/>
                <w:color w:val="auto"/>
              </w:rPr>
            </w:pPr>
            <w:r>
              <w:rPr>
                <w:rFonts w:ascii="Arial" w:cs="Arial" w:eastAsia="Arial" w:hAnsi="Arial"/>
                <w:sz w:val="18"/>
                <w:szCs w:val="18"/>
                <w:color w:val="auto"/>
              </w:rPr>
              <w:t>Free cash flow (non-GAAP)</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w:t>
            </w:r>
          </w:p>
        </w:tc>
        <w:tc>
          <w:tcPr>
            <w:tcW w:w="18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1,763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1,494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3"/>
        </w:trPr>
        <w:tc>
          <w:tcPr>
            <w:tcW w:w="46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DBDBDB"/>
              <w:right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12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spacing w:after="0"/>
              <w:rPr>
                <w:sz w:val="19"/>
                <w:szCs w:val="19"/>
                <w:color w:val="auto"/>
              </w:rPr>
            </w:pPr>
          </w:p>
        </w:tc>
        <w:tc>
          <w:tcPr>
            <w:tcW w:w="11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40" w:type="dxa"/>
            <w:vAlign w:val="bottom"/>
            <w:tcBorders>
              <w:top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16,675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16,092</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1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8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line="176" w:lineRule="exact"/>
              <w:rPr>
                <w:sz w:val="20"/>
                <w:szCs w:val="20"/>
                <w:color w:val="auto"/>
              </w:rPr>
            </w:pPr>
            <w:r>
              <w:rPr>
                <w:rFonts w:ascii="Arial" w:cs="Arial" w:eastAsia="Arial" w:hAnsi="Arial"/>
                <w:sz w:val="18"/>
                <w:szCs w:val="18"/>
                <w:color w:val="auto"/>
              </w:rPr>
              <w:t>Cash flow from operations as a percentage of revenue</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38.6 %</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40.1 %</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(GAAP)</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20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8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10.6 %</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60" w:firstLine="8"/>
        <w:spacing w:after="0" w:line="285"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cash benefits of $203 million, $479 million and $312 million from the CHIPS Act ITC used to reduce income taxes payable for the three months ended June 30, 2025, and the twelve months ended June 30, 2025 and 2024, respectively</w:t>
      </w:r>
      <w:r>
        <w:rPr>
          <w:rFonts w:ascii="Arial" w:cs="Arial" w:eastAsia="Arial" w:hAnsi="Arial"/>
          <w:sz w:val="18"/>
          <w:szCs w:val="18"/>
          <w:color w:val="auto"/>
        </w:rPr>
        <w:t>.</w:t>
      </w:r>
    </w:p>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295"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6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1" w:lineRule="exact"/>
        <w:rPr>
          <w:rFonts w:ascii="Arial" w:cs="Arial" w:eastAsia="Arial" w:hAnsi="Arial"/>
          <w:sz w:val="18"/>
          <w:szCs w:val="18"/>
          <w:color w:val="auto"/>
        </w:rPr>
      </w:pPr>
    </w:p>
    <w:p>
      <w:pPr>
        <w:ind w:left="620" w:right="4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ind w:left="620" w:right="2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6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9" w:lineRule="exact"/>
        <w:rPr>
          <w:rFonts w:ascii="Arial" w:cs="Arial" w:eastAsia="Arial" w:hAnsi="Arial"/>
          <w:sz w:val="18"/>
          <w:szCs w:val="18"/>
          <w:color w:val="auto"/>
        </w:rPr>
      </w:pPr>
    </w:p>
    <w:p>
      <w:pPr>
        <w:ind w:left="620" w:right="120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00"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and sells analog and embedded processing chips for markets such as industrial, automotive, personal electronics, enterprise systems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w:t>
      </w:r>
      <w:r>
        <w:rPr>
          <w:rFonts w:ascii="Arial" w:cs="Arial" w:eastAsia="Arial" w:hAnsi="Arial"/>
          <w:sz w:val="18"/>
          <w:szCs w:val="18"/>
          <w:u w:val="single" w:color="auto"/>
          <w:color w:val="0E32E1"/>
        </w:rPr>
        <w:t>TI.com</w:t>
      </w:r>
      <w:r>
        <w:rPr>
          <w:rFonts w:ascii="Arial" w:cs="Arial" w:eastAsia="Arial" w:hAnsi="Arial"/>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2025-07-22T15:13:44Z</dcterms:created>
  <dcterms:modified xsi:type="dcterms:W3CDTF">2025-07-22T15:13:44Z</dcterms:modified>
</cp:coreProperties>
</file>