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24, 2010</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960" w:type="dxa"/>
        <w:tblCellMar>
          <w:top w:w="0" w:type="dxa"/>
          <w:left w:w="0" w:type="dxa"/>
          <w:bottom w:w="0" w:type="dxa"/>
          <w:right w:w="0" w:type="dxa"/>
        </w:tblCellMar>
      </w:tblPr>
      <w:tr>
        <w:trPr>
          <w:trHeight w:val="218"/>
        </w:trPr>
        <w:tc>
          <w:tcPr>
            <w:tcW w:w="394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60" w:type="dxa"/>
            <w:vAlign w:val="bottom"/>
          </w:tcPr>
          <w:p>
            <w:pPr>
              <w:jc w:val="center"/>
              <w:ind w:left="202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3940" w:type="dxa"/>
            <w:vAlign w:val="bottom"/>
          </w:tcPr>
          <w:p>
            <w:pPr>
              <w:jc w:val="center"/>
              <w:ind w:right="20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460" w:type="dxa"/>
            <w:vAlign w:val="bottom"/>
          </w:tcPr>
          <w:p>
            <w:pPr>
              <w:jc w:val="center"/>
              <w:ind w:left="20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40" w:type="dxa"/>
            <w:vAlign w:val="bottom"/>
          </w:tcPr>
          <w:p>
            <w:pPr>
              <w:jc w:val="center"/>
              <w:ind w:right="2046"/>
              <w:spacing w:after="0"/>
              <w:rPr>
                <w:sz w:val="20"/>
                <w:szCs w:val="20"/>
                <w:color w:val="auto"/>
              </w:rPr>
            </w:pPr>
            <w:r>
              <w:rPr>
                <w:rFonts w:ascii="Arial" w:cs="Arial" w:eastAsia="Arial" w:hAnsi="Arial"/>
                <w:sz w:val="14"/>
                <w:szCs w:val="14"/>
                <w:b w:val="1"/>
                <w:bCs w:val="1"/>
                <w:color w:val="auto"/>
                <w:w w:val="89"/>
              </w:rPr>
              <w:t>Incorporation or Organization)</w:t>
            </w:r>
          </w:p>
        </w:tc>
        <w:tc>
          <w:tcPr>
            <w:tcW w:w="3460" w:type="dxa"/>
            <w:vAlign w:val="bottom"/>
          </w:tcPr>
          <w:p>
            <w:pPr>
              <w:jc w:val="center"/>
              <w:ind w:left="204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 Senior Vice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Secretary and General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Bruce K. Dallas,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Sarah K. Solum,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00"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bookmarkStart w:id="1" w:name="page2"/>
    <w:bookmarkEnd w:id="1"/>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5338445</wp:posOffset>
            </wp:positionH>
            <wp:positionV relativeFrom="paragraph">
              <wp:posOffset>-35560</wp:posOffset>
            </wp:positionV>
            <wp:extent cx="334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17"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-35560</wp:posOffset>
            </wp:positionV>
            <wp:extent cx="3346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17" w:lineRule="exact"/>
        <w:rPr>
          <w:sz w:val="20"/>
          <w:szCs w:val="20"/>
          <w:color w:val="auto"/>
        </w:rPr>
      </w:pPr>
    </w:p>
    <w:p>
      <w:pPr>
        <w:ind w:right="26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0"/>
          <w:szCs w:val="20"/>
          <w:color w:val="auto"/>
        </w:rPr>
      </w:pPr>
    </w:p>
    <w:p>
      <w:pPr>
        <w:ind w:right="4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4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Proposed</w:t>
            </w:r>
          </w:p>
        </w:tc>
        <w:tc>
          <w:tcPr>
            <w:tcW w:w="160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Title of Each</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Class of Securities</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 be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0"/>
              </w:rPr>
              <w:t>Per Unit (1)</w:t>
            </w:r>
          </w:p>
        </w:tc>
        <w:tc>
          <w:tcPr>
            <w:tcW w:w="160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7"/>
              </w:rPr>
              <w:t>Price</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Units</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44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8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is filing this registration statement to replace its registration statement (No. 333-141048), which is expiring pursuant to Rule 415(a)(5). In accordance with Rule 415(a)(6), effectiveness of this Registration Statement will be deemed to terminate the expiring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118110</wp:posOffset>
            </wp:positionV>
            <wp:extent cx="120078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7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2460" w:type="dxa"/>
            <w:vAlign w:val="bottom"/>
          </w:tcPr>
          <w:p>
            <w:pPr>
              <w:ind w:left="234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w w:val="82"/>
              </w:rPr>
              <w:t>Warrants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60"/>
              <w:spacing w:after="0"/>
              <w:rPr>
                <w:sz w:val="20"/>
                <w:szCs w:val="20"/>
                <w:color w:val="auto"/>
              </w:rPr>
            </w:pPr>
            <w:r>
              <w:rPr>
                <w:rFonts w:ascii="Arial" w:cs="Arial" w:eastAsia="Arial" w:hAnsi="Arial"/>
                <w:sz w:val="18"/>
                <w:szCs w:val="18"/>
                <w:color w:val="auto"/>
              </w:rPr>
              <w:t>Preferred stock</w:t>
            </w:r>
          </w:p>
        </w:tc>
        <w:tc>
          <w:tcPr>
            <w:tcW w:w="2460" w:type="dxa"/>
            <w:vAlign w:val="bottom"/>
          </w:tcPr>
          <w:p>
            <w:pPr>
              <w:ind w:left="234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Units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60"/>
              <w:spacing w:after="0"/>
              <w:rPr>
                <w:sz w:val="20"/>
                <w:szCs w:val="20"/>
                <w:color w:val="auto"/>
              </w:rPr>
            </w:pPr>
            <w:r>
              <w:rPr>
                <w:rFonts w:ascii="Arial" w:cs="Arial" w:eastAsia="Arial" w:hAnsi="Arial"/>
                <w:sz w:val="18"/>
                <w:szCs w:val="18"/>
                <w:color w:val="auto"/>
              </w:rPr>
              <w:t>Debt securities</w:t>
            </w:r>
          </w:p>
        </w:tc>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5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Maturity</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900" w:type="dxa"/>
            <w:vAlign w:val="bottom"/>
          </w:tcPr>
          <w:p>
            <w:pPr>
              <w:ind w:left="78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Listing on a security exchange</w:t>
            </w:r>
          </w:p>
        </w:tc>
        <w:tc>
          <w:tcPr>
            <w:tcW w:w="900" w:type="dxa"/>
            <w:vAlign w:val="bottom"/>
          </w:tcPr>
          <w:p>
            <w:pPr>
              <w:ind w:left="78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w w:val="85"/>
              </w:rPr>
              <w:t>Subsidiary guarantees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Amount payable at maturity</w:t>
            </w:r>
          </w:p>
        </w:tc>
        <w:tc>
          <w:tcPr>
            <w:tcW w:w="900" w:type="dxa"/>
            <w:vAlign w:val="bottom"/>
          </w:tcPr>
          <w:p>
            <w:pPr>
              <w:ind w:left="78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Sinking fund terms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Conversion or exchange rights</w:t>
            </w: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Common Stock is quoted on the New York Stock Exchange under the ticker symbol TXN. On February 23, 2010, the reported last sale price on the New York Stock Exchange for our Common Stock was $24.30.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52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2009,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24, 2010</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in any supplement hereto or in any related free-writing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164465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6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53"/>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416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7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Description of Units</w:t>
              </w:r>
            </w:hyperlink>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Plan of Distribution</w:t>
              </w:r>
            </w:hyperlink>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Experts</w:t>
              </w:r>
            </w:hyperlink>
          </w:p>
        </w:tc>
        <w:tc>
          <w:tcPr>
            <w:tcW w:w="7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22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3322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318" w:lineRule="auto"/>
        <w:rPr>
          <w:sz w:val="20"/>
          <w:szCs w:val="20"/>
          <w:color w:val="auto"/>
        </w:rPr>
      </w:pPr>
      <w:r>
        <w:rPr>
          <w:rFonts w:ascii="Arial" w:cs="Arial" w:eastAsia="Arial" w:hAnsi="Arial"/>
          <w:sz w:val="15"/>
          <w:szCs w:val="15"/>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 We were the world’s fourth largest semiconductor company in 2009 as measured by revenue, according to preliminary estimates from an external source. Additionally, we sell calculators and related products.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(972) 995-3773.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on February 19, 2010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 filed on February 23, 2010.</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(972) 995-3773.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Forward-looking statements describe our business strategy, outlook, objectives, plans, intentions or goals. All such forward-looking statements are subject to certain risks and uncertainties that could cause actual results to differ materially from those in forward-looking statements. Such statements address future events and conditions concerning:</w:t>
      </w:r>
    </w:p>
    <w:p>
      <w:pPr>
        <w:spacing w:after="0" w:line="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 and dividends,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economy of our industry segments.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things such as: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lists are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0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56"/>
        </w:trPr>
        <w:tc>
          <w:tcPr>
            <w:tcW w:w="2220" w:type="dxa"/>
            <w:vAlign w:val="bottom"/>
            <w:tcBorders>
              <w:top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2009</w:t>
            </w:r>
          </w:p>
        </w:tc>
        <w:tc>
          <w:tcPr>
            <w:tcW w:w="2100" w:type="dxa"/>
            <w:vAlign w:val="bottom"/>
            <w:tcBorders>
              <w:top w:val="single" w:sz="8" w:color="auto"/>
            </w:tcBorders>
            <w:gridSpan w:val="2"/>
          </w:tcPr>
          <w:p>
            <w:pPr>
              <w:jc w:val="right"/>
              <w:ind w:right="712"/>
              <w:spacing w:after="0" w:line="156" w:lineRule="exact"/>
              <w:rPr>
                <w:sz w:val="20"/>
                <w:szCs w:val="20"/>
                <w:color w:val="auto"/>
              </w:rPr>
            </w:pPr>
            <w:r>
              <w:rPr>
                <w:rFonts w:ascii="Arial" w:cs="Arial" w:eastAsia="Arial" w:hAnsi="Arial"/>
                <w:sz w:val="14"/>
                <w:szCs w:val="14"/>
                <w:b w:val="1"/>
                <w:bCs w:val="1"/>
                <w:color w:val="auto"/>
              </w:rPr>
              <w:t>2008</w:t>
            </w:r>
          </w:p>
        </w:tc>
        <w:tc>
          <w:tcPr>
            <w:tcW w:w="2120" w:type="dxa"/>
            <w:vAlign w:val="bottom"/>
            <w:tcBorders>
              <w:top w:val="single" w:sz="8" w:color="auto"/>
            </w:tcBorders>
            <w:gridSpan w:val="2"/>
          </w:tcPr>
          <w:p>
            <w:pPr>
              <w:jc w:val="right"/>
              <w:ind w:right="732"/>
              <w:spacing w:after="0" w:line="156" w:lineRule="exact"/>
              <w:rPr>
                <w:sz w:val="20"/>
                <w:szCs w:val="20"/>
                <w:color w:val="auto"/>
              </w:rPr>
            </w:pPr>
            <w:r>
              <w:rPr>
                <w:rFonts w:ascii="Arial" w:cs="Arial" w:eastAsia="Arial" w:hAnsi="Arial"/>
                <w:sz w:val="14"/>
                <w:szCs w:val="14"/>
                <w:b w:val="1"/>
                <w:bCs w:val="1"/>
                <w:color w:val="auto"/>
              </w:rPr>
              <w:t>2007</w:t>
            </w:r>
          </w:p>
        </w:tc>
        <w:tc>
          <w:tcPr>
            <w:tcW w:w="2080" w:type="dxa"/>
            <w:vAlign w:val="bottom"/>
            <w:tcBorders>
              <w:top w:val="single" w:sz="8" w:color="auto"/>
            </w:tcBorders>
            <w:gridSpan w:val="2"/>
          </w:tcPr>
          <w:p>
            <w:pPr>
              <w:jc w:val="right"/>
              <w:ind w:right="712"/>
              <w:spacing w:after="0" w:line="156" w:lineRule="exact"/>
              <w:rPr>
                <w:sz w:val="20"/>
                <w:szCs w:val="20"/>
                <w:color w:val="auto"/>
              </w:rPr>
            </w:pPr>
            <w:r>
              <w:rPr>
                <w:rFonts w:ascii="Arial" w:cs="Arial" w:eastAsia="Arial" w:hAnsi="Arial"/>
                <w:sz w:val="14"/>
                <w:szCs w:val="14"/>
                <w:b w:val="1"/>
                <w:bCs w:val="1"/>
                <w:color w:val="auto"/>
              </w:rPr>
              <w:t>2006</w:t>
            </w:r>
          </w:p>
        </w:tc>
        <w:tc>
          <w:tcPr>
            <w:tcW w:w="1980" w:type="dxa"/>
            <w:vAlign w:val="bottom"/>
            <w:tcBorders>
              <w:top w:val="single" w:sz="8" w:color="auto"/>
            </w:tcBorders>
            <w:gridSpan w:val="2"/>
          </w:tcPr>
          <w:p>
            <w:pPr>
              <w:jc w:val="right"/>
              <w:ind w:right="672"/>
              <w:spacing w:after="0" w:line="156" w:lineRule="exact"/>
              <w:rPr>
                <w:sz w:val="20"/>
                <w:szCs w:val="20"/>
                <w:color w:val="auto"/>
              </w:rPr>
            </w:pPr>
            <w:r>
              <w:rPr>
                <w:rFonts w:ascii="Arial" w:cs="Arial" w:eastAsia="Arial" w:hAnsi="Arial"/>
                <w:sz w:val="14"/>
                <w:szCs w:val="14"/>
                <w:b w:val="1"/>
                <w:bCs w:val="1"/>
                <w:color w:val="auto"/>
              </w:rPr>
              <w:t>2005</w:t>
            </w:r>
          </w:p>
        </w:tc>
      </w:tr>
      <w:tr>
        <w:trPr>
          <w:trHeight w:val="102"/>
        </w:trPr>
        <w:tc>
          <w:tcPr>
            <w:tcW w:w="22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r>
      <w:tr>
        <w:trPr>
          <w:trHeight w:val="216"/>
        </w:trPr>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127.9x</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109.5x</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154.7x</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94.1x</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70.2x</w:t>
            </w: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As of January 31, 2010, there were 1,241,888,536 shares of common stock outstanding which were held of record by 24,136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 our common stock is Computershare Investor Services, LLC,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2010,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to be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we will not issue or assume any debt for money borrowed (which, including guarantees of debt for borrowed money, we refer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 principal manufacturing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such principal manufacturing property is now owned or subsequently acquired) without in any such case effectively providing that the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(together with any other debt security ranking equally with the debt securities) shall be secured equally and ratably with the debt until such time as such debt is no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longer secured by such mortgage. The foregoing restrictions shall not apply to:</w:t>
      </w:r>
    </w:p>
    <w:p>
      <w:pPr>
        <w:spacing w:after="0" w:line="8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40" w:hanging="325"/>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10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8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13" w:lineRule="exact"/>
        <w:rPr>
          <w:rFonts w:ascii="Arial" w:cs="Arial" w:eastAsia="Arial" w:hAnsi="Arial"/>
          <w:sz w:val="16"/>
          <w:szCs w:val="16"/>
          <w:color w:val="auto"/>
        </w:rPr>
      </w:pPr>
    </w:p>
    <w:p>
      <w:pPr>
        <w:ind w:left="1480" w:right="20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hanging="325"/>
        <w:spacing w:after="0" w:line="25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default in the payment of principal or premium on the debt securities of such series when due and payable whether at maturity, upon acceleration, redemption, or otherwise, if that default continues for a period of five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60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0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either the trustee or the holders of not less than 25% in aggregate principal amount of the debt securities of all series then outstanding under the indenture (treated as one class) may, by written notice to us and to the trustee, if such notice is given by the holders, declare the entire principal amount of, and accrued interest, if any, on each series of debt securities then outstanding to be immediately due and payable.</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6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240" w:top="459" w:right="5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incorporated by reference in our Annual Report on Form 10-K for the year ended December 31, 2009, and management’s assessment of the effectiveness of our internal control over financial reporting as of December 31, 2009, as set forth in their reports, which are incorporated by reference in this prospectus and elsewhere in the registration statement. Our financial statements and management’s assessment are incorporated by reference in reliance on Ernst &amp; Young LLP’s reports, given on their authority as experts in accounting and auditing.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the estimated costs and expenses payable by the Registrant in connection with the sale of the securities being registered hereby.</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3"/>
          </w:tcPr>
          <w:p>
            <w:pPr>
              <w:ind w:left="1720"/>
              <w:spacing w:after="0"/>
              <w:rPr>
                <w:sz w:val="20"/>
                <w:szCs w:val="20"/>
                <w:color w:val="auto"/>
              </w:rPr>
            </w:pPr>
            <w:r>
              <w:rPr>
                <w:rFonts w:ascii="Arial" w:cs="Arial" w:eastAsia="Arial" w:hAnsi="Arial"/>
                <w:sz w:val="14"/>
                <w:szCs w:val="14"/>
                <w:b w:val="1"/>
                <w:bCs w:val="1"/>
                <w:color w:val="auto"/>
                <w:w w:val="86"/>
              </w:rPr>
              <w:t>Amount to be</w:t>
            </w:r>
          </w:p>
        </w:tc>
      </w:tr>
      <w:tr>
        <w:trPr>
          <w:trHeight w:val="161"/>
        </w:trPr>
        <w:tc>
          <w:tcPr>
            <w:tcW w:w="5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Paid</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Printing</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95"/>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Rating Agency fees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95"/>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Miscellaneous</w:t>
            </w:r>
          </w:p>
        </w:tc>
        <w:tc>
          <w:tcPr>
            <w:tcW w:w="1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1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These fees and expenses depend on the securities offered and the number of issuances, and accordingly cannot be estimated at this time.</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Section II of the Registrant’s By-Laws provides for indemnification by the Registrant of its directors, officers and employees to the fullest extent permitted by the Delaware General Corporation Law.</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w:t>
      </w:r>
    </w:p>
    <w:p>
      <w:pPr>
        <w:ind w:right="80" w:firstLine="8"/>
        <w:spacing w:after="0" w:line="292"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exhibits are filed as part of this Registration Statement:</w:t>
      </w:r>
    </w:p>
    <w:p>
      <w:pPr>
        <w:sectPr>
          <w:pgSz w:w="11900" w:h="16838" w:orient="portrait"/>
          <w:cols w:equalWidth="0" w:num="1">
            <w:col w:w="11420"/>
          </w:cols>
          <w:pgMar w:left="240" w:top="459" w:right="239" w:bottom="1440" w:gutter="0" w:footer="0" w:header="0"/>
        </w:sectPr>
      </w:pPr>
    </w:p>
    <w:p>
      <w:pPr>
        <w:spacing w:after="0" w:line="230" w:lineRule="exact"/>
        <w:rPr>
          <w:sz w:val="20"/>
          <w:szCs w:val="20"/>
          <w:color w:val="auto"/>
        </w:rPr>
      </w:pPr>
    </w:p>
    <w:p>
      <w:pPr>
        <w:jc w:val="center"/>
        <w:ind w:right="444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4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wp:posOffset>
            </wp:positionV>
            <wp:extent cx="2832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5060"/>
        <w:spacing w:after="0"/>
        <w:rPr>
          <w:sz w:val="20"/>
          <w:szCs w:val="20"/>
          <w:color w:val="auto"/>
        </w:rPr>
      </w:pPr>
      <w:r>
        <w:rPr>
          <w:rFonts w:ascii="Arial" w:cs="Arial" w:eastAsia="Arial" w:hAnsi="Arial"/>
          <w:sz w:val="12"/>
          <w:szCs w:val="12"/>
          <w:b w:val="1"/>
          <w:bCs w:val="1"/>
          <w:u w:val="single" w:color="auto"/>
          <w:color w:val="auto"/>
        </w:rPr>
        <w:t>Document</w:t>
      </w:r>
    </w:p>
    <w:p>
      <w:pPr>
        <w:spacing w:after="0" w:line="136" w:lineRule="exact"/>
        <w:rPr>
          <w:sz w:val="20"/>
          <w:szCs w:val="20"/>
          <w:color w:val="auto"/>
        </w:rPr>
      </w:pPr>
    </w:p>
    <w:p>
      <w:pPr>
        <w:sectPr>
          <w:pgSz w:w="11900" w:h="16838" w:orient="portrait"/>
          <w:cols w:equalWidth="0" w:num="2">
            <w:col w:w="5040" w:space="720"/>
            <w:col w:w="5660"/>
          </w:cols>
          <w:pgMar w:left="240" w:top="459" w:right="239" w:bottom="1440" w:gutter="0" w:footer="0" w:header="0"/>
          <w:type w:val="continuous"/>
        </w:sectPr>
      </w:pPr>
    </w:p>
    <w:p>
      <w:pPr>
        <w:ind w:left="100"/>
        <w:spacing w:after="0"/>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17" w:lineRule="exact"/>
        <w:rPr>
          <w:sz w:val="20"/>
          <w:szCs w:val="20"/>
          <w:color w:val="auto"/>
        </w:rPr>
      </w:pPr>
    </w:p>
    <w:p>
      <w:pPr>
        <w:ind w:left="700" w:right="260" w:hanging="600"/>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Registrant (incorporated by reference to Exhibit 3(a) to the Registrant’s Annual Report on Form 10-K for the year 1993)</w:t>
      </w:r>
    </w:p>
    <w:p>
      <w:pPr>
        <w:spacing w:after="0" w:line="78" w:lineRule="exact"/>
        <w:rPr>
          <w:sz w:val="20"/>
          <w:szCs w:val="20"/>
          <w:color w:val="auto"/>
        </w:rPr>
      </w:pPr>
    </w:p>
    <w:p>
      <w:pPr>
        <w:ind w:left="700" w:right="560" w:hanging="600"/>
        <w:spacing w:after="0" w:line="268"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Restated Certificate of Incorporation of the Registrant (incorporated by reference to Exhibit 3(b) to the Registrant’s Annual Report on Form 10-K for the year 1993)</w:t>
      </w:r>
    </w:p>
    <w:p>
      <w:pPr>
        <w:spacing w:after="0" w:line="78" w:lineRule="exact"/>
        <w:rPr>
          <w:sz w:val="20"/>
          <w:szCs w:val="20"/>
          <w:color w:val="auto"/>
        </w:rPr>
      </w:pPr>
    </w:p>
    <w:p>
      <w:pPr>
        <w:ind w:left="700" w:hanging="600"/>
        <w:spacing w:after="0" w:line="268" w:lineRule="auto"/>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to Restated Certificate of Incorporation of the Registrant (incorporated by reference to Exhibit 3(c) to the Registrant’s Annual Report on Form 10-K for the year 1993)</w:t>
      </w:r>
    </w:p>
    <w:p>
      <w:pPr>
        <w:spacing w:after="0" w:line="78" w:lineRule="exact"/>
        <w:rPr>
          <w:sz w:val="20"/>
          <w:szCs w:val="20"/>
          <w:color w:val="auto"/>
        </w:rPr>
      </w:pPr>
    </w:p>
    <w:p>
      <w:pPr>
        <w:ind w:left="700" w:right="40" w:hanging="600"/>
        <w:spacing w:after="0" w:line="268" w:lineRule="auto"/>
        <w:tabs>
          <w:tab w:leader="none" w:pos="6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Amendment to Restated Certificate of Incorporation of the Registrant (incorporated by reference to Exhibit 3 to the Registrant’s Quarterly Report on Form 10-Q for the quarter ended June 30, 1996)</w:t>
      </w:r>
    </w:p>
    <w:p>
      <w:pPr>
        <w:spacing w:after="0" w:line="78" w:lineRule="exact"/>
        <w:rPr>
          <w:sz w:val="20"/>
          <w:szCs w:val="20"/>
          <w:color w:val="auto"/>
        </w:rPr>
      </w:pPr>
    </w:p>
    <w:p>
      <w:pPr>
        <w:ind w:left="700" w:right="120" w:hanging="600"/>
        <w:spacing w:after="0" w:line="268" w:lineRule="auto"/>
        <w:tabs>
          <w:tab w:leader="none" w:pos="6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Certificate of Amendment to Restated Certificate of Incorporation (incorporated by reference to Exhibit 3(n) to the Registrant’s Registration Statement on Form S-4 No. 333-41030 filed on July 7, 2000)</w:t>
      </w:r>
    </w:p>
    <w:p>
      <w:pPr>
        <w:spacing w:after="0" w:line="7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By-Laws of the Registrant (incorporated by reference to Exhibit 3 to the Registrant’s Current Report on Form 8-K dated July 18, 2008)</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Preferred Stock Certificate*</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Form of Indenture between the Registrant and U.S. Bank National Association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Note (included in Exhibit 4.3)</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Form of Warrant Agreement (incorporated by reference to the Registrant’s Registration Statement on Form S-3 No. 333-03571 filed on December 17,</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1999)</w:t>
      </w:r>
    </w:p>
    <w:p>
      <w:pPr>
        <w:spacing w:after="0" w:line="11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Unit Agreement*</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Davis Polk &amp; Wardwell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Consolidated Ratio of Earnings to Fixed Charges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Davis Polk &amp; Wardwell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 of Ralph W. Babb, Jr.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of the Registration Statement)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on Form T-1 of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(i), (ii) and (iii) above do not apply if the information required to be included in a post-effective amendment by</w:t>
      </w:r>
      <w:r>
        <w:rPr>
          <w:rFonts w:ascii="Arial" w:cs="Arial" w:eastAsia="Arial" w:hAnsi="Arial"/>
          <w:sz w:val="16"/>
          <w:szCs w:val="16"/>
          <w:i w:val="1"/>
          <w:iCs w:val="1"/>
          <w:color w:val="auto"/>
        </w:rPr>
        <w:t xml:space="preserve"> </w:t>
      </w:r>
      <w:r>
        <w:rPr>
          <w:rFonts w:ascii="Arial" w:cs="Arial" w:eastAsia="Arial" w:hAnsi="Arial"/>
          <w:sz w:val="16"/>
          <w:szCs w:val="16"/>
          <w:color w:val="auto"/>
        </w:rPr>
        <w:t>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32" w:lineRule="exact"/>
        <w:rPr>
          <w:sz w:val="20"/>
          <w:szCs w:val="20"/>
          <w:color w:val="auto"/>
        </w:rPr>
      </w:pPr>
    </w:p>
    <w:p>
      <w:pPr>
        <w:ind w:left="460" w:right="40" w:firstLine="443"/>
        <w:spacing w:after="0" w:line="259"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1500" w:right="80" w:firstLine="389"/>
        <w:spacing w:after="0" w:line="268" w:lineRule="auto"/>
        <w:tabs>
          <w:tab w:leader="none" w:pos="21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500" w:right="120" w:firstLine="389"/>
        <w:spacing w:after="0" w:line="286" w:lineRule="auto"/>
        <w:tabs>
          <w:tab w:leader="none" w:pos="21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51"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4" w:lineRule="exact"/>
        <w:rPr>
          <w:rFonts w:ascii="Arial" w:cs="Arial" w:eastAsia="Arial" w:hAnsi="Arial"/>
          <w:sz w:val="16"/>
          <w:szCs w:val="16"/>
          <w:color w:val="auto"/>
        </w:rPr>
      </w:pPr>
    </w:p>
    <w:p>
      <w:pPr>
        <w:ind w:left="900" w:right="20" w:hanging="446"/>
        <w:spacing w:after="0" w:line="289"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February 24,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840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P. M</w:t>
      </w:r>
      <w:r>
        <w:rPr>
          <w:rFonts w:ascii="Arial" w:cs="Arial" w:eastAsia="Arial" w:hAnsi="Arial"/>
          <w:sz w:val="13"/>
          <w:szCs w:val="13"/>
          <w:color w:val="auto"/>
        </w:rPr>
        <w:t>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Kevin P. March</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 Chief Accounting Officer</w:t>
      </w:r>
    </w:p>
    <w:p>
      <w:pPr>
        <w:jc w:val="center"/>
        <w:ind w:left="7240"/>
        <w:spacing w:after="0"/>
        <w:rPr>
          <w:sz w:val="20"/>
          <w:szCs w:val="20"/>
          <w:color w:val="auto"/>
        </w:rPr>
      </w:pPr>
      <w:r>
        <w:rPr>
          <w:rFonts w:ascii="Arial" w:cs="Arial" w:eastAsia="Arial" w:hAnsi="Arial"/>
          <w:sz w:val="14"/>
          <w:szCs w:val="14"/>
          <w:b w:val="1"/>
          <w:bCs w:val="1"/>
          <w:color w:val="auto"/>
        </w:rPr>
        <w:t>and Chief Financial Officer</w:t>
      </w:r>
    </w:p>
    <w:p>
      <w:pPr>
        <w:spacing w:after="0" w:line="154"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Richard K. Templeton, Kevin P. March and Joseph F. Hubach,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0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4240" w:type="dxa"/>
            <w:vAlign w:val="bottom"/>
            <w:gridSpan w:val="4"/>
            <w:vMerge w:val="restart"/>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ICHARD</w:t>
            </w:r>
            <w:r>
              <w:rPr>
                <w:rFonts w:ascii="Arial" w:cs="Arial" w:eastAsia="Arial" w:hAnsi="Arial"/>
                <w:sz w:val="18"/>
                <w:szCs w:val="18"/>
                <w:color w:val="auto"/>
              </w:rPr>
              <w:t xml:space="preserve"> K. T</w:t>
            </w:r>
            <w:r>
              <w:rPr>
                <w:rFonts w:ascii="Arial" w:cs="Arial" w:eastAsia="Arial" w:hAnsi="Arial"/>
                <w:sz w:val="14"/>
                <w:szCs w:val="14"/>
                <w:color w:val="auto"/>
              </w:rPr>
              <w:t>EMPLETON</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Chairman of the Board, Director, President</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gridSpan w:val="4"/>
            <w:vMerge w:val="continue"/>
          </w:tcPr>
          <w:p>
            <w:pPr>
              <w:spacing w:after="0"/>
              <w:rPr>
                <w:sz w:val="18"/>
                <w:szCs w:val="18"/>
                <w:color w:val="auto"/>
              </w:rPr>
            </w:pP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90"/>
              </w:rPr>
              <w:t>and Chief Executive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8"/>
              </w:rPr>
              <w:t>Richard K. Templeton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460" w:type="dxa"/>
            <w:vAlign w:val="bottom"/>
            <w:vMerge w:val="restart"/>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3"/>
            <w:vMerge w:val="restart"/>
          </w:tcPr>
          <w:p>
            <w:pPr>
              <w:jc w:val="center"/>
              <w:ind w:right="132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EVIN</w:t>
            </w:r>
            <w:r>
              <w:rPr>
                <w:rFonts w:ascii="Arial" w:cs="Arial" w:eastAsia="Arial" w:hAnsi="Arial"/>
                <w:sz w:val="18"/>
                <w:szCs w:val="18"/>
                <w:color w:val="auto"/>
                <w:w w:val="99"/>
              </w:rPr>
              <w:t xml:space="preserve"> P. M</w:t>
            </w:r>
            <w:r>
              <w:rPr>
                <w:rFonts w:ascii="Arial" w:cs="Arial" w:eastAsia="Arial" w:hAnsi="Arial"/>
                <w:sz w:val="14"/>
                <w:szCs w:val="14"/>
                <w:color w:val="auto"/>
                <w:w w:val="99"/>
              </w:rPr>
              <w:t>ARCH</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Senior Vice President, Chief Accounting</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gridSpan w:val="3"/>
            <w:vMerge w:val="continue"/>
          </w:tcPr>
          <w:p>
            <w:pPr>
              <w:spacing w:after="0"/>
              <w:rPr>
                <w:sz w:val="18"/>
                <w:szCs w:val="18"/>
                <w:color w:val="auto"/>
              </w:rPr>
            </w:pPr>
          </w:p>
        </w:tc>
        <w:tc>
          <w:tcPr>
            <w:tcW w:w="4960" w:type="dxa"/>
            <w:vAlign w:val="bottom"/>
            <w:gridSpan w:val="3"/>
          </w:tcPr>
          <w:p>
            <w:pPr>
              <w:jc w:val="center"/>
              <w:ind w:left="432"/>
              <w:spacing w:after="0"/>
              <w:rPr>
                <w:sz w:val="20"/>
                <w:szCs w:val="20"/>
                <w:color w:val="auto"/>
              </w:rPr>
            </w:pPr>
            <w:r>
              <w:rPr>
                <w:rFonts w:ascii="Arial" w:cs="Arial" w:eastAsia="Arial" w:hAnsi="Arial"/>
                <w:sz w:val="18"/>
                <w:szCs w:val="18"/>
                <w:color w:val="auto"/>
                <w:w w:val="91"/>
              </w:rPr>
              <w:t>Officer and Chief Financial Officer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1"/>
              </w:rPr>
              <w:t>Kevin P. March</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R. A</w:t>
            </w:r>
            <w:r>
              <w:rPr>
                <w:rFonts w:ascii="Arial" w:cs="Arial" w:eastAsia="Arial" w:hAnsi="Arial"/>
                <w:sz w:val="14"/>
                <w:szCs w:val="14"/>
                <w:color w:val="auto"/>
                <w:w w:val="97"/>
              </w:rPr>
              <w:t>DAMS</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5"/>
              </w:rPr>
              <w:t>James R. Adams</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L. B</w:t>
            </w:r>
            <w:r>
              <w:rPr>
                <w:rFonts w:ascii="Arial" w:cs="Arial" w:eastAsia="Arial" w:hAnsi="Arial"/>
                <w:sz w:val="14"/>
                <w:szCs w:val="14"/>
                <w:color w:val="auto"/>
                <w:w w:val="99"/>
              </w:rPr>
              <w:t>OREN</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9"/>
              </w:rPr>
              <w:t>David L. Boren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ANIEL</w:t>
            </w:r>
            <w:r>
              <w:rPr>
                <w:rFonts w:ascii="Arial" w:cs="Arial" w:eastAsia="Arial" w:hAnsi="Arial"/>
                <w:sz w:val="18"/>
                <w:szCs w:val="18"/>
                <w:color w:val="auto"/>
                <w:w w:val="99"/>
              </w:rPr>
              <w:t xml:space="preserve"> A. C</w:t>
            </w:r>
            <w:r>
              <w:rPr>
                <w:rFonts w:ascii="Arial" w:cs="Arial" w:eastAsia="Arial" w:hAnsi="Arial"/>
                <w:sz w:val="14"/>
                <w:szCs w:val="14"/>
                <w:color w:val="auto"/>
                <w:w w:val="99"/>
              </w:rPr>
              <w:t>ARP</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1"/>
              </w:rPr>
              <w:t>Daniel A. Carp</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8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4"/>
              </w:rPr>
              <w:t>C</w:t>
            </w:r>
            <w:r>
              <w:rPr>
                <w:rFonts w:ascii="Arial" w:cs="Arial" w:eastAsia="Arial" w:hAnsi="Arial"/>
                <w:sz w:val="14"/>
                <w:szCs w:val="14"/>
                <w:color w:val="auto"/>
                <w:w w:val="94"/>
              </w:rPr>
              <w:t>ARRIE</w:t>
            </w:r>
            <w:r>
              <w:rPr>
                <w:rFonts w:ascii="Arial" w:cs="Arial" w:eastAsia="Arial" w:hAnsi="Arial"/>
                <w:sz w:val="18"/>
                <w:szCs w:val="18"/>
                <w:color w:val="auto"/>
                <w:w w:val="94"/>
              </w:rPr>
              <w:t xml:space="preserve"> S. C</w:t>
            </w:r>
            <w:r>
              <w:rPr>
                <w:rFonts w:ascii="Arial" w:cs="Arial" w:eastAsia="Arial" w:hAnsi="Arial"/>
                <w:sz w:val="14"/>
                <w:szCs w:val="14"/>
                <w:color w:val="auto"/>
                <w:w w:val="94"/>
              </w:rPr>
              <w:t>OX</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0"/>
              </w:rPr>
              <w:t>Carrie S. Cox</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R. G</w:t>
            </w:r>
            <w:r>
              <w:rPr>
                <w:rFonts w:ascii="Arial" w:cs="Arial" w:eastAsia="Arial" w:hAnsi="Arial"/>
                <w:sz w:val="14"/>
                <w:szCs w:val="14"/>
                <w:color w:val="auto"/>
                <w:w w:val="97"/>
              </w:rPr>
              <w:t>OODE</w:t>
            </w:r>
          </w:p>
        </w:tc>
        <w:tc>
          <w:tcPr>
            <w:tcW w:w="49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2010</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27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88"/>
              </w:rPr>
              <w:t>David R. Goode</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spacing w:after="0"/>
              <w:rPr>
                <w:sz w:val="14"/>
                <w:szCs w:val="14"/>
                <w:color w:val="auto"/>
              </w:rPr>
            </w:pPr>
          </w:p>
        </w:tc>
      </w:tr>
      <w:tr>
        <w:trPr>
          <w:trHeight w:val="425"/>
        </w:trPr>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P. M</w:t>
            </w:r>
            <w:r>
              <w:rPr>
                <w:rFonts w:ascii="Arial" w:cs="Arial" w:eastAsia="Arial" w:hAnsi="Arial"/>
                <w:sz w:val="14"/>
                <w:szCs w:val="14"/>
                <w:color w:val="auto"/>
                <w:w w:val="98"/>
              </w:rPr>
              <w:t>AC</w:t>
            </w:r>
            <w:r>
              <w:rPr>
                <w:rFonts w:ascii="Arial" w:cs="Arial" w:eastAsia="Arial" w:hAnsi="Arial"/>
                <w:sz w:val="18"/>
                <w:szCs w:val="18"/>
                <w:color w:val="auto"/>
                <w:w w:val="98"/>
              </w:rPr>
              <w:t>M</w:t>
            </w:r>
            <w:r>
              <w:rPr>
                <w:rFonts w:ascii="Arial" w:cs="Arial" w:eastAsia="Arial" w:hAnsi="Arial"/>
                <w:sz w:val="14"/>
                <w:szCs w:val="14"/>
                <w:color w:val="auto"/>
                <w:w w:val="98"/>
              </w:rPr>
              <w:t>ILLAN</w:t>
            </w:r>
          </w:p>
        </w:tc>
        <w:tc>
          <w:tcPr>
            <w:tcW w:w="4360" w:type="dxa"/>
            <w:vAlign w:val="bottom"/>
            <w:gridSpan w:val="3"/>
          </w:tcPr>
          <w:p>
            <w:pPr>
              <w:jc w:val="center"/>
              <w:ind w:left="1012"/>
              <w:spacing w:after="0"/>
              <w:rPr>
                <w:sz w:val="20"/>
                <w:szCs w:val="20"/>
                <w:color w:val="auto"/>
              </w:rPr>
            </w:pPr>
            <w:r>
              <w:rPr>
                <w:rFonts w:ascii="Arial" w:cs="Arial" w:eastAsia="Arial" w:hAnsi="Arial"/>
                <w:sz w:val="18"/>
                <w:szCs w:val="18"/>
                <w:color w:val="auto"/>
                <w:w w:val="91"/>
              </w:rPr>
              <w:t>Director</w:t>
            </w:r>
          </w:p>
        </w:tc>
        <w:tc>
          <w:tcPr>
            <w:tcW w:w="26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February 24, 2010</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9"/>
              </w:rPr>
              <w:t>Stephen P. MacMillan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05"/>
        </w:trPr>
        <w:tc>
          <w:tcPr>
            <w:tcW w:w="138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gridSpan w:val="3"/>
          </w:tcPr>
          <w:p>
            <w:pPr>
              <w:jc w:val="center"/>
              <w:ind w:right="122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AMELA</w:t>
            </w:r>
            <w:r>
              <w:rPr>
                <w:rFonts w:ascii="Arial" w:cs="Arial" w:eastAsia="Arial" w:hAnsi="Arial"/>
                <w:sz w:val="18"/>
                <w:szCs w:val="18"/>
                <w:color w:val="auto"/>
                <w:w w:val="99"/>
              </w:rPr>
              <w:t xml:space="preserve"> H. P</w:t>
            </w:r>
            <w:r>
              <w:rPr>
                <w:rFonts w:ascii="Arial" w:cs="Arial" w:eastAsia="Arial" w:hAnsi="Arial"/>
                <w:sz w:val="14"/>
                <w:szCs w:val="14"/>
                <w:color w:val="auto"/>
                <w:w w:val="99"/>
              </w:rPr>
              <w:t>ATSLEY</w:t>
            </w:r>
          </w:p>
        </w:tc>
        <w:tc>
          <w:tcPr>
            <w:tcW w:w="4360" w:type="dxa"/>
            <w:vAlign w:val="bottom"/>
            <w:gridSpan w:val="3"/>
          </w:tcPr>
          <w:p>
            <w:pPr>
              <w:jc w:val="center"/>
              <w:ind w:left="1012"/>
              <w:spacing w:after="0"/>
              <w:rPr>
                <w:sz w:val="20"/>
                <w:szCs w:val="20"/>
                <w:color w:val="auto"/>
              </w:rPr>
            </w:pPr>
            <w:r>
              <w:rPr>
                <w:rFonts w:ascii="Arial" w:cs="Arial" w:eastAsia="Arial" w:hAnsi="Arial"/>
                <w:sz w:val="18"/>
                <w:szCs w:val="18"/>
                <w:color w:val="auto"/>
                <w:w w:val="91"/>
              </w:rPr>
              <w:t>Director</w:t>
            </w:r>
          </w:p>
        </w:tc>
        <w:tc>
          <w:tcPr>
            <w:tcW w:w="26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February 24, 2010</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6"/>
              </w:rPr>
              <w:t>Pamela H. Patsley</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06"/>
        </w:trPr>
        <w:tc>
          <w:tcPr>
            <w:tcW w:w="138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AYNE</w:t>
            </w:r>
            <w:r>
              <w:rPr>
                <w:rFonts w:ascii="Arial" w:cs="Arial" w:eastAsia="Arial" w:hAnsi="Arial"/>
                <w:sz w:val="18"/>
                <w:szCs w:val="18"/>
                <w:color w:val="auto"/>
              </w:rPr>
              <w:t xml:space="preserve"> R. S</w:t>
            </w:r>
            <w:r>
              <w:rPr>
                <w:rFonts w:ascii="Arial" w:cs="Arial" w:eastAsia="Arial" w:hAnsi="Arial"/>
                <w:sz w:val="14"/>
                <w:szCs w:val="14"/>
                <w:color w:val="auto"/>
              </w:rPr>
              <w:t>ANDERS</w:t>
            </w:r>
          </w:p>
        </w:tc>
        <w:tc>
          <w:tcPr>
            <w:tcW w:w="4360" w:type="dxa"/>
            <w:vAlign w:val="bottom"/>
            <w:gridSpan w:val="3"/>
          </w:tcPr>
          <w:p>
            <w:pPr>
              <w:jc w:val="center"/>
              <w:ind w:left="1012"/>
              <w:spacing w:after="0"/>
              <w:rPr>
                <w:sz w:val="20"/>
                <w:szCs w:val="20"/>
                <w:color w:val="auto"/>
              </w:rPr>
            </w:pPr>
            <w:r>
              <w:rPr>
                <w:rFonts w:ascii="Arial" w:cs="Arial" w:eastAsia="Arial" w:hAnsi="Arial"/>
                <w:sz w:val="18"/>
                <w:szCs w:val="18"/>
                <w:color w:val="auto"/>
                <w:w w:val="91"/>
              </w:rPr>
              <w:t>Director</w:t>
            </w:r>
          </w:p>
        </w:tc>
        <w:tc>
          <w:tcPr>
            <w:tcW w:w="26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February 24, 2010</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86"/>
              </w:rPr>
              <w:t>Wayne R. Sanders</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8"/>
        </w:trPr>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86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UTH</w:t>
            </w:r>
            <w:r>
              <w:rPr>
                <w:rFonts w:ascii="Arial" w:cs="Arial" w:eastAsia="Arial" w:hAnsi="Arial"/>
                <w:sz w:val="18"/>
                <w:szCs w:val="18"/>
                <w:color w:val="auto"/>
                <w:w w:val="96"/>
              </w:rPr>
              <w:t xml:space="preserve"> J. S</w:t>
            </w:r>
            <w:r>
              <w:rPr>
                <w:rFonts w:ascii="Arial" w:cs="Arial" w:eastAsia="Arial" w:hAnsi="Arial"/>
                <w:sz w:val="14"/>
                <w:szCs w:val="14"/>
                <w:color w:val="auto"/>
                <w:w w:val="96"/>
              </w:rPr>
              <w:t>IMMONS</w:t>
            </w:r>
          </w:p>
        </w:tc>
        <w:tc>
          <w:tcPr>
            <w:tcW w:w="4360" w:type="dxa"/>
            <w:vAlign w:val="bottom"/>
            <w:gridSpan w:val="3"/>
          </w:tcPr>
          <w:p>
            <w:pPr>
              <w:jc w:val="center"/>
              <w:ind w:left="1012"/>
              <w:spacing w:after="0"/>
              <w:rPr>
                <w:sz w:val="20"/>
                <w:szCs w:val="20"/>
                <w:color w:val="auto"/>
              </w:rPr>
            </w:pPr>
            <w:r>
              <w:rPr>
                <w:rFonts w:ascii="Arial" w:cs="Arial" w:eastAsia="Arial" w:hAnsi="Arial"/>
                <w:sz w:val="18"/>
                <w:szCs w:val="18"/>
                <w:color w:val="auto"/>
                <w:w w:val="91"/>
              </w:rPr>
              <w:t>Director</w:t>
            </w:r>
          </w:p>
        </w:tc>
        <w:tc>
          <w:tcPr>
            <w:tcW w:w="26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February 24, 2010</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7"/>
              </w:rPr>
              <w:t>Ruth J. Simmons</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05"/>
        </w:trPr>
        <w:tc>
          <w:tcPr>
            <w:tcW w:w="11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gridSpan w:val="4"/>
          </w:tcPr>
          <w:p>
            <w:pPr>
              <w:jc w:val="center"/>
              <w:ind w:right="10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HRISTINE</w:t>
            </w:r>
            <w:r>
              <w:rPr>
                <w:rFonts w:ascii="Arial" w:cs="Arial" w:eastAsia="Arial" w:hAnsi="Arial"/>
                <w:sz w:val="18"/>
                <w:szCs w:val="18"/>
                <w:color w:val="auto"/>
              </w:rPr>
              <w:t xml:space="preserve"> T</w:t>
            </w:r>
            <w:r>
              <w:rPr>
                <w:rFonts w:ascii="Arial" w:cs="Arial" w:eastAsia="Arial" w:hAnsi="Arial"/>
                <w:sz w:val="14"/>
                <w:szCs w:val="14"/>
                <w:color w:val="auto"/>
              </w:rPr>
              <w:t>ODD</w:t>
            </w:r>
            <w:r>
              <w:rPr>
                <w:rFonts w:ascii="Arial" w:cs="Arial" w:eastAsia="Arial" w:hAnsi="Arial"/>
                <w:sz w:val="18"/>
                <w:szCs w:val="18"/>
                <w:color w:val="auto"/>
              </w:rPr>
              <w:t xml:space="preserve"> W</w:t>
            </w:r>
            <w:r>
              <w:rPr>
                <w:rFonts w:ascii="Arial" w:cs="Arial" w:eastAsia="Arial" w:hAnsi="Arial"/>
                <w:sz w:val="14"/>
                <w:szCs w:val="14"/>
                <w:color w:val="auto"/>
              </w:rPr>
              <w:t>HITMAN</w:t>
            </w:r>
          </w:p>
        </w:tc>
        <w:tc>
          <w:tcPr>
            <w:tcW w:w="4360" w:type="dxa"/>
            <w:vAlign w:val="bottom"/>
            <w:gridSpan w:val="3"/>
          </w:tcPr>
          <w:p>
            <w:pPr>
              <w:jc w:val="center"/>
              <w:ind w:left="1012"/>
              <w:spacing w:after="0"/>
              <w:rPr>
                <w:sz w:val="20"/>
                <w:szCs w:val="20"/>
                <w:color w:val="auto"/>
              </w:rPr>
            </w:pPr>
            <w:r>
              <w:rPr>
                <w:rFonts w:ascii="Arial" w:cs="Arial" w:eastAsia="Arial" w:hAnsi="Arial"/>
                <w:sz w:val="18"/>
                <w:szCs w:val="18"/>
                <w:color w:val="auto"/>
                <w:w w:val="91"/>
              </w:rPr>
              <w:t>Director</w:t>
            </w:r>
          </w:p>
        </w:tc>
        <w:tc>
          <w:tcPr>
            <w:tcW w:w="2620" w:type="dxa"/>
            <w:vAlign w:val="bottom"/>
            <w:gridSpan w:val="3"/>
          </w:tcPr>
          <w:p>
            <w:pPr>
              <w:jc w:val="center"/>
              <w:ind w:left="1232"/>
              <w:spacing w:after="0"/>
              <w:rPr>
                <w:sz w:val="20"/>
                <w:szCs w:val="20"/>
                <w:color w:val="auto"/>
              </w:rPr>
            </w:pPr>
            <w:r>
              <w:rPr>
                <w:rFonts w:ascii="Arial" w:cs="Arial" w:eastAsia="Arial" w:hAnsi="Arial"/>
                <w:sz w:val="18"/>
                <w:szCs w:val="18"/>
                <w:color w:val="auto"/>
                <w:w w:val="88"/>
              </w:rPr>
              <w:t>February 24, 2010</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88"/>
              </w:rPr>
              <w:t>Christine Todd Whitman</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94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28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0" w:type="dxa"/>
            <w:vAlign w:val="bottom"/>
          </w:tcPr>
          <w:p>
            <w:pPr>
              <w:spacing w:after="0"/>
              <w:rPr>
                <w:sz w:val="14"/>
                <w:szCs w:val="14"/>
                <w:color w:val="auto"/>
              </w:rPr>
            </w:pPr>
          </w:p>
        </w:tc>
      </w:tr>
    </w:tbl>
    <w:p>
      <w:pPr>
        <w:spacing w:after="0" w:line="100"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17" w:lineRule="exact"/>
        <w:rPr>
          <w:sz w:val="20"/>
          <w:szCs w:val="20"/>
          <w:color w:val="auto"/>
        </w:rPr>
      </w:pPr>
    </w:p>
    <w:p>
      <w:pPr>
        <w:ind w:left="700" w:right="260" w:hanging="600"/>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Registrant (incorporated by reference to Exhibit 3(a) to the Registrant’s Annual Report on Form 10-K for the year 1993)</w:t>
      </w:r>
    </w:p>
    <w:p>
      <w:pPr>
        <w:spacing w:after="0" w:line="78" w:lineRule="exact"/>
        <w:rPr>
          <w:sz w:val="20"/>
          <w:szCs w:val="20"/>
          <w:color w:val="auto"/>
        </w:rPr>
      </w:pPr>
    </w:p>
    <w:p>
      <w:pPr>
        <w:ind w:left="700" w:right="560" w:hanging="600"/>
        <w:spacing w:after="0" w:line="268"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Restated Certificate of Incorporation of the Registrant (incorporated by reference to Exhibit 3(b) to the Registrant’s Annual Report on Form 10-K for the year 1993)</w:t>
      </w:r>
    </w:p>
    <w:p>
      <w:pPr>
        <w:spacing w:after="0" w:line="78" w:lineRule="exact"/>
        <w:rPr>
          <w:sz w:val="20"/>
          <w:szCs w:val="20"/>
          <w:color w:val="auto"/>
        </w:rPr>
      </w:pPr>
    </w:p>
    <w:p>
      <w:pPr>
        <w:ind w:left="700" w:hanging="600"/>
        <w:spacing w:after="0" w:line="268" w:lineRule="auto"/>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Amendment to Restated Certificate of Incorporation of the Registrant (incorporated by reference to Exhibit 3(c) to the Registrant’s Annual Report on Form 10-K for the year 1993)</w:t>
      </w:r>
    </w:p>
    <w:p>
      <w:pPr>
        <w:spacing w:after="0" w:line="78" w:lineRule="exact"/>
        <w:rPr>
          <w:sz w:val="20"/>
          <w:szCs w:val="20"/>
          <w:color w:val="auto"/>
        </w:rPr>
      </w:pPr>
    </w:p>
    <w:p>
      <w:pPr>
        <w:ind w:left="700" w:right="40" w:hanging="600"/>
        <w:spacing w:after="0" w:line="268" w:lineRule="auto"/>
        <w:tabs>
          <w:tab w:leader="none" w:pos="6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Certificate of Amendment to Restated Certificate of Incorporation of the Registrant (incorporated by reference to Exhibit 3 to the Registrant’s Quarterly Report on Form 10-Q for the quarter ended June 30, 1996)</w:t>
      </w:r>
    </w:p>
    <w:p>
      <w:pPr>
        <w:spacing w:after="0" w:line="78" w:lineRule="exact"/>
        <w:rPr>
          <w:sz w:val="20"/>
          <w:szCs w:val="20"/>
          <w:color w:val="auto"/>
        </w:rPr>
      </w:pPr>
    </w:p>
    <w:p>
      <w:pPr>
        <w:ind w:left="700" w:right="120" w:hanging="600"/>
        <w:spacing w:after="0" w:line="268" w:lineRule="auto"/>
        <w:tabs>
          <w:tab w:leader="none" w:pos="6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Certificate of Amendment to Restated Certificate of Incorporation (incorporated by reference to Exhibit 3(n) to the Registrant’s Registration Statement on Form S-4 No. 333-41030 filed on July 7, 2000)</w:t>
      </w:r>
    </w:p>
    <w:p>
      <w:pPr>
        <w:spacing w:after="0" w:line="7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By-Laws of the Registrant (incorporated by reference to Exhibit 3 to the Registrant’s Current Report on Form 8-K dated July 18, 2008)</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Preferred Stock Certificate*</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Form of Indenture between the Registrant and U.S. Bank National Association</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Note (included in Exhibit 4.3)</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Form of Warrant Agreement (incorporated by reference to the Registrant’s Registration Statement on Form S-3 No. 333-03571 filed on December 17,</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1999)</w:t>
      </w:r>
    </w:p>
    <w:p>
      <w:pPr>
        <w:spacing w:after="0" w:line="111"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Unit Agreement *</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Davis Polk &amp; Wardwell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Consolidated Ratio of Earnings to Fixed Charges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Davis Polk &amp; Wardwell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 of Ralph W. Babb, Jr.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of the Registration Statement)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on Form T-1 of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-13970</wp:posOffset>
            </wp:positionV>
            <wp:extent cx="8362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indicate number/principal amount of each type of security to be sold</w:t>
      </w:r>
      <w:r>
        <w:rPr>
          <w:rFonts w:ascii="Arial" w:cs="Arial" w:eastAsia="Arial" w:hAnsi="Arial"/>
          <w:sz w:val="16"/>
          <w:szCs w:val="16"/>
          <w:color w:val="auto"/>
        </w:rPr>
        <w:t>] (the “</w:t>
      </w:r>
      <w:r>
        <w:rPr>
          <w:rFonts w:ascii="Arial" w:cs="Arial" w:eastAsia="Arial" w:hAnsi="Arial"/>
          <w:sz w:val="16"/>
          <w:szCs w:val="16"/>
          <w:b w:val="1"/>
          <w:bCs w:val="1"/>
          <w:color w:val="auto"/>
        </w:rPr>
        <w:t>Offered Securities</w:t>
      </w:r>
      <w:r>
        <w:rPr>
          <w:rFonts w:ascii="Arial" w:cs="Arial" w:eastAsia="Arial" w:hAnsi="Arial"/>
          <w:sz w:val="16"/>
          <w:szCs w:val="16"/>
          <w:color w:val="auto"/>
        </w:rPr>
        <w:t>”) identified in Schedule I hereto, as more fully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of Sale Prospectus.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Include the following paragraphs if issuing Debt Securities, Warrants or Units, as applicable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Offered Securities will be issued pursuant to an Indenture dated as of [—]between the Company and U.S. Bank National Association, as trustee.]</w:t>
      </w:r>
    </w:p>
    <w:p>
      <w:pPr>
        <w:spacing w:after="0" w:line="107" w:lineRule="exact"/>
        <w:rPr>
          <w:sz w:val="20"/>
          <w:szCs w:val="20"/>
          <w:color w:val="auto"/>
        </w:rPr>
      </w:pPr>
    </w:p>
    <w:p>
      <w:pPr>
        <w:ind w:left="460" w:right="200"/>
        <w:spacing w:after="0" w:line="275" w:lineRule="auto"/>
        <w:rPr>
          <w:sz w:val="20"/>
          <w:szCs w:val="20"/>
          <w:color w:val="auto"/>
        </w:rPr>
      </w:pPr>
      <w:r>
        <w:rPr>
          <w:rFonts w:ascii="Arial" w:cs="Arial" w:eastAsia="Arial" w:hAnsi="Arial"/>
          <w:sz w:val="18"/>
          <w:szCs w:val="18"/>
          <w:color w:val="auto"/>
        </w:rPr>
        <w:t>[The Offered Securities will be issued pursuant to a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dated as of [—] between the Company and [—], as Warrant Agent.]</w:t>
      </w:r>
    </w:p>
    <w:p>
      <w:pPr>
        <w:spacing w:after="0" w:line="39" w:lineRule="exact"/>
        <w:rPr>
          <w:sz w:val="20"/>
          <w:szCs w:val="20"/>
          <w:color w:val="auto"/>
        </w:rPr>
      </w:pPr>
    </w:p>
    <w:p>
      <w:pPr>
        <w:ind w:left="460" w:right="220"/>
        <w:spacing w:after="0" w:line="309" w:lineRule="auto"/>
        <w:rPr>
          <w:sz w:val="20"/>
          <w:szCs w:val="20"/>
          <w:color w:val="auto"/>
        </w:rPr>
      </w:pPr>
      <w:r>
        <w:rPr>
          <w:rFonts w:ascii="Arial" w:cs="Arial" w:eastAsia="Arial" w:hAnsi="Arial"/>
          <w:sz w:val="15"/>
          <w:szCs w:val="15"/>
          <w:color w:val="auto"/>
        </w:rPr>
        <w:t>[The Offered Securities will be issued pursuant to a Unit Agreement (the “</w:t>
      </w:r>
      <w:r>
        <w:rPr>
          <w:rFonts w:ascii="Arial" w:cs="Arial" w:eastAsia="Arial" w:hAnsi="Arial"/>
          <w:sz w:val="15"/>
          <w:szCs w:val="15"/>
          <w:b w:val="1"/>
          <w:bCs w:val="1"/>
          <w:color w:val="auto"/>
        </w:rPr>
        <w:t>Unit Agreement</w:t>
      </w:r>
      <w:r>
        <w:rPr>
          <w:rFonts w:ascii="Arial" w:cs="Arial" w:eastAsia="Arial" w:hAnsi="Arial"/>
          <w:sz w:val="15"/>
          <w:szCs w:val="15"/>
          <w:color w:val="auto"/>
        </w:rPr>
        <w:t>”) dated as of [—] among the Company, [—], as Unit Agent, and the holders from time to time of the Units. [The Debt Securities included in the Offered Securities will be issued pursuant to an Indenture dated as of</w:t>
      </w:r>
    </w:p>
    <w:p>
      <w:pPr>
        <w:ind w:left="460" w:right="200"/>
        <w:spacing w:after="0" w:line="323" w:lineRule="auto"/>
        <w:rPr>
          <w:sz w:val="20"/>
          <w:szCs w:val="20"/>
          <w:color w:val="auto"/>
        </w:rPr>
      </w:pPr>
      <w:r>
        <w:rPr>
          <w:rFonts w:ascii="Arial" w:cs="Arial" w:eastAsia="Arial" w:hAnsi="Arial"/>
          <w:sz w:val="16"/>
          <w:szCs w:val="16"/>
          <w:color w:val="auto"/>
        </w:rPr>
        <w:t>[—] between the Company and U.S. Bank National Association, as trustee.] [The Warrants included in the Offered Securities will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dated as of [—] between the Company and [—], as Warrant Agent.]]</w:t>
      </w:r>
    </w:p>
    <w:p>
      <w:pPr>
        <w:spacing w:after="0" w:line="9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Subject to the terms and conditions set forth herein or incorporated by reference herein, the Company agrees to sell and the Underwriters agree to purchase, severally and not jointly, at the [respective] purchase price[s] set forth in Schedule I hereto, the [number/principal amount] of the Offered Securities set forth opposite their respective names in Schedule II hereto. For purposes of this Agreement, “</w:t>
      </w:r>
      <w:r>
        <w:rPr>
          <w:rFonts w:ascii="Arial" w:cs="Arial" w:eastAsia="Arial" w:hAnsi="Arial"/>
          <w:sz w:val="15"/>
          <w:szCs w:val="15"/>
          <w:b w:val="1"/>
          <w:bCs w:val="1"/>
          <w:color w:val="auto"/>
        </w:rPr>
        <w:t>Applicable Time</w:t>
      </w:r>
      <w:r>
        <w:rPr>
          <w:rFonts w:ascii="Arial" w:cs="Arial" w:eastAsia="Arial" w:hAnsi="Arial"/>
          <w:sz w:val="15"/>
          <w:szCs w:val="15"/>
          <w:color w:val="auto"/>
        </w:rPr>
        <w:t>” means [—] [p.m.] (New York time) on the date hereof.</w:t>
      </w:r>
    </w:p>
    <w:p>
      <w:pPr>
        <w:sectPr>
          <w:pgSz w:w="11900" w:h="16838" w:orient="portrait"/>
          <w:cols w:equalWidth="0" w:num="1">
            <w:col w:w="11420"/>
          </w:cols>
          <w:pgMar w:left="240" w:top="125" w:right="239" w:bottom="1440" w:gutter="0" w:footer="0" w:header="0"/>
        </w:sectPr>
      </w:pPr>
    </w:p>
    <w:bookmarkStart w:id="33" w:name="page34"/>
    <w:bookmarkEnd w:id="33"/>
    <w:p>
      <w:pPr>
        <w:ind w:right="2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 at 10:00 A.M. (New York time) on [—] or at such other time, not later than [—] as shall be designated by the Manager.</w:t>
      </w:r>
    </w:p>
    <w:p>
      <w:pPr>
        <w:spacing w:after="0" w:line="11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 2010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and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w:t>
      </w:r>
    </w:p>
    <w:p>
      <w:pPr>
        <w:spacing w:after="0"/>
        <w:tabs>
          <w:tab w:leader="none" w:pos="3320" w:val="left"/>
          <w:tab w:leader="none" w:pos="4540" w:val="left"/>
          <w:tab w:leader="none" w:pos="10220" w:val="left"/>
        </w:tabs>
        <w:rPr>
          <w:sz w:val="20"/>
          <w:szCs w:val="20"/>
          <w:color w:val="auto"/>
        </w:rPr>
      </w:pPr>
      <w:r>
        <w:rPr>
          <w:rFonts w:ascii="Arial" w:cs="Arial" w:eastAsia="Arial" w:hAnsi="Arial"/>
          <w:sz w:val="18"/>
          <w:szCs w:val="18"/>
          <w:color w:val="auto"/>
        </w:rPr>
        <w:t>purposes of this Agreement, mean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whose authority hereunder may be exercised by them jointly or by</w:t>
      </w:r>
      <w:r>
        <w:rPr>
          <w:sz w:val="20"/>
          <w:szCs w:val="20"/>
          <w:color w:val="auto"/>
        </w:rPr>
        <w:tab/>
      </w:r>
      <w:r>
        <w:rPr>
          <w:rFonts w:ascii="Arial" w:cs="Arial" w:eastAsia="Arial" w:hAnsi="Arial"/>
          <w:sz w:val="15"/>
          <w:szCs w:val="15"/>
          <w:color w:val="auto"/>
        </w:rPr>
        <w:t>alone].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4" w:name="page35"/>
    <w:bookmarkEnd w:id="34"/>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35" w:name="page36"/>
    <w:bookmarkEnd w:id="3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36" w:name="page37"/>
    <w:bookmarkEnd w:id="3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37" w:name="page38"/>
    <w:bookmarkEnd w:id="3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219"/>
          </w:cols>
          <w:pgMar w:left="240" w:top="274" w:right="1440"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Subject to Overallotment Option: $</w:t>
      </w:r>
    </w:p>
    <w:p>
      <w:pPr>
        <w:spacing w:after="0" w:line="171" w:lineRule="exact"/>
        <w:rPr>
          <w:sz w:val="20"/>
          <w:szCs w:val="20"/>
          <w:color w:val="auto"/>
        </w:rPr>
      </w:pPr>
    </w:p>
    <w:p>
      <w:pPr>
        <w:spacing w:after="0"/>
        <w:tabs>
          <w:tab w:leader="none" w:pos="1800" w:val="left"/>
          <w:tab w:leader="none" w:pos="6920" w:val="left"/>
        </w:tabs>
        <w:rPr>
          <w:sz w:val="20"/>
          <w:szCs w:val="20"/>
          <w:color w:val="auto"/>
        </w:rPr>
      </w:pPr>
      <w:r>
        <w:rPr>
          <w:rFonts w:ascii="Arial" w:cs="Arial" w:eastAsia="Arial" w:hAnsi="Arial"/>
          <w:sz w:val="18"/>
          <w:szCs w:val="18"/>
          <w:color w:val="auto"/>
        </w:rPr>
        <w:t>Purchase Price: $[</w:t>
      </w:r>
      <w:r>
        <w:rPr>
          <w:sz w:val="20"/>
          <w:szCs w:val="20"/>
          <w:color w:val="auto"/>
        </w:rPr>
        <w:tab/>
      </w:r>
      <w:r>
        <w:rPr>
          <w:rFonts w:ascii="Arial" w:cs="Arial" w:eastAsia="Arial" w:hAnsi="Arial"/>
          <w:sz w:val="18"/>
          <w:szCs w:val="18"/>
          <w:color w:val="auto"/>
        </w:rPr>
        <w:t>] per [$1,000] principal amount (plus accrued interest from [</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spacing w:after="0"/>
        <w:tabs>
          <w:tab w:leader="none" w:pos="2040" w:val="left"/>
          <w:tab w:leader="none" w:pos="7160" w:val="left"/>
        </w:tabs>
        <w:rPr>
          <w:sz w:val="20"/>
          <w:szCs w:val="20"/>
          <w:color w:val="auto"/>
        </w:rPr>
      </w:pPr>
      <w:r>
        <w:rPr>
          <w:rFonts w:ascii="Arial" w:cs="Arial" w:eastAsia="Arial" w:hAnsi="Arial"/>
          <w:sz w:val="18"/>
          <w:szCs w:val="18"/>
          <w:color w:val="auto"/>
        </w:rPr>
        <w:t>Price to the Public: $[</w:t>
      </w:r>
      <w:r>
        <w:rPr>
          <w:sz w:val="20"/>
          <w:szCs w:val="20"/>
          <w:color w:val="auto"/>
        </w:rPr>
        <w:tab/>
      </w:r>
      <w:r>
        <w:rPr>
          <w:rFonts w:ascii="Arial" w:cs="Arial" w:eastAsia="Arial" w:hAnsi="Arial"/>
          <w:sz w:val="18"/>
          <w:szCs w:val="18"/>
          <w:color w:val="auto"/>
        </w:rPr>
        <w:t>] per [$1,000] principal amount (plus accrued interest from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71" w:lineRule="exact"/>
        <w:rPr>
          <w:sz w:val="20"/>
          <w:szCs w:val="20"/>
          <w:color w:val="auto"/>
        </w:rPr>
      </w:pPr>
    </w:p>
    <w:p>
      <w:pPr>
        <w:spacing w:after="0"/>
        <w:tabs>
          <w:tab w:leader="none" w:pos="2640" w:val="left"/>
          <w:tab w:leader="none" w:pos="3980" w:val="left"/>
          <w:tab w:leader="none" w:pos="6020" w:val="left"/>
        </w:tabs>
        <w:rPr>
          <w:sz w:val="20"/>
          <w:szCs w:val="20"/>
          <w:color w:val="auto"/>
        </w:rPr>
      </w:pPr>
      <w:r>
        <w:rPr>
          <w:rFonts w:ascii="Arial" w:cs="Arial" w:eastAsia="Arial" w:hAnsi="Arial"/>
          <w:sz w:val="18"/>
          <w:szCs w:val="18"/>
          <w:color w:val="auto"/>
        </w:rPr>
        <w:t>Interest Payment Dates: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 commencing [</w:t>
      </w:r>
      <w:r>
        <w:rPr>
          <w:sz w:val="20"/>
          <w:szCs w:val="20"/>
          <w:color w:val="auto"/>
        </w:rPr>
        <w:tab/>
      </w:r>
      <w:r>
        <w:rPr>
          <w:rFonts w:ascii="Arial" w:cs="Arial" w:eastAsia="Arial" w:hAnsi="Arial"/>
          <w:sz w:val="16"/>
          <w:szCs w:val="16"/>
          <w:color w:val="auto"/>
        </w:rPr>
        <w:t>] (Interest accrues from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 and Denomination: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5" w:lineRule="exact"/>
        <w:rPr>
          <w:sz w:val="20"/>
          <w:szCs w:val="20"/>
          <w:color w:val="auto"/>
        </w:rPr>
      </w:pPr>
    </w:p>
    <w:p>
      <w:pPr>
        <w:sectPr>
          <w:pgSz w:w="11900" w:h="16838" w:orient="portrait"/>
          <w:cols w:equalWidth="0" w:num="2">
            <w:col w:w="7940" w:space="720"/>
            <w:col w:w="155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Other Terms: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19"/>
          </w:cols>
          <w:pgMar w:left="240" w:top="274" w:right="1440" w:bottom="1440" w:gutter="0" w:footer="0" w:header="0"/>
          <w:type w:val="continuous"/>
        </w:sectPr>
      </w:pPr>
    </w:p>
    <w:bookmarkStart w:id="38" w:name="page39"/>
    <w:bookmarkEnd w:id="3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Warrant: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4"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60" w:type="dxa"/>
            <w:vAlign w:val="bottom"/>
          </w:tcPr>
          <w:p>
            <w:pPr>
              <w:jc w:val="center"/>
              <w:ind w:right="1852"/>
              <w:spacing w:after="0"/>
              <w:rPr>
                <w:sz w:val="20"/>
                <w:szCs w:val="20"/>
                <w:color w:val="auto"/>
              </w:rPr>
            </w:pPr>
            <w:r>
              <w:rPr>
                <w:rFonts w:ascii="Arial" w:cs="Arial" w:eastAsia="Arial" w:hAnsi="Arial"/>
                <w:sz w:val="18"/>
                <w:szCs w:val="18"/>
                <w:b w:val="1"/>
                <w:bCs w:val="1"/>
                <w:color w:val="auto"/>
                <w:w w:val="99"/>
              </w:rPr>
              <w:t>SCHEDULE I</w:t>
            </w:r>
          </w:p>
        </w:tc>
        <w:tc>
          <w:tcPr>
            <w:tcW w:w="5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TO UNDERWRITING AGREEMENT</w:t>
            </w:r>
          </w:p>
        </w:tc>
        <w:tc>
          <w:tcPr>
            <w:tcW w:w="560" w:type="dxa"/>
            <w:vAlign w:val="bottom"/>
          </w:tcPr>
          <w:p>
            <w:pPr>
              <w:spacing w:after="0"/>
              <w:rPr>
                <w:sz w:val="18"/>
                <w:szCs w:val="18"/>
                <w:color w:val="auto"/>
              </w:rPr>
            </w:pPr>
          </w:p>
        </w:tc>
      </w:tr>
      <w:tr>
        <w:trPr>
          <w:trHeight w:val="228"/>
        </w:trPr>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60" w:type="dxa"/>
            <w:vAlign w:val="bottom"/>
          </w:tcPr>
          <w:p>
            <w:pPr>
              <w:jc w:val="center"/>
              <w:ind w:right="1872"/>
              <w:spacing w:after="0"/>
              <w:rPr>
                <w:sz w:val="20"/>
                <w:szCs w:val="20"/>
                <w:color w:val="auto"/>
              </w:rPr>
            </w:pPr>
            <w:r>
              <w:rPr>
                <w:rFonts w:ascii="Arial" w:cs="Arial" w:eastAsia="Arial" w:hAnsi="Arial"/>
                <w:sz w:val="18"/>
                <w:szCs w:val="18"/>
                <w:b w:val="1"/>
                <w:bCs w:val="1"/>
                <w:color w:val="auto"/>
                <w:w w:val="99"/>
              </w:rPr>
              <w:t>(UNITS)</w:t>
            </w:r>
          </w:p>
        </w:tc>
        <w:tc>
          <w:tcPr>
            <w:tcW w:w="560" w:type="dxa"/>
            <w:vAlign w:val="bottom"/>
          </w:tcPr>
          <w:p>
            <w:pPr>
              <w:spacing w:after="0"/>
              <w:rPr>
                <w:sz w:val="19"/>
                <w:szCs w:val="19"/>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8"/>
                <w:szCs w:val="18"/>
                <w:color w:val="auto"/>
              </w:rPr>
              <w:t>Purchase Price per Unit: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8"/>
                <w:szCs w:val="18"/>
                <w:color w:val="auto"/>
              </w:rPr>
              <w:t>Price to the Public per Unit:</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0"/>
        </w:trPr>
        <w:tc>
          <w:tcPr>
            <w:tcW w:w="3220" w:type="dxa"/>
            <w:vAlign w:val="bottom"/>
            <w:gridSpan w:val="3"/>
          </w:tcPr>
          <w:p>
            <w:pPr>
              <w:spacing w:after="0"/>
              <w:rPr>
                <w:sz w:val="20"/>
                <w:szCs w:val="20"/>
                <w:color w:val="auto"/>
              </w:rPr>
            </w:pPr>
            <w:r>
              <w:rPr>
                <w:rFonts w:ascii="Arial" w:cs="Arial" w:eastAsia="Arial" w:hAnsi="Arial"/>
                <w:sz w:val="18"/>
                <w:szCs w:val="18"/>
                <w:color w:val="auto"/>
                <w:w w:val="95"/>
              </w:rPr>
              <w:t>Terms of Debt Securities included in Units</w:t>
            </w: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7"/>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3220" w:type="dxa"/>
            <w:vAlign w:val="bottom"/>
            <w:gridSpan w:val="3"/>
          </w:tcPr>
          <w:p>
            <w:pPr>
              <w:spacing w:after="0"/>
              <w:rPr>
                <w:sz w:val="20"/>
                <w:szCs w:val="20"/>
                <w:color w:val="auto"/>
              </w:rPr>
            </w:pPr>
            <w:r>
              <w:rPr>
                <w:rFonts w:ascii="Arial" w:cs="Arial" w:eastAsia="Arial" w:hAnsi="Arial"/>
                <w:sz w:val="18"/>
                <w:szCs w:val="18"/>
                <w:color w:val="auto"/>
              </w:rPr>
              <w:t>Principal Amount included per Unit: $[</w:t>
            </w:r>
          </w:p>
        </w:tc>
        <w:tc>
          <w:tcPr>
            <w:tcW w:w="1940" w:type="dxa"/>
            <w:vAlign w:val="bottom"/>
          </w:tcPr>
          <w:p>
            <w:pPr>
              <w:jc w:val="right"/>
              <w:ind w:right="1712"/>
              <w:spacing w:after="0"/>
              <w:rPr>
                <w:sz w:val="20"/>
                <w:szCs w:val="20"/>
                <w:color w:val="auto"/>
              </w:rPr>
            </w:pPr>
            <w:r>
              <w:rPr>
                <w:rFonts w:ascii="Arial" w:cs="Arial" w:eastAsia="Arial" w:hAnsi="Arial"/>
                <w:sz w:val="18"/>
                <w:szCs w:val="18"/>
                <w:color w:val="auto"/>
              </w:rPr>
              <w:t>]</w:t>
            </w: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8"/>
                <w:szCs w:val="18"/>
                <w:color w:val="auto"/>
              </w:rPr>
              <w:t>Maturity Date: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8"/>
                <w:szCs w:val="18"/>
                <w:color w:val="auto"/>
              </w:rPr>
              <w:t>Interest Rate: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8"/>
                <w:szCs w:val="18"/>
                <w:color w:val="auto"/>
              </w:rPr>
              <w:t>Redemption Provisions: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8"/>
        </w:trPr>
        <w:tc>
          <w:tcPr>
            <w:tcW w:w="2320" w:type="dxa"/>
            <w:vAlign w:val="bottom"/>
          </w:tcPr>
          <w:p>
            <w:pPr>
              <w:spacing w:after="0"/>
              <w:rPr>
                <w:sz w:val="20"/>
                <w:szCs w:val="20"/>
                <w:color w:val="auto"/>
              </w:rPr>
            </w:pPr>
            <w:r>
              <w:rPr>
                <w:rFonts w:ascii="Arial" w:cs="Arial" w:eastAsia="Arial" w:hAnsi="Arial"/>
                <w:sz w:val="18"/>
                <w:szCs w:val="18"/>
                <w:color w:val="auto"/>
              </w:rPr>
              <w:t>Interest Payment Dates: [</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 and [</w:t>
            </w:r>
          </w:p>
        </w:tc>
        <w:tc>
          <w:tcPr>
            <w:tcW w:w="1940" w:type="dxa"/>
            <w:vAlign w:val="bottom"/>
          </w:tcPr>
          <w:p>
            <w:pPr>
              <w:jc w:val="right"/>
              <w:spacing w:after="0"/>
              <w:rPr>
                <w:sz w:val="20"/>
                <w:szCs w:val="20"/>
                <w:color w:val="auto"/>
              </w:rPr>
            </w:pPr>
            <w:r>
              <w:rPr>
                <w:rFonts w:ascii="Arial" w:cs="Arial" w:eastAsia="Arial" w:hAnsi="Arial"/>
                <w:sz w:val="18"/>
                <w:szCs w:val="18"/>
                <w:color w:val="auto"/>
              </w:rPr>
              <w:t>], commencing [</w:t>
            </w:r>
          </w:p>
        </w:tc>
        <w:tc>
          <w:tcPr>
            <w:tcW w:w="3060" w:type="dxa"/>
            <w:vAlign w:val="bottom"/>
          </w:tcPr>
          <w:p>
            <w:pPr>
              <w:ind w:left="880"/>
              <w:spacing w:after="0"/>
              <w:rPr>
                <w:sz w:val="20"/>
                <w:szCs w:val="20"/>
                <w:color w:val="auto"/>
              </w:rPr>
            </w:pPr>
            <w:r>
              <w:rPr>
                <w:rFonts w:ascii="Arial" w:cs="Arial" w:eastAsia="Arial" w:hAnsi="Arial"/>
                <w:sz w:val="18"/>
                <w:szCs w:val="18"/>
                <w:color w:val="auto"/>
              </w:rPr>
              <w:t>] (Interest accrues from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and Denomination: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of Warrants included in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 per Unit: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Currency in which exercise payments shall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80"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660" w:type="dxa"/>
            <w:vAlign w:val="bottom"/>
            <w:gridSpan w:val="3"/>
          </w:tcPr>
          <w:p>
            <w:pPr>
              <w:jc w:val="center"/>
              <w:ind w:right="3692"/>
              <w:spacing w:after="0"/>
              <w:rPr>
                <w:sz w:val="20"/>
                <w:szCs w:val="20"/>
                <w:color w:val="auto"/>
              </w:rPr>
            </w:pPr>
            <w:r>
              <w:rPr>
                <w:rFonts w:ascii="Arial" w:cs="Arial" w:eastAsia="Arial" w:hAnsi="Arial"/>
                <w:sz w:val="18"/>
                <w:szCs w:val="18"/>
                <w:b w:val="1"/>
                <w:bCs w:val="1"/>
                <w:color w:val="auto"/>
                <w:w w:val="99"/>
              </w:rPr>
              <w:t>SCHEDULE II</w:t>
            </w:r>
          </w:p>
        </w:tc>
      </w:tr>
      <w:tr>
        <w:trPr>
          <w:trHeight w:val="228"/>
        </w:trPr>
        <w:tc>
          <w:tcPr>
            <w:tcW w:w="3760" w:type="dxa"/>
            <w:vAlign w:val="bottom"/>
          </w:tcPr>
          <w:p>
            <w:pPr>
              <w:spacing w:after="0"/>
              <w:rPr>
                <w:sz w:val="19"/>
                <w:szCs w:val="19"/>
                <w:color w:val="auto"/>
              </w:rPr>
            </w:pPr>
          </w:p>
        </w:tc>
        <w:tc>
          <w:tcPr>
            <w:tcW w:w="7660" w:type="dxa"/>
            <w:vAlign w:val="bottom"/>
            <w:gridSpan w:val="3"/>
          </w:tcPr>
          <w:p>
            <w:pPr>
              <w:jc w:val="center"/>
              <w:ind w:right="3672"/>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340"/>
        </w:trPr>
        <w:tc>
          <w:tcPr>
            <w:tcW w:w="3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9"/>
              </w:rPr>
              <w:t>[Number/Principal Amount of Offered</w:t>
            </w:r>
          </w:p>
        </w:tc>
      </w:tr>
      <w:tr>
        <w:trPr>
          <w:trHeight w:val="175"/>
        </w:trPr>
        <w:tc>
          <w:tcPr>
            <w:tcW w:w="376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Underwriter</w:t>
            </w:r>
          </w:p>
        </w:tc>
        <w:tc>
          <w:tcPr>
            <w:tcW w:w="20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Purchased]</w:t>
            </w:r>
          </w:p>
        </w:tc>
      </w:tr>
      <w:tr>
        <w:trPr>
          <w:trHeight w:val="142"/>
        </w:trPr>
        <w:tc>
          <w:tcPr>
            <w:tcW w:w="37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60" w:type="dxa"/>
            <w:vAlign w:val="bottom"/>
            <w:shd w:val="clear" w:color="auto" w:fill="CCEEFF"/>
          </w:tcPr>
          <w:p>
            <w:pPr>
              <w:spacing w:after="0"/>
              <w:rPr>
                <w:sz w:val="12"/>
                <w:szCs w:val="12"/>
                <w:color w:val="auto"/>
              </w:rPr>
            </w:pPr>
          </w:p>
        </w:tc>
      </w:tr>
      <w:tr>
        <w:trPr>
          <w:trHeight w:val="363"/>
        </w:trPr>
        <w:tc>
          <w:tcPr>
            <w:tcW w:w="3760" w:type="dxa"/>
            <w:vAlign w:val="bottom"/>
          </w:tcPr>
          <w:p>
            <w:pPr>
              <w:spacing w:after="0"/>
              <w:rPr>
                <w:sz w:val="24"/>
                <w:szCs w:val="24"/>
                <w:color w:val="auto"/>
              </w:rPr>
            </w:pPr>
          </w:p>
        </w:tc>
        <w:tc>
          <w:tcPr>
            <w:tcW w:w="2060" w:type="dxa"/>
            <w:vAlign w:val="bottom"/>
          </w:tcPr>
          <w:p>
            <w:pPr>
              <w:jc w:val="center"/>
              <w:ind w:left="1752"/>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24"/>
                <w:szCs w:val="24"/>
                <w:color w:val="auto"/>
              </w:rPr>
            </w:pPr>
          </w:p>
        </w:tc>
        <w:tc>
          <w:tcPr>
            <w:tcW w:w="5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right="2359"/>
        <w:spacing w:after="0" w:line="430" w:lineRule="auto"/>
        <w:rPr>
          <w:sz w:val="20"/>
          <w:szCs w:val="20"/>
          <w:color w:val="auto"/>
        </w:rPr>
      </w:pPr>
      <w:r>
        <w:rPr>
          <w:rFonts w:ascii="Arial" w:cs="Arial" w:eastAsia="Arial" w:hAnsi="Arial"/>
          <w:sz w:val="18"/>
          <w:szCs w:val="18"/>
          <w:color w:val="auto"/>
        </w:rPr>
        <w:t>[Term sheet reflecting the terms on Schedule I or, if there is no term sheet, orally conveyed pricing information] [List any other free writing prospectus to be included in the Time of Sale Prospectus]</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274" w:right="1440" w:bottom="1440" w:gutter="0" w:footer="0" w:header="0"/>
        </w:sectPr>
      </w:pPr>
    </w:p>
    <w:bookmarkStart w:id="43" w:name="page44"/>
    <w:bookmarkEnd w:id="4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[Insert the information provided by the Underwriter expressly for use in the offering documents pursuant to the second paragraph under Article VI of the Underwriting Agreement.]</w:t>
      </w:r>
    </w:p>
    <w:p>
      <w:pPr>
        <w:spacing w:after="0" w:line="1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240" w:top="274" w:right="91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65"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 2010</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From time to time in one or more offerings on terms determined at the time of sale, the Company proposes to issue and sell (a) its common stock, $1.00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(b) its preferred stock, $25.00 par value per share (the “</w:t>
      </w:r>
      <w:r>
        <w:rPr>
          <w:rFonts w:ascii="Arial" w:cs="Arial" w:eastAsia="Arial" w:hAnsi="Arial"/>
          <w:sz w:val="15"/>
          <w:szCs w:val="15"/>
          <w:b w:val="1"/>
          <w:bCs w:val="1"/>
          <w:color w:val="auto"/>
        </w:rPr>
        <w:t>Preferred Stock</w:t>
      </w:r>
      <w:r>
        <w:rPr>
          <w:rFonts w:ascii="Arial" w:cs="Arial" w:eastAsia="Arial" w:hAnsi="Arial"/>
          <w:sz w:val="15"/>
          <w:szCs w:val="15"/>
          <w:color w:val="auto"/>
        </w:rPr>
        <w:t>”), (c) certain of its debt securities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issuable under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to be entered into by the Company and U.S.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1" w:lineRule="exact"/>
        <w:rPr>
          <w:sz w:val="20"/>
          <w:szCs w:val="20"/>
          <w:color w:val="auto"/>
        </w:rPr>
      </w:pPr>
    </w:p>
    <w:p>
      <w:pPr>
        <w:ind w:right="300" w:firstLine="8"/>
        <w:spacing w:after="0" w:line="255"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w:t>
      </w:r>
      <w:r>
        <w:rPr>
          <w:rFonts w:ascii="Arial" w:cs="Arial" w:eastAsia="Arial" w:hAnsi="Arial"/>
          <w:sz w:val="18"/>
          <w:szCs w:val="18"/>
          <w:b w:val="1"/>
          <w:bCs w:val="1"/>
          <w:color w:val="auto"/>
        </w:rPr>
        <w:t>Warrants</w:t>
      </w:r>
      <w:r>
        <w:rPr>
          <w:rFonts w:ascii="Arial" w:cs="Arial" w:eastAsia="Arial" w:hAnsi="Arial"/>
          <w:sz w:val="18"/>
          <w:szCs w:val="18"/>
          <w:color w:val="auto"/>
        </w:rPr>
        <w:t>”), and (e) units consisting of Common Stock, Preferred Stock, Debt Securities or Warrants or any combination thereof (“</w:t>
      </w:r>
      <w:r>
        <w:rPr>
          <w:rFonts w:ascii="Arial" w:cs="Arial" w:eastAsia="Arial" w:hAnsi="Arial"/>
          <w:sz w:val="18"/>
          <w:szCs w:val="18"/>
          <w:b w:val="1"/>
          <w:bCs w:val="1"/>
          <w:color w:val="auto"/>
        </w:rPr>
        <w:t>Units</w:t>
      </w:r>
      <w:r>
        <w:rPr>
          <w:rFonts w:ascii="Arial" w:cs="Arial" w:eastAsia="Arial" w:hAnsi="Arial"/>
          <w:sz w:val="18"/>
          <w:szCs w:val="18"/>
          <w:color w:val="auto"/>
        </w:rPr>
        <w:t>”). The Common Stock, Preferred Stock, Debt Securities, Warrants and Units are each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8"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 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if any, together with any additional documents or 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right="80" w:firstLine="443"/>
        <w:spacing w:after="0" w:line="291" w:lineRule="auto"/>
        <w:tabs>
          <w:tab w:leader="none" w:pos="1137"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pending or threatened.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6" w:name="page47"/>
    <w:bookmarkEnd w:id="46"/>
    <w:p>
      <w:pPr>
        <w:ind w:right="580" w:firstLine="443"/>
        <w:spacing w:after="0" w:line="259" w:lineRule="auto"/>
        <w:tabs>
          <w:tab w:leader="none" w:pos="687"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Joseph F. Hubach, Esq., Senior Vice President, Secretary and General Counsel of the Company (or another lawyer of the Company reasonably satisfactory to the Underwriters), dated the Closing Date, to the effect (as applicable) that:</w:t>
      </w:r>
    </w:p>
    <w:p>
      <w:pPr>
        <w:spacing w:after="0" w:line="59" w:lineRule="exact"/>
        <w:rPr>
          <w:rFonts w:ascii="Arial" w:cs="Arial" w:eastAsia="Arial" w:hAnsi="Arial"/>
          <w:sz w:val="18"/>
          <w:szCs w:val="18"/>
          <w:color w:val="auto"/>
        </w:rPr>
      </w:pPr>
    </w:p>
    <w:p>
      <w:pPr>
        <w:ind w:left="460" w:right="160" w:firstLine="421"/>
        <w:spacing w:after="0" w:line="268" w:lineRule="auto"/>
        <w:tabs>
          <w:tab w:leader="none" w:pos="10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50" w:lineRule="exact"/>
        <w:rPr>
          <w:rFonts w:ascii="Arial" w:cs="Arial" w:eastAsia="Arial" w:hAnsi="Arial"/>
          <w:sz w:val="18"/>
          <w:szCs w:val="18"/>
          <w:color w:val="auto"/>
        </w:rPr>
      </w:pPr>
    </w:p>
    <w:p>
      <w:pPr>
        <w:ind w:left="460" w:firstLine="421"/>
        <w:spacing w:after="0" w:line="306" w:lineRule="auto"/>
        <w:tabs>
          <w:tab w:leader="none" w:pos="113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90" w:lineRule="exact"/>
        <w:rPr>
          <w:rFonts w:ascii="Arial" w:cs="Arial" w:eastAsia="Arial" w:hAnsi="Arial"/>
          <w:sz w:val="18"/>
          <w:szCs w:val="18"/>
          <w:color w:val="auto"/>
        </w:rPr>
      </w:pPr>
    </w:p>
    <w:p>
      <w:pPr>
        <w:ind w:left="460" w:right="280" w:firstLine="421"/>
        <w:spacing w:after="0" w:line="268" w:lineRule="auto"/>
        <w:tabs>
          <w:tab w:leader="none" w:pos="11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50" w:lineRule="exact"/>
        <w:rPr>
          <w:rFonts w:ascii="Arial" w:cs="Arial" w:eastAsia="Arial" w:hAnsi="Arial"/>
          <w:sz w:val="18"/>
          <w:szCs w:val="18"/>
          <w:color w:val="auto"/>
        </w:rPr>
      </w:pPr>
    </w:p>
    <w:p>
      <w:pPr>
        <w:ind w:left="460" w:right="20" w:firstLine="421"/>
        <w:spacing w:after="0" w:line="290" w:lineRule="auto"/>
        <w:tabs>
          <w:tab w:leader="none" w:pos="112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the Offered Securities, the Warrant Agreement and the Unit Agreement (each, a “</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47" w:name="page48"/>
    <w:bookmarkEnd w:id="47"/>
    <w:p>
      <w:pPr>
        <w:ind w:left="-280" w:firstLine="421"/>
        <w:spacing w:after="0" w:line="255" w:lineRule="auto"/>
        <w:tabs>
          <w:tab w:leader="none" w:pos="437"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61" w:lineRule="exact"/>
        <w:rPr>
          <w:rFonts w:ascii="Arial" w:cs="Arial" w:eastAsia="Arial" w:hAnsi="Arial"/>
          <w:sz w:val="18"/>
          <w:szCs w:val="18"/>
          <w:color w:val="auto"/>
        </w:rPr>
      </w:pPr>
    </w:p>
    <w:p>
      <w:pPr>
        <w:ind w:left="-280" w:firstLine="421"/>
        <w:spacing w:after="0" w:line="284" w:lineRule="auto"/>
        <w:tabs>
          <w:tab w:leader="none" w:pos="4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00"/>
          </w:cols>
          <w:pgMar w:left="1440" w:top="280" w:right="259" w:bottom="1440" w:gutter="0" w:footer="0" w:header="0"/>
        </w:sectPr>
      </w:pPr>
    </w:p>
    <w:bookmarkStart w:id="48" w:name="page49"/>
    <w:bookmarkEnd w:id="48"/>
    <w:p>
      <w:pPr>
        <w:ind w:right="140" w:firstLine="443"/>
        <w:spacing w:after="0" w:line="268" w:lineRule="auto"/>
        <w:tabs>
          <w:tab w:leader="none" w:pos="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5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left="460" w:right="120" w:firstLine="421"/>
        <w:spacing w:after="0" w:line="291" w:lineRule="auto"/>
        <w:tabs>
          <w:tab w:leader="none" w:pos="11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49" w:name="page50"/>
    <w:bookmarkEnd w:id="49"/>
    <w:p>
      <w:pPr>
        <w:ind w:right="100" w:firstLine="421"/>
        <w:spacing w:after="0" w:line="294" w:lineRule="auto"/>
        <w:tabs>
          <w:tab w:leader="none" w:pos="727"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right="100" w:firstLine="421"/>
        <w:spacing w:after="0" w:line="294" w:lineRule="auto"/>
        <w:tabs>
          <w:tab w:leader="none" w:pos="717"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(B) the Unit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660" w:hanging="239"/>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firstLine="421"/>
        <w:spacing w:after="0" w:line="259" w:lineRule="auto"/>
        <w:tabs>
          <w:tab w:leader="none" w:pos="7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59" w:lineRule="exact"/>
        <w:rPr>
          <w:rFonts w:ascii="Arial" w:cs="Arial" w:eastAsia="Arial" w:hAnsi="Arial"/>
          <w:sz w:val="18"/>
          <w:szCs w:val="18"/>
          <w:color w:val="auto"/>
        </w:rPr>
      </w:pPr>
    </w:p>
    <w:p>
      <w:pPr>
        <w:ind w:right="60" w:firstLine="421"/>
        <w:spacing w:after="0" w:line="268" w:lineRule="auto"/>
        <w:tabs>
          <w:tab w:leader="none" w:pos="7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“Certain U.S. Tax Considerations” and “Underwriting” relating to legal matters fairly summarize in all material respects such legal matters;</w:t>
      </w:r>
    </w:p>
    <w:p>
      <w:pPr>
        <w:spacing w:after="0" w:line="44" w:lineRule="exact"/>
        <w:rPr>
          <w:rFonts w:ascii="Arial" w:cs="Arial" w:eastAsia="Arial" w:hAnsi="Arial"/>
          <w:sz w:val="18"/>
          <w:szCs w:val="18"/>
          <w:color w:val="auto"/>
        </w:rPr>
      </w:pPr>
    </w:p>
    <w:p>
      <w:pPr>
        <w:ind w:left="820" w:hanging="399"/>
        <w:spacing w:after="0"/>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case of Offered Securities that are convertible into or exercisable or exchangeable for other Securities (the “</w:t>
      </w:r>
      <w:r>
        <w:rPr>
          <w:rFonts w:ascii="Arial" w:cs="Arial" w:eastAsia="Arial" w:hAnsi="Arial"/>
          <w:sz w:val="16"/>
          <w:szCs w:val="16"/>
          <w:b w:val="1"/>
          <w:bCs w:val="1"/>
          <w:color w:val="auto"/>
        </w:rPr>
        <w:t>Underlying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15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50" w:name="page51"/>
    <w:bookmarkEnd w:id="50"/>
    <w:p>
      <w:pPr>
        <w:jc w:val="both"/>
        <w:ind w:firstLine="421"/>
        <w:spacing w:after="0" w:line="306" w:lineRule="auto"/>
        <w:tabs>
          <w:tab w:leader="none" w:pos="717"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 and</w:t>
      </w:r>
    </w:p>
    <w:p>
      <w:pPr>
        <w:spacing w:after="0" w:line="25" w:lineRule="exact"/>
        <w:rPr>
          <w:rFonts w:ascii="Arial" w:cs="Arial" w:eastAsia="Arial" w:hAnsi="Arial"/>
          <w:sz w:val="16"/>
          <w:szCs w:val="16"/>
          <w:color w:val="auto"/>
        </w:rPr>
      </w:pPr>
    </w:p>
    <w:p>
      <w:pPr>
        <w:ind w:left="660" w:hanging="239"/>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in the opinion of such counsel the Registration Statement and the Prospectus (except for the financial statements and financial</w:t>
      </w:r>
    </w:p>
    <w:p>
      <w:pPr>
        <w:spacing w:after="0" w:line="38"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w:t>
      </w:r>
    </w:p>
    <w:p>
      <w:pPr>
        <w:spacing w:after="0" w:line="1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1160" w:top="280" w:right="259" w:bottom="1440" w:gutter="0" w:footer="0" w:header="0"/>
        </w:sectPr>
      </w:pPr>
    </w:p>
    <w:bookmarkStart w:id="51" w:name="page52"/>
    <w:bookmarkEnd w:id="51"/>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The Manager shall have received on the Closing Date an opinion of its own counsel, in a form acceptable to the Manager, dated the Closing Date.</w:t>
      </w:r>
    </w:p>
    <w:p>
      <w:pPr>
        <w:spacing w:after="0" w:line="20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It is understood that Joseph F. Hubach, Esq. may rely as to all matters relating to the laws of the State of New York upon the opinion of Davis Polk &amp; Wardwell LLP.</w:t>
      </w:r>
    </w:p>
    <w:p>
      <w:pPr>
        <w:spacing w:after="0" w:line="13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With respect to the matters set forth in (b)(vii) and (c)(x) above, Joseph F. Hubach, Esq.,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32" w:lineRule="exact"/>
        <w:rPr>
          <w:sz w:val="20"/>
          <w:szCs w:val="20"/>
          <w:color w:val="auto"/>
        </w:rPr>
      </w:pPr>
    </w:p>
    <w:p>
      <w:pPr>
        <w:ind w:left="460" w:right="300" w:firstLine="443"/>
        <w:spacing w:after="0" w:line="256" w:lineRule="auto"/>
        <w:tabs>
          <w:tab w:leader="none" w:pos="11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2" w:lineRule="exact"/>
        <w:rPr>
          <w:rFonts w:ascii="Arial" w:cs="Arial" w:eastAsia="Arial" w:hAnsi="Arial"/>
          <w:sz w:val="18"/>
          <w:szCs w:val="18"/>
          <w:color w:val="auto"/>
        </w:rPr>
      </w:pPr>
    </w:p>
    <w:p>
      <w:pPr>
        <w:ind w:left="460" w:right="120" w:firstLine="443"/>
        <w:spacing w:after="0" w:line="254" w:lineRule="auto"/>
        <w:tabs>
          <w:tab w:leader="none" w:pos="11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for purposes of Rule 436(g)(2) under the Securities Act,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52" w:name="page53"/>
    <w:bookmarkEnd w:id="52"/>
    <w:p>
      <w:pPr>
        <w:ind w:firstLine="443"/>
        <w:spacing w:after="0" w:line="256"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2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right="60" w:firstLine="443"/>
        <w:spacing w:after="0" w:line="306" w:lineRule="auto"/>
        <w:tabs>
          <w:tab w:leader="none" w:pos="67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5" w:lineRule="exact"/>
        <w:rPr>
          <w:rFonts w:ascii="Arial" w:cs="Arial" w:eastAsia="Arial" w:hAnsi="Arial"/>
          <w:sz w:val="16"/>
          <w:szCs w:val="16"/>
          <w:color w:val="auto"/>
        </w:rPr>
      </w:pPr>
    </w:p>
    <w:p>
      <w:pPr>
        <w:ind w:right="600" w:firstLine="443"/>
        <w:spacing w:after="0" w:line="268" w:lineRule="auto"/>
        <w:tabs>
          <w:tab w:leader="none" w:pos="6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w:t>
      </w:r>
    </w:p>
    <w:p>
      <w:pPr>
        <w:spacing w:after="0" w:line="50" w:lineRule="exact"/>
        <w:rPr>
          <w:rFonts w:ascii="Arial" w:cs="Arial" w:eastAsia="Arial" w:hAnsi="Arial"/>
          <w:sz w:val="18"/>
          <w:szCs w:val="18"/>
          <w:color w:val="auto"/>
        </w:rPr>
      </w:pPr>
    </w:p>
    <w:p>
      <w:pPr>
        <w:ind w:right="80" w:firstLine="443"/>
        <w:spacing w:after="0" w:line="268" w:lineRule="auto"/>
        <w:tabs>
          <w:tab w:leader="none" w:pos="6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50" w:lineRule="exact"/>
        <w:rPr>
          <w:rFonts w:ascii="Arial" w:cs="Arial" w:eastAsia="Arial" w:hAnsi="Arial"/>
          <w:sz w:val="18"/>
          <w:szCs w:val="18"/>
          <w:color w:val="auto"/>
        </w:rPr>
      </w:pPr>
    </w:p>
    <w:p>
      <w:pPr>
        <w:ind w:right="220" w:firstLine="443"/>
        <w:spacing w:after="0" w:line="259" w:lineRule="auto"/>
        <w:tabs>
          <w:tab w:leader="none" w:pos="687"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700" w:top="280" w:right="299" w:bottom="1440" w:gutter="0" w:footer="0" w:header="0"/>
        </w:sectPr>
      </w:pPr>
    </w:p>
    <w:bookmarkStart w:id="53" w:name="page54"/>
    <w:bookmarkEnd w:id="53"/>
    <w:p>
      <w:pPr>
        <w:ind w:firstLine="443"/>
        <w:spacing w:after="0" w:line="288"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38" w:lineRule="exact"/>
        <w:rPr>
          <w:rFonts w:ascii="Arial" w:cs="Arial" w:eastAsia="Arial" w:hAnsi="Arial"/>
          <w:sz w:val="16"/>
          <w:szCs w:val="16"/>
          <w:color w:val="auto"/>
        </w:rPr>
      </w:pPr>
    </w:p>
    <w:p>
      <w:pPr>
        <w:ind w:right="120" w:firstLine="443"/>
        <w:spacing w:after="0" w:line="308" w:lineRule="auto"/>
        <w:tabs>
          <w:tab w:leader="none" w:pos="657" w:val="left"/>
        </w:tabs>
        <w:numPr>
          <w:ilvl w:val="0"/>
          <w:numId w:val="43"/>
        </w:numPr>
        <w:rPr>
          <w:rFonts w:ascii="Arial" w:cs="Arial" w:eastAsia="Arial" w:hAnsi="Arial"/>
          <w:sz w:val="15"/>
          <w:szCs w:val="15"/>
          <w:color w:val="auto"/>
        </w:rPr>
      </w:pPr>
      <w:r>
        <w:rPr>
          <w:rFonts w:ascii="Arial" w:cs="Arial" w:eastAsia="Arial" w:hAnsi="Arial"/>
          <w:sz w:val="15"/>
          <w:szCs w:val="15"/>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28" w:lineRule="exact"/>
        <w:rPr>
          <w:rFonts w:ascii="Arial" w:cs="Arial" w:eastAsia="Arial" w:hAnsi="Arial"/>
          <w:sz w:val="15"/>
          <w:szCs w:val="15"/>
          <w:color w:val="auto"/>
        </w:rPr>
      </w:pPr>
    </w:p>
    <w:p>
      <w:pPr>
        <w:ind w:right="220" w:firstLine="443"/>
        <w:spacing w:after="0" w:line="332" w:lineRule="auto"/>
        <w:tabs>
          <w:tab w:leader="none" w:pos="6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4" w:lineRule="exact"/>
        <w:rPr>
          <w:rFonts w:ascii="Arial" w:cs="Arial" w:eastAsia="Arial" w:hAnsi="Arial"/>
          <w:sz w:val="16"/>
          <w:szCs w:val="16"/>
          <w:color w:val="auto"/>
        </w:rPr>
      </w:pPr>
    </w:p>
    <w:p>
      <w:pPr>
        <w:ind w:right="60" w:firstLine="443"/>
        <w:spacing w:after="0" w:line="298" w:lineRule="auto"/>
        <w:tabs>
          <w:tab w:leader="none" w:pos="687"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54" w:name="page55"/>
    <w:bookmarkEnd w:id="54"/>
    <w:p>
      <w:pPr>
        <w:ind w:firstLine="443"/>
        <w:spacing w:after="0" w:line="305" w:lineRule="auto"/>
        <w:tabs>
          <w:tab w:leader="none" w:pos="648" w:val="left"/>
        </w:tabs>
        <w:numPr>
          <w:ilvl w:val="1"/>
          <w:numId w:val="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20" w:hanging="216"/>
        <w:spacing w:after="0"/>
        <w:tabs>
          <w:tab w:leader="none" w:pos="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Offered Securities or (ii) commercial paper issued in the ordinary course of business) without the prior written consent of the Manager.</w:t>
      </w:r>
    </w:p>
    <w:p>
      <w:pPr>
        <w:spacing w:after="0" w:line="106" w:lineRule="exact"/>
        <w:rPr>
          <w:rFonts w:ascii="Arial" w:cs="Arial" w:eastAsia="Arial" w:hAnsi="Arial"/>
          <w:sz w:val="16"/>
          <w:szCs w:val="16"/>
          <w:color w:val="auto"/>
        </w:rPr>
      </w:pPr>
    </w:p>
    <w:p>
      <w:pPr>
        <w:ind w:right="60" w:firstLine="443"/>
        <w:spacing w:after="0" w:line="306" w:lineRule="auto"/>
        <w:tabs>
          <w:tab w:leader="none" w:pos="648" w:val="left"/>
        </w:tabs>
        <w:numPr>
          <w:ilvl w:val="1"/>
          <w:numId w:val="45"/>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26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right="40" w:firstLine="443"/>
        <w:spacing w:after="0" w:line="298" w:lineRule="auto"/>
        <w:tabs>
          <w:tab w:leader="none" w:pos="6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80" w:right="299" w:bottom="1440" w:gutter="0" w:footer="0" w:header="0"/>
        </w:sectPr>
      </w:pPr>
    </w:p>
    <w:bookmarkStart w:id="55" w:name="page56"/>
    <w:bookmarkEnd w:id="55"/>
    <w:p>
      <w:pPr>
        <w:ind w:firstLine="443"/>
        <w:spacing w:after="0" w:line="284" w:lineRule="auto"/>
        <w:tabs>
          <w:tab w:leader="none" w:pos="687"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50" w:lineRule="exact"/>
        <w:rPr>
          <w:rFonts w:ascii="Arial" w:cs="Arial" w:eastAsia="Arial" w:hAnsi="Arial"/>
          <w:sz w:val="16"/>
          <w:szCs w:val="16"/>
          <w:color w:val="auto"/>
        </w:rPr>
      </w:pPr>
    </w:p>
    <w:p>
      <w:pPr>
        <w:ind w:firstLine="443"/>
        <w:spacing w:after="0" w:line="289" w:lineRule="auto"/>
        <w:tabs>
          <w:tab w:leader="none" w:pos="67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80" w:right="259" w:bottom="1440" w:gutter="0" w:footer="0" w:header="0"/>
        </w:sectPr>
      </w:pPr>
    </w:p>
    <w:bookmarkStart w:id="56" w:name="page57"/>
    <w:bookmarkEnd w:id="56"/>
    <w:p>
      <w:pPr>
        <w:ind w:firstLine="443"/>
        <w:spacing w:after="0" w:line="255" w:lineRule="auto"/>
        <w:tabs>
          <w:tab w:leader="none" w:pos="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61" w:lineRule="exact"/>
        <w:rPr>
          <w:rFonts w:ascii="Arial" w:cs="Arial" w:eastAsia="Arial" w:hAnsi="Arial"/>
          <w:sz w:val="18"/>
          <w:szCs w:val="18"/>
          <w:color w:val="auto"/>
        </w:rPr>
      </w:pPr>
    </w:p>
    <w:p>
      <w:pPr>
        <w:jc w:val="both"/>
        <w:ind w:right="160" w:firstLine="443"/>
        <w:spacing w:after="0" w:line="259" w:lineRule="auto"/>
        <w:tabs>
          <w:tab w:leader="none" w:pos="6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right="20" w:firstLine="443"/>
        <w:spacing w:after="0" w:line="254"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63" w:lineRule="exact"/>
        <w:rPr>
          <w:rFonts w:ascii="Arial" w:cs="Arial" w:eastAsia="Arial" w:hAnsi="Arial"/>
          <w:sz w:val="18"/>
          <w:szCs w:val="18"/>
          <w:color w:val="auto"/>
        </w:rPr>
      </w:pPr>
    </w:p>
    <w:p>
      <w:pPr>
        <w:ind w:firstLine="443"/>
        <w:spacing w:after="0" w:line="255" w:lineRule="auto"/>
        <w:tabs>
          <w:tab w:leader="none" w:pos="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700" w:top="280" w:right="299" w:bottom="1440" w:gutter="0" w:footer="0" w:header="0"/>
        </w:sectPr>
      </w:pPr>
    </w:p>
    <w:bookmarkStart w:id="57" w:name="page58"/>
    <w:bookmarkEnd w:id="57"/>
    <w:p>
      <w:pPr>
        <w:ind w:firstLine="443"/>
        <w:spacing w:after="0" w:line="255"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60" w:firstLine="443"/>
        <w:spacing w:after="0" w:line="305" w:lineRule="auto"/>
        <w:tabs>
          <w:tab w:leader="none" w:pos="648" w:val="left"/>
        </w:tabs>
        <w:numPr>
          <w:ilvl w:val="1"/>
          <w:numId w:val="49"/>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w:t>
      </w:r>
    </w:p>
    <w:p>
      <w:pPr>
        <w:jc w:val="both"/>
        <w:ind w:firstLine="4"/>
        <w:spacing w:after="0" w:line="331" w:lineRule="auto"/>
        <w:tabs>
          <w:tab w:leader="none" w:pos="307"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9" w:lineRule="exact"/>
        <w:rPr>
          <w:rFonts w:ascii="Arial" w:cs="Arial" w:eastAsia="Arial" w:hAnsi="Arial"/>
          <w:sz w:val="15"/>
          <w:szCs w:val="15"/>
          <w:color w:val="auto"/>
        </w:rPr>
      </w:pPr>
    </w:p>
    <w:p>
      <w:pPr>
        <w:jc w:val="both"/>
        <w:ind w:right="160" w:firstLine="443"/>
        <w:spacing w:after="0" w:line="259" w:lineRule="auto"/>
        <w:tabs>
          <w:tab w:leader="none" w:pos="6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9" w:lineRule="exact"/>
        <w:rPr>
          <w:rFonts w:ascii="Arial" w:cs="Arial" w:eastAsia="Arial" w:hAnsi="Arial"/>
          <w:sz w:val="18"/>
          <w:szCs w:val="18"/>
          <w:color w:val="auto"/>
        </w:rPr>
      </w:pPr>
    </w:p>
    <w:p>
      <w:pPr>
        <w:ind w:right="220" w:firstLine="443"/>
        <w:spacing w:after="0" w:line="259" w:lineRule="auto"/>
        <w:tabs>
          <w:tab w:leader="none" w:pos="64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9" w:lineRule="exact"/>
        <w:rPr>
          <w:rFonts w:ascii="Arial" w:cs="Arial" w:eastAsia="Arial" w:hAnsi="Arial"/>
          <w:sz w:val="18"/>
          <w:szCs w:val="18"/>
          <w:color w:val="auto"/>
        </w:rPr>
      </w:pPr>
    </w:p>
    <w:p>
      <w:pPr>
        <w:ind w:firstLine="443"/>
        <w:spacing w:after="0" w:line="294" w:lineRule="auto"/>
        <w:tabs>
          <w:tab w:leader="none" w:pos="736"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80" w:right="279" w:bottom="1440" w:gutter="0" w:footer="0" w:header="0"/>
        </w:sectPr>
      </w:pPr>
    </w:p>
    <w:bookmarkStart w:id="58" w:name="page59"/>
    <w:bookmarkEnd w:id="58"/>
    <w:p>
      <w:pPr>
        <w:ind w:left="460" w:firstLine="443"/>
        <w:spacing w:after="0" w:line="259"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w:t>
      </w:r>
    </w:p>
    <w:p>
      <w:pPr>
        <w:spacing w:after="0" w:line="177"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59" w:name="page60"/>
    <w:bookmarkEnd w:id="59"/>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60" w:name="page61"/>
    <w:bookmarkEnd w:id="60"/>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61" w:name="page62"/>
    <w:bookmarkEnd w:id="61"/>
    <w:p>
      <w:pPr>
        <w:ind w:left="5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20" w:firstLine="443"/>
        <w:spacing w:after="0" w:line="259"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VIII.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the American Stock Exchange or the NASDAQ Global Market, (ii) trading of any securities of the Company shall have been suspended on the New York Stock Exchange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clauses (a)(i) through (iv), such event singly or together with any other such event makes it, in the Manager’s judgment, impracticable to market the Offered Securities on the terms, in the manner and substantially at the price contemplated in the Time of Sale Prospectus and this Agreement. Any such termination of this Agreement shall be without liability on the part of any Manager or on the part of the Company except as stated in Article IX.</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63" w:name="page64"/>
    <w:bookmarkEnd w:id="6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left="400" w:right="300"/>
        <w:spacing w:after="0" w:line="440"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32</w:t>
      </w:r>
    </w:p>
    <w:p>
      <w:pPr>
        <w:sectPr>
          <w:pgSz w:w="11900" w:h="16838" w:orient="portrait"/>
          <w:cols w:equalWidth="0" w:num="1">
            <w:col w:w="11380"/>
          </w:cols>
          <w:pgMar w:left="240" w:top="280" w:right="2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00" w:type="dxa"/>
            <w:vAlign w:val="bottom"/>
          </w:tcPr>
          <w:p>
            <w:pPr>
              <w:ind w:left="4640"/>
              <w:spacing w:after="0"/>
              <w:rPr>
                <w:sz w:val="20"/>
                <w:szCs w:val="20"/>
                <w:color w:val="auto"/>
              </w:rPr>
            </w:pPr>
            <w:r>
              <w:rPr>
                <w:rFonts w:ascii="Arial" w:cs="Arial" w:eastAsia="Arial" w:hAnsi="Arial"/>
                <w:sz w:val="18"/>
                <w:szCs w:val="18"/>
                <w:color w:val="auto"/>
              </w:rPr>
              <w:t>Dated as of</w:t>
            </w:r>
          </w:p>
        </w:tc>
        <w:tc>
          <w:tcPr>
            <w:tcW w:w="5520" w:type="dxa"/>
            <w:vAlign w:val="bottom"/>
          </w:tcPr>
          <w:p>
            <w:pPr>
              <w:jc w:val="right"/>
              <w:ind w:right="4532"/>
              <w:spacing w:after="0"/>
              <w:rPr>
                <w:sz w:val="20"/>
                <w:szCs w:val="20"/>
                <w:color w:val="auto"/>
              </w:rPr>
            </w:pPr>
            <w:r>
              <w:rPr>
                <w:rFonts w:ascii="Arial" w:cs="Arial" w:eastAsia="Arial" w:hAnsi="Arial"/>
                <w:sz w:val="18"/>
                <w:szCs w:val="18"/>
                <w:color w:val="auto"/>
              </w:rPr>
              <w:t>, 2010</w:t>
            </w:r>
          </w:p>
        </w:tc>
      </w:tr>
      <w:tr>
        <w:trPr>
          <w:trHeight w:val="232"/>
        </w:trPr>
        <w:tc>
          <w:tcPr>
            <w:tcW w:w="590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780" w:type="dxa"/>
            <w:vAlign w:val="bottom"/>
          </w:tcPr>
          <w:p>
            <w:pPr>
              <w:spacing w:after="0"/>
              <w:rPr>
                <w:sz w:val="24"/>
                <w:szCs w:val="24"/>
                <w:color w:val="auto"/>
              </w:rPr>
            </w:pPr>
          </w:p>
        </w:tc>
        <w:tc>
          <w:tcPr>
            <w:tcW w:w="6300" w:type="dxa"/>
            <w:vAlign w:val="bottom"/>
            <w:gridSpan w:val="2"/>
            <w:vMerge w:val="restart"/>
          </w:tcPr>
          <w:p>
            <w:pPr>
              <w:jc w:val="center"/>
              <w:ind w:right="4440"/>
              <w:spacing w:after="0"/>
              <w:rPr>
                <w:sz w:val="20"/>
                <w:szCs w:val="20"/>
                <w:color w:val="auto"/>
              </w:rPr>
            </w:pPr>
            <w:r>
              <w:rPr>
                <w:rFonts w:ascii="Arial" w:cs="Arial" w:eastAsia="Arial" w:hAnsi="Arial"/>
                <w:sz w:val="18"/>
                <w:szCs w:val="18"/>
                <w:color w:val="auto"/>
                <w:w w:val="94"/>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201"/>
        </w:trPr>
        <w:tc>
          <w:tcPr>
            <w:tcW w:w="4780" w:type="dxa"/>
            <w:vAlign w:val="bottom"/>
          </w:tcPr>
          <w:p>
            <w:pPr>
              <w:spacing w:after="0"/>
              <w:rPr>
                <w:sz w:val="17"/>
                <w:szCs w:val="17"/>
                <w:color w:val="auto"/>
              </w:rPr>
            </w:pPr>
          </w:p>
        </w:tc>
        <w:tc>
          <w:tcPr>
            <w:tcW w:w="63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6300" w:type="dxa"/>
            <w:vAlign w:val="bottom"/>
            <w:gridSpan w:val="2"/>
          </w:tcPr>
          <w:p>
            <w:pPr>
              <w:jc w:val="center"/>
              <w:ind w:right="44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Certain Terms Defined</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4780" w:type="dxa"/>
            <w:vAlign w:val="bottom"/>
          </w:tcPr>
          <w:p>
            <w:pPr>
              <w:spacing w:after="0"/>
              <w:rPr>
                <w:sz w:val="24"/>
                <w:szCs w:val="24"/>
                <w:color w:val="auto"/>
              </w:rPr>
            </w:pPr>
          </w:p>
        </w:tc>
        <w:tc>
          <w:tcPr>
            <w:tcW w:w="6300" w:type="dxa"/>
            <w:vAlign w:val="bottom"/>
            <w:gridSpan w:val="2"/>
          </w:tcPr>
          <w:p>
            <w:pPr>
              <w:jc w:val="center"/>
              <w:ind w:right="4440"/>
              <w:spacing w:after="0"/>
              <w:rPr>
                <w:sz w:val="20"/>
                <w:szCs w:val="20"/>
                <w:color w:val="auto"/>
              </w:rPr>
            </w:pPr>
            <w:r>
              <w:rPr>
                <w:rFonts w:ascii="Arial" w:cs="Arial" w:eastAsia="Arial" w:hAnsi="Arial"/>
                <w:sz w:val="18"/>
                <w:szCs w:val="18"/>
                <w:color w:val="auto"/>
                <w:w w:val="94"/>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6300" w:type="dxa"/>
            <w:vAlign w:val="bottom"/>
            <w:gridSpan w:val="2"/>
          </w:tcPr>
          <w:p>
            <w:pPr>
              <w:jc w:val="center"/>
              <w:ind w:right="442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ECURITIES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Authentication and Delivery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Mutilated, Defaced,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4780" w:type="dxa"/>
            <w:vAlign w:val="bottom"/>
          </w:tcPr>
          <w:p>
            <w:pPr>
              <w:spacing w:after="0"/>
              <w:rPr>
                <w:sz w:val="24"/>
                <w:szCs w:val="24"/>
                <w:color w:val="auto"/>
              </w:rPr>
            </w:pPr>
          </w:p>
        </w:tc>
        <w:tc>
          <w:tcPr>
            <w:tcW w:w="6300" w:type="dxa"/>
            <w:vAlign w:val="bottom"/>
            <w:gridSpan w:val="2"/>
          </w:tcPr>
          <w:p>
            <w:pPr>
              <w:jc w:val="center"/>
              <w:ind w:right="4440"/>
              <w:spacing w:after="0"/>
              <w:rPr>
                <w:sz w:val="20"/>
                <w:szCs w:val="20"/>
                <w:color w:val="auto"/>
              </w:rPr>
            </w:pPr>
            <w:r>
              <w:rPr>
                <w:rFonts w:ascii="Arial" w:cs="Arial" w:eastAsia="Arial" w:hAnsi="Arial"/>
                <w:sz w:val="18"/>
                <w:szCs w:val="18"/>
                <w:color w:val="auto"/>
                <w:w w:val="94"/>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OVENANTS OF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Payment of Principal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Appointment to Fill a Vacancy in Office of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Paying Agents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Written Statement to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Limitation on Sale and Leaseback</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4780" w:type="dxa"/>
            <w:vAlign w:val="bottom"/>
          </w:tcPr>
          <w:p>
            <w:pPr>
              <w:spacing w:after="0"/>
              <w:rPr>
                <w:sz w:val="24"/>
                <w:szCs w:val="24"/>
                <w:color w:val="auto"/>
              </w:rPr>
            </w:pPr>
          </w:p>
        </w:tc>
        <w:tc>
          <w:tcPr>
            <w:tcW w:w="6300" w:type="dxa"/>
            <w:vAlign w:val="bottom"/>
            <w:gridSpan w:val="2"/>
          </w:tcPr>
          <w:p>
            <w:pPr>
              <w:jc w:val="center"/>
              <w:ind w:right="4440"/>
              <w:spacing w:after="0"/>
              <w:rPr>
                <w:sz w:val="20"/>
                <w:szCs w:val="20"/>
                <w:color w:val="auto"/>
              </w:rPr>
            </w:pPr>
            <w:r>
              <w:rPr>
                <w:rFonts w:ascii="Arial" w:cs="Arial" w:eastAsia="Arial" w:hAnsi="Arial"/>
                <w:sz w:val="18"/>
                <w:szCs w:val="18"/>
                <w:color w:val="auto"/>
                <w:w w:val="94"/>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80" w:type="dxa"/>
            <w:vAlign w:val="bottom"/>
            <w:gridSpan w:val="3"/>
          </w:tcPr>
          <w:p>
            <w:pPr>
              <w:jc w:val="center"/>
              <w:ind w:left="272"/>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ECURITYHOLDERS</w:t>
            </w:r>
            <w:r>
              <w:rPr>
                <w:rFonts w:ascii="Arial" w:cs="Arial" w:eastAsia="Arial" w:hAnsi="Arial"/>
                <w:sz w:val="18"/>
                <w:szCs w:val="18"/>
                <w:color w:val="auto"/>
                <w:w w:val="99"/>
              </w:rPr>
              <w:t xml:space="preserve"> L</w:t>
            </w:r>
            <w:r>
              <w:rPr>
                <w:rFonts w:ascii="Arial" w:cs="Arial" w:eastAsia="Arial" w:hAnsi="Arial"/>
                <w:sz w:val="14"/>
                <w:szCs w:val="14"/>
                <w:color w:val="auto"/>
                <w:w w:val="99"/>
              </w:rPr>
              <w:t>ISTS AND</w:t>
            </w:r>
            <w:r>
              <w:rPr>
                <w:rFonts w:ascii="Arial" w:cs="Arial" w:eastAsia="Arial" w:hAnsi="Arial"/>
                <w:sz w:val="18"/>
                <w:szCs w:val="18"/>
                <w:color w:val="auto"/>
                <w:w w:val="99"/>
              </w:rPr>
              <w:t xml:space="preserve"> R</w:t>
            </w:r>
            <w:r>
              <w:rPr>
                <w:rFonts w:ascii="Arial" w:cs="Arial" w:eastAsia="Arial" w:hAnsi="Arial"/>
                <w:sz w:val="14"/>
                <w:szCs w:val="14"/>
                <w:color w:val="auto"/>
                <w:w w:val="99"/>
              </w:rPr>
              <w:t>EPORTS BY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 AND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Issuer to Furnish Trustee Information as to Names and Addresses of Securityholders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Reports by the Issuer</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1080" w:type="dxa"/>
            <w:vAlign w:val="bottom"/>
            <w:gridSpan w:val="3"/>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 by the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Event of Default Defined; Acceleration of Maturity; Waiver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Collection of Debt by Trustee; Trustee May Prove Debt</w:t>
            </w:r>
          </w:p>
        </w:tc>
        <w:tc>
          <w:tcPr>
            <w:tcW w:w="1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Application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Restoration of Rights on Abandonment of Proceedings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Limitations on Suits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Unconditional Right of Securityholders to Institute Certain Suits</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Control by Holders of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Waiver of Past Defaults</w:t>
            </w:r>
          </w:p>
        </w:tc>
        <w:tc>
          <w:tcPr>
            <w:tcW w:w="1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Trustee to Give Notice of Default, but May Withhold in Certain Circumstances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Right of Court to Require Filing of Undertaking to Pay Costs</w:t>
            </w: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9560" w:type="dxa"/>
            <w:vAlign w:val="bottom"/>
          </w:tcPr>
          <w:p>
            <w:pPr>
              <w:jc w:val="center"/>
              <w:ind w:left="1772"/>
              <w:spacing w:after="0"/>
              <w:rPr>
                <w:sz w:val="20"/>
                <w:szCs w:val="20"/>
                <w:color w:val="auto"/>
              </w:rPr>
            </w:pPr>
            <w:r>
              <w:rPr>
                <w:rFonts w:ascii="Arial" w:cs="Arial" w:eastAsia="Arial" w:hAnsi="Arial"/>
                <w:sz w:val="18"/>
                <w:szCs w:val="18"/>
                <w:color w:val="auto"/>
                <w:w w:val="94"/>
              </w:rPr>
              <w:t>ARTICLE 6</w:t>
            </w:r>
          </w:p>
        </w:tc>
        <w:tc>
          <w:tcPr>
            <w:tcW w:w="1860" w:type="dxa"/>
            <w:vAlign w:val="bottom"/>
          </w:tcPr>
          <w:p>
            <w:pPr>
              <w:spacing w:after="0"/>
              <w:rPr>
                <w:sz w:val="24"/>
                <w:szCs w:val="24"/>
                <w:color w:val="auto"/>
              </w:rPr>
            </w:pPr>
          </w:p>
        </w:tc>
      </w:tr>
      <w:tr>
        <w:trPr>
          <w:trHeight w:val="222"/>
        </w:trPr>
        <w:tc>
          <w:tcPr>
            <w:tcW w:w="9560" w:type="dxa"/>
            <w:vAlign w:val="bottom"/>
          </w:tcPr>
          <w:p>
            <w:pPr>
              <w:jc w:val="center"/>
              <w:ind w:left="177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1860" w:type="dxa"/>
            <w:vAlign w:val="bottom"/>
          </w:tcPr>
          <w:p>
            <w:pPr>
              <w:spacing w:after="0"/>
              <w:rPr>
                <w:sz w:val="19"/>
                <w:szCs w:val="19"/>
                <w:color w:val="auto"/>
              </w:rPr>
            </w:pPr>
          </w:p>
        </w:tc>
      </w:tr>
      <w:tr>
        <w:trPr>
          <w:trHeight w:val="318"/>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Duties and Responsibilities of the Trustee; During Default; Prior to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Certain Rights of 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Trustee Not Responsible for Recitals, Disposition of Securities or Application of Proceeds Thereof</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Trustee and Agents May Hold Securities; Collections, Etc</w:t>
            </w: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Moneys Held by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Compensation and Indemnification of Trustee and Its Prior Claim</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Indentures Creating Potential Conflicting Interests for the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Persons Eligible for Appointment as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Resignation and Removal; Appointment of Successor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Acceptance of Appointment by Successor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Merger, Conversion, Consolidation or Succession to Business of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9560" w:type="dxa"/>
            <w:vAlign w:val="bottom"/>
          </w:tcPr>
          <w:p>
            <w:pPr>
              <w:jc w:val="center"/>
              <w:ind w:left="1772"/>
              <w:spacing w:after="0"/>
              <w:rPr>
                <w:sz w:val="20"/>
                <w:szCs w:val="20"/>
                <w:color w:val="auto"/>
              </w:rPr>
            </w:pPr>
            <w:r>
              <w:rPr>
                <w:rFonts w:ascii="Arial" w:cs="Arial" w:eastAsia="Arial" w:hAnsi="Arial"/>
                <w:sz w:val="18"/>
                <w:szCs w:val="18"/>
                <w:color w:val="auto"/>
                <w:w w:val="94"/>
              </w:rPr>
              <w:t>ARTICLE 7</w:t>
            </w:r>
          </w:p>
        </w:tc>
        <w:tc>
          <w:tcPr>
            <w:tcW w:w="1860" w:type="dxa"/>
            <w:vAlign w:val="bottom"/>
          </w:tcPr>
          <w:p>
            <w:pPr>
              <w:spacing w:after="0"/>
              <w:rPr>
                <w:sz w:val="24"/>
                <w:szCs w:val="24"/>
                <w:color w:val="auto"/>
              </w:rPr>
            </w:pPr>
          </w:p>
        </w:tc>
      </w:tr>
      <w:tr>
        <w:trPr>
          <w:trHeight w:val="222"/>
        </w:trPr>
        <w:tc>
          <w:tcPr>
            <w:tcW w:w="9560" w:type="dxa"/>
            <w:vAlign w:val="bottom"/>
          </w:tcPr>
          <w:p>
            <w:pPr>
              <w:jc w:val="center"/>
              <w:ind w:left="179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w:t>
            </w:r>
          </w:p>
        </w:tc>
        <w:tc>
          <w:tcPr>
            <w:tcW w:w="1860" w:type="dxa"/>
            <w:vAlign w:val="bottom"/>
          </w:tcPr>
          <w:p>
            <w:pPr>
              <w:spacing w:after="0"/>
              <w:rPr>
                <w:sz w:val="19"/>
                <w:szCs w:val="19"/>
                <w:color w:val="auto"/>
              </w:rPr>
            </w:pPr>
          </w:p>
        </w:tc>
      </w:tr>
      <w:tr>
        <w:trPr>
          <w:trHeight w:val="324"/>
        </w:trPr>
        <w:tc>
          <w:tcPr>
            <w:tcW w:w="956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Evidence of Action Taken by Securityholders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65"/>
        </w:trPr>
        <w:tc>
          <w:tcPr>
            <w:tcW w:w="9560" w:type="dxa"/>
            <w:vAlign w:val="bottom"/>
          </w:tcPr>
          <w:p>
            <w:pPr>
              <w:jc w:val="center"/>
              <w:ind w:left="1772"/>
              <w:spacing w:after="0"/>
              <w:rPr>
                <w:sz w:val="20"/>
                <w:szCs w:val="20"/>
                <w:color w:val="auto"/>
              </w:rPr>
            </w:pPr>
            <w:r>
              <w:rPr>
                <w:rFonts w:ascii="Arial" w:cs="Arial" w:eastAsia="Arial" w:hAnsi="Arial"/>
                <w:sz w:val="18"/>
                <w:szCs w:val="18"/>
                <w:color w:val="auto"/>
              </w:rPr>
              <w:t>ii</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Proof of Execution of Instruments and of Holding of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Holders to Be Treated as Owners</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Securities Owned by Issuer Deemed Not Outstanding</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Right of Revocation of Action Taken</w:t>
            </w: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8"/>
        </w:trPr>
        <w:tc>
          <w:tcPr>
            <w:tcW w:w="9760" w:type="dxa"/>
            <w:vAlign w:val="bottom"/>
          </w:tcPr>
          <w:p>
            <w:pPr>
              <w:jc w:val="center"/>
              <w:ind w:left="1572"/>
              <w:spacing w:after="0"/>
              <w:rPr>
                <w:sz w:val="20"/>
                <w:szCs w:val="20"/>
                <w:color w:val="auto"/>
              </w:rPr>
            </w:pPr>
            <w:r>
              <w:rPr>
                <w:rFonts w:ascii="Arial" w:cs="Arial" w:eastAsia="Arial" w:hAnsi="Arial"/>
                <w:sz w:val="18"/>
                <w:szCs w:val="18"/>
                <w:color w:val="auto"/>
                <w:w w:val="94"/>
              </w:rPr>
              <w:t>ARTICLE 8</w:t>
            </w:r>
          </w:p>
        </w:tc>
        <w:tc>
          <w:tcPr>
            <w:tcW w:w="1660" w:type="dxa"/>
            <w:vAlign w:val="bottom"/>
          </w:tcPr>
          <w:p>
            <w:pPr>
              <w:spacing w:after="0"/>
              <w:rPr>
                <w:sz w:val="24"/>
                <w:szCs w:val="24"/>
                <w:color w:val="auto"/>
              </w:rPr>
            </w:pPr>
          </w:p>
        </w:tc>
      </w:tr>
      <w:tr>
        <w:trPr>
          <w:trHeight w:val="222"/>
        </w:trPr>
        <w:tc>
          <w:tcPr>
            <w:tcW w:w="9760" w:type="dxa"/>
            <w:vAlign w:val="bottom"/>
          </w:tcPr>
          <w:p>
            <w:pPr>
              <w:jc w:val="center"/>
              <w:ind w:left="159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tc>
        <w:tc>
          <w:tcPr>
            <w:tcW w:w="1660" w:type="dxa"/>
            <w:vAlign w:val="bottom"/>
          </w:tcPr>
          <w:p>
            <w:pPr>
              <w:spacing w:after="0"/>
              <w:rPr>
                <w:sz w:val="19"/>
                <w:szCs w:val="19"/>
                <w:color w:val="auto"/>
              </w:rPr>
            </w:pPr>
          </w:p>
        </w:tc>
      </w:tr>
      <w:tr>
        <w:trPr>
          <w:trHeight w:val="318"/>
        </w:trPr>
        <w:tc>
          <w:tcPr>
            <w:tcW w:w="976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Supplemental Indentures Without Consent of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Supplemental Indentures With Consent of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Effect of Supplemental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Documents to Be Given to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Notation on Securities in Respect of Supplemental Indentures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9760" w:type="dxa"/>
            <w:vAlign w:val="bottom"/>
          </w:tcPr>
          <w:p>
            <w:pPr>
              <w:jc w:val="center"/>
              <w:ind w:left="1572"/>
              <w:spacing w:after="0"/>
              <w:rPr>
                <w:sz w:val="20"/>
                <w:szCs w:val="20"/>
                <w:color w:val="auto"/>
              </w:rPr>
            </w:pPr>
            <w:r>
              <w:rPr>
                <w:rFonts w:ascii="Arial" w:cs="Arial" w:eastAsia="Arial" w:hAnsi="Arial"/>
                <w:sz w:val="18"/>
                <w:szCs w:val="18"/>
                <w:color w:val="auto"/>
                <w:w w:val="94"/>
              </w:rPr>
              <w:t>ARTICLE 9</w:t>
            </w:r>
          </w:p>
        </w:tc>
        <w:tc>
          <w:tcPr>
            <w:tcW w:w="1660" w:type="dxa"/>
            <w:vAlign w:val="bottom"/>
          </w:tcPr>
          <w:p>
            <w:pPr>
              <w:spacing w:after="0"/>
              <w:rPr>
                <w:sz w:val="24"/>
                <w:szCs w:val="24"/>
                <w:color w:val="auto"/>
              </w:rPr>
            </w:pPr>
          </w:p>
        </w:tc>
      </w:tr>
      <w:tr>
        <w:trPr>
          <w:trHeight w:val="222"/>
        </w:trPr>
        <w:tc>
          <w:tcPr>
            <w:tcW w:w="9760" w:type="dxa"/>
            <w:vAlign w:val="bottom"/>
          </w:tcPr>
          <w:p>
            <w:pPr>
              <w:jc w:val="center"/>
              <w:ind w:left="157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ONSOLIDATION</w:t>
            </w:r>
            <w:r>
              <w:rPr>
                <w:rFonts w:ascii="Arial" w:cs="Arial" w:eastAsia="Arial" w:hAnsi="Arial"/>
                <w:sz w:val="18"/>
                <w:szCs w:val="18"/>
                <w:color w:val="auto"/>
                <w:w w:val="99"/>
              </w:rPr>
              <w:t>, M</w:t>
            </w:r>
            <w:r>
              <w:rPr>
                <w:rFonts w:ascii="Arial" w:cs="Arial" w:eastAsia="Arial" w:hAnsi="Arial"/>
                <w:sz w:val="14"/>
                <w:szCs w:val="14"/>
                <w:color w:val="auto"/>
                <w:w w:val="99"/>
              </w:rPr>
              <w:t>ERGER</w:t>
            </w:r>
            <w:r>
              <w:rPr>
                <w:rFonts w:ascii="Arial" w:cs="Arial" w:eastAsia="Arial" w:hAnsi="Arial"/>
                <w:sz w:val="18"/>
                <w:szCs w:val="18"/>
                <w:color w:val="auto"/>
                <w:w w:val="99"/>
              </w:rPr>
              <w:t>, S</w:t>
            </w:r>
            <w:r>
              <w:rPr>
                <w:rFonts w:ascii="Arial" w:cs="Arial" w:eastAsia="Arial" w:hAnsi="Arial"/>
                <w:sz w:val="14"/>
                <w:szCs w:val="14"/>
                <w:color w:val="auto"/>
                <w:w w:val="99"/>
              </w:rPr>
              <w:t>ALE OR</w:t>
            </w:r>
            <w:r>
              <w:rPr>
                <w:rFonts w:ascii="Arial" w:cs="Arial" w:eastAsia="Arial" w:hAnsi="Arial"/>
                <w:sz w:val="18"/>
                <w:szCs w:val="18"/>
                <w:color w:val="auto"/>
                <w:w w:val="99"/>
              </w:rPr>
              <w:t xml:space="preserve"> C</w:t>
            </w:r>
            <w:r>
              <w:rPr>
                <w:rFonts w:ascii="Arial" w:cs="Arial" w:eastAsia="Arial" w:hAnsi="Arial"/>
                <w:sz w:val="14"/>
                <w:szCs w:val="14"/>
                <w:color w:val="auto"/>
                <w:w w:val="99"/>
              </w:rPr>
              <w:t>ONVEYANCE</w:t>
            </w:r>
          </w:p>
        </w:tc>
        <w:tc>
          <w:tcPr>
            <w:tcW w:w="1660" w:type="dxa"/>
            <w:vAlign w:val="bottom"/>
          </w:tcPr>
          <w:p>
            <w:pPr>
              <w:spacing w:after="0"/>
              <w:rPr>
                <w:sz w:val="19"/>
                <w:szCs w:val="19"/>
                <w:color w:val="auto"/>
              </w:rPr>
            </w:pPr>
          </w:p>
        </w:tc>
      </w:tr>
      <w:tr>
        <w:trPr>
          <w:trHeight w:val="318"/>
        </w:trPr>
        <w:tc>
          <w:tcPr>
            <w:tcW w:w="976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Issuer May Consolidate, Etc., on Certain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Successor Issuer Substituted</w:t>
            </w:r>
          </w:p>
        </w:tc>
        <w:tc>
          <w:tcPr>
            <w:tcW w:w="1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Opinion of Counsel and Officers’ Certificate to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9760" w:type="dxa"/>
            <w:vAlign w:val="bottom"/>
          </w:tcPr>
          <w:p>
            <w:pPr>
              <w:jc w:val="center"/>
              <w:ind w:left="1572"/>
              <w:spacing w:after="0"/>
              <w:rPr>
                <w:sz w:val="20"/>
                <w:szCs w:val="20"/>
                <w:color w:val="auto"/>
              </w:rPr>
            </w:pPr>
            <w:r>
              <w:rPr>
                <w:rFonts w:ascii="Arial" w:cs="Arial" w:eastAsia="Arial" w:hAnsi="Arial"/>
                <w:sz w:val="18"/>
                <w:szCs w:val="18"/>
                <w:color w:val="auto"/>
                <w:w w:val="92"/>
              </w:rPr>
              <w:t>ARTICLE 10</w:t>
            </w:r>
          </w:p>
        </w:tc>
        <w:tc>
          <w:tcPr>
            <w:tcW w:w="1660" w:type="dxa"/>
            <w:vAlign w:val="bottom"/>
          </w:tcPr>
          <w:p>
            <w:pPr>
              <w:spacing w:after="0"/>
              <w:rPr>
                <w:sz w:val="24"/>
                <w:szCs w:val="24"/>
                <w:color w:val="auto"/>
              </w:rPr>
            </w:pPr>
          </w:p>
        </w:tc>
      </w:tr>
      <w:tr>
        <w:trPr>
          <w:trHeight w:val="222"/>
        </w:trPr>
        <w:tc>
          <w:tcPr>
            <w:tcW w:w="9760" w:type="dxa"/>
            <w:vAlign w:val="bottom"/>
          </w:tcPr>
          <w:p>
            <w:pPr>
              <w:jc w:val="center"/>
              <w:ind w:left="157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tc>
        <w:tc>
          <w:tcPr>
            <w:tcW w:w="1660" w:type="dxa"/>
            <w:vAlign w:val="bottom"/>
          </w:tcPr>
          <w:p>
            <w:pPr>
              <w:spacing w:after="0"/>
              <w:rPr>
                <w:sz w:val="19"/>
                <w:szCs w:val="19"/>
                <w:color w:val="auto"/>
              </w:rPr>
            </w:pPr>
          </w:p>
        </w:tc>
      </w:tr>
      <w:tr>
        <w:trPr>
          <w:trHeight w:val="318"/>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Satisfaction and Discharge of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Application by Trustee of Funds Deposited for Payment of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Repayment of Moneys Held by Paying Agent</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Return of Moneys Held by Trustee and Paying Agent Unclaimed for Two Years</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Indemnity for U.S. Government Obligations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760" w:type="dxa"/>
            <w:vAlign w:val="bottom"/>
          </w:tcPr>
          <w:p>
            <w:pPr>
              <w:jc w:val="center"/>
              <w:ind w:left="1572"/>
              <w:spacing w:after="0"/>
              <w:rPr>
                <w:sz w:val="20"/>
                <w:szCs w:val="20"/>
                <w:color w:val="auto"/>
              </w:rPr>
            </w:pPr>
            <w:r>
              <w:rPr>
                <w:rFonts w:ascii="Arial" w:cs="Arial" w:eastAsia="Arial" w:hAnsi="Arial"/>
                <w:sz w:val="18"/>
                <w:szCs w:val="18"/>
                <w:color w:val="auto"/>
                <w:w w:val="92"/>
              </w:rPr>
              <w:t>ARTICLE 11</w:t>
            </w:r>
          </w:p>
        </w:tc>
        <w:tc>
          <w:tcPr>
            <w:tcW w:w="1660" w:type="dxa"/>
            <w:vAlign w:val="bottom"/>
          </w:tcPr>
          <w:p>
            <w:pPr>
              <w:spacing w:after="0"/>
              <w:rPr>
                <w:sz w:val="24"/>
                <w:szCs w:val="24"/>
                <w:color w:val="auto"/>
              </w:rPr>
            </w:pPr>
          </w:p>
        </w:tc>
      </w:tr>
      <w:tr>
        <w:trPr>
          <w:trHeight w:val="222"/>
        </w:trPr>
        <w:tc>
          <w:tcPr>
            <w:tcW w:w="9760" w:type="dxa"/>
            <w:vAlign w:val="bottom"/>
          </w:tcPr>
          <w:p>
            <w:pPr>
              <w:jc w:val="center"/>
              <w:ind w:left="159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ISCELLANEOUS</w:t>
            </w:r>
            <w:r>
              <w:rPr>
                <w:rFonts w:ascii="Arial" w:cs="Arial" w:eastAsia="Arial" w:hAnsi="Arial"/>
                <w:sz w:val="18"/>
                <w:szCs w:val="18"/>
                <w:color w:val="auto"/>
                <w:w w:val="99"/>
              </w:rPr>
              <w:t xml:space="preserve"> P</w:t>
            </w:r>
            <w:r>
              <w:rPr>
                <w:rFonts w:ascii="Arial" w:cs="Arial" w:eastAsia="Arial" w:hAnsi="Arial"/>
                <w:sz w:val="14"/>
                <w:szCs w:val="14"/>
                <w:color w:val="auto"/>
                <w:w w:val="99"/>
              </w:rPr>
              <w:t>ROVISIONS</w:t>
            </w:r>
          </w:p>
        </w:tc>
        <w:tc>
          <w:tcPr>
            <w:tcW w:w="1660" w:type="dxa"/>
            <w:vAlign w:val="bottom"/>
          </w:tcPr>
          <w:p>
            <w:pPr>
              <w:spacing w:after="0"/>
              <w:rPr>
                <w:sz w:val="19"/>
                <w:szCs w:val="19"/>
                <w:color w:val="auto"/>
              </w:rPr>
            </w:pPr>
          </w:p>
        </w:tc>
      </w:tr>
      <w:tr>
        <w:trPr>
          <w:trHeight w:val="318"/>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Incorporators, Stockholders, Officers and Directors of Issuer Exempt from Individual Liability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Provisions of Indenture for the Sole Benefit of Parties and Holders of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 of Issuer Bound by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Notices and Demands on Issuer, Trustee and Holders of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Officers’ Certificates and Opinions of Counsel; Statements to Be Contained Therein</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Payments Due on Saturdays, Sundays and Holidays</w:t>
            </w: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i w:val="1"/>
                <w:iCs w:val="1"/>
                <w:color w:val="auto"/>
              </w:rPr>
              <w:t>Conflict of Any Provision of Indenture With Trust Indenture Act of 1939</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New York Law to Govern</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i w:val="1"/>
                <w:iCs w:val="1"/>
                <w:color w:val="auto"/>
              </w:rPr>
              <w:t>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i w:val="1"/>
                <w:iCs w:val="1"/>
                <w:color w:val="auto"/>
              </w:rPr>
              <w:t>Effect of Headings</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i w:val="1"/>
                <w:iCs w:val="1"/>
                <w:color w:val="auto"/>
              </w:rPr>
              <w:t>Securities in a Foreign Currency</w:t>
            </w:r>
          </w:p>
        </w:tc>
        <w:tc>
          <w:tcPr>
            <w:tcW w:w="2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i w:val="1"/>
                <w:iCs w:val="1"/>
                <w:color w:val="auto"/>
              </w:rPr>
              <w:t>Judgment Currency</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9380" w:type="dxa"/>
            <w:vAlign w:val="bottom"/>
          </w:tcPr>
          <w:p>
            <w:pPr>
              <w:ind w:left="5240"/>
              <w:spacing w:after="0"/>
              <w:rPr>
                <w:sz w:val="20"/>
                <w:szCs w:val="20"/>
                <w:color w:val="auto"/>
              </w:rPr>
            </w:pPr>
            <w:r>
              <w:rPr>
                <w:rFonts w:ascii="Arial" w:cs="Arial" w:eastAsia="Arial" w:hAnsi="Arial"/>
                <w:sz w:val="18"/>
                <w:szCs w:val="18"/>
                <w:color w:val="auto"/>
              </w:rPr>
              <w:t>ARTICLE 12</w:t>
            </w:r>
          </w:p>
        </w:tc>
        <w:tc>
          <w:tcPr>
            <w:tcW w:w="2040" w:type="dxa"/>
            <w:vAlign w:val="bottom"/>
          </w:tcPr>
          <w:p>
            <w:pPr>
              <w:spacing w:after="0"/>
              <w:rPr>
                <w:sz w:val="24"/>
                <w:szCs w:val="24"/>
                <w:color w:val="auto"/>
              </w:rPr>
            </w:pPr>
          </w:p>
        </w:tc>
      </w:tr>
      <w:tr>
        <w:trPr>
          <w:trHeight w:val="222"/>
        </w:trPr>
        <w:tc>
          <w:tcPr>
            <w:tcW w:w="9380" w:type="dxa"/>
            <w:vAlign w:val="bottom"/>
          </w:tcPr>
          <w:p>
            <w:pPr>
              <w:ind w:left="39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2040" w:type="dxa"/>
            <w:vAlign w:val="bottom"/>
          </w:tcPr>
          <w:p>
            <w:pPr>
              <w:spacing w:after="0"/>
              <w:rPr>
                <w:sz w:val="19"/>
                <w:szCs w:val="19"/>
                <w:color w:val="auto"/>
              </w:rPr>
            </w:pPr>
          </w:p>
        </w:tc>
      </w:tr>
      <w:tr>
        <w:trPr>
          <w:trHeight w:val="318"/>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Applicability of Article</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Notice of Redemption; Partial Redemptions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Payment of Securities Called for Redemption</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i w:val="1"/>
                <w:iCs w:val="1"/>
                <w:color w:val="auto"/>
              </w:rPr>
              <w:t>Exclusion of Certain Securities from Eligibility for Selection for Redemption</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9380" w:type="dxa"/>
            <w:vAlign w:val="bottom"/>
          </w:tcPr>
          <w:p>
            <w:pPr>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i w:val="1"/>
                <w:iCs w:val="1"/>
                <w:color w:val="auto"/>
              </w:rPr>
              <w:t>Mandatory and Optional Sinking Funds</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69" w:name="page70"/>
    <w:bookmarkEnd w:id="69"/>
    <w:p>
      <w:pPr>
        <w:ind w:right="2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dated as of , 2010 between 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and U.S. BANK NATIONAL ASSOCIATION, a New York banking corporation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 I T N E S S E T H :</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Issuer may from time to time duly authorize the issue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Issuer has duly authorized the execution and delivery of this Indenture to provide, among other things, for the authentication, delivery and administration of the Securities;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consideration of the premises and the purchases of the Securities by the holders thereof, the Issuer and the Trustee mutually covenant and agree for the equal and proportionate benefit of the respective holders from time to time of the Securities as follows: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 principles</w:t>
      </w:r>
      <w:r>
        <w:rPr>
          <w:rFonts w:ascii="Arial" w:cs="Arial" w:eastAsia="Arial" w:hAnsi="Arial"/>
          <w:sz w:val="16"/>
          <w:szCs w:val="16"/>
          <w:color w:val="auto"/>
        </w:rPr>
        <w:t>”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ectPr>
          <w:pgSz w:w="11900" w:h="16838" w:orient="portrait"/>
          <w:cols w:equalWidth="0" w:num="1">
            <w:col w:w="11380"/>
          </w:cols>
          <w:pgMar w:left="240" w:top="274" w:right="27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Attributable Debt</w:t>
      </w:r>
      <w:r>
        <w:rPr>
          <w:rFonts w:ascii="Arial" w:cs="Arial" w:eastAsia="Arial" w:hAnsi="Arial"/>
          <w:sz w:val="18"/>
          <w:szCs w:val="18"/>
          <w:color w:val="auto"/>
        </w:rPr>
        <w:t>” shall have the meaning set forth in Section 3.07.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Issuer or any committee of such Board duly authorized to act on its behalf.</w:t>
      </w:r>
    </w:p>
    <w:p>
      <w:pPr>
        <w:spacing w:after="0" w:line="19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one or more resolutions, certified by the secretary or an assistant secretary of the Issuer to have been duly adopted by the Board of Directors and to be in full force and effect, and delivered to the Trustee.</w:t>
      </w:r>
    </w:p>
    <w:p>
      <w:pPr>
        <w:spacing w:after="0" w:line="120" w:lineRule="exact"/>
        <w:rPr>
          <w:sz w:val="20"/>
          <w:szCs w:val="20"/>
          <w:color w:val="auto"/>
        </w:rPr>
      </w:pPr>
    </w:p>
    <w:p>
      <w:pPr>
        <w:ind w:right="4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7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32"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common stock, par value $1.00 per share, of the Issuer as the same exists at the date of execution and delivery of this Indenture or as such stock may be reconstituted from time to time.</w:t>
      </w:r>
    </w:p>
    <w:p>
      <w:pPr>
        <w:spacing w:after="0" w:line="12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the Issuer’s most recent consolidated balance sheet, prepared in accordance with generally accepted accounting principles, less (a) all current liabilities as shown on such balance sheet, and (b) intangible assets. “</w:t>
      </w:r>
      <w:r>
        <w:rPr>
          <w:rFonts w:ascii="Arial" w:cs="Arial" w:eastAsia="Arial" w:hAnsi="Arial"/>
          <w:sz w:val="16"/>
          <w:szCs w:val="16"/>
          <w:b w:val="1"/>
          <w:bCs w:val="1"/>
          <w:color w:val="auto"/>
        </w:rPr>
        <w:t>Intangible</w:t>
      </w:r>
      <w:r>
        <w:rPr>
          <w:rFonts w:ascii="Arial" w:cs="Arial" w:eastAsia="Arial" w:hAnsi="Arial"/>
          <w:sz w:val="16"/>
          <w:szCs w:val="16"/>
          <w:color w:val="auto"/>
        </w:rPr>
        <w:t xml:space="preserve"> </w:t>
      </w:r>
      <w:r>
        <w:rPr>
          <w:rFonts w:ascii="Arial" w:cs="Arial" w:eastAsia="Arial" w:hAnsi="Arial"/>
          <w:sz w:val="16"/>
          <w:szCs w:val="16"/>
          <w:b w:val="1"/>
          <w:bCs w:val="1"/>
          <w:color w:val="auto"/>
        </w:rPr>
        <w:t>assets</w:t>
      </w:r>
      <w:r>
        <w:rPr>
          <w:rFonts w:ascii="Arial" w:cs="Arial" w:eastAsia="Arial" w:hAnsi="Arial"/>
          <w:sz w:val="16"/>
          <w:szCs w:val="16"/>
          <w:color w:val="auto"/>
        </w:rPr>
        <w:t>” means the value (net of applicable reserves), as shown on or reflected in such balance sheet, of: (i) all trade names, trademarks, licenses,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copyrights and goodwill; (ii) organizational or development costs; (iii) deferred charges (other than prepaid items such as insurance, taxes, interest, commissions, rents and similar items and tangible assets being amortized); and (iv) unamortized debt discount and expenses, less unamortized premium; but in no event shall 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include computer programs and related products.</w:t>
      </w:r>
    </w:p>
    <w:p>
      <w:pPr>
        <w:spacing w:after="0" w:line="111"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the corporate trust business of the Trustee shall, at any particular time, be principally administered, which office is, at the date as of which this Indenture is dated, located at 120 Wall Street, New York, New York 10043.</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1" w:name="page72"/>
    <w:bookmarkEnd w:id="7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Debt</w:t>
      </w:r>
      <w:r>
        <w:rPr>
          <w:rFonts w:ascii="Arial" w:cs="Arial" w:eastAsia="Arial" w:hAnsi="Arial"/>
          <w:sz w:val="16"/>
          <w:szCs w:val="16"/>
          <w:color w:val="auto"/>
        </w:rPr>
        <w: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any Funded Debt or other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1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the Securities of any series issuable or issued in the form of one or more Global Securities, the Person designated as Depositary by the Issuer pursuant to Section 2.04 until a successor Depositary shall have become such pursuant to the applicable provisions of this Indenture, and thereafter “</w:t>
      </w:r>
      <w:r>
        <w:rPr>
          <w:rFonts w:ascii="Arial" w:cs="Arial" w:eastAsia="Arial" w:hAnsi="Arial"/>
          <w:sz w:val="16"/>
          <w:szCs w:val="16"/>
          <w:b w:val="1"/>
          <w:bCs w:val="1"/>
          <w:color w:val="auto"/>
        </w:rPr>
        <w:t>Depositary</w:t>
      </w:r>
      <w:r>
        <w:rPr>
          <w:rFonts w:ascii="Arial" w:cs="Arial" w:eastAsia="Arial" w:hAnsi="Arial"/>
          <w:sz w:val="16"/>
          <w:szCs w:val="16"/>
          <w:color w:val="auto"/>
        </w:rPr>
        <w:t>” shall mean or include each Person who is then a Depositary hereunder, and if at any time there is more than one such Person, “</w:t>
      </w:r>
      <w:r>
        <w:rPr>
          <w:rFonts w:ascii="Arial" w:cs="Arial" w:eastAsia="Arial" w:hAnsi="Arial"/>
          <w:sz w:val="16"/>
          <w:szCs w:val="16"/>
          <w:b w:val="1"/>
          <w:bCs w:val="1"/>
          <w:color w:val="auto"/>
        </w:rPr>
        <w:t>Depositary</w:t>
      </w:r>
      <w:r>
        <w:rPr>
          <w:rFonts w:ascii="Arial" w:cs="Arial" w:eastAsia="Arial" w:hAnsi="Arial"/>
          <w:sz w:val="16"/>
          <w:szCs w:val="16"/>
          <w:color w:val="auto"/>
        </w:rPr>
        <w:t>” as used with respect to the Securities of any such series shall mean the Depositary with respect to the Global Securities of that series.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w:t>
      </w:r>
      <w:r>
        <w:rPr>
          <w:rFonts w:ascii="Arial" w:cs="Arial" w:eastAsia="Arial" w:hAnsi="Arial"/>
          <w:sz w:val="16"/>
          <w:szCs w:val="16"/>
          <w:color w:val="auto"/>
        </w:rPr>
        <w:t>” means the currency of the United States of America as at the time of payment is legal tender for the payment of public and private debts.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5.01.</w:t>
      </w:r>
    </w:p>
    <w:p>
      <w:pPr>
        <w:spacing w:after="0" w:line="17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Exempted Debt</w:t>
      </w:r>
      <w:r>
        <w:rPr>
          <w:rFonts w:ascii="Arial" w:cs="Arial" w:eastAsia="Arial" w:hAnsi="Arial"/>
          <w:sz w:val="18"/>
          <w:szCs w:val="18"/>
          <w:color w:val="auto"/>
        </w:rPr>
        <w:t>” means the sum of the following items outstanding as of the date Exempted Debt is being determined: (i) Debt of the Issuer incurred after the date of this Indenture and secured by liens created, assumed or permitted to exist pursuant to Section 3.06(b) and (ii) Attributable Debt of the Issuer in respect of all sale and leaseback transactions entered into pursuant to Section 3.07(b), including amounts considered to be Attributable Debt pursuant to Section 3.07(a)(iii)(B).</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 currency issued by the government of a country other than the United States.</w:t>
      </w:r>
    </w:p>
    <w:p>
      <w:pPr>
        <w:spacing w:after="0" w:line="17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72" w:name="page73"/>
    <w:bookmarkEnd w:id="72"/>
    <w:p>
      <w:pPr>
        <w:ind w:right="2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evidencing all or a part of a series of Securities, issued to the Depositary for such series in accordance with Section 2.04, and bearing the legend prescribed in Section 2.04.</w:t>
      </w:r>
    </w:p>
    <w:p>
      <w:pPr>
        <w:spacing w:after="0" w:line="120"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Person in whose name such Security is registered in the Security register kept by the Issuer for that purpose in accordance with the terms hereof.</w:t>
      </w:r>
    </w:p>
    <w:p>
      <w:pPr>
        <w:spacing w:after="0" w:line="120" w:lineRule="exact"/>
        <w:rPr>
          <w:sz w:val="20"/>
          <w:szCs w:val="20"/>
          <w:color w:val="auto"/>
        </w:rPr>
      </w:pPr>
    </w:p>
    <w:p>
      <w:pPr>
        <w:ind w:right="9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74"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unless the context otherwise requires, refers to interest and Reporting Interest, if any, and when used with respect to non-interest bearing Securities, refers to interest payable after maturity and Reporting Interest, if 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Texas Instruments Incorporated and, subject to Article 9, its successors and assigns.</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means a written statement, request or order of the Issuer signed in its name by the chairman of the Board of Directors, the president or any vice president of the Issuer.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“Market Exchange Rate” </w:t>
      </w:r>
      <w:r>
        <w:rPr>
          <w:rFonts w:ascii="Arial" w:cs="Arial" w:eastAsia="Arial" w:hAnsi="Arial"/>
          <w:sz w:val="18"/>
          <w:szCs w:val="18"/>
          <w:color w:val="auto"/>
        </w:rPr>
        <w:t>has the meaning set forth in Section 11.11.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has the meaning set forth in Section 3.06.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rental payments</w:t>
      </w:r>
      <w:r>
        <w:rPr>
          <w:rFonts w:ascii="Arial" w:cs="Arial" w:eastAsia="Arial" w:hAnsi="Arial"/>
          <w:sz w:val="18"/>
          <w:szCs w:val="18"/>
          <w:color w:val="auto"/>
        </w:rPr>
        <w:t>” has the meaning set forth in Section 3.07.</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(i) the chairman of the Board of Directors or the president or any vice president and (ii) the treasurer or the secretary or any assistant secretary of the Issuer and delivered to the Trustee. Each such certificate shall comply with Section 314 of the Trust Indenture Act of 1939 and shall include the statements provided for in Section 11.05.</w:t>
      </w:r>
    </w:p>
    <w:p>
      <w:pPr>
        <w:spacing w:after="0" w:line="132"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11.05, if and to the extent required hereby.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3" w:name="page74"/>
    <w:bookmarkEnd w:id="73"/>
    <w:p>
      <w:pPr>
        <w:ind w:right="4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5.01.</w:t>
      </w:r>
    </w:p>
    <w:p>
      <w:pPr>
        <w:spacing w:after="0" w:line="12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7.04, mean, as of any particular time, all Securities authenticated and delivered by the Trustee under this Indenture, except</w:t>
      </w:r>
    </w:p>
    <w:p>
      <w:pPr>
        <w:spacing w:after="0" w:line="45" w:lineRule="exact"/>
        <w:rPr>
          <w:sz w:val="20"/>
          <w:szCs w:val="20"/>
          <w:color w:val="auto"/>
        </w:rPr>
      </w:pPr>
    </w:p>
    <w:p>
      <w:pPr>
        <w:ind w:left="1140" w:hanging="237"/>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90" w:lineRule="exact"/>
        <w:rPr>
          <w:rFonts w:ascii="Arial" w:cs="Arial" w:eastAsia="Arial" w:hAnsi="Arial"/>
          <w:sz w:val="18"/>
          <w:szCs w:val="18"/>
          <w:color w:val="auto"/>
        </w:rPr>
      </w:pPr>
    </w:p>
    <w:p>
      <w:pPr>
        <w:ind w:left="460" w:right="160" w:firstLine="443"/>
        <w:spacing w:after="0" w:line="294"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Securities, or portions thereof, for the payment or redemption of which moneys or U.S. Government Obligations (as provided for in Section 10.01)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6"/>
          <w:szCs w:val="16"/>
          <w:i w:val="1"/>
          <w:iCs w:val="1"/>
          <w:color w:val="auto"/>
        </w:rPr>
        <w:t>provided</w:t>
      </w:r>
      <w:r>
        <w:rPr>
          <w:rFonts w:ascii="Arial" w:cs="Arial" w:eastAsia="Arial" w:hAnsi="Arial"/>
          <w:sz w:val="16"/>
          <w:szCs w:val="16"/>
          <w:color w:val="auto"/>
        </w:rPr>
        <w:t>,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34" w:lineRule="exact"/>
        <w:rPr>
          <w:rFonts w:ascii="Arial" w:cs="Arial" w:eastAsia="Arial" w:hAnsi="Arial"/>
          <w:sz w:val="16"/>
          <w:szCs w:val="16"/>
          <w:color w:val="auto"/>
        </w:rPr>
      </w:pPr>
    </w:p>
    <w:p>
      <w:pPr>
        <w:ind w:left="460" w:right="120" w:firstLine="443"/>
        <w:spacing w:after="0" w:line="256"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12.02.</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5.01.</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74" w:name="page75"/>
    <w:bookmarkEnd w:id="74"/>
    <w:p>
      <w:pPr>
        <w:ind w:right="3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partnership, limited liability company, joint venture, association, joint stock company, trust, unincorporated organization or government or any agency or political subdivision thereof.</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194" w:lineRule="exact"/>
        <w:rPr>
          <w:sz w:val="20"/>
          <w:szCs w:val="20"/>
          <w:color w:val="auto"/>
        </w:rPr>
      </w:pPr>
    </w:p>
    <w:p>
      <w:pPr>
        <w:ind w:right="44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manufacturing or processing plant or facility of the Issuer located in the United States of America (other than its territories and possessions) or Puerto Rico; except any such manufacturing or processing plant or facility which the Board of Directors by resolution determines not to be of material importance to the total business conducted by the Issuer and its consolidated Subsidiaries, taken as a whole.</w:t>
      </w:r>
    </w:p>
    <w:p>
      <w:pPr>
        <w:spacing w:after="0" w:line="97"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39"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2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 corporation of which stock having a majority of the voting power under ordinary circumstances is owned, directly or indirectly, by the Issuer or by one or more subsidiaries of the Issuer, or by the Issuer and one or more subsidiaries of the Issuer.</w:t>
      </w:r>
    </w:p>
    <w:p>
      <w:pPr>
        <w:spacing w:after="0" w:line="12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8.01 and 8.02) means the Trust Indenture Act of 1939 as in force at the date as of which this Indenture was originally executed.</w:t>
      </w:r>
    </w:p>
    <w:p>
      <w:pPr>
        <w:spacing w:after="0" w:line="120" w:lineRule="exact"/>
        <w:rPr>
          <w:sz w:val="20"/>
          <w:szCs w:val="20"/>
          <w:color w:val="auto"/>
        </w:rPr>
      </w:pPr>
    </w:p>
    <w:p>
      <w:pPr>
        <w:jc w:val="both"/>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identified as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hereof and, subject to the provisions of Article 6, shall also include any successor trustee. “</w:t>
      </w:r>
      <w:r>
        <w:rPr>
          <w:rFonts w:ascii="Arial" w:cs="Arial" w:eastAsia="Arial" w:hAnsi="Arial"/>
          <w:sz w:val="16"/>
          <w:szCs w:val="16"/>
          <w:b w:val="1"/>
          <w:bCs w:val="1"/>
          <w:color w:val="auto"/>
        </w:rPr>
        <w:t>Trustee</w:t>
      </w:r>
      <w:r>
        <w:rPr>
          <w:rFonts w:ascii="Arial" w:cs="Arial" w:eastAsia="Arial" w:hAnsi="Arial"/>
          <w:sz w:val="16"/>
          <w:szCs w:val="16"/>
          <w:color w:val="auto"/>
        </w:rPr>
        <w:t>” shall also mean or include each Person who is then a trustee hereunder and if at any time there is more than one such Person, “</w:t>
      </w:r>
      <w:r>
        <w:rPr>
          <w:rFonts w:ascii="Arial" w:cs="Arial" w:eastAsia="Arial" w:hAnsi="Arial"/>
          <w:sz w:val="16"/>
          <w:szCs w:val="16"/>
          <w:b w:val="1"/>
          <w:bCs w:val="1"/>
          <w:color w:val="auto"/>
        </w:rPr>
        <w:t>Trustee</w:t>
      </w:r>
      <w:r>
        <w:rPr>
          <w:rFonts w:ascii="Arial" w:cs="Arial" w:eastAsia="Arial" w:hAnsi="Arial"/>
          <w:sz w:val="16"/>
          <w:szCs w:val="16"/>
          <w:color w:val="auto"/>
        </w:rPr>
        <w:t>” as used with respect to the Securities of any series shall mean the trustee with respect to the Securities of such series.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shall have the meaning set forth in Section 10.01(a).</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ECURITIES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Forms Generally.</w:t>
      </w:r>
      <w:r>
        <w:rPr>
          <w:rFonts w:ascii="Arial" w:cs="Arial" w:eastAsia="Arial" w:hAnsi="Arial"/>
          <w:sz w:val="16"/>
          <w:szCs w:val="16"/>
          <w:color w:val="auto"/>
        </w:rPr>
        <w:t xml:space="preserve"> The Securities of each series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such Securities.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6" w:name="page77"/>
    <w:bookmarkEnd w:id="76"/>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2.02</w:t>
      </w:r>
      <w:r>
        <w:rPr>
          <w:rFonts w:ascii="Arial" w:cs="Arial" w:eastAsia="Arial" w:hAnsi="Arial"/>
          <w:sz w:val="18"/>
          <w:szCs w:val="18"/>
          <w:i w:val="1"/>
          <w:iCs w:val="1"/>
          <w:color w:val="auto"/>
        </w:rPr>
        <w:t>. Form of Trustee’s Certificate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U.S. Bank National Association</w:t>
      </w:r>
      <w:r>
        <w:rPr>
          <w:rFonts w:ascii="Arial" w:cs="Arial" w:eastAsia="Arial" w:hAnsi="Arial"/>
          <w:sz w:val="18"/>
          <w:szCs w:val="18"/>
          <w:color w:val="auto"/>
        </w:rPr>
        <w: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7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-5715</wp:posOffset>
            </wp:positionV>
            <wp:extent cx="26587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Authorized Officer</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Amount Unlimited</w:t>
      </w:r>
      <w:r>
        <w:rPr>
          <w:rFonts w:ascii="Arial" w:cs="Arial" w:eastAsia="Arial" w:hAnsi="Arial"/>
          <w:sz w:val="18"/>
          <w:szCs w:val="18"/>
          <w:color w:val="auto"/>
        </w:rPr>
        <w:t xml:space="preserve">; </w:t>
      </w:r>
      <w:r>
        <w:rPr>
          <w:rFonts w:ascii="Arial" w:cs="Arial" w:eastAsia="Arial" w:hAnsi="Arial"/>
          <w:sz w:val="18"/>
          <w:szCs w:val="18"/>
          <w:i w:val="1"/>
          <w:iCs w:val="1"/>
          <w:color w:val="auto"/>
        </w:rPr>
        <w:t>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Securities may be issued in one or more series. The terms of a series of Securities shall be established prior to the initial issuance thereof in or pursuant to one or more Board Resolutions of the Board of Directors and set forth in a Board Resolution, or, to the extent established pursuant to (rather than set forth in) a Board Resolution, in an Officers’ Certificate detailing such establishment and/or established in one or more indentures supplemental hereto. The terms of such series reflected in such Board Resolution, Officers’ Certificate, or supplemental indenture may include the following or any additional or different terms:</w:t>
      </w:r>
    </w:p>
    <w:p>
      <w:pPr>
        <w:spacing w:after="0" w:line="113" w:lineRule="exact"/>
        <w:rPr>
          <w:sz w:val="20"/>
          <w:szCs w:val="20"/>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of the Securities of the series (which may be part of a series of Securities previously issued);</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conversion of the Securities into Common Stock will be effected, including the initial conversion price or rate, the conversion period and other provisions in addition to or in lieu of those described herein;</w:t>
      </w:r>
    </w:p>
    <w:p>
      <w:pPr>
        <w:spacing w:after="0" w:line="131" w:lineRule="exact"/>
        <w:rPr>
          <w:rFonts w:ascii="Arial" w:cs="Arial" w:eastAsia="Arial" w:hAnsi="Arial"/>
          <w:sz w:val="18"/>
          <w:szCs w:val="18"/>
          <w:color w:val="auto"/>
        </w:rPr>
      </w:pPr>
    </w:p>
    <w:p>
      <w:pPr>
        <w:ind w:firstLine="464"/>
        <w:spacing w:after="0" w:line="259"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8.05 or 12.03);</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the Securities of that series are denominated;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date on which the principal of the Securities of the series is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7" w:name="page78"/>
    <w:bookmarkEnd w:id="77"/>
    <w:p>
      <w:pPr>
        <w:ind w:left="-20" w:right="120" w:firstLine="464"/>
        <w:spacing w:after="0" w:line="259" w:lineRule="auto"/>
        <w:tabs>
          <w:tab w:leader="none" w:pos="656"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rate or rates at which the Securities of the series shall bear interest, if any, the record date or dates for the determination of holders to whom interest is payable, the date or dates from which such interest shall accrue and on which such interest shall be payable and/or the method by which such rate or rates or date or dates shall be determined;</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94" w:lineRule="exact"/>
        <w:rPr>
          <w:rFonts w:ascii="Arial" w:cs="Arial" w:eastAsia="Arial" w:hAnsi="Arial"/>
          <w:sz w:val="16"/>
          <w:szCs w:val="16"/>
          <w:color w:val="auto"/>
        </w:rPr>
      </w:pPr>
    </w:p>
    <w:p>
      <w:pPr>
        <w:ind w:left="-20" w:right="220" w:firstLine="464"/>
        <w:spacing w:after="0" w:line="268"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31" w:lineRule="exact"/>
        <w:rPr>
          <w:rFonts w:ascii="Arial" w:cs="Arial" w:eastAsia="Arial" w:hAnsi="Arial"/>
          <w:sz w:val="18"/>
          <w:szCs w:val="18"/>
          <w:color w:val="auto"/>
        </w:rPr>
      </w:pPr>
    </w:p>
    <w:p>
      <w:pPr>
        <w:ind w:left="-20" w:right="320" w:firstLine="464"/>
        <w:spacing w:after="0" w:line="306" w:lineRule="auto"/>
        <w:tabs>
          <w:tab w:leader="none" w:pos="6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w:t>
      </w:r>
    </w:p>
    <w:p>
      <w:pPr>
        <w:spacing w:after="0" w:line="106" w:lineRule="exact"/>
        <w:rPr>
          <w:rFonts w:ascii="Arial" w:cs="Arial" w:eastAsia="Arial" w:hAnsi="Arial"/>
          <w:sz w:val="16"/>
          <w:szCs w:val="16"/>
          <w:color w:val="auto"/>
        </w:rPr>
      </w:pPr>
    </w:p>
    <w:p>
      <w:pPr>
        <w:ind w:left="660" w:hanging="216"/>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Securities of the series shall be issuable;</w:t>
      </w:r>
    </w:p>
    <w:p>
      <w:pPr>
        <w:spacing w:after="0" w:line="194" w:lineRule="exact"/>
        <w:rPr>
          <w:rFonts w:ascii="Arial" w:cs="Arial" w:eastAsia="Arial" w:hAnsi="Arial"/>
          <w:sz w:val="16"/>
          <w:szCs w:val="16"/>
          <w:color w:val="auto"/>
        </w:rPr>
      </w:pPr>
    </w:p>
    <w:p>
      <w:pPr>
        <w:ind w:left="-20" w:right="400" w:firstLine="464"/>
        <w:spacing w:after="0" w:line="268"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31" w:lineRule="exact"/>
        <w:rPr>
          <w:rFonts w:ascii="Arial" w:cs="Arial" w:eastAsia="Arial" w:hAnsi="Arial"/>
          <w:sz w:val="18"/>
          <w:szCs w:val="18"/>
          <w:color w:val="auto"/>
        </w:rPr>
      </w:pPr>
    </w:p>
    <w:p>
      <w:pPr>
        <w:ind w:left="-20" w:right="380" w:firstLine="464"/>
        <w:spacing w:after="0" w:line="268" w:lineRule="auto"/>
        <w:tabs>
          <w:tab w:leader="none" w:pos="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the currency in which the Securities of that series are denominated, the currency in which payment of the principal of or interest on the Securities of such series shall be payable;</w:t>
      </w:r>
    </w:p>
    <w:p>
      <w:pPr>
        <w:spacing w:after="0" w:line="131" w:lineRule="exact"/>
        <w:rPr>
          <w:rFonts w:ascii="Arial" w:cs="Arial" w:eastAsia="Arial" w:hAnsi="Arial"/>
          <w:sz w:val="18"/>
          <w:szCs w:val="18"/>
          <w:color w:val="auto"/>
        </w:rPr>
      </w:pPr>
    </w:p>
    <w:p>
      <w:pPr>
        <w:ind w:left="-20" w:firstLine="464"/>
        <w:spacing w:after="0" w:line="332" w:lineRule="auto"/>
        <w:tabs>
          <w:tab w:leader="none" w:pos="73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principal of or interest on the Securities of the series is to be payable, at the election of the Issuer or a Holder thereof, in a currency other than that in which the Securities are denominated, the period or periods within which, and the terms and conditions upon which, such election may be made;</w:t>
      </w:r>
    </w:p>
    <w:p>
      <w:pPr>
        <w:spacing w:after="0" w:line="85" w:lineRule="exact"/>
        <w:rPr>
          <w:rFonts w:ascii="Arial" w:cs="Arial" w:eastAsia="Arial" w:hAnsi="Arial"/>
          <w:sz w:val="16"/>
          <w:szCs w:val="16"/>
          <w:color w:val="auto"/>
        </w:rPr>
      </w:pPr>
    </w:p>
    <w:p>
      <w:pPr>
        <w:ind w:left="-20" w:right="140" w:firstLine="464"/>
        <w:spacing w:after="0" w:line="332" w:lineRule="auto"/>
        <w:tabs>
          <w:tab w:leader="none" w:pos="68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amount of payments of principal of and interest on the Securities of the series may be determined with reference to an index based on a currency other than that in which the Securities of the series are denominated, the manner in which such amounts shall be determined;</w:t>
      </w:r>
    </w:p>
    <w:p>
      <w:pPr>
        <w:spacing w:after="0" w:line="85" w:lineRule="exact"/>
        <w:rPr>
          <w:rFonts w:ascii="Arial" w:cs="Arial" w:eastAsia="Arial" w:hAnsi="Arial"/>
          <w:sz w:val="16"/>
          <w:szCs w:val="16"/>
          <w:color w:val="auto"/>
        </w:rPr>
      </w:pPr>
    </w:p>
    <w:p>
      <w:pPr>
        <w:ind w:left="700" w:hanging="2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and upon what terms the Securities may be defeased;</w:t>
      </w:r>
    </w:p>
    <w:p>
      <w:pPr>
        <w:spacing w:after="0" w:line="171" w:lineRule="exact"/>
        <w:rPr>
          <w:rFonts w:ascii="Arial" w:cs="Arial" w:eastAsia="Arial" w:hAnsi="Arial"/>
          <w:sz w:val="18"/>
          <w:szCs w:val="18"/>
          <w:color w:val="auto"/>
        </w:rPr>
      </w:pPr>
    </w:p>
    <w:p>
      <w:pPr>
        <w:ind w:left="-20" w:right="80" w:firstLine="464"/>
        <w:spacing w:after="0" w:line="259"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78" w:name="page79"/>
    <w:bookmarkEnd w:id="78"/>
    <w:p>
      <w:pPr>
        <w:ind w:right="160" w:firstLine="464"/>
        <w:spacing w:after="0" w:line="259"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registrars or any other agents with respect to the Securities of such series;</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other events of default or covenants with respect to the Securities of such series in addition to or in lieu of those contained in this Indenture;</w:t>
      </w:r>
    </w:p>
    <w:p>
      <w:pPr>
        <w:spacing w:after="0" w:line="194" w:lineRule="exact"/>
        <w:rPr>
          <w:rFonts w:ascii="Arial" w:cs="Arial" w:eastAsia="Arial" w:hAnsi="Arial"/>
          <w:sz w:val="16"/>
          <w:szCs w:val="16"/>
          <w:color w:val="auto"/>
        </w:rPr>
      </w:pPr>
    </w:p>
    <w:p>
      <w:pPr>
        <w:jc w:val="both"/>
        <w:ind w:right="60" w:firstLine="464"/>
        <w:spacing w:after="0" w:line="306" w:lineRule="auto"/>
        <w:tabs>
          <w:tab w:leader="none" w:pos="6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w:t>
      </w:r>
    </w:p>
    <w:p>
      <w:pPr>
        <w:spacing w:after="0" w:line="106"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Securities may be exchanged for the cash value of other securities issued by the Issuer or by a third party;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17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Issuer may from time to time, without notice to or the consent of the holders of any series of Securities, create and issue further Securities of any such series ranking equally with the Securities of such series in all respects (or in all respects other than the payment of interest accruing prior to the issue date of such further Securities or except for the first payment of interest following the issue date of such further Securities). Such further Securities may be consolidated and form a single series with the Securities of such series and have the same terms as to status, redemption or otherwise as the Securities of such series.</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2.04</w:t>
      </w:r>
      <w:r>
        <w:rPr>
          <w:rFonts w:ascii="Arial" w:cs="Arial" w:eastAsia="Arial" w:hAnsi="Arial"/>
          <w:sz w:val="16"/>
          <w:szCs w:val="16"/>
          <w:i w:val="1"/>
          <w:iCs w:val="1"/>
          <w:color w:val="auto"/>
        </w:rPr>
        <w:t>. Authentication and Delivery of Securities.</w:t>
      </w:r>
      <w:r>
        <w:rPr>
          <w:rFonts w:ascii="Arial" w:cs="Arial" w:eastAsia="Arial" w:hAnsi="Arial"/>
          <w:sz w:val="16"/>
          <w:szCs w:val="16"/>
          <w:color w:val="auto"/>
        </w:rPr>
        <w:t xml:space="preserve"> The Issuer may deliver Securities of any series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6.01) shall be fully protected in relying upon:</w:t>
      </w:r>
    </w:p>
    <w:p>
      <w:pPr>
        <w:spacing w:after="0" w:line="118" w:lineRule="exact"/>
        <w:rPr>
          <w:sz w:val="20"/>
          <w:szCs w:val="20"/>
          <w:color w:val="auto"/>
        </w:rPr>
      </w:pPr>
    </w:p>
    <w:p>
      <w:pPr>
        <w:jc w:val="center"/>
        <w:ind w:left="5620" w:right="1040" w:hanging="5156"/>
        <w:spacing w:after="0" w:line="440" w:lineRule="auto"/>
        <w:tabs>
          <w:tab w:leader="none" w:pos="6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Issuer Order requesting such authentication and setting forth delivery instructions if the Securities are not to be delivered to the Issuer; 10</w:t>
      </w:r>
    </w:p>
    <w:p>
      <w:pPr>
        <w:sectPr>
          <w:pgSz w:w="11900" w:h="16838" w:orient="portrait"/>
          <w:cols w:equalWidth="0" w:num="1">
            <w:col w:w="11400"/>
          </w:cols>
          <w:pgMar w:left="240" w:top="280" w:right="259" w:bottom="1440" w:gutter="0" w:footer="0" w:header="0"/>
        </w:sectPr>
      </w:pPr>
    </w:p>
    <w:bookmarkStart w:id="79" w:name="page80"/>
    <w:bookmarkEnd w:id="79"/>
    <w:p>
      <w:pPr>
        <w:ind w:right="260" w:firstLine="464"/>
        <w:spacing w:after="0" w:line="268"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Board Resolution, Officers’ Certificate and/or executed supplemental indenture referred to in Sections 2.01 and 2.03 by or pursuant to which the forms and terms of the Securities were established;</w:t>
      </w:r>
    </w:p>
    <w:p>
      <w:pPr>
        <w:spacing w:after="0" w:line="131" w:lineRule="exact"/>
        <w:rPr>
          <w:rFonts w:ascii="Arial" w:cs="Arial" w:eastAsia="Arial" w:hAnsi="Arial"/>
          <w:sz w:val="18"/>
          <w:szCs w:val="18"/>
          <w:color w:val="auto"/>
        </w:rPr>
      </w:pPr>
    </w:p>
    <w:p>
      <w:pPr>
        <w:ind w:right="220" w:firstLine="464"/>
        <w:spacing w:after="0" w:line="332"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Officers’ Certificate setting forth the form or forms and terms of the Securities stating that the form or forms and terms of the Securities have been established pursuant to Sections 2.01 and 2.03 and comply with this Indenture, and covering such other matters as the Trustee may reasonably request; and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Opinion of Counsel to the effect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form or forms and terms of such Securities have been established pursuant to Sections 2.01 and 2.03 and comply with this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authentication and delivery of such Securities by the Trustee are authorized under the provisions of this Indenture,</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205"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laws and requirements in respect of the execution and delivery by the Issuer of the Securities have been complied 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covering such other matters as the Trustee may reasonably request.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80" w:name="page81"/>
    <w:bookmarkEnd w:id="80"/>
    <w:p>
      <w:pPr>
        <w:ind w:firstLine="45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shall execute and the Trustee shall, in accordance with this Section with respect to the Securities of a series, authenticate and deliver one or more Global Securities that (i) shall represent and shall be denominated in an amount equal to the aggregate principal amount of all of the Securities of such series issued and not yet cancelled, (ii) shall be registered in the name of the Depositary for such Global Security or Securities or the nominee of such Depositary,</w:t>
      </w:r>
    </w:p>
    <w:p>
      <w:pPr>
        <w:spacing w:after="0" w:line="1" w:lineRule="exact"/>
        <w:rPr>
          <w:sz w:val="20"/>
          <w:szCs w:val="20"/>
          <w:color w:val="auto"/>
        </w:rPr>
      </w:pPr>
    </w:p>
    <w:p>
      <w:pPr>
        <w:ind w:right="160" w:firstLine="8"/>
        <w:spacing w:after="0" w:line="295" w:lineRule="auto"/>
        <w:tabs>
          <w:tab w:leader="none" w:pos="3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1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Depositary designated pursuant to this Section must, at the time of its designation and at all times while it serves as Depositary, be a clearing agency registered under the Securities Exchange Act of 1934 and any other applicable statute or regulation.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or any vice chairman of its Board of Directors or its president or any vice president or its treasurer. Such signatures may be the manual or facsimile signatures of the present or any future such officers. Typographical and other minor errors or defects in any such reproduction of any such signature shall not affect the validity or enforceability of any Security that has been duly authenticated and delivered by the Trustee.</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81" w:name="page82"/>
    <w:bookmarkEnd w:id="81"/>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2.06. </w:t>
      </w:r>
      <w:r>
        <w:rPr>
          <w:rFonts w:ascii="Arial" w:cs="Arial" w:eastAsia="Arial" w:hAnsi="Arial"/>
          <w:sz w:val="16"/>
          <w:szCs w:val="16"/>
          <w:i w:val="1"/>
          <w:iCs w:val="1"/>
          <w:color w:val="auto"/>
        </w:rPr>
        <w:t>Certificate of Authentication</w:t>
      </w:r>
      <w:r>
        <w:rPr>
          <w:rFonts w:ascii="Arial" w:cs="Arial" w:eastAsia="Arial" w:hAnsi="Arial"/>
          <w:sz w:val="16"/>
          <w:szCs w:val="16"/>
          <w:color w:val="auto"/>
        </w:rPr>
        <w:t>.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The execution of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Denomination and Date of Securities; Payments of Interest</w:t>
      </w:r>
      <w:r>
        <w:rPr>
          <w:rFonts w:ascii="Arial" w:cs="Arial" w:eastAsia="Arial" w:hAnsi="Arial"/>
          <w:sz w:val="16"/>
          <w:szCs w:val="16"/>
          <w:color w:val="auto"/>
        </w:rPr>
        <w:t>. The Securities of each series shall be issuable in denominations established as contemplated by Section 2.03 or, if not so established, in denominations of $1,000 and any integral multiple thereof.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Officers’ Certificate or supplemental indenture for a particular series, interest will be calculated on the basis of a 360-day year of twelve 30-day months.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The Securities of each series shall bear interest, if any, from the date, and such interest shall be payable on the dates, established as contemplated by Section 2.03.</w:t>
      </w:r>
    </w:p>
    <w:p>
      <w:pPr>
        <w:spacing w:after="0" w:line="13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if such interest payment date is the first day of a calendar month, the 15th day of the next preceding calendar month or, if such interest payment date is the 15th day of a calendar month, the first day of such calendar month, whether or not such record date is a Business Day.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2" w:name="page83"/>
    <w:bookmarkEnd w:id="82"/>
    <w:p>
      <w:pPr>
        <w:ind w:right="1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The Issuer will keep at each office or agency to be maintained for the purpose as provided in Section 3.02 for each series of Securities a register or registers in which, subject to such reasonable regulations as it may prescribe, it will provide for the registration of Securities of such series and the registration of transfer of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maturity date, interest rate and original issue date in authorized denominations for a like aggregate principal amount.</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the option of the Holder thereof, Securities of any series (except a Global Security) may be exchanged for a Security or Securities of such series having authorized denominations and an equal aggregate principal amount, upon surrender of such Securities to be exchanged at the agency of the Issuer that shall be maintained for such purpose in accordance with Section 3.02 and upon payment, if the Issuer shall so require, of the charges hereinafter provided. Whenever any Securities are so surrendered for exchange, the Issuer shall execute, and the Trustee shall authenticate and deliver, the Securities which the Holder making the exchange is entitled to receive. All Securities surrendered upon any exchange or transfer provided for in this Indenture shall be promptly cancelled and disposed of by the Trustee and the Trustee will deliver a certificate of disposition thereof to the Issuer.</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Issuer may require payment of a sum sufficient to cover any stamp or other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3" w:name="page84"/>
    <w:bookmarkEnd w:id="8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Section 2.08, unless and until it is exchanged in whole or in part for Securities in definitive registered form,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at any time the Depositary for the Securities of a series notifies the Issuer that it is unwilling or unable to continue as Depositary for the Securities of such series or if at any time the Depositary for the Securities of a series shall no longer be eligible under Section 2.04, the Issuer shall appoint a successor Depositary with respect to the Securities of such series. If a successor Depositary for the Securities of such series is not appointed by the Issuer within 90 days after the Issuer receives such notice or becomes aware of such ineligibility, the Issuer’s election pursuant to Section 2.03 that the Securities of such series be represented by a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the Securities of such series, in exchange for such Global Security or Securities.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Issuer may at any time and in its sole discretion determine that the Securities of any series issued in the form of one or more Global Securities shall no longer be represented by a 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in any authorized denominations, in an aggregate principal amount equal to the principal amount of the Global Security or Securities representing such series, in exchange for such Global Security or Securities.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Depositary for such Global Security may surrender such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4" w:name="page85"/>
    <w:bookmarkEnd w:id="84"/>
    <w:p>
      <w:pPr>
        <w:ind w:left="460" w:right="100" w:firstLine="443"/>
        <w:spacing w:after="0" w:line="332" w:lineRule="auto"/>
        <w:tabs>
          <w:tab w:leader="none" w:pos="1108"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Person specified by such Depositary a new Security or Securities of the same series, of any authorized denominations as requested by such Person, in an aggregate principal amount equal to and in exchange for such Person’s beneficial interest in the Global Security; and</w:t>
      </w:r>
    </w:p>
    <w:p>
      <w:pPr>
        <w:spacing w:after="0" w:line="4" w:lineRule="exact"/>
        <w:rPr>
          <w:rFonts w:ascii="Arial" w:cs="Arial" w:eastAsia="Arial" w:hAnsi="Arial"/>
          <w:sz w:val="16"/>
          <w:szCs w:val="16"/>
          <w:color w:val="auto"/>
        </w:rPr>
      </w:pPr>
    </w:p>
    <w:p>
      <w:pPr>
        <w:ind w:left="460" w:right="420" w:firstLine="443"/>
        <w:spacing w:after="0" w:line="332" w:lineRule="auto"/>
        <w:tabs>
          <w:tab w:leader="none" w:pos="115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such Depositary a new Global Security in a denomination equal to the difference, if any, between the principal amount of the surrendered Global Security and the aggregate principal amount of Securities authenticated and delivered pursuant to clause (i) above.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exchange of a Global Security for Securities in definitive registered form, in authorized denominations, such Global Security shall be cancelled by the Trustee. Securities in definitive registered form issued in exchange for a Global Security pursuant to this Section 2.08 shall be registered in such names and in such authorized denominations as the Depositary for such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convert, or authorize conversion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85" w:name="page86"/>
    <w:bookmarkEnd w:id="85"/>
    <w:p>
      <w:pPr>
        <w:ind w:right="1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or conversion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2.10</w:t>
      </w:r>
      <w:r>
        <w:rPr>
          <w:rFonts w:ascii="Arial" w:cs="Arial" w:eastAsia="Arial" w:hAnsi="Arial"/>
          <w:sz w:val="16"/>
          <w:szCs w:val="16"/>
          <w:i w:val="1"/>
          <w:iCs w:val="1"/>
          <w:color w:val="auto"/>
        </w:rPr>
        <w:t>. Cancellation of Securities; Destruction Thereof.</w:t>
      </w:r>
      <w:r>
        <w:rPr>
          <w:rFonts w:ascii="Arial" w:cs="Arial" w:eastAsia="Arial" w:hAnsi="Arial"/>
          <w:sz w:val="16"/>
          <w:szCs w:val="16"/>
          <w:color w:val="auto"/>
        </w:rPr>
        <w:t xml:space="preserve"> All Securities surrendered for exchange for Securities of the same series or for payment, redemption, registration of transfer,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and deliver a certificate of disposition to the Issuer. If the Issuer shall acquire any of the Securities, such acquisition shall not operate as a redemption or satisfaction of the Debt represented by such Securities unless and until the same are delivered to the Trustee for cancellation.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Section 2.11</w:t>
      </w:r>
      <w:r>
        <w:rPr>
          <w:rFonts w:ascii="Arial" w:cs="Arial" w:eastAsia="Arial" w:hAnsi="Arial"/>
          <w:sz w:val="16"/>
          <w:szCs w:val="16"/>
          <w:i w:val="1"/>
          <w:iCs w:val="1"/>
          <w:color w:val="auto"/>
        </w:rPr>
        <w:t>. 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in any authorized denomination, and substantially in the form of the definitive Securities of such series but with such omissions, insertions and variations as may be appropriate for temporary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an equal aggregate principal amount of definitive Securities of the same series having authorized denominations. Until so exchanged, the temporary Securities of any series shall be entitled to the same benefits under this Indenture as definitive Securities of such series, unless the benefits of the temporary Securities are limited pursuant to Section 2.03.</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OF THE</w:t>
      </w:r>
      <w:r>
        <w:rPr>
          <w:rFonts w:ascii="Arial" w:cs="Arial" w:eastAsia="Arial" w:hAnsi="Arial"/>
          <w:sz w:val="18"/>
          <w:szCs w:val="18"/>
          <w:color w:val="auto"/>
        </w:rPr>
        <w:t xml:space="preserve"> I</w:t>
      </w:r>
      <w:r>
        <w:rPr>
          <w:rFonts w:ascii="Arial" w:cs="Arial" w:eastAsia="Arial" w:hAnsi="Arial"/>
          <w:sz w:val="14"/>
          <w:szCs w:val="14"/>
          <w:color w:val="auto"/>
        </w:rPr>
        <w:t>SSUER</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this Indenture. The interest on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Security register of the Issuer.</w:t>
      </w:r>
    </w:p>
    <w:p>
      <w:pPr>
        <w:spacing w:after="0" w:line="120"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Section 3.02</w:t>
      </w:r>
      <w:r>
        <w:rPr>
          <w:rFonts w:ascii="Arial" w:cs="Arial" w:eastAsia="Arial" w:hAnsi="Arial"/>
          <w:sz w:val="16"/>
          <w:szCs w:val="16"/>
          <w:i w:val="1"/>
          <w:iCs w:val="1"/>
          <w:color w:val="auto"/>
        </w:rPr>
        <w:t>. Offices for Payments, Etc.</w:t>
      </w:r>
      <w:r>
        <w:rPr>
          <w:rFonts w:ascii="Arial" w:cs="Arial" w:eastAsia="Arial" w:hAnsi="Arial"/>
          <w:sz w:val="16"/>
          <w:szCs w:val="16"/>
          <w:color w:val="auto"/>
        </w:rPr>
        <w:t xml:space="preserve"> The Issuer will maintain (i) in the Borough of Manhattan, The City of New York, an agency where the Securities of each series may be presented for payment, an agency where the Securities of each series may be presented for exchange and conversion, if applicable, as provided in this Indenture and an agency where the Securities of each series may be presented for registration of transfer as in this Indenture provided and</w:t>
      </w:r>
    </w:p>
    <w:p>
      <w:pPr>
        <w:spacing w:after="0" w:line="1" w:lineRule="exact"/>
        <w:rPr>
          <w:sz w:val="20"/>
          <w:szCs w:val="20"/>
          <w:color w:val="auto"/>
        </w:rPr>
      </w:pPr>
    </w:p>
    <w:p>
      <w:pPr>
        <w:ind w:left="5620" w:right="2940" w:hanging="5612"/>
        <w:spacing w:after="0" w:line="433" w:lineRule="auto"/>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further agencies in such places as may be determined for the Securities of such series pursuant to Section 2.03. 18</w:t>
      </w:r>
    </w:p>
    <w:p>
      <w:pPr>
        <w:sectPr>
          <w:pgSz w:w="11900" w:h="16838" w:orient="portrait"/>
          <w:cols w:equalWidth="0" w:num="1">
            <w:col w:w="11340"/>
          </w:cols>
          <w:pgMar w:left="240" w:top="280" w:right="319" w:bottom="1440" w:gutter="0" w:footer="0" w:header="0"/>
        </w:sectPr>
      </w:pPr>
    </w:p>
    <w:bookmarkStart w:id="87" w:name="page88"/>
    <w:bookmarkEnd w:id="87"/>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will maintain in the Borough of Manhattan, The City of New York, an agency where notices and demands to or upon the Issuer in respect of the Securities of any series or this Indenture may be served.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 will give to the Trustee written notice of the location of each such agency and of any change of location thereof. In case the Issuer shall fail to maintain any agency required by this Section to be located in the Borough of Manhattan, The City of New York, or shall fail to give such notice of the location or of any change in the location of any of the above agencies, presentations and demands may be made and notices may be served at the Corporate Trust Office of the Trustee.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Issuer may from time to time designate one or more additional agencies where the Securities of a series may be presented for payment, where the Securities of that series may be presented for exchange or conversion, if applicable, as provided in this Indenture and pursuant to Section 2.03 and where the Securities of that series may be presented for registration of transfer as in this Indenture provided, and the Issuer may from time to time rescind any such designation, as the Issuer may deem desirable or expedient;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44" w:lineRule="exact"/>
        <w:rPr>
          <w:sz w:val="20"/>
          <w:szCs w:val="20"/>
          <w:color w:val="auto"/>
        </w:rPr>
      </w:pPr>
    </w:p>
    <w:p>
      <w:pPr>
        <w:jc w:val="both"/>
        <w:ind w:right="280" w:firstLine="456"/>
        <w:spacing w:after="0" w:line="332" w:lineRule="auto"/>
        <w:rPr>
          <w:sz w:val="20"/>
          <w:szCs w:val="20"/>
          <w:color w:val="auto"/>
        </w:rPr>
      </w:pPr>
      <w:r>
        <w:rPr>
          <w:rFonts w:ascii="Arial" w:cs="Arial" w:eastAsia="Arial" w:hAnsi="Arial"/>
          <w:sz w:val="16"/>
          <w:szCs w:val="16"/>
          <w:color w:val="auto"/>
        </w:rPr>
        <w:t>Section 3.03</w:t>
      </w:r>
      <w:r>
        <w:rPr>
          <w:rFonts w:ascii="Arial" w:cs="Arial" w:eastAsia="Arial" w:hAnsi="Arial"/>
          <w:sz w:val="16"/>
          <w:szCs w:val="16"/>
          <w:i w:val="1"/>
          <w:iCs w:val="1"/>
          <w:color w:val="auto"/>
        </w:rPr>
        <w:t>. Appointment to Fill a Vacancy in Office of Trustee.</w:t>
      </w:r>
      <w:r>
        <w:rPr>
          <w:rFonts w:ascii="Arial" w:cs="Arial" w:eastAsia="Arial" w:hAnsi="Arial"/>
          <w:sz w:val="16"/>
          <w:szCs w:val="16"/>
          <w:color w:val="auto"/>
        </w:rPr>
        <w:t xml:space="preserv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Section 3.04</w:t>
      </w:r>
      <w:r>
        <w:rPr>
          <w:rFonts w:ascii="Arial" w:cs="Arial" w:eastAsia="Arial" w:hAnsi="Arial"/>
          <w:sz w:val="18"/>
          <w:szCs w:val="18"/>
          <w:i w:val="1"/>
          <w:iCs w:val="1"/>
          <w:color w:val="auto"/>
        </w:rPr>
        <w:t>. 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40" w:lineRule="exact"/>
        <w:rPr>
          <w:sz w:val="20"/>
          <w:szCs w:val="20"/>
          <w:color w:val="auto"/>
        </w:rPr>
      </w:pPr>
    </w:p>
    <w:p>
      <w:pPr>
        <w:jc w:val="both"/>
        <w:ind w:right="100" w:firstLine="464"/>
        <w:spacing w:after="0" w:line="259"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40"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88" w:name="page89"/>
    <w:bookmarkEnd w:id="88"/>
    <w:p>
      <w:pPr>
        <w:ind w:right="140" w:firstLine="464"/>
        <w:spacing w:after="0" w:line="268"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at any time during the continuance of any such failure, upon the written request of the Trustee, it will forthwith pay to the Trustee all sums so held in trust by such paying agent.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Anything in this Section to the contrary notwithstanding, but subject to Section 10.01,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Sections 10.03 and 10.04.</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Section 3.05</w:t>
      </w:r>
      <w:r>
        <w:rPr>
          <w:rFonts w:ascii="Arial" w:cs="Arial" w:eastAsia="Arial" w:hAnsi="Arial"/>
          <w:sz w:val="18"/>
          <w:szCs w:val="18"/>
          <w:i w:val="1"/>
          <w:iCs w:val="1"/>
          <w:color w:val="auto"/>
        </w:rPr>
        <w:t>. Written Statement to Trustee.</w:t>
      </w:r>
      <w:r>
        <w:rPr>
          <w:rFonts w:ascii="Arial" w:cs="Arial" w:eastAsia="Arial" w:hAnsi="Arial"/>
          <w:sz w:val="18"/>
          <w:szCs w:val="18"/>
          <w:color w:val="auto"/>
        </w:rPr>
        <w:t xml:space="preserve"> So long as any Securities are Outstanding hereunder, the Issuer will deliver to the Trustee on or before April 30 in each year (beginning in the year following the first issuance of Securities pursuant to this Indenture) a written statement covering the previous calendar year, signed by two of its officers (which need not comply with Section 11.05), stating that in the course of the performance of their duties as officers of the Issuer they would normally have knowledge of any default by the Issuer in the performance or fulfillment of any covenant, agreement or condition contained in this Indenture, stating whether or not they have knowledge of any such default and, if so, specifying each such default of which the signers have knowledge and the nature thereof.</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Limitation on Liens.</w:t>
      </w:r>
      <w:r>
        <w:rPr>
          <w:rFonts w:ascii="Arial" w:cs="Arial" w:eastAsia="Arial" w:hAnsi="Arial"/>
          <w:sz w:val="18"/>
          <w:szCs w:val="18"/>
          <w:color w:val="auto"/>
        </w:rPr>
        <w:t xml:space="preserve"> The following provisions shall apply to the Securities of each series unless specifically otherwise provided in a Board Resolution, Officers’ Certificate or indenture supplemental hereto as provided pursuant to Section 2.03.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89" w:name="page90"/>
    <w:bookmarkEnd w:id="89"/>
    <w:p>
      <w:pPr>
        <w:ind w:left="-20" w:right="100" w:firstLine="464"/>
        <w:spacing w:after="0" w:line="254" w:lineRule="auto"/>
        <w:tabs>
          <w:tab w:leader="none" w:pos="675"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will not issue or assume any Debt secured by any mortgage, pledge, lien or other encumbrance (mortgages, pledges, liens and other encumbrances being hereinafter called “</w:t>
      </w:r>
      <w:r>
        <w:rPr>
          <w:rFonts w:ascii="Arial" w:cs="Arial" w:eastAsia="Arial" w:hAnsi="Arial"/>
          <w:sz w:val="18"/>
          <w:szCs w:val="18"/>
          <w:b w:val="1"/>
          <w:bCs w:val="1"/>
          <w:color w:val="auto"/>
        </w:rPr>
        <w:t>Mortgage</w:t>
      </w:r>
      <w:r>
        <w:rPr>
          <w:rFonts w:ascii="Arial" w:cs="Arial" w:eastAsia="Arial" w:hAnsi="Arial"/>
          <w:sz w:val="18"/>
          <w:szCs w:val="18"/>
          <w:color w:val="auto"/>
        </w:rPr>
        <w:t>” or “</w:t>
      </w:r>
      <w:r>
        <w:rPr>
          <w:rFonts w:ascii="Arial" w:cs="Arial" w:eastAsia="Arial" w:hAnsi="Arial"/>
          <w:sz w:val="18"/>
          <w:szCs w:val="18"/>
          <w:b w:val="1"/>
          <w:bCs w:val="1"/>
          <w:color w:val="auto"/>
        </w:rPr>
        <w:t>Mortgages</w:t>
      </w:r>
      <w:r>
        <w:rPr>
          <w:rFonts w:ascii="Arial" w:cs="Arial" w:eastAsia="Arial" w:hAnsi="Arial"/>
          <w:sz w:val="18"/>
          <w:szCs w:val="18"/>
          <w:color w:val="auto"/>
        </w:rPr>
        <w:t xml:space="preserve">”) upon any Principal Manufacturing Property (whether such Principal Manufacturing Property is now owned or hereafter acquired) without in any such case effectively providing, concurrently with the issuance or assumption of such Debt, that the Securities (together with, if the Issuer shall so determine, any other Debt of the Issuer ranking equally with the Securities and then existing or thereafter created) shall be secured equally and ratably with such Debt until such time as such Debt is no longer secured by such Mortgage; </w:t>
      </w:r>
      <w:r>
        <w:rPr>
          <w:rFonts w:ascii="Arial" w:cs="Arial" w:eastAsia="Arial" w:hAnsi="Arial"/>
          <w:sz w:val="18"/>
          <w:szCs w:val="18"/>
          <w:i w:val="1"/>
          <w:iCs w:val="1"/>
          <w:color w:val="auto"/>
        </w:rPr>
        <w:t>provided</w:t>
      </w:r>
      <w:r>
        <w:rPr>
          <w:rFonts w:ascii="Arial" w:cs="Arial" w:eastAsia="Arial" w:hAnsi="Arial"/>
          <w:sz w:val="18"/>
          <w:szCs w:val="18"/>
          <w:color w:val="auto"/>
        </w:rPr>
        <w:t>, that the foregoing restrictions shall not apply to:</w:t>
      </w:r>
    </w:p>
    <w:p>
      <w:pPr>
        <w:spacing w:after="0" w:line="63" w:lineRule="exact"/>
        <w:rPr>
          <w:rFonts w:ascii="Arial" w:cs="Arial" w:eastAsia="Arial" w:hAnsi="Arial"/>
          <w:sz w:val="18"/>
          <w:szCs w:val="18"/>
          <w:color w:val="auto"/>
        </w:rPr>
      </w:pPr>
    </w:p>
    <w:p>
      <w:pPr>
        <w:ind w:left="1100" w:hanging="217"/>
        <w:spacing w:after="0"/>
        <w:tabs>
          <w:tab w:leader="none" w:pos="11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Securities;</w:t>
      </w:r>
    </w:p>
    <w:p>
      <w:pPr>
        <w:spacing w:after="0" w:line="90" w:lineRule="exact"/>
        <w:rPr>
          <w:rFonts w:ascii="Arial" w:cs="Arial" w:eastAsia="Arial" w:hAnsi="Arial"/>
          <w:sz w:val="18"/>
          <w:szCs w:val="18"/>
          <w:color w:val="auto"/>
        </w:rPr>
      </w:pPr>
    </w:p>
    <w:p>
      <w:pPr>
        <w:ind w:left="440" w:right="20" w:firstLine="443"/>
        <w:spacing w:after="0" w:line="287" w:lineRule="auto"/>
        <w:tabs>
          <w:tab w:leader="none" w:pos="1137"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Mortgages on any Principal Manufacturing Property hereafter acquired by the Issuer prior to, at the time of, or within 120 days after the latest of the acquisition, completion of construction (including any improvements on an existing property) or commencement of commercial operation of such property, to secure or provide for the payment or financing of all or any part of the purchase price thereof or construction of fixed improvements thereon, or, in addition to assumptions in transactions contemplated by subparagraph (iii) below, the assumption of any Mortgage upon any such property hereafter acquired existing at the time of such acquisition, or the acquisition of any such property subject to any Mortgage without the assumption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principal amount of Debt secured by any such Mortgage so issued, assumed or existing shall not exceed 100% of the cost of such Principal Manufacturing Property to the corporation acquiring the same or of the fair value thereof (as determined by resolution adopted by the Board of Directors) at the time of such acquisition, whichever is less, and provided, further, that in the case of any such acquisition, construction or improvement the Mortgage shall not apply to any property theretofore owned by the Issuer, other than, in the case of any such construction or improvement, any theretofore unimproved real property on which the property so constructed, or the improvement, is located;</w:t>
      </w:r>
    </w:p>
    <w:p>
      <w:pPr>
        <w:spacing w:after="0" w:line="41" w:lineRule="exact"/>
        <w:rPr>
          <w:rFonts w:ascii="Arial" w:cs="Arial" w:eastAsia="Arial" w:hAnsi="Arial"/>
          <w:sz w:val="16"/>
          <w:szCs w:val="16"/>
          <w:color w:val="auto"/>
        </w:rPr>
      </w:pPr>
    </w:p>
    <w:p>
      <w:pPr>
        <w:ind w:left="440" w:right="240" w:firstLine="443"/>
        <w:spacing w:after="0" w:line="268" w:lineRule="auto"/>
        <w:tabs>
          <w:tab w:leader="none" w:pos="11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assumption of any Mortgage on any Principal Manufacturing Property of an entity which is merged into or consolidated with the Issuer or substantially all the assets of which are acquired by the Issuer;</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Mortgages on any Principal Manufacturing Property of the Issuer in favor of the United States of America or any State thereof, or any</w:t>
      </w:r>
    </w:p>
    <w:p>
      <w:pPr>
        <w:spacing w:after="0" w:line="38" w:lineRule="exact"/>
        <w:rPr>
          <w:rFonts w:ascii="Arial" w:cs="Arial" w:eastAsia="Arial" w:hAnsi="Arial"/>
          <w:sz w:val="16"/>
          <w:szCs w:val="16"/>
          <w:color w:val="auto"/>
        </w:rPr>
      </w:pPr>
    </w:p>
    <w:p>
      <w:pPr>
        <w:ind w:left="440"/>
        <w:spacing w:after="0" w:line="295" w:lineRule="auto"/>
        <w:rPr>
          <w:rFonts w:ascii="Arial" w:cs="Arial" w:eastAsia="Arial" w:hAnsi="Arial"/>
          <w:sz w:val="16"/>
          <w:szCs w:val="16"/>
          <w:color w:val="auto"/>
        </w:rPr>
      </w:pPr>
      <w:r>
        <w:rPr>
          <w:rFonts w:ascii="Arial" w:cs="Arial" w:eastAsia="Arial" w:hAnsi="Arial"/>
          <w:sz w:val="16"/>
          <w:szCs w:val="16"/>
          <w:color w:val="auto"/>
        </w:rPr>
        <w:t>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Debt incurred or guaranteed for the purpose of financing all or any part of the cost of acquiring, constructing or improving the property subject to such Mortgages (including Mortgages incurred in connection with pollution control, industrial revenue, Title XI maritime financings or similar financings);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80" w:right="259" w:bottom="1440" w:gutter="0" w:footer="0" w:header="0"/>
        </w:sectPr>
      </w:pPr>
    </w:p>
    <w:bookmarkStart w:id="90" w:name="page91"/>
    <w:bookmarkEnd w:id="90"/>
    <w:p>
      <w:pPr>
        <w:ind w:left="440" w:right="420" w:firstLine="443"/>
        <w:spacing w:after="0" w:line="268" w:lineRule="auto"/>
        <w:tabs>
          <w:tab w:leader="none" w:pos="1127"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Mortgages for taxes, assessments or other governmental charges not yet due or payable or subject to penalties for non-payment or which the Issuer is contesting in good faith by appropriate proceedings;</w:t>
      </w:r>
    </w:p>
    <w:p>
      <w:pPr>
        <w:spacing w:after="0" w:line="50" w:lineRule="exact"/>
        <w:rPr>
          <w:rFonts w:ascii="Arial" w:cs="Arial" w:eastAsia="Arial" w:hAnsi="Arial"/>
          <w:sz w:val="18"/>
          <w:szCs w:val="18"/>
          <w:color w:val="auto"/>
        </w:rPr>
      </w:pPr>
    </w:p>
    <w:p>
      <w:pPr>
        <w:ind w:left="440" w:firstLine="443"/>
        <w:spacing w:after="0" w:line="268" w:lineRule="auto"/>
        <w:tabs>
          <w:tab w:leader="none" w:pos="11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440" w:right="20" w:firstLine="443"/>
        <w:spacing w:after="0" w:line="255" w:lineRule="auto"/>
        <w:tabs>
          <w:tab w:leader="none" w:pos="12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the Issuer with respect to which the Issuer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440" w:right="100" w:firstLine="443"/>
        <w:spacing w:after="0" w:line="298" w:lineRule="auto"/>
        <w:tabs>
          <w:tab w:leader="none" w:pos="1273"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Mortgage referred to in the foregoing clauses (i) through (vii);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Debt so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and construction on such property).</w:t>
      </w:r>
    </w:p>
    <w:p>
      <w:pPr>
        <w:spacing w:after="0" w:line="113" w:lineRule="exact"/>
        <w:rPr>
          <w:sz w:val="20"/>
          <w:szCs w:val="20"/>
          <w:color w:val="auto"/>
        </w:rPr>
      </w:pPr>
    </w:p>
    <w:p>
      <w:pPr>
        <w:ind w:left="-20" w:right="200" w:firstLine="464"/>
        <w:spacing w:after="0" w:line="306"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subsection (a) of this Section 3.06, the Issuer may issue or assume Debt secured by a Mortgage in addition to those permitted by subsection (a) of this Section 3.06 and renew, extend or replace such Mortgages; </w:t>
      </w:r>
      <w:r>
        <w:rPr>
          <w:rFonts w:ascii="Arial" w:cs="Arial" w:eastAsia="Arial" w:hAnsi="Arial"/>
          <w:sz w:val="16"/>
          <w:szCs w:val="16"/>
          <w:i w:val="1"/>
          <w:iCs w:val="1"/>
          <w:color w:val="auto"/>
        </w:rPr>
        <w:t>provided</w:t>
      </w:r>
      <w:r>
        <w:rPr>
          <w:rFonts w:ascii="Arial" w:cs="Arial" w:eastAsia="Arial" w:hAnsi="Arial"/>
          <w:sz w:val="16"/>
          <w:szCs w:val="16"/>
          <w:color w:val="auto"/>
        </w:rPr>
        <w:t>, that at the time of such creation, assumption, renewal, extension or replacement, and after giving effect thereto, Exempted Debt does not exceed 15% of Consolidated Net Tangible Assets.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91" w:name="page92"/>
    <w:bookmarkEnd w:id="91"/>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3.07</w:t>
      </w:r>
      <w:r>
        <w:rPr>
          <w:rFonts w:ascii="Arial" w:cs="Arial" w:eastAsia="Arial" w:hAnsi="Arial"/>
          <w:sz w:val="18"/>
          <w:szCs w:val="18"/>
          <w:i w:val="1"/>
          <w:iCs w:val="1"/>
          <w:color w:val="auto"/>
        </w:rPr>
        <w:t>. Limitation on Sale and Leaseback.</w:t>
      </w:r>
      <w:r>
        <w:rPr>
          <w:rFonts w:ascii="Arial" w:cs="Arial" w:eastAsia="Arial" w:hAnsi="Arial"/>
          <w:sz w:val="18"/>
          <w:szCs w:val="18"/>
          <w:color w:val="auto"/>
        </w:rPr>
        <w:t xml:space="preserve"> The following provisions shall apply to the Securities of each series unless specifically otherwise provided in a Board Resolution, Officers’ Certificate or indenture supplemental hereto provided pursuant to Section 2.03.</w:t>
      </w:r>
    </w:p>
    <w:p>
      <w:pPr>
        <w:spacing w:after="0" w:line="132" w:lineRule="exact"/>
        <w:rPr>
          <w:sz w:val="20"/>
          <w:szCs w:val="20"/>
          <w:color w:val="auto"/>
        </w:rPr>
      </w:pPr>
    </w:p>
    <w:p>
      <w:pPr>
        <w:ind w:right="120" w:firstLine="464"/>
        <w:spacing w:after="0" w:line="294"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Issuer will not enter into any arrangement with any Person (other than any then-existing subsidiary) providing for the leasing by the Issuer of any Principal Manufacturing Property, whether such Principal Manufacturing Property is now owned or hereafter acquired, except for temporary leases for a term, including renewals at the option of the lessee, of not more than three years, which property has been or is to be sold or transferred by the Issuer to such Person with the intention of taking back a lease of such property (a “</w:t>
      </w:r>
      <w:r>
        <w:rPr>
          <w:rFonts w:ascii="Arial" w:cs="Arial" w:eastAsia="Arial" w:hAnsi="Arial"/>
          <w:sz w:val="16"/>
          <w:szCs w:val="16"/>
          <w:b w:val="1"/>
          <w:bCs w:val="1"/>
          <w:color w:val="auto"/>
        </w:rPr>
        <w:t>sale and leaseback transaction</w:t>
      </w:r>
      <w:r>
        <w:rPr>
          <w:rFonts w:ascii="Arial" w:cs="Arial" w:eastAsia="Arial" w:hAnsi="Arial"/>
          <w:sz w:val="16"/>
          <w:szCs w:val="16"/>
          <w:color w:val="auto"/>
        </w:rPr>
        <w:t>”) unless the proceeds of such sale or transfer shall be at least equal to the fair value of such property as determined by resolution adopted by the Board of Directors and either:</w:t>
      </w:r>
    </w:p>
    <w:p>
      <w:pPr>
        <w:spacing w:after="0" w:line="34" w:lineRule="exact"/>
        <w:rPr>
          <w:rFonts w:ascii="Arial" w:cs="Arial" w:eastAsia="Arial" w:hAnsi="Arial"/>
          <w:sz w:val="16"/>
          <w:szCs w:val="16"/>
          <w:color w:val="auto"/>
        </w:rPr>
      </w:pPr>
    </w:p>
    <w:p>
      <w:pPr>
        <w:ind w:left="460" w:right="100" w:firstLine="443"/>
        <w:spacing w:after="0" w:line="298" w:lineRule="auto"/>
        <w:tabs>
          <w:tab w:leader="none" w:pos="1108"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Issuer would be entitled, pursuant to the provisions of Section 3.06, to issue or assume Debt secured by a Mortgage on such property at least equal in amount to the Attributable Debt in respect of such sale and leaseback transaction without equally and ratably securing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from and after the date on which such sale and leaseback transaction becomes effective the Attributable Debt in respect of such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for all purposes under Section 3.06 and this Section 3.07 to be Debt subject to the provisions of Section 3.06; or</w:t>
      </w:r>
    </w:p>
    <w:p>
      <w:pPr>
        <w:spacing w:after="0" w:line="31" w:lineRule="exact"/>
        <w:rPr>
          <w:rFonts w:ascii="Arial" w:cs="Arial" w:eastAsia="Arial" w:hAnsi="Arial"/>
          <w:sz w:val="16"/>
          <w:szCs w:val="16"/>
          <w:color w:val="auto"/>
        </w:rPr>
      </w:pPr>
    </w:p>
    <w:p>
      <w:pPr>
        <w:ind w:left="460" w:right="260" w:firstLine="443"/>
        <w:spacing w:after="0" w:line="305" w:lineRule="auto"/>
        <w:tabs>
          <w:tab w:leader="none" w:pos="1157" w:val="left"/>
        </w:tabs>
        <w:numPr>
          <w:ilvl w:val="1"/>
          <w:numId w:val="67"/>
        </w:numPr>
        <w:rPr>
          <w:rFonts w:ascii="Arial" w:cs="Arial" w:eastAsia="Arial" w:hAnsi="Arial"/>
          <w:sz w:val="15"/>
          <w:szCs w:val="15"/>
          <w:color w:val="auto"/>
        </w:rPr>
      </w:pPr>
      <w:r>
        <w:rPr>
          <w:rFonts w:ascii="Arial" w:cs="Arial" w:eastAsia="Arial" w:hAnsi="Arial"/>
          <w:sz w:val="15"/>
          <w:szCs w:val="15"/>
          <w:color w:val="auto"/>
        </w:rPr>
        <w:t>within a period commencing 12 months prior to the consummation of such sale and leaseback transaction and ending 12 months after the consummation of such sale and leaseback transaction, the Issuer has expended, or will expend, for Principal Manufacturing Property an amount equal to</w:t>
      </w:r>
    </w:p>
    <w:p>
      <w:pPr>
        <w:ind w:left="460" w:right="180"/>
        <w:spacing w:after="0" w:line="302" w:lineRule="auto"/>
        <w:rPr>
          <w:rFonts w:ascii="Arial" w:cs="Arial" w:eastAsia="Arial" w:hAnsi="Arial"/>
          <w:sz w:val="15"/>
          <w:szCs w:val="15"/>
          <w:color w:val="auto"/>
        </w:rPr>
      </w:pPr>
      <w:r>
        <w:rPr>
          <w:rFonts w:ascii="Arial" w:cs="Arial" w:eastAsia="Arial" w:hAnsi="Arial"/>
          <w:sz w:val="16"/>
          <w:szCs w:val="16"/>
          <w:color w:val="auto"/>
        </w:rPr>
        <w:t>(A) the proceeds of such sale and leaseback transaction and the Issuer elects to designate such amount as a credit against such sale and leaseback transaction or (B) a part of the proceeds of such sale and leaseback transaction and the Issuer elects to designate such amount as a credit against such sale and leaseback transaction and treats an amount equal to the remainder of the proceeds as provided in clause (iii) hereof; or</w:t>
      </w:r>
    </w:p>
    <w:p>
      <w:pPr>
        <w:spacing w:after="0" w:line="28" w:lineRule="exact"/>
        <w:rPr>
          <w:rFonts w:ascii="Arial" w:cs="Arial" w:eastAsia="Arial" w:hAnsi="Arial"/>
          <w:sz w:val="15"/>
          <w:szCs w:val="15"/>
          <w:color w:val="auto"/>
        </w:rPr>
      </w:pPr>
    </w:p>
    <w:p>
      <w:pPr>
        <w:ind w:left="460" w:firstLine="443"/>
        <w:spacing w:after="0" w:line="290" w:lineRule="auto"/>
        <w:tabs>
          <w:tab w:leader="none" w:pos="1205"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such sale or transfer does not come within the exceptions provided by clause (i) hereof and the Issuer does not make the election permitted by clause (ii) hereof or makes such election only as to part of such proceeds, in either of which events the Issuer will (A) within 120 days after such sale and leaseback transaction, apply an amount equal to the Attributable Debt in respect of such sale and leaseback transaction (less an amount equal to the amount, if any, elected under clause (ii) hereof) to the retirement (other than any mandatory retirement or by way of payment at maturity) of Funded Debt of the Issuer, or (B) consider an amount equal to the Attributable Debt in respect of such sale and leaseback transaction (less an amount equal to the amount, if any, elected under clause (ii) hereof) to be Attributable Debt for purposes of the calculation of Exempted Debt; </w:t>
      </w:r>
      <w:r>
        <w:rPr>
          <w:rFonts w:ascii="Arial" w:cs="Arial" w:eastAsia="Arial" w:hAnsi="Arial"/>
          <w:sz w:val="16"/>
          <w:szCs w:val="16"/>
          <w:i w:val="1"/>
          <w:iCs w:val="1"/>
          <w:color w:val="auto"/>
        </w:rPr>
        <w:t>provided</w:t>
      </w:r>
      <w:r>
        <w:rPr>
          <w:rFonts w:ascii="Arial" w:cs="Arial" w:eastAsia="Arial" w:hAnsi="Arial"/>
          <w:sz w:val="16"/>
          <w:szCs w:val="16"/>
          <w:color w:val="auto"/>
        </w:rPr>
        <w:t>, that, after giving effect thereto, Exempted Debt does not exceed 15% of Consolidated Net Tangible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2" w:name="page93"/>
    <w:bookmarkEnd w:id="9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 of this Section 3.07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shall mean, at the time of determination, the lesser of (i) the fair market value of the assets subject to such transaction, as determined by our Board of Directors, and (2) the present value (discounted at the interest rate implicit in the lease or, if it is not practicable to determine such rate, then at the Issuer’s incremental borrowing rate determined in accordance with generally accepted accounting principles) of the obligation of the lessee for net rental payments during the remaining term of any lease included in the sale and leaseback transaction (including any period for which such lease has been extended or may, at the option of the lessor, be extended). The term “</w:t>
      </w:r>
      <w:r>
        <w:rPr>
          <w:rFonts w:ascii="Arial" w:cs="Arial" w:eastAsia="Arial" w:hAnsi="Arial"/>
          <w:sz w:val="16"/>
          <w:szCs w:val="16"/>
          <w:b w:val="1"/>
          <w:bCs w:val="1"/>
          <w:color w:val="auto"/>
        </w:rPr>
        <w:t>net rental payments</w:t>
      </w:r>
      <w:r>
        <w:rPr>
          <w:rFonts w:ascii="Arial" w:cs="Arial" w:eastAsia="Arial" w:hAnsi="Arial"/>
          <w:sz w:val="16"/>
          <w:szCs w:val="16"/>
          <w:color w:val="auto"/>
        </w:rPr>
        <w:t>” under any lease for any period shall mean the sum of the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19" w:lineRule="exact"/>
        <w:rPr>
          <w:sz w:val="20"/>
          <w:szCs w:val="20"/>
          <w:color w:val="auto"/>
        </w:rPr>
      </w:pPr>
    </w:p>
    <w:p>
      <w:pPr>
        <w:jc w:val="both"/>
        <w:ind w:right="400" w:firstLine="464"/>
        <w:spacing w:after="0" w:line="256"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paragraph (a) of this Section 3.07, the Issuer may enter into sale and leaseback transactions in addition to those permitted by paragraph (a) of this Section 3.07 and without any obligation to make expenditures for Principal Manufacturing Property or to retire any Debt; </w:t>
      </w:r>
      <w:r>
        <w:rPr>
          <w:rFonts w:ascii="Arial" w:cs="Arial" w:eastAsia="Arial" w:hAnsi="Arial"/>
          <w:sz w:val="18"/>
          <w:szCs w:val="18"/>
          <w:i w:val="1"/>
          <w:iCs w:val="1"/>
          <w:color w:val="auto"/>
        </w:rPr>
        <w:t>provided</w:t>
      </w:r>
      <w:r>
        <w:rPr>
          <w:rFonts w:ascii="Arial" w:cs="Arial" w:eastAsia="Arial" w:hAnsi="Arial"/>
          <w:sz w:val="18"/>
          <w:szCs w:val="18"/>
          <w:color w:val="auto"/>
        </w:rPr>
        <w:t>, that at the time of entering into such sale and leaseback transactions and after giving effect thereto, Exempted Debt does not exceed 15% of</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Net Tangible Assets.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ECURITYHOLDERS</w:t>
      </w:r>
      <w:r>
        <w:rPr>
          <w:rFonts w:ascii="Arial" w:cs="Arial" w:eastAsia="Arial" w:hAnsi="Arial"/>
          <w:sz w:val="18"/>
          <w:szCs w:val="18"/>
          <w:color w:val="auto"/>
        </w:rPr>
        <w:t xml:space="preserve"> L</w:t>
      </w:r>
      <w:r>
        <w:rPr>
          <w:rFonts w:ascii="Arial" w:cs="Arial" w:eastAsia="Arial" w:hAnsi="Arial"/>
          <w:sz w:val="14"/>
          <w:szCs w:val="14"/>
          <w:color w:val="auto"/>
        </w:rPr>
        <w:t>ISTS AND</w:t>
      </w:r>
      <w:r>
        <w:rPr>
          <w:rFonts w:ascii="Arial" w:cs="Arial" w:eastAsia="Arial" w:hAnsi="Arial"/>
          <w:sz w:val="18"/>
          <w:szCs w:val="18"/>
          <w:color w:val="auto"/>
        </w:rPr>
        <w:t xml:space="preserve"> R</w:t>
      </w:r>
      <w:r>
        <w:rPr>
          <w:rFonts w:ascii="Arial" w:cs="Arial" w:eastAsia="Arial" w:hAnsi="Arial"/>
          <w:sz w:val="14"/>
          <w:szCs w:val="14"/>
          <w:color w:val="auto"/>
        </w:rPr>
        <w:t>EPORTS BY THE</w:t>
      </w:r>
      <w:r>
        <w:rPr>
          <w:rFonts w:ascii="Arial" w:cs="Arial" w:eastAsia="Arial" w:hAnsi="Arial"/>
          <w:sz w:val="18"/>
          <w:szCs w:val="18"/>
          <w:color w:val="auto"/>
        </w:rPr>
        <w:t xml:space="preserve"> I</w:t>
      </w:r>
      <w:r>
        <w:rPr>
          <w:rFonts w:ascii="Arial" w:cs="Arial" w:eastAsia="Arial" w:hAnsi="Arial"/>
          <w:sz w:val="14"/>
          <w:szCs w:val="14"/>
          <w:color w:val="auto"/>
        </w:rPr>
        <w:t>SSUER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Issuer to Furnish Trustee Information as to Names and Addresses of Securityholders.</w:t>
      </w:r>
      <w:r>
        <w:rPr>
          <w:rFonts w:ascii="Arial" w:cs="Arial" w:eastAsia="Arial" w:hAnsi="Arial"/>
          <w:sz w:val="18"/>
          <w:szCs w:val="18"/>
          <w:color w:val="auto"/>
        </w:rPr>
        <w:t xml:space="preserve"> The Issuer covenants and agrees that it will furnish or cause to be furnished to the Trustee a list in such form as the Trustee may reasonably require of the names and addresses of the Holders of the Securities of each series pursuant to Section 312 of the Trust Indenture Act of 1939:</w:t>
      </w:r>
    </w:p>
    <w:p>
      <w:pPr>
        <w:spacing w:after="0" w:line="140" w:lineRule="exact"/>
        <w:rPr>
          <w:sz w:val="20"/>
          <w:szCs w:val="20"/>
          <w:color w:val="auto"/>
        </w:rPr>
      </w:pPr>
    </w:p>
    <w:p>
      <w:pPr>
        <w:ind w:right="420" w:firstLine="464"/>
        <w:spacing w:after="0" w:line="332"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semiannually and not more than 15 days after each record date for the payment of interest on such Securities, as hereinabove specified, as of such record date and on dates to be determined pursuant to Section 2.03 for non-interest bearing Securities in each year,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93" w:name="page94"/>
    <w:bookmarkEnd w:id="93"/>
    <w:p>
      <w:pPr>
        <w:ind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such other times as the Trustee may request in writing, within 30 days after receipt by the Issuer of any such request as of a date not more than 15 days prior to the time such information is furnished, </w:t>
      </w:r>
      <w:r>
        <w:rPr>
          <w:rFonts w:ascii="Arial" w:cs="Arial" w:eastAsia="Arial" w:hAnsi="Arial"/>
          <w:sz w:val="18"/>
          <w:szCs w:val="18"/>
          <w:i w:val="1"/>
          <w:iCs w:val="1"/>
          <w:color w:val="auto"/>
        </w:rPr>
        <w:t>provided</w:t>
      </w:r>
      <w:r>
        <w:rPr>
          <w:rFonts w:ascii="Arial" w:cs="Arial" w:eastAsia="Arial" w:hAnsi="Arial"/>
          <w:sz w:val="18"/>
          <w:szCs w:val="18"/>
          <w:color w:val="auto"/>
        </w:rPr>
        <w:t>, that, if and so long as the Trustee shall be the Security registrar for such series, such list shall not be required to be furnished.</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Reports by the Issuer.</w:t>
      </w:r>
      <w:r>
        <w:rPr>
          <w:rFonts w:ascii="Arial" w:cs="Arial" w:eastAsia="Arial" w:hAnsi="Arial"/>
          <w:sz w:val="16"/>
          <w:szCs w:val="16"/>
          <w:color w:val="auto"/>
        </w:rPr>
        <w:t xml:space="preserve"> The Issuer covenants to file with the Trustee, within 15 days after the Issuer files the same with the Commission, copies of the annual reports and of the information, documents, and other reports which the Issuer is required to file with the Commission pursuant to Section 13 or Section 15(d) of the Securities Exchange Act of 1934. The filing of such reports, information and documents with the Commission on EDGAR (or any successor system thereto) shall be deemed to constitute “filing” of such reports, information and documents with the Trustee, provided however that the Issuer shall provide a physical or electronic copy thereof to the Trustee promptly following a request therefor from the Trustee.</w:t>
      </w:r>
    </w:p>
    <w:p>
      <w:pPr>
        <w:spacing w:after="0" w:line="11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Reports by the Trustee.</w:t>
      </w:r>
      <w:r>
        <w:rPr>
          <w:rFonts w:ascii="Arial" w:cs="Arial" w:eastAsia="Arial" w:hAnsi="Arial"/>
          <w:sz w:val="18"/>
          <w:szCs w:val="18"/>
          <w:color w:val="auto"/>
        </w:rPr>
        <w:t xml:space="preserve"> Any Trustee’s report required under Section 313(a) of the Trust Indenture Act of 1939 shall be transmitted on or before [May 1] in each year following the date hereof, so long as any Securities are Outstanding hereunder, and shall be dated as of a date convenient to the Trustee but no more than 60 nor less than 45 days prior thereto.</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42" w:lineRule="exact"/>
        <w:rPr>
          <w:sz w:val="20"/>
          <w:szCs w:val="20"/>
          <w:color w:val="auto"/>
        </w:rPr>
      </w:pPr>
    </w:p>
    <w:p>
      <w:pPr>
        <w:ind w:right="14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60 days; or</w:t>
      </w:r>
    </w:p>
    <w:p>
      <w:pPr>
        <w:spacing w:after="0" w:line="131" w:lineRule="exact"/>
        <w:rPr>
          <w:rFonts w:ascii="Arial" w:cs="Arial" w:eastAsia="Arial" w:hAnsi="Arial"/>
          <w:sz w:val="18"/>
          <w:szCs w:val="18"/>
          <w:color w:val="auto"/>
        </w:rPr>
      </w:pPr>
    </w:p>
    <w:p>
      <w:pPr>
        <w:ind w:right="380" w:firstLine="464"/>
        <w:spacing w:after="0" w:line="332"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default in the payment of all or any part of the principal on any of the Securities of such series as and when the same shall become due and payable either at maturity, upon redemption, by declaration or otherwise, and the continuance of such default for five days;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94" w:name="page95"/>
    <w:bookmarkEnd w:id="94"/>
    <w:p>
      <w:pPr>
        <w:ind w:firstLine="464"/>
        <w:spacing w:after="0" w:line="294"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in the performance, or breach, of any covenant or warranty of the Issuer in respect of the Securities of such series (other than a covenant or warranty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6"/>
          <w:szCs w:val="16"/>
          <w:b w:val="1"/>
          <w:bCs w:val="1"/>
          <w:color w:val="auto"/>
        </w:rPr>
        <w:t>Notice of Default</w:t>
      </w:r>
      <w:r>
        <w:rPr>
          <w:rFonts w:ascii="Arial" w:cs="Arial" w:eastAsia="Arial" w:hAnsi="Arial"/>
          <w:sz w:val="16"/>
          <w:szCs w:val="16"/>
          <w:color w:val="auto"/>
        </w:rPr>
        <w:t>” hereunder; or</w:t>
      </w:r>
    </w:p>
    <w:p>
      <w:pPr>
        <w:spacing w:after="0" w:line="115" w:lineRule="exact"/>
        <w:rPr>
          <w:rFonts w:ascii="Arial" w:cs="Arial" w:eastAsia="Arial" w:hAnsi="Arial"/>
          <w:sz w:val="16"/>
          <w:szCs w:val="16"/>
          <w:color w:val="auto"/>
        </w:rPr>
      </w:pPr>
    </w:p>
    <w:p>
      <w:pPr>
        <w:ind w:right="120" w:firstLine="464"/>
        <w:spacing w:after="0" w:line="256"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Issuer in an involuntary case under any applicable bankruptcy, insolvency or other similar law now or hereafter in effect, or appointing a receiver, liquidator, assignee, custodian, trustee or sequestrator (or similar official) of the Issuer or for all or substantially all of its property or ordering the winding up or liquidation of its affairs, and such decree or order shall remain unstayed and in effect for a period of 60 consecutive days; or</w:t>
      </w:r>
    </w:p>
    <w:p>
      <w:pPr>
        <w:spacing w:after="0" w:line="143"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an Event of Default described in clauses (a), (b), (c) or (f)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 (d) or (e) occurs and is continuing, then and in each and every such case, unless the principal of all the Securities shall have already become due and payable, either the Trustee or the Holders of not less than 25% in aggregate principal amount of all the Securities then Outstanding hereunder (treated as one class),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95" w:name="page96"/>
    <w:bookmarkEnd w:id="95"/>
    <w:p>
      <w:pPr>
        <w:ind w:firstLine="456"/>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Securities of such series, each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1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96" w:name="page97"/>
    <w:bookmarkEnd w:id="9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5.02</w:t>
      </w:r>
      <w:r>
        <w:rPr>
          <w:rFonts w:ascii="Arial" w:cs="Arial" w:eastAsia="Arial" w:hAnsi="Arial"/>
          <w:sz w:val="16"/>
          <w:szCs w:val="16"/>
          <w:i w:val="1"/>
          <w:iCs w:val="1"/>
          <w:color w:val="auto"/>
        </w:rPr>
        <w:t>. Collection of Debt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and such default shall have continued for a period of five days,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37" w:lineRule="exact"/>
        <w:rPr>
          <w:sz w:val="20"/>
          <w:szCs w:val="20"/>
          <w:color w:val="auto"/>
        </w:rPr>
      </w:pPr>
    </w:p>
    <w:p>
      <w:pPr>
        <w:ind w:left="460" w:right="20" w:firstLine="443"/>
        <w:spacing w:after="0" w:line="253" w:lineRule="auto"/>
        <w:tabs>
          <w:tab w:leader="none" w:pos="11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97" w:name="page98"/>
    <w:bookmarkEnd w:id="97"/>
    <w:p>
      <w:pPr>
        <w:ind w:left="460" w:firstLine="443"/>
        <w:spacing w:after="0" w:line="259" w:lineRule="auto"/>
        <w:tabs>
          <w:tab w:leader="none" w:pos="1157"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59" w:lineRule="exact"/>
        <w:rPr>
          <w:rFonts w:ascii="Arial" w:cs="Arial" w:eastAsia="Arial" w:hAnsi="Arial"/>
          <w:sz w:val="18"/>
          <w:szCs w:val="18"/>
          <w:color w:val="auto"/>
        </w:rPr>
      </w:pPr>
    </w:p>
    <w:p>
      <w:pPr>
        <w:ind w:left="460" w:right="80" w:firstLine="443"/>
        <w:spacing w:after="0" w:line="253" w:lineRule="auto"/>
        <w:tabs>
          <w:tab w:leader="none" w:pos="12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6.06.</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98" w:name="page99"/>
    <w:bookmarkEnd w:id="98"/>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rights of action and of asserting claims under this Indenture, or under any of the Securities of any series, may be enforced by the Trustee without the possession of any of the Securities of such series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5.03</w:t>
      </w:r>
      <w:r>
        <w:rPr>
          <w:rFonts w:ascii="Arial" w:cs="Arial" w:eastAsia="Arial" w:hAnsi="Arial"/>
          <w:sz w:val="16"/>
          <w:szCs w:val="16"/>
          <w:i w:val="1"/>
          <w:iCs w:val="1"/>
          <w:color w:val="auto"/>
        </w:rPr>
        <w:t>. 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To the payment of all amounts due to the Trustee or any predecessor trustee pursuant to Section 6.06;</w:t>
      </w:r>
    </w:p>
    <w:p>
      <w:pPr>
        <w:spacing w:after="0" w:line="90"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99" w:name="page100"/>
    <w:bookmarkEnd w:id="99"/>
    <w:p>
      <w:pPr>
        <w:ind w:left="460"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Suits for Enforcement</w:t>
      </w:r>
      <w:r>
        <w:rPr>
          <w:rFonts w:ascii="Arial" w:cs="Arial" w:eastAsia="Arial" w:hAnsi="Arial"/>
          <w:sz w:val="18"/>
          <w:szCs w:val="18"/>
          <w:color w:val="auto"/>
        </w:rPr>
        <w: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Restoration of Rights on Abandonment of Proceedings</w:t>
      </w:r>
      <w:r>
        <w:rPr>
          <w:rFonts w:ascii="Arial" w:cs="Arial" w:eastAsia="Arial" w:hAnsi="Arial"/>
          <w:sz w:val="16"/>
          <w:szCs w:val="16"/>
          <w:color w:val="auto"/>
        </w:rPr>
        <w:t>.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Limitations on Suits by Securityholders</w:t>
      </w:r>
      <w:r>
        <w:rPr>
          <w:rFonts w:ascii="Arial" w:cs="Arial" w:eastAsia="Arial" w:hAnsi="Arial"/>
          <w:sz w:val="16"/>
          <w:szCs w:val="16"/>
          <w:color w:val="auto"/>
        </w:rPr>
        <w:t>.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00" w:name="page101"/>
    <w:bookmarkEnd w:id="100"/>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5.07. </w:t>
      </w:r>
      <w:r>
        <w:rPr>
          <w:rFonts w:ascii="Arial" w:cs="Arial" w:eastAsia="Arial" w:hAnsi="Arial"/>
          <w:sz w:val="18"/>
          <w:szCs w:val="18"/>
          <w:i w:val="1"/>
          <w:iCs w:val="1"/>
          <w:color w:val="auto"/>
        </w:rPr>
        <w:t>Unconditional Right of Securityholders to Institute Certain Suits</w:t>
      </w:r>
      <w:r>
        <w:rPr>
          <w:rFonts w:ascii="Arial" w:cs="Arial" w:eastAsia="Arial" w:hAnsi="Arial"/>
          <w:sz w:val="18"/>
          <w:szCs w:val="18"/>
          <w:color w:val="auto"/>
        </w:rPr>
        <w:t>.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or for the enforcement of such conversion right, shall not be impaired or affected without the consent of such Holder.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5.06,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No delay or omission of the Trustee or of any Holder of Securities to exercise any right or power accruing upon any Event of Default occurring and continuing as aforesaid shall impair any such right or power or shall be construed to be a waiver of any such Event of Default or an acquiescence therein; and, subject to Section 5.06, every power and remedy given by this Indenture or by law to the Trustee or to the Holders of Securities may be exercised from time to time, and as often as shall be deemed expedient, by the Trustee or by the Holders of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01" w:name="page102"/>
    <w:bookmarkEnd w:id="101"/>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5.09. </w:t>
      </w:r>
      <w:r>
        <w:rPr>
          <w:rFonts w:ascii="Arial" w:cs="Arial" w:eastAsia="Arial" w:hAnsi="Arial"/>
          <w:sz w:val="16"/>
          <w:szCs w:val="16"/>
          <w:i w:val="1"/>
          <w:iCs w:val="1"/>
          <w:color w:val="auto"/>
        </w:rPr>
        <w:t>Control by Holders of Securities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such direction shall not be otherwise than in accordance with law and the provisions of this Indenture and provided, further, that (subject to the provisions of Section 6.01)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 it being understood that (subject to Section 6.01) the Trustee shall have no duty to ascertain whether or not such actions or forbearances are unduly prejudicial to such Holders.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Prior to the declaration of the acceleration of the maturity of the Securities of any series as provided in Section 5.01, the Holders of a majority in aggregate principal amount of the Securities of such series at the time Outstanding may on behalf of the Holders of all the Securities of such series waive any past default or Event of Default described in clause Section 5.01(c) or Section 5.01(f) of Section 5.01 (or, in the case of an event specified in clause Section 5.01(c) or Section 5.01(f) of Section 5.01 which relates to less than all series of Securities then Outstanding, the Holders of a majority in aggregate principal amount of the Securities then Outstanding affected thereby (each series voting as a separate class) may waive any such default or Event of Default, or, in the case of an event specified in clause Section 5.01(c) or Section 5.01(f) (if the Event of Default under clause Section 5.01(c) or Section 5.01(f) relates to all series of Securities then Outstanding), Section 5.01(d) or Section 5.01(e) of Section 5.01 the Holders of Securities of a majority in principal amount of all the Securities then Outstanding (voting as one class) may waive any such default or Event of Default), and its consequences except a default in respect of a covenant or provision hereof which cannot be modified or amended without the consent of the Holder of each Security affected. In the case of any such waiver, the Issuer,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102" w:name="page103"/>
    <w:bookmarkEnd w:id="10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4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Trustee to Give Notice of Default, but May Withhold in Certain Circumstances</w:t>
      </w:r>
      <w:r>
        <w:rPr>
          <w:rFonts w:ascii="Arial" w:cs="Arial" w:eastAsia="Arial" w:hAnsi="Arial"/>
          <w:sz w:val="16"/>
          <w:szCs w:val="16"/>
          <w:color w:val="auto"/>
        </w:rPr>
        <w:t>. The Trustee shall, within 90 days after the occurrence of a default with respect to the Securities of any series, give notice of all defaults with respect to that series known to the Trustee to all Holders of Securities of such series in the manner and to the extent provided in Section 4.03, unless in each case such defaults shall have been cured before the mailing or publication of such notice (the term “</w:t>
      </w:r>
      <w:r>
        <w:rPr>
          <w:rFonts w:ascii="Arial" w:cs="Arial" w:eastAsia="Arial" w:hAnsi="Arial"/>
          <w:sz w:val="16"/>
          <w:szCs w:val="16"/>
          <w:b w:val="1"/>
          <w:bCs w:val="1"/>
          <w:color w:val="auto"/>
        </w:rPr>
        <w:t>defaults</w:t>
      </w:r>
      <w:r>
        <w:rPr>
          <w:rFonts w:ascii="Arial" w:cs="Arial" w:eastAsia="Arial" w:hAnsi="Arial"/>
          <w:sz w:val="16"/>
          <w:szCs w:val="16"/>
          <w:color w:val="auto"/>
        </w:rPr>
        <w:t>” for the purpose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18"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i w:val="1"/>
          <w:iCs w:val="1"/>
          <w:color w:val="auto"/>
        </w:rPr>
        <w:t>Right of Court to Require Filing of Undertaking to Pay Costs</w:t>
      </w:r>
      <w:r>
        <w:rPr>
          <w:rFonts w:ascii="Arial" w:cs="Arial" w:eastAsia="Arial" w:hAnsi="Arial"/>
          <w:sz w:val="15"/>
          <w:szCs w:val="15"/>
          <w:color w:val="auto"/>
        </w:rPr>
        <w:t>. 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 Section 5.01(c) or Section</w:t>
      </w:r>
    </w:p>
    <w:p>
      <w:pPr>
        <w:spacing w:after="0" w:line="5"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5.01(f) of Section 5.01 (if the suit relates to Securities of more than one but less than all series), 10% in aggregate principal amount of Securities then Outstanding and affected thereby, or in the case of any suit relating to or arising under Section 5.01(c) or Section 5.01(f) (if the suit under Section 5.01(c) or Section 5.01(f) relates to all the Securities then Outstanding), Section 5.01(d) or Section 5.01(e) of Section 5.01,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 or for the enforcement of a right to convert any Security in accordance with the terms thereof.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32" w:lineRule="exact"/>
        <w:rPr>
          <w:sz w:val="20"/>
          <w:szCs w:val="20"/>
          <w:color w:val="auto"/>
        </w:rPr>
      </w:pPr>
    </w:p>
    <w:p>
      <w:pPr>
        <w:ind w:right="22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157"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04" w:name="page105"/>
    <w:bookmarkEnd w:id="104"/>
    <w:p>
      <w:pPr>
        <w:ind w:right="18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31"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5.09 relating to the time, method and place of conducting any proceeding for any remedy available to the Trustee, or exercising any trust or power conferred upon the Trustee, under this Indenture.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6.01 are in furtherance of and subject to Sections 315 and 316 of the Trust Indenture Act of 1939.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6.02</w:t>
      </w:r>
      <w:r>
        <w:rPr>
          <w:rFonts w:ascii="Arial" w:cs="Arial" w:eastAsia="Arial" w:hAnsi="Arial"/>
          <w:sz w:val="18"/>
          <w:szCs w:val="18"/>
          <w:i w:val="1"/>
          <w:iCs w:val="1"/>
          <w:color w:val="auto"/>
        </w:rPr>
        <w:t>. Certain Rights of the Trustee.</w:t>
      </w:r>
      <w:r>
        <w:rPr>
          <w:rFonts w:ascii="Arial" w:cs="Arial" w:eastAsia="Arial" w:hAnsi="Arial"/>
          <w:sz w:val="18"/>
          <w:szCs w:val="18"/>
          <w:color w:val="auto"/>
        </w:rPr>
        <w:t xml:space="preserve"> In furtherance of and subject to the Trust Indenture Act of 1939 and subject to Section 6.01:</w:t>
      </w:r>
    </w:p>
    <w:p>
      <w:pPr>
        <w:spacing w:after="0" w:line="171" w:lineRule="exact"/>
        <w:rPr>
          <w:sz w:val="20"/>
          <w:szCs w:val="20"/>
          <w:color w:val="auto"/>
        </w:rPr>
      </w:pPr>
    </w:p>
    <w:p>
      <w:pPr>
        <w:ind w:firstLine="464"/>
        <w:spacing w:after="0" w:line="259"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or any other certificate, statement, instrument, opinion, report, notice, request, consent, order, bond, debenture, note, security or other paper or document believed by it to be genuine and to have been signed or presented by the proper party or parties;</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40" w:lineRule="exact"/>
        <w:rPr>
          <w:rFonts w:ascii="Arial" w:cs="Arial" w:eastAsia="Arial" w:hAnsi="Arial"/>
          <w:sz w:val="18"/>
          <w:szCs w:val="18"/>
          <w:color w:val="auto"/>
        </w:rPr>
      </w:pPr>
    </w:p>
    <w:p>
      <w:pPr>
        <w:ind w:right="220" w:firstLine="464"/>
        <w:spacing w:after="0" w:line="332"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80" w:right="319" w:bottom="1440" w:gutter="0" w:footer="0" w:header="0"/>
        </w:sectPr>
      </w:pPr>
    </w:p>
    <w:bookmarkStart w:id="105" w:name="page106"/>
    <w:bookmarkEnd w:id="105"/>
    <w:p>
      <w:pPr>
        <w:ind w:right="20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14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31" w:lineRule="exact"/>
        <w:rPr>
          <w:rFonts w:ascii="Arial" w:cs="Arial" w:eastAsia="Arial" w:hAnsi="Arial"/>
          <w:sz w:val="18"/>
          <w:szCs w:val="18"/>
          <w:color w:val="auto"/>
        </w:rPr>
      </w:pPr>
    </w:p>
    <w:p>
      <w:pPr>
        <w:ind w:right="80" w:firstLine="464"/>
        <w:spacing w:after="0" w:line="289" w:lineRule="auto"/>
        <w:tabs>
          <w:tab w:leader="none" w:pos="67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 or any predecessor trustee, shall be repaid by the Issuer upon demand; and</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Section 6.03</w:t>
      </w:r>
      <w:r>
        <w:rPr>
          <w:rFonts w:ascii="Arial" w:cs="Arial" w:eastAsia="Arial" w:hAnsi="Arial"/>
          <w:sz w:val="16"/>
          <w:szCs w:val="16"/>
          <w:i w:val="1"/>
          <w:iCs w:val="1"/>
          <w:color w:val="auto"/>
        </w:rPr>
        <w:t>. 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1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106" w:name="page107"/>
    <w:bookmarkEnd w:id="106"/>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6.05</w:t>
      </w:r>
      <w:r>
        <w:rPr>
          <w:rFonts w:ascii="Arial" w:cs="Arial" w:eastAsia="Arial" w:hAnsi="Arial"/>
          <w:sz w:val="18"/>
          <w:szCs w:val="18"/>
          <w:i w:val="1"/>
          <w:iCs w:val="1"/>
          <w:color w:val="auto"/>
        </w:rPr>
        <w:t>. Moneys Held by Trustee.</w:t>
      </w:r>
      <w:r>
        <w:rPr>
          <w:rFonts w:ascii="Arial" w:cs="Arial" w:eastAsia="Arial" w:hAnsi="Arial"/>
          <w:sz w:val="18"/>
          <w:szCs w:val="18"/>
          <w:color w:val="auto"/>
        </w:rPr>
        <w:t xml:space="preserve"> Subject to the provisions of Section 10.04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6.06</w:t>
      </w:r>
      <w:r>
        <w:rPr>
          <w:rFonts w:ascii="Arial" w:cs="Arial" w:eastAsia="Arial" w:hAnsi="Arial"/>
          <w:sz w:val="16"/>
          <w:szCs w:val="16"/>
          <w:i w:val="1"/>
          <w:iCs w:val="1"/>
          <w:color w:val="auto"/>
        </w:rPr>
        <w:t>. Compensation and Indemnification of Trustee and Its Prior Claim.</w:t>
      </w:r>
      <w:r>
        <w:rPr>
          <w:rFonts w:ascii="Arial" w:cs="Arial" w:eastAsia="Arial" w:hAnsi="Arial"/>
          <w:sz w:val="16"/>
          <w:szCs w:val="16"/>
          <w:color w:val="auto"/>
        </w:rPr>
        <w:t xml:space="preserve">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Right of Trustee to Rely on Officers’ Certificate, Etc.</w:t>
      </w:r>
      <w:r>
        <w:rPr>
          <w:rFonts w:ascii="Arial" w:cs="Arial" w:eastAsia="Arial" w:hAnsi="Arial"/>
          <w:sz w:val="18"/>
          <w:szCs w:val="18"/>
          <w:color w:val="auto"/>
        </w:rPr>
        <w:t xml:space="preserve">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07" w:name="page108"/>
    <w:bookmarkEnd w:id="107"/>
    <w:p>
      <w:pPr>
        <w:ind w:right="5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6.08</w:t>
      </w:r>
      <w:r>
        <w:rPr>
          <w:rFonts w:ascii="Arial" w:cs="Arial" w:eastAsia="Arial" w:hAnsi="Arial"/>
          <w:sz w:val="18"/>
          <w:szCs w:val="18"/>
          <w:i w:val="1"/>
          <w:iCs w:val="1"/>
          <w:color w:val="auto"/>
        </w:rPr>
        <w:t>. Indentures Creating Potential Conflicting Interests for the Trustee.</w:t>
      </w:r>
      <w:r>
        <w:rPr>
          <w:rFonts w:ascii="Arial" w:cs="Arial" w:eastAsia="Arial" w:hAnsi="Arial"/>
          <w:sz w:val="18"/>
          <w:szCs w:val="18"/>
          <w:color w:val="auto"/>
        </w:rPr>
        <w:t xml:space="preserve"> No indentures are hereby specifically described for the purposes of Section 310(b)(1) of the Trust Indenture Act of 1939.</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6.09</w:t>
      </w:r>
      <w:r>
        <w:rPr>
          <w:rFonts w:ascii="Arial" w:cs="Arial" w:eastAsia="Arial" w:hAnsi="Arial"/>
          <w:sz w:val="16"/>
          <w:szCs w:val="16"/>
          <w:i w:val="1"/>
          <w:iCs w:val="1"/>
          <w:color w:val="auto"/>
        </w:rPr>
        <w:t>. Persons Eligible for Appointment as Trustee.</w:t>
      </w:r>
      <w:r>
        <w:rPr>
          <w:rFonts w:ascii="Arial" w:cs="Arial" w:eastAsia="Arial" w:hAnsi="Arial"/>
          <w:sz w:val="16"/>
          <w:szCs w:val="16"/>
          <w:color w:val="auto"/>
        </w:rPr>
        <w:t xml:space="preserve"> The Trustee for each series of Securities 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Section 6.10</w:t>
      </w:r>
      <w:r>
        <w:rPr>
          <w:rFonts w:ascii="Arial" w:cs="Arial" w:eastAsia="Arial" w:hAnsi="Arial"/>
          <w:sz w:val="16"/>
          <w:szCs w:val="16"/>
          <w:i w:val="1"/>
          <w:iCs w:val="1"/>
          <w:color w:val="auto"/>
        </w:rPr>
        <w:t>. 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of such resignation to the Holders of then Outstanding Securities of each series affected at their addresses as they shall appear on the Security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5.12,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23" w:lineRule="exact"/>
        <w:rPr>
          <w:sz w:val="20"/>
          <w:szCs w:val="20"/>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0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08" w:name="page109"/>
    <w:bookmarkEnd w:id="108"/>
    <w:p>
      <w:pPr>
        <w:ind w:left="460" w:right="440" w:firstLine="443"/>
        <w:spacing w:after="0" w:line="268" w:lineRule="auto"/>
        <w:tabs>
          <w:tab w:leader="none" w:pos="1157"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cease to be eligible in accordance with the provisions of Section 310(a) of the Trust Indenture Act of 1939 and shall fail to resign after written request therefor by the Issuer or by any Securityholder; or</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20" w:lineRule="exact"/>
        <w:rPr>
          <w:sz w:val="20"/>
          <w:szCs w:val="20"/>
          <w:color w:val="auto"/>
        </w:rPr>
      </w:pPr>
    </w:p>
    <w:p>
      <w:pPr>
        <w:ind w:right="20" w:firstLine="464"/>
        <w:spacing w:after="0" w:line="306"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7.01 of the action in that regard taken by the Securityholders.</w:t>
      </w:r>
    </w:p>
    <w:p>
      <w:pPr>
        <w:spacing w:after="0" w:line="106"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09" w:name="page110"/>
    <w:bookmarkEnd w:id="109"/>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6.11</w:t>
      </w:r>
      <w:r>
        <w:rPr>
          <w:rFonts w:ascii="Arial" w:cs="Arial" w:eastAsia="Arial" w:hAnsi="Arial"/>
          <w:sz w:val="16"/>
          <w:szCs w:val="16"/>
          <w:i w:val="1"/>
          <w:iCs w:val="1"/>
          <w:color w:val="auto"/>
        </w:rPr>
        <w:t>. Acceptance of Appointment by Successor Trustee.</w:t>
      </w:r>
      <w:r>
        <w:rPr>
          <w:rFonts w:ascii="Arial" w:cs="Arial" w:eastAsia="Arial" w:hAnsi="Arial"/>
          <w:sz w:val="16"/>
          <w:szCs w:val="16"/>
          <w:color w:val="auto"/>
        </w:rPr>
        <w:t xml:space="preserv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6.06.</w:t>
      </w:r>
    </w:p>
    <w:p>
      <w:pPr>
        <w:spacing w:after="0" w:line="12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acceptance of appointment by any successor trustee as provided in this Section 6.11, the Issuer shall mail notice thereof to the Holders of Securities of each series affected, by mailing such notice to such Holders at their addresses as they shall appear on the Security register. If the acceptance of appointment is substantially contemporaneous with the resignation, then the notice called for by the preceding sentence may be combined with the notice called for by Section 6.10. If the Issuer fails to mail such notice within ten days after acceptance of appointment by the successor trustee, the successor trustee shall cause such notice to be given at the expense of the Issuer.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10" w:name="page111"/>
    <w:bookmarkEnd w:id="110"/>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6.12</w:t>
      </w:r>
      <w:r>
        <w:rPr>
          <w:rFonts w:ascii="Arial" w:cs="Arial" w:eastAsia="Arial" w:hAnsi="Arial"/>
          <w:sz w:val="15"/>
          <w:szCs w:val="15"/>
          <w:i w:val="1"/>
          <w:iCs w:val="1"/>
          <w:color w:val="auto"/>
        </w:rPr>
        <w:t>. Merger, Conversion, Consolidation or Succession to Business of Trustee.</w:t>
      </w:r>
      <w:r>
        <w:rPr>
          <w:rFonts w:ascii="Arial" w:cs="Arial" w:eastAsia="Arial" w:hAnsi="Arial"/>
          <w:sz w:val="15"/>
          <w:szCs w:val="15"/>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w:t>
      </w:r>
      <w:r>
        <w:rPr>
          <w:rFonts w:ascii="Arial" w:cs="Arial" w:eastAsia="Arial" w:hAnsi="Arial"/>
          <w:sz w:val="15"/>
          <w:szCs w:val="15"/>
          <w:i w:val="1"/>
          <w:iCs w:val="1"/>
          <w:color w:val="auto"/>
        </w:rPr>
        <w:t>provided</w:t>
      </w:r>
      <w:r>
        <w:rPr>
          <w:rFonts w:ascii="Arial" w:cs="Arial" w:eastAsia="Arial" w:hAnsi="Arial"/>
          <w:sz w:val="15"/>
          <w:szCs w:val="15"/>
          <w:color w:val="auto"/>
        </w:rPr>
        <w:t>, that such corporation shall be qualified under the provisions of Section 310(b) of the Trust Indenture Act of 1939 and eligible under the provisions of Section 310(a) of the Trust Indenture Act of 1939, without the execution or filing of any paper or any further act on the part of any of the parties hereto, anything herein to the contrary notwithstanding.</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S</w:t>
      </w:r>
      <w:r>
        <w:rPr>
          <w:rFonts w:ascii="Arial" w:cs="Arial" w:eastAsia="Arial" w:hAnsi="Arial"/>
          <w:sz w:val="14"/>
          <w:szCs w:val="14"/>
          <w:color w:val="auto"/>
        </w:rPr>
        <w:t>ECURITYHOLDERS</w:t>
      </w:r>
    </w:p>
    <w:p>
      <w:pPr>
        <w:spacing w:after="0" w:line="165" w:lineRule="exact"/>
        <w:rPr>
          <w:sz w:val="20"/>
          <w:szCs w:val="20"/>
          <w:color w:val="auto"/>
        </w:rPr>
      </w:pPr>
    </w:p>
    <w:p>
      <w:pPr>
        <w:jc w:val="both"/>
        <w:ind w:right="80" w:firstLine="456"/>
        <w:spacing w:after="0" w:line="291" w:lineRule="auto"/>
        <w:rPr>
          <w:sz w:val="20"/>
          <w:szCs w:val="20"/>
          <w:color w:val="auto"/>
        </w:rPr>
      </w:pPr>
      <w:r>
        <w:rPr>
          <w:rFonts w:ascii="Arial" w:cs="Arial" w:eastAsia="Arial" w:hAnsi="Arial"/>
          <w:sz w:val="16"/>
          <w:szCs w:val="16"/>
          <w:color w:val="auto"/>
        </w:rPr>
        <w:t>Section 7.01</w:t>
      </w:r>
      <w:r>
        <w:rPr>
          <w:rFonts w:ascii="Arial" w:cs="Arial" w:eastAsia="Arial" w:hAnsi="Arial"/>
          <w:sz w:val="16"/>
          <w:szCs w:val="16"/>
          <w:i w:val="1"/>
          <w:iCs w:val="1"/>
          <w:color w:val="auto"/>
        </w:rPr>
        <w:t>. 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6.01 and 6.02) conclusive in favor of the Trustee and the Issuer, if made in the manner provided in this Article.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Proof of Execution of Instruments and of Holding of Securities.</w:t>
      </w:r>
      <w:r>
        <w:rPr>
          <w:rFonts w:ascii="Arial" w:cs="Arial" w:eastAsia="Arial" w:hAnsi="Arial"/>
          <w:sz w:val="16"/>
          <w:szCs w:val="16"/>
          <w:color w:val="auto"/>
        </w:rPr>
        <w:t xml:space="preserve"> Subject to Sections 6.01 and 6.02, the execution of any instrument by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Securityholder or his or her agent or proxy may be proved in the following manner:</w:t>
      </w:r>
    </w:p>
    <w:p>
      <w:pPr>
        <w:spacing w:after="0" w:line="165" w:lineRule="exact"/>
        <w:rPr>
          <w:sz w:val="20"/>
          <w:szCs w:val="20"/>
          <w:color w:val="auto"/>
        </w:rPr>
      </w:pPr>
    </w:p>
    <w:p>
      <w:pPr>
        <w:jc w:val="both"/>
        <w:ind w:right="60" w:firstLine="464"/>
        <w:spacing w:after="0" w:line="323" w:lineRule="auto"/>
        <w:tabs>
          <w:tab w:leader="none" w:pos="695"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fact and date of the execution by any Holder of any instrument may be proved by the certificate of any notary public or other officer of any jurisdiction authorized to take acknowledgments of deeds or administer oaths that the person executing such instruments acknowledged to him or her the execution thereof, or by an affidavit of a witness to such execution sworn to before any such notary or other such officer. Where such execution is by or on behalf of any legal entity other than an individual, such certificate or affidavit shall also constitute sufficient proof of the authority of the person executing the same.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11" w:name="page112"/>
    <w:bookmarkEnd w:id="111"/>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ownership of such Securities shall be proved by the Security register or by a certificate of the Security registrar.</w:t>
      </w:r>
    </w:p>
    <w:p>
      <w:pPr>
        <w:spacing w:after="0" w:line="171" w:lineRule="exact"/>
        <w:rPr>
          <w:rFonts w:ascii="Arial" w:cs="Arial" w:eastAsia="Arial" w:hAnsi="Arial"/>
          <w:sz w:val="18"/>
          <w:szCs w:val="18"/>
          <w:color w:val="auto"/>
        </w:rPr>
      </w:pPr>
    </w:p>
    <w:p>
      <w:pPr>
        <w:ind w:firstLine="464"/>
        <w:spacing w:after="0" w:line="287" w:lineRule="auto"/>
        <w:tabs>
          <w:tab w:leader="none" w:pos="6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If the Issuer shall solicit from the Holders of Securities any request, demand, authorization, direction, notice, consent, waiver or other action, the Issuer may, at its option, by Board Resolution, fix in advance a record date for the determination of Holders of Securities entitled to give such request, demand, authorization, direction, notice, consent, waiver or other action, but the Issuer shall have no obligation to do so. Notice of such record date shall be given to the Trustee as soon as practicable after the time that the record date has been fixed. If such a record date is fixed, such request, demand, authorization, direction, notice, consent, waiver or other action may be given before or after such record date, but only the Holders of Securities of record at the close of business on such record date shall be deemed to be Holders of Securities for the purposes of determining whether Holders of Securities of the requisite proportion of Outstanding Securities have authorized or agreed or consented to such request, demand, authorization, direction, notice, consent, waiver or other action, and for that purpose the Outstanding Securities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that no such authorization, agreement or consent by the Holders of Securities on such record date shall be deemed effective unless it shall become effective pursuant to the provisions of this Indenture not later than six months after the record date.</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Holders to Be Treated as Owners.</w:t>
      </w:r>
      <w:r>
        <w:rPr>
          <w:rFonts w:ascii="Arial" w:cs="Arial" w:eastAsia="Arial" w:hAnsi="Arial"/>
          <w:sz w:val="16"/>
          <w:szCs w:val="16"/>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280" w:right="339" w:bottom="1440" w:gutter="0" w:footer="0" w:header="0"/>
        </w:sectPr>
      </w:pPr>
    </w:p>
    <w:bookmarkStart w:id="112" w:name="page113"/>
    <w:bookmarkEnd w:id="112"/>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7.04</w:t>
      </w:r>
      <w:r>
        <w:rPr>
          <w:rFonts w:ascii="Arial" w:cs="Arial" w:eastAsia="Arial" w:hAnsi="Arial"/>
          <w:sz w:val="16"/>
          <w:szCs w:val="16"/>
          <w:i w:val="1"/>
          <w:iCs w:val="1"/>
          <w:color w:val="auto"/>
        </w:rPr>
        <w:t>. 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6.01 and 6.02, the Trustee shall be entitled to accept such Officers’ Certificate as conclusive evidence of the facts therein set forth and of the fact that all Securities not listed therein are Outstanding for the purpose of any such determination.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7.05</w:t>
      </w:r>
      <w:r>
        <w:rPr>
          <w:rFonts w:ascii="Arial" w:cs="Arial" w:eastAsia="Arial" w:hAnsi="Arial"/>
          <w:sz w:val="16"/>
          <w:szCs w:val="16"/>
          <w:i w:val="1"/>
          <w:iCs w:val="1"/>
          <w:color w:val="auto"/>
        </w:rPr>
        <w:t>. Right of Revocation of Action Taken.</w:t>
      </w:r>
      <w:r>
        <w:rPr>
          <w:rFonts w:ascii="Arial" w:cs="Arial" w:eastAsia="Arial" w:hAnsi="Arial"/>
          <w:sz w:val="16"/>
          <w:szCs w:val="16"/>
          <w:color w:val="auto"/>
        </w:rPr>
        <w:t xml:space="preserve"> At any time prior to (but not after) the evidencing to the Trustee, as provided in Section 7.01,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Supplemental Indentures Without Consent of Securityholders.</w:t>
      </w:r>
      <w:r>
        <w:rPr>
          <w:rFonts w:ascii="Arial" w:cs="Arial" w:eastAsia="Arial" w:hAnsi="Arial"/>
          <w:sz w:val="18"/>
          <w:szCs w:val="18"/>
          <w:color w:val="auto"/>
        </w:rPr>
        <w:t xml:space="preserve"> The Issuer, when authorized by a resolution of its Board of Directors, and the Trustee may from time to time and at any time enter into an indenture or indentures supplemental hereto in form satisfactory to the Trustee for one or more of the following purposes:</w:t>
      </w:r>
    </w:p>
    <w:p>
      <w:pPr>
        <w:spacing w:after="0" w:line="140" w:lineRule="exact"/>
        <w:rPr>
          <w:sz w:val="20"/>
          <w:szCs w:val="20"/>
          <w:color w:val="auto"/>
        </w:rPr>
      </w:pPr>
    </w:p>
    <w:p>
      <w:pPr>
        <w:ind w:left="700" w:hanging="236"/>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convey, transfer, assign, mortgage or pledge to the Trustee as security for the Securities of one or more series any property or assets;</w:t>
      </w:r>
    </w:p>
    <w:p>
      <w:pPr>
        <w:spacing w:after="0" w:line="194"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Issuer, or successive successions, and the assumption by the successor corporation of the covenants, agreements and obligations of the Issuer pursuant to Article 9;</w:t>
      </w:r>
    </w:p>
    <w:p>
      <w:pPr>
        <w:spacing w:after="0" w:line="131" w:lineRule="exact"/>
        <w:rPr>
          <w:rFonts w:ascii="Arial" w:cs="Arial" w:eastAsia="Arial" w:hAnsi="Arial"/>
          <w:sz w:val="18"/>
          <w:szCs w:val="18"/>
          <w:color w:val="auto"/>
        </w:rPr>
      </w:pPr>
    </w:p>
    <w:p>
      <w:pPr>
        <w:ind w:firstLine="464"/>
        <w:spacing w:after="0" w:line="290"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conditions or provisions as its Board of Directors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18" w:lineRule="exact"/>
        <w:rPr>
          <w:rFonts w:ascii="Arial" w:cs="Arial" w:eastAsia="Arial" w:hAnsi="Arial"/>
          <w:sz w:val="16"/>
          <w:szCs w:val="16"/>
          <w:color w:val="auto"/>
        </w:rPr>
      </w:pPr>
    </w:p>
    <w:p>
      <w:pPr>
        <w:ind w:right="560" w:firstLine="464"/>
        <w:spacing w:after="0" w:line="306"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which may be defective or inconsistent with any other provision contained herein or in any supplemental indenture, or to conform this Indenture or any supplemental indenture to the description of the Securities set forth in any prospectus or prospectus supplement related to such series of Securities;</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14" w:name="page115"/>
    <w:bookmarkEnd w:id="114"/>
    <w:p>
      <w:pPr>
        <w:jc w:val="both"/>
        <w:ind w:right="160" w:firstLine="464"/>
        <w:spacing w:after="0" w:line="259" w:lineRule="auto"/>
        <w:tabs>
          <w:tab w:leader="none" w:pos="676"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make any other change that is necessary or desirable; </w:t>
      </w:r>
      <w:r>
        <w:rPr>
          <w:rFonts w:ascii="Arial" w:cs="Arial" w:eastAsia="Arial" w:hAnsi="Arial"/>
          <w:sz w:val="18"/>
          <w:szCs w:val="18"/>
          <w:i w:val="1"/>
          <w:iCs w:val="1"/>
          <w:color w:val="auto"/>
        </w:rPr>
        <w:t>provided</w:t>
      </w:r>
      <w:r>
        <w:rPr>
          <w:rFonts w:ascii="Arial" w:cs="Arial" w:eastAsia="Arial" w:hAnsi="Arial"/>
          <w:sz w:val="18"/>
          <w:szCs w:val="18"/>
          <w:color w:val="auto"/>
        </w:rPr>
        <w:t>, that no such action shall adversely affect the interests of the Holders of the Securities in any material respect; and</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make any change to the Securities of any series so long as no Securities of such series are Outstanding.</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8.02.</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Section 8.02</w:t>
      </w:r>
      <w:r>
        <w:rPr>
          <w:rFonts w:ascii="Arial" w:cs="Arial" w:eastAsia="Arial" w:hAnsi="Arial"/>
          <w:sz w:val="15"/>
          <w:szCs w:val="15"/>
          <w:i w:val="1"/>
          <w:iCs w:val="1"/>
          <w:color w:val="auto"/>
        </w:rPr>
        <w:t>. Supplemental Indentures With Consent of Securityholders.</w:t>
      </w:r>
      <w:r>
        <w:rPr>
          <w:rFonts w:ascii="Arial" w:cs="Arial" w:eastAsia="Arial" w:hAnsi="Arial"/>
          <w:sz w:val="15"/>
          <w:szCs w:val="15"/>
          <w:color w:val="auto"/>
        </w:rPr>
        <w:t xml:space="preserve"> With the consent (evidenced as provided in Article 7)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supplemental indenture shall, without the consent of the Holder of each Security so affected,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currency other than that provided in the Securities or in accordance with the terms thereof, or reduce the amount of the principal of an Original Issue Discount Security that would be due and payable upon an acceleration of the maturity thereof pursuant to Section 5.01 or the amount thereof provable in bankruptcy pursuant to Section 5.02, or alter the provisions of Section 11.11 or 11.12, or impair or affect the right of any Securityholder to institute suit for the payment or conversion thereof or, in the case of convertible or exchangeable Securities, materially and adversely affect the right to convert or exchange the Securities in accordance with their terms or, if the Securities provide therefor, any right of repayment at the option of the Securityholder, or modify any of the provisions of this paragraph except to increase any required percentage or to provide that certain other provisions cannot be modified or waived without the consent of the Holder of each Security so affected; </w:t>
      </w:r>
      <w:r>
        <w:rPr>
          <w:rFonts w:ascii="Arial" w:cs="Arial" w:eastAsia="Arial" w:hAnsi="Arial"/>
          <w:sz w:val="15"/>
          <w:szCs w:val="15"/>
          <w:i w:val="1"/>
          <w:iCs w:val="1"/>
          <w:color w:val="auto"/>
        </w:rPr>
        <w:t>provided</w:t>
      </w:r>
      <w:r>
        <w:rPr>
          <w:rFonts w:ascii="Arial" w:cs="Arial" w:eastAsia="Arial" w:hAnsi="Arial"/>
          <w:sz w:val="15"/>
          <w:szCs w:val="15"/>
          <w:color w:val="auto"/>
        </w:rPr>
        <w:t>, that no consent of any Holder of any Security shall be necessary under this Section 8.02 to permit the Trustee and the Issuer to execute supplemental indentures pursuant to Section 8.01(e) of this Indenture, or (b) reduce the aforesaid percentage of Securities of any series, the consent of the Holders of which is required for any such supplemental indenture.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115" w:name="page116"/>
    <w:bookmarkEnd w:id="115"/>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7.01,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a notice thereof to the Holders of then Outstanding Securities of each series affected thereby, by mailing a notice thereof by first-class mail to such Holders at their addresses as they shall appear on the Security register, and in each case such notice shall set forth in general terms the substance of such supplemental indenture. Any failure of the Issuer to mail such notice, or any defect therein, shall not, however, in any way impair or affect the validity of any such supplemental indenture.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80" w:right="319" w:bottom="1440" w:gutter="0" w:footer="0" w:header="0"/>
        </w:sectPr>
      </w:pPr>
    </w:p>
    <w:bookmarkStart w:id="116" w:name="page117"/>
    <w:bookmarkEnd w:id="116"/>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8.03</w:t>
      </w:r>
      <w:r>
        <w:rPr>
          <w:rFonts w:ascii="Arial" w:cs="Arial" w:eastAsia="Arial" w:hAnsi="Arial"/>
          <w:sz w:val="16"/>
          <w:szCs w:val="16"/>
          <w:i w:val="1"/>
          <w:iCs w:val="1"/>
          <w:color w:val="auto"/>
        </w:rPr>
        <w:t>. 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 Documents to Be Given to Trustee.</w:t>
      </w:r>
      <w:r>
        <w:rPr>
          <w:rFonts w:ascii="Arial" w:cs="Arial" w:eastAsia="Arial" w:hAnsi="Arial"/>
          <w:sz w:val="18"/>
          <w:szCs w:val="18"/>
          <w:color w:val="auto"/>
        </w:rPr>
        <w:t xml:space="preserve"> The Trustee, subject to the provisions of Sections 6.01 and 6.02, may receive an Officers’ Certificate and an Opinion of Counsel as conclusive evidence that any supplemental indenture executed pursuant to this Article 8 complies with the applicable provisions of this Indenture.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8.05</w:t>
      </w:r>
      <w:r>
        <w:rPr>
          <w:rFonts w:ascii="Arial" w:cs="Arial" w:eastAsia="Arial" w:hAnsi="Arial"/>
          <w:sz w:val="16"/>
          <w:szCs w:val="16"/>
          <w:i w:val="1"/>
          <w:iCs w:val="1"/>
          <w:color w:val="auto"/>
        </w:rPr>
        <w:t>. Notation on Securities in Respect of Supplemental Indentures.</w:t>
      </w:r>
      <w:r>
        <w:rPr>
          <w:rFonts w:ascii="Arial" w:cs="Arial" w:eastAsia="Arial" w:hAnsi="Arial"/>
          <w:sz w:val="16"/>
          <w:szCs w:val="16"/>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 OR</w:t>
      </w:r>
      <w:r>
        <w:rPr>
          <w:rFonts w:ascii="Arial" w:cs="Arial" w:eastAsia="Arial" w:hAnsi="Arial"/>
          <w:sz w:val="18"/>
          <w:szCs w:val="18"/>
          <w:color w:val="auto"/>
        </w:rPr>
        <w:t xml:space="preserve"> C</w:t>
      </w:r>
      <w:r>
        <w:rPr>
          <w:rFonts w:ascii="Arial" w:cs="Arial" w:eastAsia="Arial" w:hAnsi="Arial"/>
          <w:sz w:val="14"/>
          <w:szCs w:val="14"/>
          <w:color w:val="auto"/>
        </w:rPr>
        <w:t>ONVEYANCE</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9.01</w:t>
      </w:r>
      <w:r>
        <w:rPr>
          <w:rFonts w:ascii="Arial" w:cs="Arial" w:eastAsia="Arial" w:hAnsi="Arial"/>
          <w:sz w:val="16"/>
          <w:szCs w:val="16"/>
          <w:i w:val="1"/>
          <w:iCs w:val="1"/>
          <w:color w:val="auto"/>
        </w:rPr>
        <w:t>. Issuer May Consolidate, Etc., on Certain Terms.</w:t>
      </w:r>
      <w:r>
        <w:rPr>
          <w:rFonts w:ascii="Arial" w:cs="Arial" w:eastAsia="Arial" w:hAnsi="Arial"/>
          <w:sz w:val="16"/>
          <w:szCs w:val="16"/>
          <w:color w:val="auto"/>
        </w:rPr>
        <w:t xml:space="preserve"> The Issuer covenants that it will not merge or consolidate with any other corporation or sell or convey (including by way of lease) all or substantially all of its assets to any Person, unless (a) either the Issuer shall be the continuing corporation, or the successor corporation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including, without limitation, the conversion rights, if any, provided for in accordance with the terms of the Securities, by supplemental indenture satisfactory to the Trustee, executed and delivered to the Trustee by such corporation or entity, and shall be a corporation or entity organized under the laws of the United States of America or any State thereof or a corporation or entity not organized under such laws which shall agree, in form satisfactory to the Trustee, (i) to subject itself to the jurisdiction of the United States district court for the Southern District of New York, and (ii) to indemnify and hold harmless the holders of all Securities against (A) any tax, assessment or governmental charge imposed on such holders by a jurisdiction other than the United States or any political subdivision or taxing authority thereof or therein with respect to, and withheld on the making of, any payment of principal of or interest on such Securities and which would not have been so imposed and withheld had such consolidation, merger, sale or conveyance not been made and (B) any tax, assessment or governmental charge imposed on or relating to, and any costs or expenses involved in, such consolidation, merger, sale or conveyance, (b) the Issuer or such successor corporation or entity, as the case may be, shall not, immediately after such merger or consolidation, or such sale or conveyance, be in default in the performance of any such covenant or condition, and (c) the Issuer delivers to the trustee an officers’ certificate and opinion of counsel, in each case stating that such consolidation, merger, or transfer and such supplemental indenture complies with this Section 9.01 and that all conditions precedent provided for in the Indenture and the Securities relating to such transaction have been complied with.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17" w:name="page118"/>
    <w:bookmarkEnd w:id="117"/>
    <w:p>
      <w:pPr>
        <w:ind w:right="1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restrictions in this Section 9.01 shall not, however, apply to (i) the merger or consolidation of the Issuer with one of its affiliates, if the Board of Directors determines in good faith that the purpose of such transaction is principally to change the Issuer’s State of incorporation or convert the Issuer’s form of organization to another form, or (ii) the merger of the Issuer with or into a single direct or indirect wholly owned Subsidiary pursuant to Section 251(g) (or any successor provision) of the General Corporation Law of the State of Delaware.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9.02</w:t>
      </w:r>
      <w:r>
        <w:rPr>
          <w:rFonts w:ascii="Arial" w:cs="Arial" w:eastAsia="Arial" w:hAnsi="Arial"/>
          <w:sz w:val="16"/>
          <w:szCs w:val="16"/>
          <w:i w:val="1"/>
          <w:iCs w:val="1"/>
          <w:color w:val="auto"/>
        </w:rPr>
        <w:t>. Successor Issuer Substituted.</w:t>
      </w:r>
      <w:r>
        <w:rPr>
          <w:rFonts w:ascii="Arial" w:cs="Arial" w:eastAsia="Arial" w:hAnsi="Arial"/>
          <w:sz w:val="16"/>
          <w:szCs w:val="16"/>
          <w:color w:val="auto"/>
        </w:rPr>
        <w:t xml:space="preserve">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corporation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118" w:name="page119"/>
    <w:bookmarkEnd w:id="118"/>
    <w:p>
      <w:pPr>
        <w:ind w:right="4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any such consolidation, merger, sale, lease or conveyance, such changes in phraseology and form (but not in substance) may be made in the Securities thereafter to be issued as may be appropriate.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Section 9.03</w:t>
      </w:r>
      <w:r>
        <w:rPr>
          <w:rFonts w:ascii="Arial" w:cs="Arial" w:eastAsia="Arial" w:hAnsi="Arial"/>
          <w:sz w:val="16"/>
          <w:szCs w:val="16"/>
          <w:i w:val="1"/>
          <w:iCs w:val="1"/>
          <w:color w:val="auto"/>
        </w:rPr>
        <w:t>. Opinion of Counsel and Officers’ Certificate to Trustee.</w:t>
      </w:r>
      <w:r>
        <w:rPr>
          <w:rFonts w:ascii="Arial" w:cs="Arial" w:eastAsia="Arial" w:hAnsi="Arial"/>
          <w:sz w:val="16"/>
          <w:szCs w:val="16"/>
          <w:color w:val="auto"/>
        </w:rPr>
        <w:t xml:space="preserve"> The Trustee, subject to the provisions of Sections 6.01 and 6.02, may receive an Opinion of Counsel and an Officers’ Certificate, prepared in accordance with Section 11.05, as conclusive evidence that any such consolidation, merger, sale, lease or conveyance, and any such assumption, and any such liquidation or dissolution, complies with the applicable provisions of this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ATISFACTION AND</w:t>
      </w:r>
      <w:r>
        <w:rPr>
          <w:rFonts w:ascii="Arial" w:cs="Arial" w:eastAsia="Arial" w:hAnsi="Arial"/>
          <w:sz w:val="18"/>
          <w:szCs w:val="18"/>
          <w:color w:val="auto"/>
        </w:rPr>
        <w:t xml:space="preserve"> 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r>
        <w:rPr>
          <w:rFonts w:ascii="Arial" w:cs="Arial" w:eastAsia="Arial" w:hAnsi="Arial"/>
          <w:sz w:val="18"/>
          <w:szCs w:val="18"/>
          <w:color w:val="auto"/>
        </w:rPr>
        <w:t>; U</w:t>
      </w:r>
      <w:r>
        <w:rPr>
          <w:rFonts w:ascii="Arial" w:cs="Arial" w:eastAsia="Arial" w:hAnsi="Arial"/>
          <w:sz w:val="14"/>
          <w:szCs w:val="14"/>
          <w:color w:val="auto"/>
        </w:rPr>
        <w:t>NCLAIMED</w:t>
      </w:r>
      <w:r>
        <w:rPr>
          <w:rFonts w:ascii="Arial" w:cs="Arial" w:eastAsia="Arial" w:hAnsi="Arial"/>
          <w:sz w:val="18"/>
          <w:szCs w:val="18"/>
          <w:color w:val="auto"/>
        </w:rPr>
        <w:t xml:space="preserve"> M</w:t>
      </w:r>
      <w:r>
        <w:rPr>
          <w:rFonts w:ascii="Arial" w:cs="Arial" w:eastAsia="Arial" w:hAnsi="Arial"/>
          <w:sz w:val="14"/>
          <w:szCs w:val="14"/>
          <w:color w:val="auto"/>
        </w:rPr>
        <w:t>ONEYS</w:t>
      </w:r>
    </w:p>
    <w:p>
      <w:pPr>
        <w:spacing w:after="0" w:line="165"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Section 10.01</w:t>
      </w:r>
      <w:r>
        <w:rPr>
          <w:rFonts w:ascii="Arial" w:cs="Arial" w:eastAsia="Arial" w:hAnsi="Arial"/>
          <w:sz w:val="15"/>
          <w:szCs w:val="15"/>
          <w:i w:val="1"/>
          <w:iCs w:val="1"/>
          <w:color w:val="auto"/>
        </w:rPr>
        <w:t>. Satisfaction and Discharge of Indenture.</w:t>
      </w:r>
      <w:r>
        <w:rPr>
          <w:rFonts w:ascii="Arial" w:cs="Arial" w:eastAsia="Arial" w:hAnsi="Arial"/>
          <w:sz w:val="15"/>
          <w:szCs w:val="15"/>
          <w:color w:val="auto"/>
        </w:rPr>
        <w:t xml:space="preserve">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(iii) in the case of any series of Securities the exact amount (including the currency of payment) of principal of and interest due on which on the dates referred to in clause (B) below can be determined at the time of making the deposit referred to in such clause,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10.04) or, in the case of any series of Securities the payments on which may only be made in Dollars, direct obligations of the United States of America, backed by its full faith and credit (“</w:t>
      </w:r>
      <w:r>
        <w:rPr>
          <w:rFonts w:ascii="Arial" w:cs="Arial" w:eastAsia="Arial" w:hAnsi="Arial"/>
          <w:sz w:val="15"/>
          <w:szCs w:val="15"/>
          <w:b w:val="1"/>
          <w:bCs w:val="1"/>
          <w:color w:val="auto"/>
        </w:rPr>
        <w:t>U.S. Government Obligations</w:t>
      </w:r>
      <w:r>
        <w:rPr>
          <w:rFonts w:ascii="Arial" w:cs="Arial" w:eastAsia="Arial" w:hAnsi="Arial"/>
          <w:sz w:val="15"/>
          <w:szCs w:val="15"/>
          <w:color w:val="auto"/>
        </w:rPr>
        <w:t>”), maturing as to principal and interest in such amounts and at such times as will insure the availability of cash sufficient to pay on any subsequent interest payment date all interest due on such interest payment date on the Securities of such series and to pay at maturity or upon redemption all Securities of such series (in each case other than any Securities of such series which shall have been destroyed, lost or stolen and which shall have been replaced or paid as provided in Section</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2.09) not theretofore delivered to the Trustee for cancellation, including principal and interest due or to become due to such date of maturity, as the case may be, and if, in any such case, the Issuer shall also pay or cause to be paid all other sums payable hereunder by the Issuer, including amounts due the Trustee pursuant to Section 6.06, with respect to Securities of such series, then this Indenture shall cease to be of further effect with respect to Securities of such series (except as to</w:t>
      </w:r>
    </w:p>
    <w:p>
      <w:pPr>
        <w:spacing w:after="0" w:line="1" w:lineRule="exact"/>
        <w:rPr>
          <w:sz w:val="20"/>
          <w:szCs w:val="20"/>
          <w:color w:val="auto"/>
        </w:rPr>
      </w:pPr>
    </w:p>
    <w:p>
      <w:pPr>
        <w:ind w:right="80" w:firstLine="8"/>
        <w:spacing w:after="0" w:line="300" w:lineRule="auto"/>
        <w:tabs>
          <w:tab w:leader="none" w:pos="249" w:val="left"/>
        </w:tabs>
        <w:numPr>
          <w:ilvl w:val="0"/>
          <w:numId w:val="86"/>
        </w:numPr>
        <w:rPr>
          <w:rFonts w:ascii="Arial" w:cs="Arial" w:eastAsia="Arial" w:hAnsi="Arial"/>
          <w:sz w:val="15"/>
          <w:szCs w:val="15"/>
          <w:color w:val="auto"/>
        </w:rPr>
      </w:pPr>
      <w:r>
        <w:rPr>
          <w:rFonts w:ascii="Arial" w:cs="Arial" w:eastAsia="Arial" w:hAnsi="Arial"/>
          <w:sz w:val="15"/>
          <w:szCs w:val="15"/>
          <w:color w:val="auto"/>
        </w:rPr>
        <w:t>rights of registration of transfer, conversion and exchange of Securities of such series and the Issuer’s right of optional redemption, (2) 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(including the Trustee’s rights under Section 10.05) and immunities of the Trustee hereunder and the Trustee’s obligations under Sections 10.02 and 10.04,</w:t>
      </w:r>
    </w:p>
    <w:p>
      <w:pPr>
        <w:spacing w:after="0" w:line="1" w:lineRule="exact"/>
        <w:rPr>
          <w:rFonts w:ascii="Arial" w:cs="Arial" w:eastAsia="Arial" w:hAnsi="Arial"/>
          <w:sz w:val="15"/>
          <w:szCs w:val="15"/>
          <w:color w:val="auto"/>
        </w:rPr>
      </w:pPr>
    </w:p>
    <w:p>
      <w:pPr>
        <w:ind w:right="80" w:firstLine="8"/>
        <w:spacing w:after="0" w:line="252"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rights of the Holders of Securities of such series as beneficiaries hereof with respect to the property so deposited with the Trustee payable to all or any of them and (6) the obligations of the Issuer under Section 3.02), and the Trustee, on demand of the Issuer accompanied by an Officers’ Certificate and an Opinion of Counsel which complies with Section 11.05 and at the cost and expense of the Issuer, shall execute proper instruments acknowledging such satisfaction of and discharging this Indenture with respect to such series; </w:t>
      </w:r>
      <w:r>
        <w:rPr>
          <w:rFonts w:ascii="Arial" w:cs="Arial" w:eastAsia="Arial" w:hAnsi="Arial"/>
          <w:sz w:val="18"/>
          <w:szCs w:val="18"/>
          <w:i w:val="1"/>
          <w:iCs w:val="1"/>
          <w:color w:val="auto"/>
        </w:rPr>
        <w:t>provided</w:t>
      </w:r>
      <w:r>
        <w:rPr>
          <w:rFonts w:ascii="Arial" w:cs="Arial" w:eastAsia="Arial" w:hAnsi="Arial"/>
          <w:sz w:val="18"/>
          <w:szCs w:val="18"/>
          <w:color w:val="auto"/>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20" w:name="page121"/>
    <w:bookmarkEnd w:id="120"/>
    <w:p>
      <w:pPr>
        <w:ind w:left="-8" w:firstLine="464"/>
        <w:spacing w:after="0" w:line="283" w:lineRule="auto"/>
        <w:tabs>
          <w:tab w:leader="none" w:pos="697"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provisions shall apply to the Securities of each series unless specifically otherwise provided in a Board Resolution, Officers’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subsequently due on which can be determined at the time of making the deposit referred to in clause (vi)(A)(1) below, the Issuer shall be deemed to have paid and discharged the entire Debt on all the Securities of such a series on the 121st day after the date of the deposit referred to in subparagraph (vi)(A)(1) below, and the provisions of this Indenture with respect to the Securities of such series shall no longer be in effect (except as to (i) rights of registration of transfer, conversion and exchange of Securities of such series,</w:t>
      </w:r>
    </w:p>
    <w:p>
      <w:pPr>
        <w:spacing w:after="0" w:line="1" w:lineRule="exact"/>
        <w:rPr>
          <w:rFonts w:ascii="Arial" w:cs="Arial" w:eastAsia="Arial" w:hAnsi="Arial"/>
          <w:sz w:val="16"/>
          <w:szCs w:val="16"/>
          <w:color w:val="auto"/>
        </w:rPr>
      </w:pPr>
    </w:p>
    <w:p>
      <w:pPr>
        <w:ind w:left="-8" w:firstLine="8"/>
        <w:spacing w:after="0" w:line="290" w:lineRule="auto"/>
        <w:tabs>
          <w:tab w:leader="none" w:pos="25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substitution of apparently mutilated, defaced, destroyed, lost or stolen Securities, (iii) rights of Holders of Securities to receive payments of principal thereof and interest thereon, upon the original stated due dates therefor (but not upon acceleration) and remaining rights of the Holders to receive sinking fund payments, if any, (iv) the rights (including the Trustee’s rights under Section 10.05) and immunities of the Trustee hereunder and the Trustee’s obligations with respect to the Securities of such series under Sections 10.02 and 10.04, (v) the rights of the Holders of Securities of such series as beneficiaries hereof with respect to the property so deposited with the Trustee payable to all or any of them and (vi) the obligations of the Issuer under Section 3.02) and the Trustee, at the expense of the Issuer, shall at the Issuer’s request, execute proper instruments acknowledging the same, if</w:t>
      </w:r>
    </w:p>
    <w:p>
      <w:pPr>
        <w:spacing w:after="0" w:line="37" w:lineRule="exact"/>
        <w:rPr>
          <w:rFonts w:ascii="Arial" w:cs="Arial" w:eastAsia="Arial" w:hAnsi="Arial"/>
          <w:sz w:val="16"/>
          <w:szCs w:val="16"/>
          <w:color w:val="auto"/>
        </w:rPr>
      </w:pPr>
    </w:p>
    <w:p>
      <w:pPr>
        <w:jc w:val="both"/>
        <w:ind w:left="912" w:right="20" w:firstLine="421"/>
        <w:spacing w:after="0" w:line="305" w:lineRule="auto"/>
        <w:tabs>
          <w:tab w:leader="none" w:pos="1619" w:val="left"/>
        </w:tabs>
        <w:numPr>
          <w:ilvl w:val="3"/>
          <w:numId w:val="89"/>
        </w:numPr>
        <w:rPr>
          <w:rFonts w:ascii="Arial" w:cs="Arial" w:eastAsia="Arial" w:hAnsi="Arial"/>
          <w:sz w:val="15"/>
          <w:szCs w:val="15"/>
          <w:color w:val="auto"/>
        </w:rPr>
      </w:pPr>
      <w:r>
        <w:rPr>
          <w:rFonts w:ascii="Arial" w:cs="Arial" w:eastAsia="Arial" w:hAnsi="Arial"/>
          <w:sz w:val="15"/>
          <w:szCs w:val="15"/>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(1) cash in an amount, or</w:t>
      </w:r>
    </w:p>
    <w:p>
      <w:pPr>
        <w:ind w:left="912" w:firstLine="1"/>
        <w:spacing w:after="0" w:line="315" w:lineRule="auto"/>
        <w:tabs>
          <w:tab w:leader="none" w:pos="1161" w:val="left"/>
        </w:tabs>
        <w:numPr>
          <w:ilvl w:val="2"/>
          <w:numId w:val="89"/>
        </w:numPr>
        <w:rPr>
          <w:rFonts w:ascii="Arial" w:cs="Arial" w:eastAsia="Arial" w:hAnsi="Arial"/>
          <w:sz w:val="15"/>
          <w:szCs w:val="15"/>
          <w:color w:val="auto"/>
        </w:rPr>
      </w:pPr>
      <w:r>
        <w:rPr>
          <w:rFonts w:ascii="Arial" w:cs="Arial" w:eastAsia="Arial" w:hAnsi="Arial"/>
          <w:sz w:val="15"/>
          <w:szCs w:val="15"/>
          <w:color w:val="auto"/>
        </w:rPr>
        <w:t>in the case of any series of Securities the payments on which may only be made in Dollars, U.S. Government Obligations, maturing as to principal and interest at such times and in such amounts as will insure the availability of cash or (3) a combination thereof, sufficient, in the opinion of a nationally recognized firm of independent public accountants expressed in a written certification thereof delivered to the Trustee, to pay (x) the principal and interest on all Securities of such series on the date that such principal or interest is due and payable and (y) any mandatory sinking fund payments on the day on which such payments are due and payable in accordance with the terms of the Indenture and the Securities of such series;</w:t>
      </w:r>
    </w:p>
    <w:p>
      <w:pPr>
        <w:spacing w:after="0" w:line="23" w:lineRule="exact"/>
        <w:rPr>
          <w:rFonts w:ascii="Arial" w:cs="Arial" w:eastAsia="Arial" w:hAnsi="Arial"/>
          <w:sz w:val="15"/>
          <w:szCs w:val="15"/>
          <w:color w:val="auto"/>
        </w:rPr>
      </w:pPr>
    </w:p>
    <w:p>
      <w:pPr>
        <w:ind w:left="912" w:right="220" w:firstLine="421"/>
        <w:spacing w:after="0" w:line="268" w:lineRule="auto"/>
        <w:tabs>
          <w:tab w:leader="none" w:pos="1610" w:val="left"/>
        </w:tabs>
        <w:numPr>
          <w:ilvl w:val="3"/>
          <w:numId w:val="9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any agreement or instrument to which the Issuer is a party or by which it is bound;</w:t>
      </w:r>
    </w:p>
    <w:p>
      <w:pPr>
        <w:spacing w:after="0" w:line="50" w:lineRule="exact"/>
        <w:rPr>
          <w:rFonts w:ascii="Arial" w:cs="Arial" w:eastAsia="Arial" w:hAnsi="Arial"/>
          <w:sz w:val="18"/>
          <w:szCs w:val="18"/>
          <w:color w:val="auto"/>
        </w:rPr>
      </w:pPr>
    </w:p>
    <w:p>
      <w:pPr>
        <w:ind w:left="912" w:firstLine="421"/>
        <w:spacing w:after="0" w:line="255" w:lineRule="auto"/>
        <w:tabs>
          <w:tab w:leader="none" w:pos="1610" w:val="left"/>
        </w:tabs>
        <w:numPr>
          <w:ilvl w:val="3"/>
          <w:numId w:val="90"/>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independent legal counsel satisfactory to the Trustee to the effect that the Issuer has received from, or there has been published by, the Internal Revenue Service a ruling to the effect that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92"/>
          </w:cols>
          <w:pgMar w:left="248" w:top="280" w:right="259" w:bottom="1440" w:gutter="0" w:footer="0" w:header="0"/>
        </w:sectPr>
      </w:pPr>
    </w:p>
    <w:bookmarkStart w:id="121" w:name="page122"/>
    <w:bookmarkEnd w:id="121"/>
    <w:p>
      <w:pPr>
        <w:ind w:left="920" w:firstLine="421"/>
        <w:spacing w:after="0" w:line="259" w:lineRule="auto"/>
        <w:tabs>
          <w:tab w:leader="none" w:pos="1627"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delivered to the Trustee an Officers’ Certificate and an Opinion of Counsel, each stating that all conditions precedent provided for relating to the defeasance contemplated by this provision have been complied with, and the Opinion of Counsel shall also state that such deposit does not violate applicable law.</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 Application by Trustee of Funds Deposited for Payment of Securities.</w:t>
      </w:r>
      <w:r>
        <w:rPr>
          <w:rFonts w:ascii="Arial" w:cs="Arial" w:eastAsia="Arial" w:hAnsi="Arial"/>
          <w:sz w:val="18"/>
          <w:szCs w:val="18"/>
          <w:color w:val="auto"/>
        </w:rPr>
        <w:t xml:space="preserve"> Subject to Section 10.04, all moneys deposited with the Trustee (or other trustee) pursuant to Section 10.01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10.03</w:t>
      </w:r>
      <w:r>
        <w:rPr>
          <w:rFonts w:ascii="Arial" w:cs="Arial" w:eastAsia="Arial" w:hAnsi="Arial"/>
          <w:sz w:val="16"/>
          <w:szCs w:val="16"/>
          <w:i w:val="1"/>
          <w:iCs w:val="1"/>
          <w:color w:val="auto"/>
        </w:rPr>
        <w:t>. Repayment of Moneys Held by Paying Agent.</w:t>
      </w:r>
      <w:r>
        <w:rPr>
          <w:rFonts w:ascii="Arial" w:cs="Arial" w:eastAsia="Arial" w:hAnsi="Arial"/>
          <w:sz w:val="16"/>
          <w:szCs w:val="16"/>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0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Section 10.04</w:t>
      </w:r>
      <w:r>
        <w:rPr>
          <w:rFonts w:ascii="Arial" w:cs="Arial" w:eastAsia="Arial" w:hAnsi="Arial"/>
          <w:sz w:val="15"/>
          <w:szCs w:val="15"/>
          <w:i w:val="1"/>
          <w:iCs w:val="1"/>
          <w:color w:val="auto"/>
        </w:rPr>
        <w:t>. Return of Moneys Held by Trustee and Paying Agent Unclaimed for Two Years.</w:t>
      </w:r>
      <w:r>
        <w:rPr>
          <w:rFonts w:ascii="Arial" w:cs="Arial" w:eastAsia="Arial" w:hAnsi="Arial"/>
          <w:sz w:val="15"/>
          <w:szCs w:val="15"/>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Trustee or such paying agent, before being required to make any such repayment with respect to moneys deposited with it for any payment in respect of Securities of any series, shall at the expense of the Issuer mail by first-class mail to Holders of such Securities at their addresses as they shall appear on the Security register notice that such moneys remain and that, after a date specified therein, which shall not be less than 30 days from the date of such mailing or publication, any unclaimed balance of such money then remaining will be repaid to the Issuer.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22" w:name="page123"/>
    <w:bookmarkEnd w:id="122"/>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10.05</w:t>
      </w:r>
      <w:r>
        <w:rPr>
          <w:rFonts w:ascii="Arial" w:cs="Arial" w:eastAsia="Arial" w:hAnsi="Arial"/>
          <w:sz w:val="16"/>
          <w:szCs w:val="16"/>
          <w:i w:val="1"/>
          <w:iCs w:val="1"/>
          <w:color w:val="auto"/>
        </w:rPr>
        <w:t>. Indemnity for U.S. Government Obligations.</w:t>
      </w:r>
      <w:r>
        <w:rPr>
          <w:rFonts w:ascii="Arial" w:cs="Arial" w:eastAsia="Arial" w:hAnsi="Arial"/>
          <w:sz w:val="16"/>
          <w:szCs w:val="16"/>
          <w:color w:val="auto"/>
        </w:rPr>
        <w:t xml:space="preserve"> The Issuer shall pay and indemnify the Trustee against any tax, fee or other charge imposed on or assessed against the U.S. Government Obligations deposited pursuant to Section 10.01 or the principal or interest received in respect of such obligations.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Incorporators, Stockholders, Officers and Directors of Issuer Exempt from Individual Liability.</w:t>
      </w:r>
      <w:r>
        <w:rPr>
          <w:rFonts w:ascii="Arial" w:cs="Arial" w:eastAsia="Arial" w:hAnsi="Arial"/>
          <w:sz w:val="18"/>
          <w:szCs w:val="18"/>
          <w:color w:val="auto"/>
        </w:rPr>
        <w:t xml:space="preserve">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11.02</w:t>
      </w:r>
      <w:r>
        <w:rPr>
          <w:rFonts w:ascii="Arial" w:cs="Arial" w:eastAsia="Arial" w:hAnsi="Arial"/>
          <w:sz w:val="16"/>
          <w:szCs w:val="16"/>
          <w:i w:val="1"/>
          <w:iCs w:val="1"/>
          <w:color w:val="auto"/>
        </w:rPr>
        <w:t>. Provisions of Indenture for the Sole Benefit of Parties and Holders of Securities.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 11.03</w:t>
      </w:r>
      <w:r>
        <w:rPr>
          <w:rFonts w:ascii="Arial" w:cs="Arial" w:eastAsia="Arial" w:hAnsi="Arial"/>
          <w:sz w:val="18"/>
          <w:szCs w:val="18"/>
          <w:i w:val="1"/>
          <w:iCs w:val="1"/>
          <w:color w:val="auto"/>
        </w:rPr>
        <w:t>. Successors and Assigns of Issuer Bound by Indenture.</w:t>
      </w:r>
      <w:r>
        <w:rPr>
          <w:rFonts w:ascii="Arial" w:cs="Arial" w:eastAsia="Arial" w:hAnsi="Arial"/>
          <w:sz w:val="18"/>
          <w:szCs w:val="18"/>
          <w:color w:val="auto"/>
        </w:rPr>
        <w:t xml:space="preserve"> All the covenants, stipulations, promises and agreements contained in this Indenture by or on behalf of the Issuer shall bind its successors and assigns, whether so expressed or not.</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11.04</w:t>
      </w:r>
      <w:r>
        <w:rPr>
          <w:rFonts w:ascii="Arial" w:cs="Arial" w:eastAsia="Arial" w:hAnsi="Arial"/>
          <w:sz w:val="16"/>
          <w:szCs w:val="16"/>
          <w:i w:val="1"/>
          <w:iCs w:val="1"/>
          <w:color w:val="auto"/>
        </w:rPr>
        <w:t>. Notices and Demands on Issuer, Trustee and Holders of Securities.</w:t>
      </w:r>
      <w:r>
        <w:rPr>
          <w:rFonts w:ascii="Arial" w:cs="Arial" w:eastAsia="Arial" w:hAnsi="Arial"/>
          <w:sz w:val="16"/>
          <w:szCs w:val="16"/>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Texas Instruments Incorporated, Post Office Box 655474, Dallas, Texas 75265-5474, Attn: Secretary. Any notice, direction, request or demand by the Issuer or any Holder of Securities to or upon the Trustee shall be deemed to have been sufficiently given or made, for all purposes, if given or made at U.S. Bank National Association, EP-MN-WS3C, 60 Livingston Avenue, St. Paul, Minnesota, 55107-1419, Attn: Corporate Trust Services.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80" w:right="299" w:bottom="1440" w:gutter="0" w:footer="0" w:header="0"/>
        </w:sectPr>
      </w:pPr>
    </w:p>
    <w:bookmarkStart w:id="123" w:name="page124"/>
    <w:bookmarkEnd w:id="123"/>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this Indenture provides for notice to Holders of Securities, such notice shall be sufficiently given (unless otherwise herein expressly provided) if in writing and mailed, first-class postage prepaid, to each Holder entitled thereto, at his or her last address as it appears in the Security register. In any case where notice to such Holders is given by mail, neither the failure to mail such notice, nor any defect in any notice so mailed, to any particular Holder shall affect the sufficiency of such notice with respect to other Holders.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case, by reason of the suspension of or irregularities in regular mail service, it shall be impracticable to mail notice of any event to Holders of Securities when said notice is required to be given pursuant to any provision of this Indenture or of the Securities, then any manner of giving such notice as shall be satisfactory to the Trustee shall be deemed to be a sufficient giving of such notice. Neither the failure to give notice, nor any defect in any notice so given, to any particular Holder of a Security shall affect the sufficiency of such notice with respect to other Holders of Securities given as provided above.</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11.05</w:t>
      </w:r>
      <w:r>
        <w:rPr>
          <w:rFonts w:ascii="Arial" w:cs="Arial" w:eastAsia="Arial" w:hAnsi="Arial"/>
          <w:sz w:val="18"/>
          <w:szCs w:val="18"/>
          <w:i w:val="1"/>
          <w:iCs w:val="1"/>
          <w:color w:val="auto"/>
        </w:rPr>
        <w:t>. 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24" w:name="page125"/>
    <w:bookmarkEnd w:id="124"/>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25" w:name="page126"/>
    <w:bookmarkEnd w:id="125"/>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or opinion of any independent firm of public accountants filed with and directed to the Trustee shall contain a statement that such firm is independent.</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11.06</w:t>
      </w:r>
      <w:r>
        <w:rPr>
          <w:rFonts w:ascii="Arial" w:cs="Arial" w:eastAsia="Arial" w:hAnsi="Arial"/>
          <w:sz w:val="18"/>
          <w:szCs w:val="18"/>
          <w:i w:val="1"/>
          <w:iCs w:val="1"/>
          <w:color w:val="auto"/>
        </w:rPr>
        <w:t>. 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or the last day on 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Section 11.07</w:t>
      </w:r>
      <w:r>
        <w:rPr>
          <w:rFonts w:ascii="Arial" w:cs="Arial" w:eastAsia="Arial" w:hAnsi="Arial"/>
          <w:sz w:val="18"/>
          <w:szCs w:val="18"/>
          <w:i w:val="1"/>
          <w:iCs w:val="1"/>
          <w:color w:val="auto"/>
        </w:rPr>
        <w:t>. 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Section 11.08</w:t>
      </w:r>
      <w:r>
        <w:rPr>
          <w:rFonts w:ascii="Arial" w:cs="Arial" w:eastAsia="Arial" w:hAnsi="Arial"/>
          <w:sz w:val="16"/>
          <w:szCs w:val="16"/>
          <w:i w:val="1"/>
          <w:iCs w:val="1"/>
          <w:color w:val="auto"/>
        </w:rPr>
        <w:t>. New York Law to Govern.</w:t>
      </w:r>
      <w:r>
        <w:rPr>
          <w:rFonts w:ascii="Arial" w:cs="Arial" w:eastAsia="Arial" w:hAnsi="Arial"/>
          <w:sz w:val="16"/>
          <w:szCs w:val="16"/>
          <w:color w:val="auto"/>
        </w:rPr>
        <w:t xml:space="preserve"> This Indenture and each Security shall be deemed to be a contract under the laws of the State of New York, and for all purposes shall be construed in accordance with the laws of such State, except as may otherwise be required by mandatory provisions of law.</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11.09</w:t>
      </w:r>
      <w:r>
        <w:rPr>
          <w:rFonts w:ascii="Arial" w:cs="Arial" w:eastAsia="Arial" w:hAnsi="Arial"/>
          <w:sz w:val="18"/>
          <w:szCs w:val="18"/>
          <w:i w:val="1"/>
          <w:iCs w:val="1"/>
          <w:color w:val="auto"/>
        </w:rPr>
        <w:t>.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Section 11.10</w:t>
      </w:r>
      <w:r>
        <w:rPr>
          <w:rFonts w:ascii="Arial" w:cs="Arial" w:eastAsia="Arial" w:hAnsi="Arial"/>
          <w:sz w:val="18"/>
          <w:szCs w:val="18"/>
          <w:i w:val="1"/>
          <w:iCs w:val="1"/>
          <w:color w:val="auto"/>
        </w:rPr>
        <w:t>. 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11.11</w:t>
      </w:r>
      <w:r>
        <w:rPr>
          <w:rFonts w:ascii="Arial" w:cs="Arial" w:eastAsia="Arial" w:hAnsi="Arial"/>
          <w:sz w:val="16"/>
          <w:szCs w:val="16"/>
          <w:i w:val="1"/>
          <w:iCs w:val="1"/>
          <w:color w:val="auto"/>
        </w:rPr>
        <w:t>. Securities in a Foreign Currency.</w:t>
      </w:r>
      <w:r>
        <w:rPr>
          <w:rFonts w:ascii="Arial" w:cs="Arial" w:eastAsia="Arial" w:hAnsi="Arial"/>
          <w:sz w:val="16"/>
          <w:szCs w:val="16"/>
          <w:color w:val="auto"/>
        </w:rPr>
        <w:t xml:space="preserve"> Unless otherwise specified in an Officers’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currency other than Dollars, then the principal amount of Securities of such series which shall be deemed to be Outstanding for the purpose of taking such action shall be that amount of Dollars that could be obtained for such amount at the Market Exchange Rate. For purposes of this Section 11.11, “</w:t>
      </w:r>
      <w:r>
        <w:rPr>
          <w:rFonts w:ascii="Arial" w:cs="Arial" w:eastAsia="Arial" w:hAnsi="Arial"/>
          <w:sz w:val="16"/>
          <w:szCs w:val="16"/>
          <w:b w:val="1"/>
          <w:bCs w:val="1"/>
          <w:color w:val="auto"/>
        </w:rPr>
        <w:t>Market Exchange Rate</w:t>
      </w:r>
      <w:r>
        <w:rPr>
          <w:rFonts w:ascii="Arial" w:cs="Arial" w:eastAsia="Arial" w:hAnsi="Arial"/>
          <w:sz w:val="16"/>
          <w:szCs w:val="16"/>
          <w:color w:val="auto"/>
        </w:rPr>
        <w:t>” shall mean the noon Dollar buying rate for that currency for cable transfers quoted in The City of New York as certified for customs purposes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26" w:name="page127"/>
    <w:bookmarkEnd w:id="126"/>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decisions and determinations of the Trustee regarding the Market Exchange Rate or any alternative determination provided for in the preceding paragraph shall be in its sole discretion and shall, in the absence of manifest error, be conclusive for all purposes and irrevocably binding upon the Issuer and all Holders.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11.12</w:t>
      </w:r>
      <w:r>
        <w:rPr>
          <w:rFonts w:ascii="Arial" w:cs="Arial" w:eastAsia="Arial" w:hAnsi="Arial"/>
          <w:sz w:val="16"/>
          <w:szCs w:val="16"/>
          <w:i w:val="1"/>
          <w:iCs w:val="1"/>
          <w:color w:val="auto"/>
        </w:rPr>
        <w:t>. Judgment Currency.</w:t>
      </w:r>
      <w:r>
        <w:rPr>
          <w:rFonts w:ascii="Arial" w:cs="Arial" w:eastAsia="Arial" w:hAnsi="Arial"/>
          <w:sz w:val="16"/>
          <w:szCs w:val="16"/>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Currency</w:t>
      </w:r>
      <w:r>
        <w:rPr>
          <w:rFonts w:ascii="Arial" w:cs="Arial" w:eastAsia="Arial" w:hAnsi="Arial"/>
          <w:sz w:val="16"/>
          <w:szCs w:val="16"/>
          <w:color w:val="auto"/>
        </w:rPr>
        <w:t>”) into a currency in which a judgment will be rendered (the “</w:t>
      </w:r>
      <w:r>
        <w:rPr>
          <w:rFonts w:ascii="Arial" w:cs="Arial" w:eastAsia="Arial" w:hAnsi="Arial"/>
          <w:sz w:val="16"/>
          <w:szCs w:val="16"/>
          <w:b w:val="1"/>
          <w:bCs w:val="1"/>
          <w:color w:val="auto"/>
        </w:rPr>
        <w:t>Judgment Currency</w:t>
      </w:r>
      <w:r>
        <w:rPr>
          <w:rFonts w:ascii="Arial" w:cs="Arial" w:eastAsia="Arial" w:hAnsi="Arial"/>
          <w:sz w:val="16"/>
          <w:szCs w:val="16"/>
          <w:color w:val="auto"/>
        </w:rPr>
        <w:t>”), the rate of exchange used shall be the rate at which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normal banking procedures the Trustee could purchase in The City of New York the Required Currency with the Judgment Currency on the New York Banking Day preceding that on which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b w:val="1"/>
          <w:bCs w:val="1"/>
          <w:color w:val="auto"/>
        </w:rPr>
        <w:t>New York Banking Day</w:t>
      </w:r>
      <w:r>
        <w:rPr>
          <w:rFonts w:ascii="Arial" w:cs="Arial" w:eastAsia="Arial" w:hAnsi="Arial"/>
          <w:sz w:val="16"/>
          <w:szCs w:val="16"/>
          <w:color w:val="auto"/>
        </w:rPr>
        <w:t>” means any day except a Saturday, Sunday or legal holiday in The City of New York or a day on which banking institutions in The City of New York are authorized or required by law or executive order to close.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27" w:name="page128"/>
    <w:bookmarkEnd w:id="12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12</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12.02</w:t>
      </w:r>
      <w:r>
        <w:rPr>
          <w:rFonts w:ascii="Arial" w:cs="Arial" w:eastAsia="Arial" w:hAnsi="Arial"/>
          <w:sz w:val="16"/>
          <w:szCs w:val="16"/>
          <w:i w:val="1"/>
          <w:iCs w:val="1"/>
          <w:color w:val="auto"/>
        </w:rPr>
        <w:t>. 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request, by the Trustee in the name and at the expense of the Issuer.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128" w:name="page129"/>
    <w:bookmarkEnd w:id="128"/>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3.04) an amount of money sufficient to redeem on the redemption date all the Securities of such series so called for redemption (other than those theretofore surrendered for conversion into Common Stock) at the appropriate redemption price, together with accrued interest to the date fixed for redemption. If any Security called for redemption is converted pursuant hereto, any money deposited with the Trustee or any paying agent or so segregated and held in trust for the redemption of such Security shall be paid to the Issuer upon the Issuer’s request, or, if then held by the Issuer, shall be discharged from such trust. The Issuer will deliver to the Trustee at least 70 days prior to the date fixed for redemption (unless a shorter time period shall be acceptable to the Trustee) an Officers’ Certificate (which need not comply with Section 11.05)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the Issuer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29" w:name="page130"/>
    <w:bookmarkEnd w:id="12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12.03</w:t>
      </w:r>
      <w:r>
        <w:rPr>
          <w:rFonts w:ascii="Arial" w:cs="Arial" w:eastAsia="Arial" w:hAnsi="Arial"/>
          <w:sz w:val="16"/>
          <w:szCs w:val="16"/>
          <w:i w:val="1"/>
          <w:iCs w:val="1"/>
          <w:color w:val="auto"/>
        </w:rPr>
        <w:t>. Payment of Securities Called for Redemption.</w:t>
      </w:r>
      <w:r>
        <w:rPr>
          <w:rFonts w:ascii="Arial" w:cs="Arial" w:eastAsia="Arial" w:hAnsi="Arial"/>
          <w:sz w:val="16"/>
          <w:szCs w:val="16"/>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6.05 and 10.04, such Securities shall cease from and after the date fixed for redemption to be convertible into Common Stock, if applicable, and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that payment of interest becoming due on or prior to the date fixed for redemption shall be payable to the Holders of such Securities registered as such on the relevant record date subject to the terms and provisions of Sections 2.03 and 2.07 hereof.</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12.04</w:t>
      </w:r>
      <w:r>
        <w:rPr>
          <w:rFonts w:ascii="Arial" w:cs="Arial" w:eastAsia="Arial" w:hAnsi="Arial"/>
          <w:sz w:val="16"/>
          <w:szCs w:val="16"/>
          <w:i w:val="1"/>
          <w:iCs w:val="1"/>
          <w:color w:val="auto"/>
        </w:rPr>
        <w:t>. Exclusion of Certain Securities from Eligibility for Selection for Redemption.</w:t>
      </w:r>
      <w:r>
        <w:rPr>
          <w:rFonts w:ascii="Arial" w:cs="Arial" w:eastAsia="Arial" w:hAnsi="Arial"/>
          <w:sz w:val="16"/>
          <w:szCs w:val="16"/>
          <w:color w:val="auto"/>
        </w:rPr>
        <w:t xml:space="preserve">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1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Section 12.05</w:t>
      </w:r>
      <w:r>
        <w:rPr>
          <w:rFonts w:ascii="Arial" w:cs="Arial" w:eastAsia="Arial" w:hAnsi="Arial"/>
          <w:sz w:val="18"/>
          <w:szCs w:val="18"/>
          <w:i w:val="1"/>
          <w:iCs w:val="1"/>
          <w:color w:val="auto"/>
        </w:rPr>
        <w:t>. Mandatory and Optional Sinking Funds.</w:t>
      </w:r>
      <w:r>
        <w:rPr>
          <w:rFonts w:ascii="Arial" w:cs="Arial" w:eastAsia="Arial" w:hAnsi="Arial"/>
          <w:sz w:val="18"/>
          <w:szCs w:val="18"/>
          <w:color w:val="auto"/>
        </w:rPr>
        <w:t xml:space="preserve"> The minimum amount of any sinking fund payment provided for by the terms of the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30" w:name="page131"/>
    <w:bookmarkEnd w:id="1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firstLine="8"/>
        <w:spacing w:after="0" w:line="288" w:lineRule="auto"/>
        <w:tabs>
          <w:tab w:leader="none" w:pos="239"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23"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On or before the 60th day next preceding each sinking fund payment date for any series, the Issuer will deliver to the Trustee an Officers’ Certificate (which need not contain the statements required by Section 11.05) (a) specifying the portion of the mandatory sinking fund payment to be satisfied by payment of cash and the portion to be satisfied by credit of Securities of such series and the basis for such credit,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131" w:name="page132"/>
    <w:bookmarkEnd w:id="131"/>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a lesser sum in Dollars or in any Foreign Currency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less and the Issuer makes no such request then it shall be carried over until a sum in excess of $50,000 (or the equivalent thereof in any Foreign Currency) is available. The Trustee shall select, in the manner provided in Section 12.02,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 (b) 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12.02 (and with the effect provided in Section 12.03)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if the Trustee is not the conversion agent for the Securities, the Issuer or such conversion agent shall give the Trustee written notice prior to the date fixed for redemption of the principal amount of Securities or portions thereof so converted.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32" w:name="page133"/>
    <w:bookmarkEnd w:id="13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5 and held for the payment of all such Securities. In case such Event of Default shall have been waived as provided in Section 5.10, or the default cured on or before the 60th day preceding the sinking fund payment date in any year, such moneys shall thereafter be applied on the next succeeding sinking fund payment date in accordance with this Section to the redemption of such Securities.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2"/>
        </w:trPr>
        <w:tc>
          <w:tcPr>
            <w:tcW w:w="7280" w:type="dxa"/>
            <w:vAlign w:val="bottom"/>
          </w:tcPr>
          <w:p>
            <w:pPr>
              <w:spacing w:after="0"/>
              <w:rPr>
                <w:sz w:val="20"/>
                <w:szCs w:val="20"/>
                <w:color w:val="auto"/>
              </w:rPr>
            </w:pPr>
            <w:r>
              <w:rPr>
                <w:rFonts w:ascii="Arial" w:cs="Arial" w:eastAsia="Arial" w:hAnsi="Arial"/>
                <w:sz w:val="18"/>
                <w:szCs w:val="18"/>
                <w:color w:val="auto"/>
                <w:w w:val="93"/>
              </w:rPr>
              <w:t>IN WITNESS WHEREOF, the parties hereto have caused this Indenture to be duly executed as of</w:t>
            </w:r>
          </w:p>
        </w:tc>
        <w:tc>
          <w:tcPr>
            <w:tcW w:w="860" w:type="dxa"/>
            <w:vAlign w:val="bottom"/>
          </w:tcPr>
          <w:p>
            <w:pPr>
              <w:jc w:val="right"/>
              <w:spacing w:after="0"/>
              <w:rPr>
                <w:sz w:val="20"/>
                <w:szCs w:val="20"/>
                <w:color w:val="auto"/>
              </w:rPr>
            </w:pPr>
            <w:r>
              <w:rPr>
                <w:rFonts w:ascii="Arial" w:cs="Arial" w:eastAsia="Arial" w:hAnsi="Arial"/>
                <w:sz w:val="18"/>
                <w:szCs w:val="18"/>
                <w:color w:val="auto"/>
              </w:rPr>
              <w:t>, 2010.</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U.S. BANK NATIONAL ASSOCIATION, Trustee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9980"/>
          </w:cols>
          <w:pgMar w:left="700" w:top="280" w:right="1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Exhibits 5.1 and 23.2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acted as counsel for Texas Instruments Incorporated, a Delaware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pursuant to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for the registration of the sale from time to time of (a) the Company’s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issued pursuant to an indenture between the Company and U.S. Bank National Association, as trustee (the “</w:t>
      </w:r>
      <w:r>
        <w:rPr>
          <w:rFonts w:ascii="Arial" w:cs="Arial" w:eastAsia="Arial" w:hAnsi="Arial"/>
          <w:sz w:val="16"/>
          <w:szCs w:val="16"/>
          <w:b w:val="1"/>
          <w:bCs w:val="1"/>
          <w:color w:val="auto"/>
        </w:rPr>
        <w:t>Debt Trustee</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 (b) shares of preferred stock, par value $25.00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of the Company; (c) shares of common stock, par value $1.00 per share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of the Company; (d) Warrants of the Company to purchase Debt Securities or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agreement between the Company and a warrant agent to be named therein (the “</w:t>
      </w:r>
      <w:r>
        <w:rPr>
          <w:rFonts w:ascii="Arial" w:cs="Arial" w:eastAsia="Arial" w:hAnsi="Arial"/>
          <w:sz w:val="16"/>
          <w:szCs w:val="16"/>
          <w:b w:val="1"/>
          <w:bCs w:val="1"/>
          <w:color w:val="auto"/>
        </w:rPr>
        <w:t>Warrant Agreement</w:t>
      </w:r>
      <w:r>
        <w:rPr>
          <w:rFonts w:ascii="Arial" w:cs="Arial" w:eastAsia="Arial" w:hAnsi="Arial"/>
          <w:sz w:val="16"/>
          <w:szCs w:val="16"/>
          <w:color w:val="auto"/>
        </w:rPr>
        <w:t>”); and (e) Debt Securities, Preferred Stock, Common Stock and Warrants or any combination thereof that may be offered in the form of units (the “</w:t>
      </w:r>
      <w:r>
        <w:rPr>
          <w:rFonts w:ascii="Arial" w:cs="Arial" w:eastAsia="Arial" w:hAnsi="Arial"/>
          <w:sz w:val="16"/>
          <w:szCs w:val="16"/>
          <w:b w:val="1"/>
          <w:bCs w:val="1"/>
          <w:color w:val="auto"/>
        </w:rPr>
        <w:t>Units</w:t>
      </w:r>
      <w:r>
        <w:rPr>
          <w:rFonts w:ascii="Arial" w:cs="Arial" w:eastAsia="Arial" w:hAnsi="Arial"/>
          <w:sz w:val="16"/>
          <w:szCs w:val="16"/>
          <w:color w:val="auto"/>
        </w:rPr>
        <w:t>”)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w:t>
      </w:r>
    </w:p>
    <w:p>
      <w:pPr>
        <w:spacing w:after="0" w:line="12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We, as your counsel, have examined originals or copies, certified or otherwise identified to our satisfaction, of such documents, corporate records, certificates of public officials and other instruments as we have deemed necessary or advisable for the purposes of rendering this opinion.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90" w:lineRule="exact"/>
        <w:rPr>
          <w:sz w:val="20"/>
          <w:szCs w:val="20"/>
          <w:color w:val="auto"/>
        </w:rPr>
      </w:pPr>
    </w:p>
    <w:p>
      <w:pPr>
        <w:ind w:left="460" w:right="140" w:firstLine="443"/>
        <w:spacing w:after="0" w:line="291" w:lineRule="auto"/>
        <w:tabs>
          <w:tab w:leader="none" w:pos="1071"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When the Indenture and any supplemental indenture to be entered into in connection with the issuance of any Debt Securities have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39" w:lineRule="exact"/>
        <w:rPr>
          <w:rFonts w:ascii="Arial" w:cs="Arial" w:eastAsia="Arial" w:hAnsi="Arial"/>
          <w:sz w:val="16"/>
          <w:szCs w:val="16"/>
          <w:color w:val="auto"/>
        </w:rPr>
      </w:pPr>
    </w:p>
    <w:p>
      <w:pPr>
        <w:ind w:left="460" w:firstLine="443"/>
        <w:spacing w:after="0" w:line="294" w:lineRule="auto"/>
        <w:tabs>
          <w:tab w:leader="none" w:pos="1074"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34" w:lineRule="exact"/>
        <w:rPr>
          <w:rFonts w:ascii="Arial" w:cs="Arial" w:eastAsia="Arial" w:hAnsi="Arial"/>
          <w:sz w:val="16"/>
          <w:szCs w:val="16"/>
          <w:color w:val="auto"/>
        </w:rPr>
      </w:pPr>
    </w:p>
    <w:p>
      <w:pPr>
        <w:ind w:left="460" w:right="60" w:firstLine="443"/>
        <w:spacing w:after="0" w:line="291" w:lineRule="auto"/>
        <w:tabs>
          <w:tab w:leader="none" w:pos="1074" w:val="left"/>
        </w:tabs>
        <w:numPr>
          <w:ilvl w:val="0"/>
          <w:numId w:val="93"/>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125" w:right="239" w:bottom="1440" w:gutter="0" w:footer="0" w:header="0"/>
        </w:sectPr>
      </w:pPr>
    </w:p>
    <w:bookmarkStart w:id="135" w:name="page136"/>
    <w:bookmarkEnd w:id="135"/>
    <w:p>
      <w:pPr>
        <w:ind w:left="460" w:firstLine="443"/>
        <w:spacing w:after="0" w:line="254" w:lineRule="auto"/>
        <w:tabs>
          <w:tab w:leader="none" w:pos="1074"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63" w:lineRule="exact"/>
        <w:rPr>
          <w:rFonts w:ascii="Arial" w:cs="Arial" w:eastAsia="Arial" w:hAnsi="Arial"/>
          <w:sz w:val="18"/>
          <w:szCs w:val="18"/>
          <w:color w:val="auto"/>
        </w:rPr>
      </w:pPr>
    </w:p>
    <w:p>
      <w:pPr>
        <w:ind w:left="460" w:right="80" w:firstLine="443"/>
        <w:spacing w:after="0" w:line="291" w:lineRule="auto"/>
        <w:tabs>
          <w:tab w:leader="none" w:pos="1074" w:val="left"/>
        </w:tabs>
        <w:numPr>
          <w:ilvl w:val="0"/>
          <w:numId w:val="94"/>
        </w:numPr>
        <w:rPr>
          <w:rFonts w:ascii="Arial" w:cs="Arial" w:eastAsia="Arial" w:hAnsi="Arial"/>
          <w:sz w:val="16"/>
          <w:szCs w:val="16"/>
          <w:color w:val="auto"/>
        </w:rPr>
      </w:pPr>
      <w:r>
        <w:rPr>
          <w:rFonts w:ascii="Arial" w:cs="Arial" w:eastAsia="Arial" w:hAnsi="Arial"/>
          <w:sz w:val="16"/>
          <w:szCs w:val="16"/>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“Offered Security”), in accordance with terms of such Offered Security or the instrument governing such Offered Security providing for such conversion or exercise as approved by the Board of Directors, for the consideration approved by the Board of Directors (which consideration is not less than the par value of the Common Stock), such shares of Common Stock will be validly issued, fully paid and non-assessable.</w:t>
      </w:r>
    </w:p>
    <w:p>
      <w:pPr>
        <w:spacing w:after="0" w:line="12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become effective and such effectiveness shall not have been terminated or rescinded; (iv) the Indenture and the Debt Securities shall be valid, binding and enforceable agreements of each party thereto (other than as expressly covered above in respect of the Company); and (v)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members of the Bars of the State of New York and the State of California and the foregoing opinion is limited to the laws of the State of New York and the General Corporation Law of the State of Delaware (including the statutory provisions, all applicable provisions of the Delaware Constitution and reported judicial decisions interpreting the foregoing).</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opinion is rendered solely to you in connection with the above matter. This opinion may not be relied upon by you for any other purpose or relied upon by or furnished to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28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Income from continuing operations before income tax &amp; (loss) gain on equity method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3,629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Add:  Fixed charges (shown below)</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Distributed income from equity investees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Subtract: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Total earnings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2,518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3,668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Total interest on loans (expensed)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Capitalized 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Estimated interest element of rental and lease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0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Texas Instruments Incorporated for the registration of common stock, preferred stock, debt securities, warrants, and units and to the incorporation by reference therein of our reports dated February 23, 2010, with respect to the consolidated financial statements of Texas Instruments Incorporated and the effectiveness of internal control over financial reporting of Texas Instruments Incorporated, incorporated by reference in its Annual Report (Form 10-K) for the year ended December 31, 2009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Consent</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accordance with Rule 438 promulgated under the Securities Act of 1933 (the “Act”), as amended, I hereby consent to my being named as a person who will become a member of the Board of Directors of Texas Instruments Incorporated (“the Company”) effective March 15, 2010 in the Company’s Registration Statement on Form S-3 to which this consent is being filed as an exhibit and in documents incorporated by reference therein. I also consent to the filing of this consent as an exhibit to such Registration Statement and any amendments thereto.</w:t>
      </w:r>
    </w:p>
    <w:p>
      <w:pPr>
        <w:spacing w:after="0" w:line="15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Ralph W. Babb, Jr.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2010</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1" w:lineRule="auto"/>
        <w:rPr>
          <w:sz w:val="20"/>
          <w:szCs w:val="20"/>
          <w:color w:val="auto"/>
        </w:rPr>
      </w:pPr>
      <w:r>
        <w:rPr>
          <w:rFonts w:ascii="Arial" w:cs="Arial" w:eastAsia="Arial" w:hAnsi="Arial"/>
          <w:sz w:val="22"/>
          <w:szCs w:val="22"/>
          <w:b w:val="1"/>
          <w:bCs w:val="1"/>
          <w:color w:val="auto"/>
        </w:rPr>
        <w:t>Check if an Application to Determine Eligibility of</w:t>
      </w:r>
    </w:p>
    <w:p>
      <w:pPr>
        <w:jc w:val="center"/>
        <w:spacing w:after="0"/>
        <w:rPr>
          <w:sz w:val="20"/>
          <w:szCs w:val="20"/>
          <w:color w:val="auto"/>
        </w:rPr>
      </w:pPr>
      <w:r>
        <w:rPr>
          <w:rFonts w:ascii="Arial" w:cs="Arial" w:eastAsia="Arial" w:hAnsi="Arial"/>
          <w:sz w:val="22"/>
          <w:szCs w:val="22"/>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740" w:type="dxa"/>
        <w:tblCellMar>
          <w:top w:w="0" w:type="dxa"/>
          <w:left w:w="0" w:type="dxa"/>
          <w:bottom w:w="0" w:type="dxa"/>
          <w:right w:w="0" w:type="dxa"/>
        </w:tblCellMar>
      </w:tblPr>
      <w:tr>
        <w:trPr>
          <w:trHeight w:val="218"/>
        </w:trPr>
        <w:tc>
          <w:tcPr>
            <w:tcW w:w="2620" w:type="dxa"/>
            <w:vAlign w:val="bottom"/>
          </w:tcPr>
          <w:p>
            <w:pPr>
              <w:spacing w:after="0"/>
              <w:rPr>
                <w:sz w:val="18"/>
                <w:szCs w:val="18"/>
                <w:color w:val="auto"/>
              </w:rPr>
            </w:pPr>
          </w:p>
        </w:tc>
        <w:tc>
          <w:tcPr>
            <w:tcW w:w="4640" w:type="dxa"/>
            <w:vAlign w:val="bottom"/>
          </w:tcPr>
          <w:p>
            <w:pPr>
              <w:jc w:val="right"/>
              <w:ind w:right="2782"/>
              <w:spacing w:after="0"/>
              <w:rPr>
                <w:sz w:val="20"/>
                <w:szCs w:val="20"/>
                <w:color w:val="auto"/>
              </w:rPr>
            </w:pPr>
            <w:r>
              <w:rPr>
                <w:rFonts w:ascii="Arial" w:cs="Arial" w:eastAsia="Arial" w:hAnsi="Arial"/>
                <w:sz w:val="18"/>
                <w:szCs w:val="18"/>
                <w:b w:val="1"/>
                <w:bCs w:val="1"/>
                <w:color w:val="auto"/>
              </w:rPr>
              <w:t>31-0841368</w:t>
            </w:r>
          </w:p>
        </w:tc>
      </w:tr>
      <w:tr>
        <w:trPr>
          <w:trHeight w:val="174"/>
        </w:trPr>
        <w:tc>
          <w:tcPr>
            <w:tcW w:w="2620" w:type="dxa"/>
            <w:vAlign w:val="bottom"/>
          </w:tcPr>
          <w:p>
            <w:pPr>
              <w:spacing w:after="0"/>
              <w:rPr>
                <w:sz w:val="15"/>
                <w:szCs w:val="15"/>
                <w:color w:val="auto"/>
              </w:rPr>
            </w:pPr>
          </w:p>
        </w:tc>
        <w:tc>
          <w:tcPr>
            <w:tcW w:w="4640" w:type="dxa"/>
            <w:vAlign w:val="bottom"/>
          </w:tcPr>
          <w:p>
            <w:pPr>
              <w:jc w:val="center"/>
              <w:ind w:right="18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1"/>
        </w:trPr>
        <w:tc>
          <w:tcPr>
            <w:tcW w:w="2620" w:type="dxa"/>
            <w:vAlign w:val="bottom"/>
          </w:tcPr>
          <w:p>
            <w:pPr>
              <w:jc w:val="center"/>
              <w:ind w:right="299"/>
              <w:spacing w:after="0"/>
              <w:rPr>
                <w:sz w:val="20"/>
                <w:szCs w:val="20"/>
                <w:color w:val="auto"/>
              </w:rPr>
            </w:pPr>
            <w:r>
              <w:rPr>
                <w:rFonts w:ascii="Arial" w:cs="Arial" w:eastAsia="Arial" w:hAnsi="Arial"/>
                <w:sz w:val="18"/>
                <w:szCs w:val="18"/>
                <w:b w:val="1"/>
                <w:bCs w:val="1"/>
                <w:color w:val="auto"/>
                <w:w w:val="91"/>
              </w:rPr>
              <w:t>800 Nicollet Mall</w:t>
            </w:r>
          </w:p>
        </w:tc>
        <w:tc>
          <w:tcPr>
            <w:tcW w:w="4640" w:type="dxa"/>
            <w:vAlign w:val="bottom"/>
          </w:tcPr>
          <w:p>
            <w:pPr>
              <w:spacing w:after="0"/>
              <w:rPr>
                <w:sz w:val="24"/>
                <w:szCs w:val="24"/>
                <w:color w:val="auto"/>
              </w:rPr>
            </w:pPr>
          </w:p>
        </w:tc>
      </w:tr>
      <w:tr>
        <w:trPr>
          <w:trHeight w:val="231"/>
        </w:trPr>
        <w:tc>
          <w:tcPr>
            <w:tcW w:w="2620" w:type="dxa"/>
            <w:vAlign w:val="bottom"/>
          </w:tcPr>
          <w:p>
            <w:pPr>
              <w:jc w:val="center"/>
              <w:ind w:right="299"/>
              <w:spacing w:after="0"/>
              <w:rPr>
                <w:sz w:val="20"/>
                <w:szCs w:val="20"/>
                <w:color w:val="auto"/>
              </w:rPr>
            </w:pPr>
            <w:r>
              <w:rPr>
                <w:rFonts w:ascii="Arial" w:cs="Arial" w:eastAsia="Arial" w:hAnsi="Arial"/>
                <w:sz w:val="18"/>
                <w:szCs w:val="18"/>
                <w:b w:val="1"/>
                <w:bCs w:val="1"/>
                <w:color w:val="auto"/>
                <w:w w:val="88"/>
              </w:rPr>
              <w:t>Minneapolis, Minnesota</w:t>
            </w:r>
          </w:p>
        </w:tc>
        <w:tc>
          <w:tcPr>
            <w:tcW w:w="4640" w:type="dxa"/>
            <w:vAlign w:val="bottom"/>
          </w:tcPr>
          <w:p>
            <w:pPr>
              <w:jc w:val="right"/>
              <w:ind w:right="22"/>
              <w:spacing w:after="0"/>
              <w:rPr>
                <w:sz w:val="20"/>
                <w:szCs w:val="20"/>
                <w:color w:val="auto"/>
              </w:rPr>
            </w:pPr>
            <w:r>
              <w:rPr>
                <w:rFonts w:ascii="Arial" w:cs="Arial" w:eastAsia="Arial" w:hAnsi="Arial"/>
                <w:sz w:val="18"/>
                <w:szCs w:val="18"/>
                <w:b w:val="1"/>
                <w:bCs w:val="1"/>
                <w:color w:val="auto"/>
              </w:rPr>
              <w:t>55402</w:t>
            </w:r>
          </w:p>
        </w:tc>
      </w:tr>
      <w:tr>
        <w:trPr>
          <w:trHeight w:val="174"/>
        </w:trPr>
        <w:tc>
          <w:tcPr>
            <w:tcW w:w="2620" w:type="dxa"/>
            <w:vAlign w:val="bottom"/>
          </w:tcPr>
          <w:p>
            <w:pPr>
              <w:jc w:val="center"/>
              <w:ind w:right="299"/>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640" w:type="dxa"/>
            <w:vAlign w:val="bottom"/>
          </w:tcPr>
          <w:p>
            <w:pPr>
              <w:jc w:val="center"/>
              <w:ind w:left="394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Raymond S. Haverstock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(651) 495-3909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7160" w:type="dxa"/>
            <w:vAlign w:val="bottom"/>
            <w:gridSpan w:val="3"/>
          </w:tcPr>
          <w:p>
            <w:pPr>
              <w:jc w:val="center"/>
              <w:ind w:right="4192"/>
              <w:spacing w:after="0"/>
              <w:rPr>
                <w:sz w:val="20"/>
                <w:szCs w:val="20"/>
                <w:color w:val="auto"/>
              </w:rPr>
            </w:pPr>
            <w:r>
              <w:rPr>
                <w:rFonts w:ascii="Arial" w:cs="Arial" w:eastAsia="Arial" w:hAnsi="Arial"/>
                <w:sz w:val="18"/>
                <w:szCs w:val="18"/>
                <w:b w:val="1"/>
                <w:bCs w:val="1"/>
                <w:color w:val="auto"/>
                <w:w w:val="88"/>
              </w:rPr>
              <w:t>Texas Instruments Incorporated</w:t>
            </w:r>
          </w:p>
        </w:tc>
      </w:tr>
      <w:tr>
        <w:trPr>
          <w:trHeight w:val="174"/>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4"/>
                <w:szCs w:val="14"/>
                <w:b w:val="1"/>
                <w:bCs w:val="1"/>
                <w:color w:val="auto"/>
                <w:w w:val="85"/>
              </w:rPr>
              <w:t>(Issuer with respect to the Securities)</w:t>
            </w:r>
          </w:p>
        </w:tc>
      </w:tr>
      <w:tr>
        <w:trPr>
          <w:trHeight w:val="271"/>
        </w:trPr>
        <w:tc>
          <w:tcPr>
            <w:tcW w:w="4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4520" w:type="dxa"/>
            <w:vAlign w:val="bottom"/>
          </w:tcPr>
          <w:p>
            <w:pPr>
              <w:spacing w:after="0"/>
              <w:rPr>
                <w:sz w:val="23"/>
                <w:szCs w:val="23"/>
                <w:color w:val="auto"/>
              </w:rPr>
            </w:pPr>
          </w:p>
        </w:tc>
      </w:tr>
      <w:tr>
        <w:trPr>
          <w:trHeight w:val="426"/>
        </w:trPr>
        <w:tc>
          <w:tcPr>
            <w:tcW w:w="4260" w:type="dxa"/>
            <w:vAlign w:val="bottom"/>
          </w:tcPr>
          <w:p>
            <w:pPr>
              <w:jc w:val="center"/>
              <w:ind w:left="1401"/>
              <w:spacing w:after="0"/>
              <w:rPr>
                <w:sz w:val="20"/>
                <w:szCs w:val="20"/>
                <w:color w:val="auto"/>
              </w:rPr>
            </w:pPr>
            <w:r>
              <w:rPr>
                <w:rFonts w:ascii="Arial" w:cs="Arial" w:eastAsia="Arial" w:hAnsi="Arial"/>
                <w:sz w:val="18"/>
                <w:szCs w:val="18"/>
                <w:b w:val="1"/>
                <w:bCs w:val="1"/>
                <w:color w:val="auto"/>
                <w:w w:val="88"/>
              </w:rPr>
              <w:t>Delaware</w:t>
            </w:r>
          </w:p>
        </w:tc>
        <w:tc>
          <w:tcPr>
            <w:tcW w:w="7160" w:type="dxa"/>
            <w:vAlign w:val="bottom"/>
            <w:gridSpan w:val="3"/>
          </w:tcPr>
          <w:p>
            <w:pPr>
              <w:jc w:val="center"/>
              <w:ind w:left="1592"/>
              <w:spacing w:after="0"/>
              <w:rPr>
                <w:sz w:val="20"/>
                <w:szCs w:val="20"/>
                <w:color w:val="auto"/>
              </w:rPr>
            </w:pPr>
            <w:r>
              <w:rPr>
                <w:rFonts w:ascii="Arial" w:cs="Arial" w:eastAsia="Arial" w:hAnsi="Arial"/>
                <w:sz w:val="18"/>
                <w:szCs w:val="18"/>
                <w:b w:val="1"/>
                <w:bCs w:val="1"/>
                <w:color w:val="auto"/>
                <w:w w:val="87"/>
              </w:rPr>
              <w:t>72-0289970</w:t>
            </w:r>
          </w:p>
        </w:tc>
      </w:tr>
      <w:tr>
        <w:trPr>
          <w:trHeight w:val="149"/>
        </w:trPr>
        <w:tc>
          <w:tcPr>
            <w:tcW w:w="4260" w:type="dxa"/>
            <w:vAlign w:val="bottom"/>
          </w:tcPr>
          <w:p>
            <w:pPr>
              <w:jc w:val="center"/>
              <w:ind w:left="138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60" w:type="dxa"/>
            <w:vAlign w:val="bottom"/>
          </w:tcPr>
          <w:p>
            <w:pPr>
              <w:jc w:val="center"/>
              <w:ind w:left="1381"/>
              <w:spacing w:after="0"/>
              <w:rPr>
                <w:sz w:val="20"/>
                <w:szCs w:val="20"/>
                <w:color w:val="auto"/>
              </w:rPr>
            </w:pPr>
            <w:r>
              <w:rPr>
                <w:rFonts w:ascii="Arial" w:cs="Arial" w:eastAsia="Arial" w:hAnsi="Arial"/>
                <w:sz w:val="14"/>
                <w:szCs w:val="14"/>
                <w:b w:val="1"/>
                <w:bCs w:val="1"/>
                <w:color w:val="auto"/>
                <w:w w:val="88"/>
              </w:rPr>
              <w:t>incorporation or organization)</w:t>
            </w:r>
          </w:p>
        </w:tc>
        <w:tc>
          <w:tcPr>
            <w:tcW w:w="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260" w:type="dxa"/>
            <w:vAlign w:val="bottom"/>
          </w:tcPr>
          <w:p>
            <w:pPr>
              <w:jc w:val="center"/>
              <w:ind w:left="1401"/>
              <w:spacing w:after="0"/>
              <w:rPr>
                <w:sz w:val="20"/>
                <w:szCs w:val="20"/>
                <w:color w:val="auto"/>
              </w:rPr>
            </w:pPr>
            <w:r>
              <w:rPr>
                <w:rFonts w:ascii="Arial" w:cs="Arial" w:eastAsia="Arial" w:hAnsi="Arial"/>
                <w:sz w:val="18"/>
                <w:szCs w:val="18"/>
                <w:b w:val="1"/>
                <w:bCs w:val="1"/>
                <w:color w:val="auto"/>
                <w:w w:val="91"/>
              </w:rPr>
              <w:t>12500 TI Boulevard</w:t>
            </w: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4260" w:type="dxa"/>
            <w:vAlign w:val="bottom"/>
          </w:tcPr>
          <w:p>
            <w:pPr>
              <w:jc w:val="center"/>
              <w:ind w:left="1401"/>
              <w:spacing w:after="0"/>
              <w:rPr>
                <w:sz w:val="20"/>
                <w:szCs w:val="20"/>
                <w:color w:val="auto"/>
              </w:rPr>
            </w:pPr>
            <w:r>
              <w:rPr>
                <w:rFonts w:ascii="Arial" w:cs="Arial" w:eastAsia="Arial" w:hAnsi="Arial"/>
                <w:sz w:val="18"/>
                <w:szCs w:val="18"/>
                <w:b w:val="1"/>
                <w:bCs w:val="1"/>
                <w:color w:val="auto"/>
                <w:w w:val="87"/>
              </w:rPr>
              <w:t>P.O. Box 660199</w:t>
            </w: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1"/>
        </w:trPr>
        <w:tc>
          <w:tcPr>
            <w:tcW w:w="4260" w:type="dxa"/>
            <w:vAlign w:val="bottom"/>
          </w:tcPr>
          <w:p>
            <w:pPr>
              <w:jc w:val="center"/>
              <w:ind w:left="1401"/>
              <w:spacing w:after="0"/>
              <w:rPr>
                <w:sz w:val="20"/>
                <w:szCs w:val="20"/>
                <w:color w:val="auto"/>
              </w:rPr>
            </w:pPr>
            <w:r>
              <w:rPr>
                <w:rFonts w:ascii="Arial" w:cs="Arial" w:eastAsia="Arial" w:hAnsi="Arial"/>
                <w:sz w:val="18"/>
                <w:szCs w:val="18"/>
                <w:b w:val="1"/>
                <w:bCs w:val="1"/>
                <w:color w:val="auto"/>
                <w:w w:val="85"/>
              </w:rPr>
              <w:t>Dallas, Texas</w:t>
            </w:r>
          </w:p>
        </w:tc>
        <w:tc>
          <w:tcPr>
            <w:tcW w:w="7160" w:type="dxa"/>
            <w:vAlign w:val="bottom"/>
            <w:gridSpan w:val="3"/>
          </w:tcPr>
          <w:p>
            <w:pPr>
              <w:jc w:val="center"/>
              <w:ind w:left="159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4260" w:type="dxa"/>
            <w:vAlign w:val="bottom"/>
          </w:tcPr>
          <w:p>
            <w:pPr>
              <w:jc w:val="center"/>
              <w:ind w:left="140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9"/>
              </w:rPr>
              <w:t>(Zip Code)</w:t>
            </w:r>
          </w:p>
        </w:tc>
      </w:tr>
      <w:tr>
        <w:trPr>
          <w:trHeight w:val="284"/>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59"/>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6"/>
              </w:rPr>
              <w:t>Debt Securities</w:t>
            </w:r>
          </w:p>
        </w:tc>
      </w:tr>
      <w:tr>
        <w:trPr>
          <w:trHeight w:val="174"/>
        </w:trPr>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4"/>
                <w:szCs w:val="14"/>
                <w:b w:val="1"/>
                <w:bCs w:val="1"/>
                <w:color w:val="auto"/>
                <w:w w:val="87"/>
              </w:rPr>
              <w:t>(Title of the Indenture Securities)</w:t>
            </w:r>
          </w:p>
        </w:tc>
      </w:tr>
      <w:tr>
        <w:trPr>
          <w:trHeight w:val="149"/>
        </w:trPr>
        <w:tc>
          <w:tcPr>
            <w:tcW w:w="4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00" w:right="6280" w:hanging="1046"/>
        <w:spacing w:after="0" w:line="362" w:lineRule="auto"/>
        <w:tabs>
          <w:tab w:leader="none" w:pos="908"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140" w:right="42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2009 published pursuant to law or the requirements of its supervising or examining authority, attached as Exhibit 7.</w:t>
      </w:r>
    </w:p>
    <w:p>
      <w:pPr>
        <w:spacing w:after="0" w:line="50" w:lineRule="exact"/>
        <w:rPr>
          <w:rFonts w:ascii="Arial" w:cs="Arial" w:eastAsia="Arial" w:hAnsi="Arial"/>
          <w:sz w:val="18"/>
          <w:szCs w:val="18"/>
          <w:color w:val="auto"/>
        </w:rPr>
      </w:pPr>
    </w:p>
    <w:p>
      <w:pPr>
        <w:ind w:left="460" w:right="14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333-159463 filed on August 21, 2009.</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41" w:name="page142"/>
    <w:bookmarkEnd w:id="14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3rd of February, 2010.</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Prokosch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Prokosch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8"/>
          <w:szCs w:val="18"/>
          <w:b w:val="1"/>
          <w:bCs w:val="1"/>
          <w:color w:val="auto"/>
        </w:rPr>
        <w:t>xhibit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9/30/2009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9/30/2009</w:t>
            </w:r>
          </w:p>
        </w:tc>
        <w:tc>
          <w:tcPr>
            <w:tcW w:w="1820" w:type="dxa"/>
            <w:vAlign w:val="bottom"/>
          </w:tcPr>
          <w:p>
            <w:pPr>
              <w:spacing w:after="0"/>
              <w:rPr>
                <w:sz w:val="14"/>
                <w:szCs w:val="14"/>
                <w:color w:val="auto"/>
              </w:rPr>
            </w:pPr>
          </w:p>
        </w:tc>
      </w:tr>
      <w:tr>
        <w:trPr>
          <w:trHeight w:val="210"/>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Cash and Balances Due From Depository Institutions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5,280,939</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40,563,378</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Federal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3,740,525</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179,125,128</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4,619,442</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12,762,329</w:t>
            </w:r>
          </w:p>
        </w:tc>
        <w:tc>
          <w:tcPr>
            <w:tcW w:w="182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13,851,241</w:t>
            </w:r>
          </w:p>
        </w:tc>
        <w:tc>
          <w:tcPr>
            <w:tcW w:w="182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259,942,982</w:t>
            </w:r>
          </w:p>
        </w:tc>
        <w:tc>
          <w:tcPr>
            <w:tcW w:w="1820" w:type="dxa"/>
            <w:vAlign w:val="bottom"/>
          </w:tcPr>
          <w:p>
            <w:pPr>
              <w:spacing w:after="0"/>
              <w:rPr>
                <w:sz w:val="18"/>
                <w:szCs w:val="18"/>
                <w:color w:val="auto"/>
              </w:rPr>
            </w:pPr>
          </w:p>
        </w:tc>
      </w:tr>
      <w:tr>
        <w:trPr>
          <w:trHeight w:val="323"/>
        </w:trPr>
        <w:tc>
          <w:tcPr>
            <w:tcW w:w="560" w:type="dxa"/>
            <w:vAlign w:val="bottom"/>
          </w:tcPr>
          <w:p>
            <w:pPr>
              <w:spacing w:after="0"/>
              <w:rPr>
                <w:sz w:val="24"/>
                <w:szCs w:val="24"/>
                <w:color w:val="auto"/>
              </w:rPr>
            </w:pPr>
          </w:p>
        </w:tc>
        <w:tc>
          <w:tcPr>
            <w:tcW w:w="7960" w:type="dxa"/>
            <w:vAlign w:val="bottom"/>
            <w:gridSpan w:val="3"/>
          </w:tcPr>
          <w:p>
            <w:pPr>
              <w:ind w:left="128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7"/>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180,624,239</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Fed Funds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10,951,345</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Trading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469,006</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28,305,774</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Acceptances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7,779,967</w:t>
            </w:r>
          </w:p>
        </w:tc>
        <w:tc>
          <w:tcPr>
            <w:tcW w:w="182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6,311,437</w:t>
            </w:r>
          </w:p>
        </w:tc>
        <w:tc>
          <w:tcPr>
            <w:tcW w:w="182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234,441,768</w:t>
            </w:r>
          </w:p>
        </w:tc>
        <w:tc>
          <w:tcPr>
            <w:tcW w:w="1820" w:type="dxa"/>
            <w:vAlign w:val="bottom"/>
          </w:tcPr>
          <w:p>
            <w:pPr>
              <w:spacing w:after="0"/>
              <w:rPr>
                <w:sz w:val="18"/>
                <w:szCs w:val="18"/>
                <w:color w:val="auto"/>
              </w:rPr>
            </w:pPr>
          </w:p>
        </w:tc>
      </w:tr>
      <w:tr>
        <w:trPr>
          <w:trHeight w:val="323"/>
        </w:trPr>
        <w:tc>
          <w:tcPr>
            <w:tcW w:w="560" w:type="dxa"/>
            <w:vAlign w:val="bottom"/>
          </w:tcPr>
          <w:p>
            <w:pPr>
              <w:spacing w:after="0"/>
              <w:rPr>
                <w:sz w:val="24"/>
                <w:szCs w:val="24"/>
                <w:color w:val="auto"/>
              </w:rPr>
            </w:pPr>
          </w:p>
        </w:tc>
        <w:tc>
          <w:tcPr>
            <w:tcW w:w="7960" w:type="dxa"/>
            <w:vAlign w:val="bottom"/>
            <w:gridSpan w:val="3"/>
          </w:tcPr>
          <w:p>
            <w:pPr>
              <w:ind w:left="128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7"/>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1,640,987</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Common and Preferred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18,200</w:t>
            </w:r>
          </w:p>
        </w:tc>
        <w:tc>
          <w:tcPr>
            <w:tcW w:w="18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12,642,020</w:t>
            </w:r>
          </w:p>
        </w:tc>
        <w:tc>
          <w:tcPr>
            <w:tcW w:w="182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80" w:type="dxa"/>
            <w:vAlign w:val="bottom"/>
            <w:gridSpan w:val="2"/>
          </w:tcPr>
          <w:p>
            <w:pPr>
              <w:ind w:left="440"/>
              <w:spacing w:after="0"/>
              <w:rPr>
                <w:sz w:val="20"/>
                <w:szCs w:val="20"/>
                <w:color w:val="auto"/>
              </w:rPr>
            </w:pPr>
            <w:r>
              <w:rPr>
                <w:rFonts w:ascii="Arial" w:cs="Arial" w:eastAsia="Arial" w:hAnsi="Arial"/>
                <w:sz w:val="18"/>
                <w:szCs w:val="18"/>
                <w:color w:val="auto"/>
              </w:rPr>
              <w:t>Undivided Profits</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11,200,007</w:t>
            </w:r>
          </w:p>
        </w:tc>
        <w:tc>
          <w:tcPr>
            <w:tcW w:w="1820" w:type="dxa"/>
            <w:vAlign w:val="bottom"/>
          </w:tcPr>
          <w:p>
            <w:pPr>
              <w:spacing w:after="0"/>
              <w:rPr>
                <w:sz w:val="19"/>
                <w:szCs w:val="19"/>
                <w:color w:val="auto"/>
              </w:rPr>
            </w:pPr>
          </w:p>
        </w:tc>
      </w:tr>
      <w:tr>
        <w:trPr>
          <w:trHeight w:val="216"/>
        </w:trPr>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25,501,214</w:t>
            </w:r>
          </w:p>
        </w:tc>
        <w:tc>
          <w:tcPr>
            <w:tcW w:w="1820" w:type="dxa"/>
            <w:vAlign w:val="bottom"/>
          </w:tcPr>
          <w:p>
            <w:pPr>
              <w:spacing w:after="0"/>
              <w:rPr>
                <w:sz w:val="18"/>
                <w:szCs w:val="18"/>
                <w:color w:val="auto"/>
              </w:rPr>
            </w:pPr>
          </w:p>
        </w:tc>
      </w:tr>
      <w:tr>
        <w:trPr>
          <w:trHeight w:val="322"/>
        </w:trPr>
        <w:tc>
          <w:tcPr>
            <w:tcW w:w="560" w:type="dxa"/>
            <w:vAlign w:val="bottom"/>
          </w:tcPr>
          <w:p>
            <w:pPr>
              <w:spacing w:after="0"/>
              <w:rPr>
                <w:sz w:val="24"/>
                <w:szCs w:val="24"/>
                <w:color w:val="auto"/>
              </w:rPr>
            </w:pPr>
          </w:p>
        </w:tc>
        <w:tc>
          <w:tcPr>
            <w:tcW w:w="7960" w:type="dxa"/>
            <w:vAlign w:val="bottom"/>
            <w:gridSpan w:val="3"/>
          </w:tcPr>
          <w:p>
            <w:pPr>
              <w:ind w:left="1280"/>
              <w:spacing w:after="0"/>
              <w:rPr>
                <w:sz w:val="20"/>
                <w:szCs w:val="20"/>
                <w:color w:val="auto"/>
              </w:rPr>
            </w:pPr>
            <w:r>
              <w:rPr>
                <w:rFonts w:ascii="Arial" w:cs="Arial" w:eastAsia="Arial" w:hAnsi="Arial"/>
                <w:sz w:val="18"/>
                <w:szCs w:val="18"/>
                <w:b w:val="1"/>
                <w:bCs w:val="1"/>
                <w:color w:val="auto"/>
              </w:rPr>
              <w:t>Total Liabilities and Equity Capital</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259,942,982</w:t>
            </w:r>
          </w:p>
        </w:tc>
        <w:tc>
          <w:tcPr>
            <w:tcW w:w="1820" w:type="dxa"/>
            <w:vAlign w:val="bottom"/>
          </w:tcPr>
          <w:p>
            <w:pPr>
              <w:spacing w:after="0"/>
              <w:rPr>
                <w:sz w:val="24"/>
                <w:szCs w:val="24"/>
                <w:color w:val="auto"/>
              </w:rPr>
            </w:pPr>
          </w:p>
        </w:tc>
      </w:tr>
      <w:tr>
        <w:trPr>
          <w:trHeight w:val="218"/>
        </w:trPr>
        <w:tc>
          <w:tcPr>
            <w:tcW w:w="4580" w:type="dxa"/>
            <w:vAlign w:val="bottom"/>
            <w:tcBorders>
              <w:bottom w:val="single" w:sz="8" w:color="auto"/>
            </w:tcBorders>
            <w:gridSpan w:val="3"/>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370"/>
        </w:trPr>
        <w:tc>
          <w:tcPr>
            <w:tcW w:w="8520" w:type="dxa"/>
            <w:vAlign w:val="bottom"/>
            <w:gridSpan w:val="4"/>
          </w:tcPr>
          <w:p>
            <w:pPr>
              <w:spacing w:after="0"/>
              <w:rPr>
                <w:sz w:val="20"/>
                <w:szCs w:val="20"/>
                <w:color w:val="auto"/>
              </w:rPr>
            </w:pPr>
            <w:r>
              <w:rPr>
                <w:rFonts w:ascii="Arial" w:cs="Arial" w:eastAsia="Arial" w:hAnsi="Arial"/>
                <w:sz w:val="18"/>
                <w:szCs w:val="18"/>
                <w:color w:val="auto"/>
                <w:w w:val="89"/>
              </w:rPr>
              <w:t>To the best of the undersigned’s determination, as of the date hereof, the above financial information is true and correct.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9"/>
        </w:trPr>
        <w:tc>
          <w:tcPr>
            <w:tcW w:w="8520" w:type="dxa"/>
            <w:vAlign w:val="bottom"/>
            <w:gridSpan w:val="4"/>
          </w:tcPr>
          <w:p>
            <w:pPr>
              <w:spacing w:after="0"/>
              <w:rPr>
                <w:sz w:val="20"/>
                <w:szCs w:val="20"/>
                <w:color w:val="auto"/>
              </w:rPr>
            </w:pPr>
            <w:r>
              <w:rPr>
                <w:rFonts w:ascii="Arial" w:cs="Arial" w:eastAsia="Arial" w:hAnsi="Arial"/>
                <w:sz w:val="18"/>
                <w:szCs w:val="18"/>
                <w:b w:val="1"/>
                <w:bCs w:val="1"/>
                <w:color w:val="auto"/>
              </w:rPr>
              <w:t>U.S. Bank National Association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Raymond S. Haverstock</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796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7960" w:type="dxa"/>
            <w:vAlign w:val="bottom"/>
            <w:gridSpan w:val="3"/>
          </w:tcPr>
          <w:p>
            <w:pPr>
              <w:spacing w:after="0"/>
              <w:rPr>
                <w:sz w:val="20"/>
                <w:szCs w:val="20"/>
                <w:color w:val="auto"/>
              </w:rPr>
            </w:pPr>
            <w:r>
              <w:rPr>
                <w:rFonts w:ascii="Arial" w:cs="Arial" w:eastAsia="Arial" w:hAnsi="Arial"/>
                <w:sz w:val="18"/>
                <w:szCs w:val="18"/>
                <w:color w:val="auto"/>
              </w:rPr>
              <w:t>February 3, 2010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7960" w:type="dxa"/>
            <w:vAlign w:val="bottom"/>
            <w:gridSpan w:val="3"/>
          </w:tcPr>
          <w:p>
            <w:pPr>
              <w:ind w:left="5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1)"/>
      <w:numFmt w:val="lowerLetter"/>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lvl w:ilvl="1">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lvl w:ilvl="1">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lowerRoman"/>
      <w:start w:val="1"/>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77AE35EB"/>
    <w:multiLevelType w:val="hybridMultilevel"/>
    <w:lvl w:ilvl="0">
      <w:lvlJc w:val="left"/>
      <w:lvlText w:val="(%1)"/>
      <w:numFmt w:val="decimal"/>
      <w:start w:val="2"/>
    </w:lvl>
    <w:lvl w:ilvl="1">
      <w:lvlJc w:val="left"/>
      <w:lvlText w:val="(%2)"/>
      <w:numFmt w:val="upperLetter"/>
      <w:start w:val="1"/>
    </w:lvl>
  </w:abstractNum>
  <w:abstractNum w:abstractNumId="28">
    <w:nsid w:val="579BE4F1"/>
    <w:multiLevelType w:val="hybridMultilevel"/>
    <w:lvl w:ilvl="0">
      <w:lvlJc w:val="left"/>
      <w:lvlText w:val="(%1)"/>
      <w:numFmt w:val="decimal"/>
      <w:start w:val="5"/>
    </w:lvl>
  </w:abstractNum>
  <w:abstractNum w:abstractNumId="29">
    <w:nsid w:val="310C50B3"/>
    <w:multiLevelType w:val="hybridMultilevel"/>
    <w:lvl w:ilvl="0">
      <w:lvlJc w:val="left"/>
      <w:lvlText w:val="%1"/>
      <w:numFmt w:val="lowerLetter"/>
      <w:start w:val="1"/>
    </w:lvl>
    <w:lvl w:ilvl="1">
      <w:lvlJc w:val="left"/>
      <w:lvlText w:val="(%2)"/>
      <w:numFmt w:val="lowerRoman"/>
      <w:start w:val="1"/>
    </w:lvl>
  </w:abstractNum>
  <w:abstractNum w:abstractNumId="30">
    <w:nsid w:val="5FF87E05"/>
    <w:multiLevelType w:val="hybridMultilevel"/>
    <w:lvl w:ilvl="0">
      <w:lvlJc w:val="left"/>
      <w:lvlText w:val="(%1)"/>
      <w:numFmt w:val="lowerLetter"/>
      <w:start w:val="2"/>
    </w:lvl>
    <w:lvl w:ilvl="1">
      <w:lvlJc w:val="left"/>
      <w:lvlText w:val="%2"/>
      <w:numFmt w:val="lowerRoman"/>
      <w:start w:val="1"/>
    </w:lvl>
  </w:abstractNum>
  <w:abstractNum w:abstractNumId="31">
    <w:nsid w:val="2F305DEF"/>
    <w:multiLevelType w:val="hybridMultilevel"/>
    <w:lvl w:ilvl="0">
      <w:lvlJc w:val="left"/>
      <w:lvlText w:val="[\emdash ]"/>
      <w:numFmt w:val="bullet"/>
      <w:start w:val="1"/>
    </w:lvl>
  </w:abstractNum>
  <w:abstractNum w:abstractNumId="32">
    <w:nsid w:val="25A70BF7"/>
    <w:multiLevelType w:val="hybridMultilevel"/>
    <w:lvl w:ilvl="0">
      <w:lvlJc w:val="left"/>
      <w:lvlText w:val="(%1)"/>
      <w:numFmt w:val="lowerLetter"/>
      <w:start w:val="4"/>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1)"/>
      <w:numFmt w:val="lowerLetter"/>
      <w:start w:val="2"/>
    </w:lvl>
    <w:lvl w:ilvl="1">
      <w:lvlJc w:val="left"/>
      <w:lvlText w:val="(%2)"/>
      <w:numFmt w:val="lowerRoman"/>
      <w:start w:val="1"/>
    </w:lvl>
  </w:abstractNum>
  <w:abstractNum w:abstractNumId="35">
    <w:nsid w:val="1F48EAA1"/>
    <w:multiLevelType w:val="hybridMultilevel"/>
    <w:lvl w:ilvl="0">
      <w:lvlJc w:val="left"/>
      <w:lvlText w:val="(%1)"/>
      <w:numFmt w:val="lowerRoman"/>
      <w:start w:val="6"/>
    </w:lvl>
  </w:abstractNum>
  <w:abstractNum w:abstractNumId="36">
    <w:nsid w:val="1381823A"/>
    <w:multiLevelType w:val="hybridMultilevel"/>
    <w:lvl w:ilvl="0">
      <w:lvlJc w:val="left"/>
      <w:lvlText w:val="(%1)"/>
      <w:numFmt w:val="lowerLetter"/>
      <w:start w:val="3"/>
    </w:lvl>
    <w:lvl w:ilvl="1">
      <w:lvlJc w:val="left"/>
      <w:lvlText w:val="(%2)"/>
      <w:numFmt w:val="lowerRoman"/>
      <w:start w:val="1"/>
    </w:lvl>
  </w:abstractNum>
  <w:abstractNum w:abstractNumId="37">
    <w:nsid w:val="5DB70AE5"/>
    <w:multiLevelType w:val="hybridMultilevel"/>
    <w:lvl w:ilvl="0">
      <w:lvlJc w:val="left"/>
      <w:lvlText w:val="(%1)"/>
      <w:numFmt w:val="lowerRoman"/>
      <w:start w:val="3"/>
    </w:lvl>
  </w:abstractNum>
  <w:abstractNum w:abstractNumId="38">
    <w:nsid w:val="100F8FCA"/>
    <w:multiLevelType w:val="hybridMultilevel"/>
    <w:lvl w:ilvl="0">
      <w:lvlJc w:val="left"/>
      <w:lvlText w:val="(%1)"/>
      <w:numFmt w:val="lowerRoman"/>
      <w:start w:val="9"/>
    </w:lvl>
  </w:abstractNum>
  <w:abstractNum w:abstractNumId="39">
    <w:nsid w:val="6590700B"/>
    <w:multiLevelType w:val="hybridMultilevel"/>
    <w:lvl w:ilvl="0">
      <w:lvlJc w:val="left"/>
      <w:lvlText w:val="(%1)"/>
      <w:numFmt w:val="lowerLetter"/>
      <w:start w:val="5"/>
    </w:lvl>
  </w:abstractNum>
  <w:abstractNum w:abstractNumId="40">
    <w:nsid w:val="15014ACB"/>
    <w:multiLevelType w:val="hybridMultilevel"/>
    <w:lvl w:ilvl="0">
      <w:lvlJc w:val="left"/>
      <w:lvlText w:val="(%1)"/>
      <w:numFmt w:val="lowerLetter"/>
      <w:start w:val="7"/>
    </w:lvl>
  </w:abstractNum>
  <w:abstractNum w:abstractNumId="41">
    <w:nsid w:val="5F5E7FD0"/>
    <w:multiLevelType w:val="hybridMultilevel"/>
    <w:lvl w:ilvl="0">
      <w:lvlJc w:val="left"/>
      <w:lvlText w:val="(%1)"/>
      <w:numFmt w:val="lowerLetter"/>
      <w:start w:val="1"/>
    </w:lvl>
  </w:abstractNum>
  <w:abstractNum w:abstractNumId="42">
    <w:nsid w:val="98A3148"/>
    <w:multiLevelType w:val="hybridMultilevel"/>
    <w:lvl w:ilvl="0">
      <w:lvlJc w:val="left"/>
      <w:lvlText w:val="(%1)"/>
      <w:numFmt w:val="lowerLetter"/>
      <w:start w:val="5"/>
    </w:lvl>
  </w:abstractNum>
  <w:abstractNum w:abstractNumId="43">
    <w:nsid w:val="799D0247"/>
    <w:multiLevelType w:val="hybridMultilevel"/>
    <w:lvl w:ilvl="0">
      <w:lvlJc w:val="left"/>
      <w:lvlText w:val="%1"/>
      <w:numFmt w:val="lowerLetter"/>
      <w:start w:val="1"/>
    </w:lvl>
    <w:lvl w:ilvl="1">
      <w:lvlJc w:val="left"/>
      <w:lvlText w:val="(%2)"/>
      <w:numFmt w:val="lowerLetter"/>
      <w:start w:val="9"/>
    </w:lvl>
  </w:abstractNum>
  <w:abstractNum w:abstractNumId="44">
    <w:nsid w:val="6B94764"/>
    <w:multiLevelType w:val="hybridMultilevel"/>
    <w:lvl w:ilvl="0">
      <w:lvlJc w:val="left"/>
      <w:lvlText w:val="(%1)"/>
      <w:numFmt w:val="lowerLetter"/>
      <w:start w:val="9"/>
    </w:lvl>
    <w:lvl w:ilvl="1">
      <w:lvlJc w:val="left"/>
      <w:lvlText w:val="(%2)"/>
      <w:numFmt w:val="lowerLetter"/>
      <w:start w:val="10"/>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2"/>
    </w:lvl>
  </w:abstractNum>
  <w:abstractNum w:abstractNumId="47">
    <w:nsid w:val="1EBA5D23"/>
    <w:multiLevelType w:val="hybridMultilevel"/>
    <w:lvl w:ilvl="0">
      <w:lvlJc w:val="left"/>
      <w:lvlText w:val="(%1)"/>
      <w:numFmt w:val="lowerLetter"/>
      <w:start w:val="4"/>
    </w:lvl>
  </w:abstractNum>
  <w:abstractNum w:abstractNumId="48">
    <w:nsid w:val="661E3F1E"/>
    <w:multiLevelType w:val="hybridMultilevel"/>
    <w:lvl w:ilvl="0">
      <w:lvlJc w:val="left"/>
      <w:lvlText w:val="%1"/>
      <w:numFmt w:val="lowerLetter"/>
      <w:start w:val="1"/>
    </w:lvl>
    <w:lvl w:ilvl="1">
      <w:lvlJc w:val="left"/>
      <w:lvlText w:val="(%2)"/>
      <w:numFmt w:val="lowerLetter"/>
      <w:start w:val="8"/>
    </w:lvl>
  </w:abstractNum>
  <w:abstractNum w:abstractNumId="49">
    <w:nsid w:val="5DC79EA8"/>
    <w:multiLevelType w:val="hybridMultilevel"/>
    <w:lvl w:ilvl="0">
      <w:lvlJc w:val="left"/>
      <w:lvlText w:val="(%1)"/>
      <w:numFmt w:val="lowerLetter"/>
      <w:start w:val="61"/>
    </w:lvl>
    <w:lvl w:ilvl="1">
      <w:lvlJc w:val="left"/>
      <w:lvlText w:val="(%2)"/>
      <w:numFmt w:val="lowerLetter"/>
      <w:start w:val="11"/>
    </w:lvl>
  </w:abstractNum>
  <w:abstractNum w:abstractNumId="50">
    <w:nsid w:val="540A471C"/>
    <w:multiLevelType w:val="hybridMultilevel"/>
    <w:lvl w:ilvl="0">
      <w:lvlJc w:val="left"/>
      <w:lvlText w:val="(%1)"/>
      <w:numFmt w:val="lowerLetter"/>
      <w:start w:val="14"/>
    </w:lvl>
  </w:abstractNum>
  <w:abstractNum w:abstractNumId="51">
    <w:nsid w:val="7BD3EE7B"/>
    <w:multiLevelType w:val="hybridMultilevel"/>
    <w:lvl w:ilvl="0">
      <w:lvlJc w:val="left"/>
      <w:lvlText w:val="(%1)"/>
      <w:numFmt w:val="lowerLetter"/>
      <w:start w:val="1"/>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1"/>
    </w:lvl>
  </w:abstractNum>
  <w:abstractNum w:abstractNumId="54">
    <w:nsid w:val="BF72B14"/>
    <w:multiLevelType w:val="hybridMultilevel"/>
    <w:lvl w:ilvl="0">
      <w:lvlJc w:val="left"/>
      <w:lvlText w:val="(%1)"/>
      <w:numFmt w:val="lowerLetter"/>
      <w:start w:val="6"/>
    </w:lvl>
  </w:abstractNum>
  <w:abstractNum w:abstractNumId="55">
    <w:nsid w:val="11447B73"/>
    <w:multiLevelType w:val="hybridMultilevel"/>
    <w:lvl w:ilvl="0">
      <w:lvlJc w:val="left"/>
      <w:lvlText w:val="(%1)"/>
      <w:numFmt w:val="lowerLetter"/>
      <w:start w:val="17"/>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lowerLetter"/>
      <w:start w:val="2"/>
    </w:lvl>
    <w:lvl w:ilvl="1">
      <w:lvlJc w:val="left"/>
      <w:lvlText w:val="(%2)"/>
      <w:numFmt w:val="lowerRoman"/>
      <w:start w:val="1"/>
    </w:lvl>
  </w:abstractNum>
  <w:abstractNum w:abstractNumId="58">
    <w:nsid w:val="8F2B15E"/>
    <w:multiLevelType w:val="hybridMultilevel"/>
    <w:lvl w:ilvl="0">
      <w:lvlJc w:val="left"/>
      <w:lvlText w:val="(%1)"/>
      <w:numFmt w:val="lowerRoman"/>
      <w:start w:val="3"/>
    </w:lvl>
  </w:abstractNum>
  <w:abstractNum w:abstractNumId="59">
    <w:nsid w:val="1A32234B"/>
    <w:multiLevelType w:val="hybridMultilevel"/>
    <w:lvl w:ilvl="0">
      <w:lvlJc w:val="left"/>
      <w:lvlText w:val="(%1)"/>
      <w:numFmt w:val="lowerRoman"/>
      <w:start w:val="1"/>
    </w:lvl>
  </w:abstractNum>
  <w:abstractNum w:abstractNumId="60">
    <w:nsid w:val="3B0FD379"/>
    <w:multiLevelType w:val="hybridMultilevel"/>
    <w:lvl w:ilvl="0">
      <w:lvlJc w:val="left"/>
      <w:lvlText w:val="(%1)"/>
      <w:numFmt w:val="lowerRoman"/>
      <w:start w:val="2"/>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3"/>
    </w:lvl>
  </w:abstractNum>
  <w:abstractNum w:abstractNumId="63">
    <w:nsid w:val="60B6DF70"/>
    <w:multiLevelType w:val="hybridMultilevel"/>
    <w:lvl w:ilvl="0">
      <w:lvlJc w:val="left"/>
      <w:lvlText w:val="(%1)"/>
      <w:numFmt w:val="lowerLetter"/>
      <w:start w:val="1"/>
    </w:lvl>
    <w:lvl w:ilvl="1">
      <w:lvlJc w:val="left"/>
      <w:lvlText w:val="(%2)"/>
      <w:numFmt w:val="lowerRoman"/>
      <w:start w:val="1"/>
    </w:lvl>
  </w:abstractNum>
  <w:abstractNum w:abstractNumId="64">
    <w:nsid w:val="6A5EE64"/>
    <w:multiLevelType w:val="hybridMultilevel"/>
    <w:lvl w:ilvl="0">
      <w:lvlJc w:val="left"/>
      <w:lvlText w:val="(%1)"/>
      <w:numFmt w:val="lowerRoman"/>
      <w:start w:val="5"/>
    </w:lvl>
  </w:abstractNum>
  <w:abstractNum w:abstractNumId="65">
    <w:nsid w:val="14330624"/>
    <w:multiLevelType w:val="hybridMultilevel"/>
    <w:lvl w:ilvl="0">
      <w:lvlJc w:val="left"/>
      <w:lvlText w:val="(%1)"/>
      <w:numFmt w:val="lowerLetter"/>
      <w:start w:val="2"/>
    </w:lvl>
  </w:abstractNum>
  <w:abstractNum w:abstractNumId="66">
    <w:nsid w:val="7FFFCA11"/>
    <w:multiLevelType w:val="hybridMultilevel"/>
    <w:lvl w:ilvl="0">
      <w:lvlJc w:val="left"/>
      <w:lvlText w:val="(%1)"/>
      <w:numFmt w:val="lowerLetter"/>
      <w:start w:val="1"/>
    </w:lvl>
    <w:lvl w:ilvl="1">
      <w:lvlJc w:val="left"/>
      <w:lvlText w:val="(%2)"/>
      <w:numFmt w:val="lowerRoman"/>
      <w:start w:val="1"/>
    </w:lvl>
  </w:abstractNum>
  <w:abstractNum w:abstractNumId="67">
    <w:nsid w:val="1A27709E"/>
    <w:multiLevelType w:val="hybridMultilevel"/>
    <w:lvl w:ilvl="0">
      <w:lvlJc w:val="left"/>
      <w:lvlText w:val="(%1)"/>
      <w:numFmt w:val="lowerLetter"/>
      <w:start w:val="2"/>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2"/>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Letter"/>
      <w:start w:val="3"/>
    </w:lvl>
  </w:abstractNum>
  <w:abstractNum w:abstractNumId="72">
    <w:nsid w:val="6F6DD9AC"/>
    <w:multiLevelType w:val="hybridMultilevel"/>
    <w:lvl w:ilvl="0">
      <w:lvlJc w:val="left"/>
      <w:lvlText w:val="(%1)"/>
      <w:numFmt w:val="lowerRoman"/>
      <w:start w:val="1"/>
    </w:lvl>
  </w:abstractNum>
  <w:abstractNum w:abstractNumId="73">
    <w:nsid w:val="94211F2"/>
    <w:multiLevelType w:val="hybridMultilevel"/>
    <w:lvl w:ilvl="0">
      <w:lvlJc w:val="left"/>
      <w:lvlText w:val="(%1)"/>
      <w:numFmt w:val="lowerRoman"/>
      <w:start w:val="2"/>
    </w:lvl>
  </w:abstractNum>
  <w:abstractNum w:abstractNumId="74">
    <w:nsid w:val="885E1B"/>
    <w:multiLevelType w:val="hybridMultilevel"/>
    <w:lvl w:ilvl="0">
      <w:lvlJc w:val="left"/>
      <w:lvlText w:val="(%1)"/>
      <w:numFmt w:val="lowerLetter"/>
      <w:start w:val="1"/>
    </w:lvl>
    <w:lvl w:ilvl="1">
      <w:lvlJc w:val="left"/>
      <w:lvlText w:val="(%2)"/>
      <w:numFmt w:val="lowerRoman"/>
      <w:start w:val="1"/>
    </w:lvl>
  </w:abstractNum>
  <w:abstractNum w:abstractNumId="75">
    <w:nsid w:val="76272110"/>
    <w:multiLevelType w:val="hybridMultilevel"/>
    <w:lvl w:ilvl="0">
      <w:lvlJc w:val="left"/>
      <w:lvlText w:val="(%1)"/>
      <w:numFmt w:val="lowerLetter"/>
      <w:start w:val="2"/>
    </w:lvl>
  </w:abstractNum>
  <w:abstractNum w:abstractNumId="76">
    <w:nsid w:val="4C04A8AF"/>
    <w:multiLevelType w:val="hybridMultilevel"/>
    <w:lvl w:ilvl="0">
      <w:lvlJc w:val="left"/>
      <w:lvlText w:val="(%1)"/>
      <w:numFmt w:val="lowerLetter"/>
      <w:start w:val="1"/>
    </w:lvl>
  </w:abstractNum>
  <w:abstractNum w:abstractNumId="77">
    <w:nsid w:val="1716703B"/>
    <w:multiLevelType w:val="hybridMultilevel"/>
    <w:lvl w:ilvl="0">
      <w:lvlJc w:val="left"/>
      <w:lvlText w:val="(%1)"/>
      <w:numFmt w:val="lowerLetter"/>
      <w:start w:val="4"/>
    </w:lvl>
  </w:abstractNum>
  <w:abstractNum w:abstractNumId="78">
    <w:nsid w:val="14E17E33"/>
    <w:multiLevelType w:val="hybridMultilevel"/>
    <w:lvl w:ilvl="0">
      <w:lvlJc w:val="left"/>
      <w:lvlText w:val="(%1)"/>
      <w:numFmt w:val="lowerLetter"/>
      <w:start w:val="2"/>
    </w:lvl>
    <w:lvl w:ilvl="1">
      <w:lvlJc w:val="left"/>
      <w:lvlText w:val="(%2)"/>
      <w:numFmt w:val="lowerLetter"/>
      <w:start w:val="9"/>
    </w:lvl>
  </w:abstractNum>
  <w:abstractNum w:abstractNumId="79">
    <w:nsid w:val="3222E7CD"/>
    <w:multiLevelType w:val="hybridMultilevel"/>
    <w:lvl w:ilvl="0">
      <w:lvlJc w:val="left"/>
      <w:lvlText w:val="(%1)"/>
      <w:numFmt w:val="lowerRoman"/>
      <w:start w:val="2"/>
    </w:lvl>
  </w:abstractNum>
  <w:abstractNum w:abstractNumId="80">
    <w:nsid w:val="74DE0EE3"/>
    <w:multiLevelType w:val="hybridMultilevel"/>
    <w:lvl w:ilvl="0">
      <w:lvlJc w:val="left"/>
      <w:lvlText w:val="(%1)"/>
      <w:numFmt w:val="lowerLetter"/>
      <w:start w:val="3"/>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2"/>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6"/>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5"/>
    </w:lvl>
  </w:abstractNum>
  <w:abstractNum w:abstractNumId="87">
    <w:nsid w:val="CC1016F"/>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88">
    <w:nsid w:val="43F18422"/>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89">
    <w:nsid w:val="60EF011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2"/>
    </w:lvl>
  </w:abstractNum>
  <w:abstractNum w:abstractNumId="90">
    <w:nsid w:val="26F324BA"/>
    <w:multiLevelType w:val="hybridMultilevel"/>
    <w:lvl w:ilvl="0">
      <w:lvlJc w:val="left"/>
      <w:lvlText w:val="(%1)"/>
      <w:numFmt w:val="upperLetter"/>
      <w:start w:val="4"/>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4"/>
    </w:lvl>
  </w:abstractNum>
  <w:abstractNum w:abstractNumId="94">
    <w:nsid w:val="5FB8370B"/>
    <w:multiLevelType w:val="hybridMultilevel"/>
    <w:lvl w:ilvl="0">
      <w:lvlJc w:val="left"/>
      <w:lvlText w:val="%1)"/>
      <w:numFmt w:val="lowerLetter"/>
      <w:start w:val="1"/>
    </w:lvl>
  </w:abstractNum>
  <w:abstractNum w:abstractNumId="95">
    <w:nsid w:val="50801EE1"/>
    <w:multiLevelType w:val="hybridMultilevel"/>
    <w:lvl w:ilvl="0">
      <w:lvlJc w:val="left"/>
      <w:lvlText w:val="%1)"/>
      <w:numFmt w:val="lowerLetter"/>
      <w:start w:val="2"/>
    </w:lvl>
  </w:abstractNum>
  <w:abstractNum w:abstractNumId="96">
    <w:nsid w:val="488AC1A"/>
    <w:multiLevelType w:val="hybridMultilevel"/>
    <w:lvl w:ilvl="0">
      <w:lvlJc w:val="left"/>
      <w:lvlText w:val="*"/>
      <w:numFmt w:val="bullet"/>
      <w:start w:val="1"/>
    </w:lvl>
    <w:lvl w:ilvl="1">
      <w:lvlJc w:val="left"/>
      <w:lvlText w:val="%2."/>
      <w:numFmt w:val="decimal"/>
      <w:start w:val="1"/>
    </w:lvl>
  </w:abstractNum>
  <w:abstractNum w:abstractNumId="97">
    <w:nsid w:val="5FB8011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2019-12-10T03:14:35Z</dcterms:created>
  <dcterms:modified xsi:type="dcterms:W3CDTF">2019-12-10T03:14:35Z</dcterms:modified>
</cp:coreProperties>
</file>