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42545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4"/>
        </w:trPr>
        <w:tc>
          <w:tcPr>
            <w:tcW w:w="2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87"/>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00"/>
        </w:trPr>
        <w:tc>
          <w:tcPr>
            <w:tcW w:w="1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bl>
    <w:p>
      <w:pPr>
        <w:spacing w:after="0" w:line="34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6"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5"/>
        </w:trPr>
        <w:tc>
          <w:tcPr>
            <w:tcW w:w="4700" w:type="dxa"/>
            <w:vAlign w:val="bottom"/>
            <w:gridSpan w:val="3"/>
            <w:vMerge w:val="continue"/>
          </w:tcPr>
          <w:p>
            <w:pPr>
              <w:spacing w:after="0"/>
              <w:rPr>
                <w:sz w:val="20"/>
                <w:szCs w:val="20"/>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Registrant’s news release dated October 21, 2025, regarding its third-quarter results of operations and financial condition is attached hereto as Exhibit 99.</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3"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spacing w:after="0" w:line="1"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68"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3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October 21, 2025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Arial" w:cs="Arial" w:eastAsia="Arial" w:hAnsi="Arial"/>
                <w:sz w:val="18"/>
                <w:szCs w:val="18"/>
                <w:color w:val="auto"/>
              </w:rPr>
              <w:t>TEXAS INSTRUMENTS INCORPORATED</w:t>
            </w:r>
          </w:p>
        </w:tc>
      </w:tr>
      <w:tr>
        <w:trPr>
          <w:trHeight w:val="455"/>
        </w:trPr>
        <w:tc>
          <w:tcPr>
            <w:tcW w:w="3980" w:type="dxa"/>
            <w:vAlign w:val="bottom"/>
          </w:tcPr>
          <w:p>
            <w:pPr>
              <w:spacing w:after="0"/>
              <w:rPr>
                <w:sz w:val="20"/>
                <w:szCs w:val="20"/>
                <w:color w:val="auto"/>
              </w:rPr>
            </w:pPr>
            <w:r>
              <w:rPr>
                <w:rFonts w:ascii="Arial" w:cs="Arial" w:eastAsia="Arial" w:hAnsi="Arial"/>
                <w:sz w:val="18"/>
                <w:szCs w:val="18"/>
                <w:color w:val="auto"/>
              </w:rPr>
              <w:t>Date: October 21, 2025</w:t>
            </w:r>
          </w:p>
        </w:tc>
        <w:tc>
          <w:tcPr>
            <w:tcW w:w="2940" w:type="dxa"/>
            <w:vAlign w:val="bottom"/>
          </w:tcPr>
          <w:p>
            <w:pPr>
              <w:ind w:left="21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18"/>
        </w:trPr>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third quarter 2025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Conference call at 3:30 p.m. Central time today on </w:t>
      </w:r>
      <w:r>
        <w:rPr>
          <w:rFonts w:ascii="Arial" w:cs="Arial" w:eastAsia="Arial" w:hAnsi="Arial"/>
          <w:sz w:val="18"/>
          <w:szCs w:val="18"/>
          <w:u w:val="single" w:color="auto"/>
          <w:color w:val="3A3AFF"/>
        </w:rPr>
        <w:t>ti.com/ir</w:t>
      </w:r>
    </w:p>
    <w:p>
      <w:pPr>
        <w:spacing w:after="0" w:line="225"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DALLAS (Oct. 21, 2025) – Texas Instruments Incorporated (TI) (Nasdaq: TXN) today reported third quarter revenue of $4.74 billion, net income of $1.36 billion and earnings per share of $1.48. Earnings per share included a 10-cent reduction that was not in the company's original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7% sequentially and 14% from the same quarter a year ago with growth across all end markets.</w:t>
      </w:r>
    </w:p>
    <w:p>
      <w:pPr>
        <w:spacing w:after="0" w:line="225" w:lineRule="exact"/>
        <w:rPr>
          <w:rFonts w:ascii="Arial" w:cs="Arial" w:eastAsia="Arial" w:hAnsi="Arial"/>
          <w:sz w:val="18"/>
          <w:szCs w:val="18"/>
          <w:color w:val="auto"/>
        </w:rPr>
      </w:pPr>
    </w:p>
    <w:p>
      <w:pPr>
        <w:ind w:left="620" w:right="3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$6.9 billion for the trailing 12 months again underscored the strength of our business model, the quality of our product portfolio and the benefit of 300mm production. Free cash flow for the same period was $2.4 billion.</w:t>
      </w:r>
    </w:p>
    <w:p>
      <w:pPr>
        <w:spacing w:after="0" w:line="152"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$3.9 billion in R&amp;D and SG&amp;A, invested $4.8 billion in capital expenditures and returned $6.6 billion to owners.</w:t>
      </w:r>
    </w:p>
    <w:p>
      <w:pPr>
        <w:spacing w:after="0" w:line="152" w:lineRule="exact"/>
        <w:rPr>
          <w:rFonts w:ascii="Arial" w:cs="Arial" w:eastAsia="Arial" w:hAnsi="Arial"/>
          <w:sz w:val="18"/>
          <w:szCs w:val="18"/>
          <w:color w:val="auto"/>
        </w:rPr>
      </w:pPr>
    </w:p>
    <w:p>
      <w:pPr>
        <w:ind w:left="620" w:right="4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fourth quarter outlook is for revenue in the range of $4.22 billion to $4.58 billion and earnings per share between $1.13 and $1.39."</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line="285" w:lineRule="auto"/>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 plus proceeds from U.S. CHIPS and Science Act (CHIPS Act) incentives.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Q3 2025</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6"/>
            <w:vMerge w:val="restart"/>
          </w:tcPr>
          <w:p>
            <w:pPr>
              <w:ind w:left="140"/>
              <w:spacing w:after="0"/>
              <w:rPr>
                <w:sz w:val="20"/>
                <w:szCs w:val="20"/>
                <w:color w:val="auto"/>
              </w:rPr>
            </w:pPr>
            <w:r>
              <w:rPr>
                <w:rFonts w:ascii="Arial" w:cs="Arial" w:eastAsia="Arial" w:hAnsi="Arial"/>
                <w:sz w:val="18"/>
                <w:szCs w:val="18"/>
                <w:color w:val="auto"/>
              </w:rPr>
              <w:t>Q3 2024</w:t>
            </w:r>
          </w:p>
        </w:tc>
        <w:tc>
          <w:tcPr>
            <w:tcW w:w="1540" w:type="dxa"/>
            <w:vAlign w:val="bottom"/>
            <w:vMerge w:val="restart"/>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6"/>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4,742</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gridSpan w:val="2"/>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4,151</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1,663</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1,364</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1,362</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585"/>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Q3 2025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Q3 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20"/>
              <w:spacing w:after="0"/>
              <w:rPr>
                <w:sz w:val="20"/>
                <w:szCs w:val="20"/>
                <w:color w:val="auto"/>
              </w:rPr>
            </w:pPr>
            <w:r>
              <w:rPr>
                <w:rFonts w:ascii="Arial" w:cs="Arial" w:eastAsia="Arial" w:hAnsi="Arial"/>
                <w:sz w:val="18"/>
                <w:szCs w:val="18"/>
                <w:color w:val="auto"/>
              </w:rPr>
              <w:t>Q3 2024</w:t>
            </w:r>
          </w:p>
        </w:tc>
        <w:tc>
          <w:tcPr>
            <w:tcW w:w="1540" w:type="dxa"/>
            <w:vAlign w:val="bottom"/>
          </w:tcPr>
          <w:p>
            <w:pPr>
              <w:ind w:lef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6,897</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gridSpan w:val="3"/>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6,244</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2,415</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14.0 %</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240" w:type="dxa"/>
            <w:vAlign w:val="bottom"/>
            <w:gridSpan w:val="3"/>
            <w:shd w:val="clear" w:color="auto" w:fill="DBDBDB"/>
          </w:tcPr>
          <w:p>
            <w:pPr>
              <w:jc w:val="right"/>
              <w:ind w:right="20"/>
              <w:spacing w:after="0"/>
              <w:rPr>
                <w:sz w:val="20"/>
                <w:szCs w:val="20"/>
                <w:color w:val="auto"/>
              </w:rPr>
            </w:pPr>
            <w:r>
              <w:rPr>
                <w:rFonts w:ascii="Arial" w:cs="Arial" w:eastAsia="Arial" w:hAnsi="Arial"/>
                <w:sz w:val="18"/>
                <w:szCs w:val="18"/>
                <w:color w:val="auto"/>
              </w:rPr>
              <w:t>9.3 %</w:t>
            </w: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Q3 2025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Q3 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60"/>
              <w:spacing w:after="0"/>
              <w:rPr>
                <w:sz w:val="20"/>
                <w:szCs w:val="20"/>
                <w:color w:val="auto"/>
              </w:rPr>
            </w:pPr>
            <w:r>
              <w:rPr>
                <w:rFonts w:ascii="Arial" w:cs="Arial" w:eastAsia="Arial" w:hAnsi="Arial"/>
                <w:sz w:val="18"/>
                <w:szCs w:val="18"/>
                <w:color w:val="auto"/>
              </w:rPr>
              <w:t>Q3 2024</w:t>
            </w:r>
          </w:p>
        </w:tc>
        <w:tc>
          <w:tcPr>
            <w:tcW w:w="1540" w:type="dxa"/>
            <w:vAlign w:val="bottom"/>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1,236</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4,949</w:t>
            </w: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gridSpan w:val="2"/>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4,736</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1,611</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1,355</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6,560</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5,193</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1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4,742</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2,723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457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1,663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909</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7720" w:type="dxa"/>
            <w:vAlign w:val="bottom"/>
            <w:tcBorders>
              <w:top w:val="single" w:sz="8" w:color="DBDBDB"/>
              <w:bottom w:val="single" w:sz="8" w:color="DBDBDB"/>
            </w:tcBorders>
            <w:gridSpan w:val="2"/>
            <w:vMerge w:val="restart"/>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7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1,364</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1,362</w:t>
            </w:r>
          </w:p>
        </w:tc>
      </w:tr>
      <w:tr>
        <w:trPr>
          <w:trHeight w:val="230"/>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1,356</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1,355</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80" w:top="890"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9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3,311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2,589</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6,163</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($21) and ($23)</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2,062</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1,862</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2,460</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2,081</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4,829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4,296</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1,799</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13,876</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15,872</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17,314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15,464</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(4,966)</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(3,662)</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12,348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11,802</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237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2,841</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1,931</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35,004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35,321</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779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1,036</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3,118</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3,686</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13,546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12,844</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1,528</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1,352</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18,377</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18,053</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4,410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3,813</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52,369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52,304</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September 30, 2025 – 832; September 30, 2024 – 829</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(41,744)</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(40,395)</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16,627</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17,268</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35,004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35,321</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80" w:top="890"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2,190</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CHIPS Act incentives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(805)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6"/>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(1,236)</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(1,242)</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267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3,044</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3,311</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Investment tax credit (ITC) used to reduce income taxes payable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CHIPS Act incentives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cash benefit related to the CHIPS Act</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80" w:top="890"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Q3 2025</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Q3 2024</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 *</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is calculated as cash flows from operating activities (also referred to as cash flow from operations) less capital expenditures, plus proceeds from CHIPS Act incentives.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right w:val="single" w:sz="8" w:color="auto"/>
            </w:tcBorders>
            <w:gridSpan w:val="2"/>
            <w:vMerge w:val="restart"/>
          </w:tcPr>
          <w:p>
            <w:pPr>
              <w:jc w:val="center"/>
              <w:ind w:right="360"/>
              <w:spacing w:after="0"/>
              <w:rPr>
                <w:sz w:val="20"/>
                <w:szCs w:val="20"/>
                <w:color w:val="auto"/>
              </w:rPr>
            </w:pPr>
            <w:r>
              <w:rPr>
                <w:rFonts w:ascii="Arial" w:cs="Arial" w:eastAsia="Arial" w:hAnsi="Arial"/>
                <w:sz w:val="18"/>
                <w:szCs w:val="18"/>
                <w:b w:val="1"/>
                <w:bCs w:val="1"/>
                <w:color w:val="auto"/>
              </w:rPr>
              <w:t>For Three</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9"/>
              </w:rPr>
              <w:t>For 12</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center"/>
              <w:ind w:left="570"/>
              <w:spacing w:after="0" w:line="176" w:lineRule="exact"/>
              <w:rPr>
                <w:sz w:val="20"/>
                <w:szCs w:val="20"/>
                <w:color w:val="auto"/>
              </w:rPr>
            </w:pPr>
            <w:r>
              <w:rPr>
                <w:rFonts w:ascii="Arial" w:cs="Arial" w:eastAsia="Arial" w:hAnsi="Arial"/>
                <w:sz w:val="18"/>
                <w:szCs w:val="18"/>
                <w:b w:val="1"/>
                <w:bCs w:val="1"/>
                <w:color w:val="auto"/>
                <w:w w:val="99"/>
              </w:rPr>
              <w:t>Months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580" w:type="dxa"/>
            <w:vAlign w:val="bottom"/>
            <w:tcBorders>
              <w:right w:val="single" w:sz="8" w:color="auto"/>
            </w:tcBorders>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9"/>
              </w:rPr>
              <w:t>Months Ended</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center"/>
              <w:ind w:left="550"/>
              <w:spacing w:after="0" w:line="189" w:lineRule="exact"/>
              <w:rPr>
                <w:sz w:val="20"/>
                <w:szCs w:val="20"/>
                <w:color w:val="auto"/>
              </w:rPr>
            </w:pPr>
            <w:r>
              <w:rPr>
                <w:rFonts w:ascii="Arial" w:cs="Arial" w:eastAsia="Arial" w:hAnsi="Arial"/>
                <w:sz w:val="18"/>
                <w:szCs w:val="18"/>
                <w:b w:val="1"/>
                <w:bCs w:val="1"/>
                <w:color w:val="auto"/>
                <w:w w:val="98"/>
              </w:rPr>
              <w:t>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58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9"/>
              </w:rPr>
              <w:t>September 30,</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DBDBDB"/>
            </w:tcBorders>
            <w:vMerge w:val="continue"/>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140" w:type="dxa"/>
            <w:vAlign w:val="bottom"/>
            <w:tcBorders>
              <w:bottom w:val="single" w:sz="8" w:color="DBDBDB"/>
              <w:right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2,190</w:t>
            </w:r>
          </w:p>
        </w:tc>
        <w:tc>
          <w:tcPr>
            <w:tcW w:w="14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6,897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6,244</w:t>
            </w: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(4,817)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CHIPS Act incentives</w:t>
            </w:r>
          </w:p>
        </w:tc>
        <w:tc>
          <w:tcPr>
            <w:tcW w:w="22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75</w:t>
            </w:r>
          </w:p>
        </w:tc>
        <w:tc>
          <w:tcPr>
            <w:tcW w:w="14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335</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2,415</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1,468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4"/>
        </w:trPr>
        <w:tc>
          <w:tcPr>
            <w:tcW w:w="464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DBDBDB"/>
              <w:right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spacing w:after="0"/>
              <w:rPr>
                <w:sz w:val="19"/>
                <w:szCs w:val="19"/>
                <w:color w:val="auto"/>
              </w:rPr>
            </w:pPr>
          </w:p>
        </w:tc>
        <w:tc>
          <w:tcPr>
            <w:tcW w:w="10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17,266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15,711</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40" w:type="dxa"/>
            <w:vAlign w:val="bottom"/>
            <w:tcBorders>
              <w:right w:val="single" w:sz="8" w:color="DBDBDB"/>
            </w:tcBorders>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Cash flow from operations as a percentage of revenue</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39.9 %</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(GAAP)</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22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40" w:type="dxa"/>
            <w:vAlign w:val="bottom"/>
            <w:tcBorders>
              <w:right w:val="single" w:sz="8" w:color="DBDBDB"/>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14.0 %</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9.3 %</w:t>
            </w: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260" w:firstLine="8"/>
        <w:spacing w:after="0" w:line="285"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cash benefits of $43 million, $302 million and $532 million from the CHIPS Act ITC used to reduce income taxes payable for the three months ended September 30, 2025, and the twelve months ended September 30, 2025 and 2024, respectively</w:t>
      </w:r>
      <w:r>
        <w:rPr>
          <w:rFonts w:ascii="Arial" w:cs="Arial" w:eastAsia="Arial" w:hAnsi="Arial"/>
          <w:sz w:val="18"/>
          <w:szCs w:val="18"/>
          <w:color w:val="auto"/>
        </w:rPr>
        <w:t>.</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295"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6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620" w:right="4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00"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and sells analog and embedded processing chips for markets such as industrial, automotive, personal electronics, enterprise systems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2025-10-21T15:16:16Z</dcterms:created>
  <dcterms:modified xsi:type="dcterms:W3CDTF">2025-10-21T15:16:16Z</dcterms:modified>
</cp:coreProperties>
</file>