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TEXAS INSTRUMENTS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882508104</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58940545</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58940545</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58940545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5.02%</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TEXAS INSTRUMENTS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12500 TI Blvd PO Box 660199</w:t>
      </w:r>
    </w:p>
    <w:p>
      <w:pPr>
        <w:spacing w:after="0" w:line="238" w:lineRule="auto"/>
        <w:rPr>
          <w:sz w:val="20"/>
          <w:szCs w:val="20"/>
          <w:color w:val="auto"/>
        </w:rPr>
      </w:pPr>
      <w:r>
        <w:rPr>
          <w:rFonts w:ascii="Courier New" w:cs="Courier New" w:eastAsia="Courier New" w:hAnsi="Courier New"/>
          <w:sz w:val="18"/>
          <w:szCs w:val="18"/>
          <w:color w:val="auto"/>
        </w:rPr>
        <w:t>Dallas TX 75266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58940545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58940545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58940545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TEXAS INSTRUMENTS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one person's interest in the common stock of</w:t>
      </w:r>
    </w:p>
    <w:p>
      <w:pPr>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ectPr>
          <w:pgSz w:w="11900" w:h="16838" w:orient="portrait"/>
          <w:cols w:equalWidth="0" w:num="1">
            <w:col w:w="10219"/>
          </w:cols>
          <w:pgMar w:left="240" w:top="136"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21,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750" w:right="1440" w:bottom="537"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Fund Managers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rPr>
          <w:sz w:val="20"/>
          <w:szCs w:val="20"/>
          <w:color w:val="auto"/>
        </w:rPr>
      </w:pPr>
      <w:r>
        <w:rPr>
          <w:rFonts w:ascii="Courier New" w:cs="Courier New" w:eastAsia="Courier New" w:hAnsi="Courier New"/>
          <w:sz w:val="18"/>
          <w:szCs w:val="18"/>
          <w:color w:val="auto"/>
        </w:rPr>
        <w:t>State Street Research &amp; Management Company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1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2019-12-10T03:49:32Z</dcterms:created>
  <dcterms:modified xsi:type="dcterms:W3CDTF">2019-12-10T03:49:32Z</dcterms:modified>
</cp:coreProperties>
</file>