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840" w:type="dxa"/>
            <w:vAlign w:val="bottom"/>
          </w:tcPr>
          <w:p>
            <w:pPr>
              <w:jc w:val="right"/>
              <w:spacing w:after="0"/>
              <w:rPr>
                <w:sz w:val="20"/>
                <w:szCs w:val="20"/>
                <w:color w:val="auto"/>
              </w:rPr>
            </w:pPr>
            <w:r>
              <w:rPr>
                <w:rFonts w:ascii="Arial" w:cs="Arial" w:eastAsia="Arial" w:hAnsi="Arial"/>
                <w:sz w:val="18"/>
                <w:szCs w:val="18"/>
                <w:b w:val="1"/>
                <w:bCs w:val="1"/>
                <w:color w:val="auto"/>
              </w:rPr>
              <w:t>Filed Pursuant to Rule 433</w:t>
            </w:r>
          </w:p>
        </w:tc>
      </w:tr>
      <w:tr>
        <w:trPr>
          <w:trHeight w:val="216"/>
        </w:trPr>
        <w:tc>
          <w:tcPr>
            <w:tcW w:w="3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840" w:type="dxa"/>
            <w:vAlign w:val="bottom"/>
          </w:tcPr>
          <w:p>
            <w:pPr>
              <w:jc w:val="right"/>
              <w:spacing w:after="0"/>
              <w:rPr>
                <w:sz w:val="20"/>
                <w:szCs w:val="20"/>
                <w:color w:val="auto"/>
              </w:rPr>
            </w:pPr>
            <w:r>
              <w:rPr>
                <w:rFonts w:ascii="Arial" w:cs="Arial" w:eastAsia="Arial" w:hAnsi="Arial"/>
                <w:sz w:val="18"/>
                <w:szCs w:val="18"/>
                <w:b w:val="1"/>
                <w:bCs w:val="1"/>
                <w:color w:val="auto"/>
              </w:rPr>
              <w:t>Registration No. 333-186803</w:t>
            </w:r>
          </w:p>
        </w:tc>
      </w:tr>
      <w:tr>
        <w:trPr>
          <w:trHeight w:val="216"/>
        </w:trPr>
        <w:tc>
          <w:tcPr>
            <w:tcW w:w="3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840" w:type="dxa"/>
            <w:vAlign w:val="bottom"/>
          </w:tcPr>
          <w:p>
            <w:pPr>
              <w:jc w:val="right"/>
              <w:spacing w:after="0"/>
              <w:rPr>
                <w:sz w:val="20"/>
                <w:szCs w:val="20"/>
                <w:color w:val="auto"/>
              </w:rPr>
            </w:pPr>
            <w:r>
              <w:rPr>
                <w:rFonts w:ascii="Arial" w:cs="Arial" w:eastAsia="Arial" w:hAnsi="Arial"/>
                <w:sz w:val="18"/>
                <w:szCs w:val="18"/>
                <w:b w:val="1"/>
                <w:bCs w:val="1"/>
                <w:color w:val="auto"/>
              </w:rPr>
              <w:t>Issuer Free Writing Prospectus dated April 27, 2015</w:t>
            </w:r>
          </w:p>
        </w:tc>
      </w:tr>
      <w:tr>
        <w:trPr>
          <w:trHeight w:val="234"/>
        </w:trPr>
        <w:tc>
          <w:tcPr>
            <w:tcW w:w="3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580" w:type="dxa"/>
            <w:vAlign w:val="bottom"/>
            <w:gridSpan w:val="2"/>
          </w:tcPr>
          <w:p>
            <w:pPr>
              <w:jc w:val="right"/>
              <w:spacing w:after="0"/>
              <w:rPr>
                <w:sz w:val="20"/>
                <w:szCs w:val="20"/>
                <w:color w:val="auto"/>
              </w:rPr>
            </w:pPr>
            <w:r>
              <w:rPr>
                <w:rFonts w:ascii="Arial" w:cs="Arial" w:eastAsia="Arial" w:hAnsi="Arial"/>
                <w:sz w:val="18"/>
                <w:szCs w:val="18"/>
                <w:b w:val="1"/>
                <w:bCs w:val="1"/>
                <w:color w:val="auto"/>
              </w:rPr>
              <w:t>Relating to Preliminary Prospectus Supplement dated April 27, 2015</w:t>
            </w:r>
          </w:p>
        </w:tc>
      </w:tr>
      <w:tr>
        <w:trPr>
          <w:trHeight w:val="540"/>
        </w:trPr>
        <w:tc>
          <w:tcPr>
            <w:tcW w:w="3340" w:type="dxa"/>
            <w:vAlign w:val="bottom"/>
          </w:tcPr>
          <w:p>
            <w:pPr>
              <w:spacing w:after="0"/>
              <w:rPr>
                <w:sz w:val="24"/>
                <w:szCs w:val="24"/>
                <w:color w:val="auto"/>
              </w:rPr>
            </w:pPr>
          </w:p>
        </w:tc>
        <w:tc>
          <w:tcPr>
            <w:tcW w:w="8080" w:type="dxa"/>
            <w:vAlign w:val="bottom"/>
            <w:gridSpan w:val="3"/>
          </w:tcPr>
          <w:p>
            <w:pPr>
              <w:jc w:val="center"/>
              <w:ind w:right="3230"/>
              <w:spacing w:after="0"/>
              <w:rPr>
                <w:sz w:val="20"/>
                <w:szCs w:val="20"/>
                <w:color w:val="auto"/>
              </w:rPr>
            </w:pPr>
            <w:r>
              <w:rPr>
                <w:rFonts w:ascii="Arial" w:cs="Arial" w:eastAsia="Arial" w:hAnsi="Arial"/>
                <w:sz w:val="18"/>
                <w:szCs w:val="18"/>
                <w:b w:val="1"/>
                <w:bCs w:val="1"/>
                <w:color w:val="auto"/>
              </w:rPr>
              <w:t>TEXAS INSTRUMENTS INCORPORATED</w:t>
            </w:r>
          </w:p>
        </w:tc>
      </w:tr>
      <w:tr>
        <w:trPr>
          <w:trHeight w:val="432"/>
        </w:trPr>
        <w:tc>
          <w:tcPr>
            <w:tcW w:w="3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580" w:type="dxa"/>
            <w:vAlign w:val="bottom"/>
            <w:gridSpan w:val="2"/>
          </w:tcPr>
          <w:p>
            <w:pPr>
              <w:jc w:val="center"/>
              <w:ind w:right="4730"/>
              <w:spacing w:after="0"/>
              <w:rPr>
                <w:sz w:val="20"/>
                <w:szCs w:val="20"/>
                <w:color w:val="auto"/>
              </w:rPr>
            </w:pPr>
            <w:r>
              <w:rPr>
                <w:rFonts w:ascii="Arial" w:cs="Arial" w:eastAsia="Arial" w:hAnsi="Arial"/>
                <w:sz w:val="18"/>
                <w:szCs w:val="18"/>
                <w:b w:val="1"/>
                <w:bCs w:val="1"/>
                <w:color w:val="auto"/>
                <w:w w:val="90"/>
              </w:rPr>
              <w:t>Pricing Term Sheet</w:t>
            </w:r>
          </w:p>
        </w:tc>
      </w:tr>
      <w:tr>
        <w:trPr>
          <w:trHeight w:val="392"/>
        </w:trPr>
        <w:tc>
          <w:tcPr>
            <w:tcW w:w="3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w:t>
            </w:r>
            <w:r>
              <w:rPr>
                <w:rFonts w:ascii="Arial" w:cs="Arial" w:eastAsia="Arial" w:hAnsi="Arial"/>
                <w:sz w:val="18"/>
                <w:szCs w:val="18"/>
                <w:u w:val="single" w:color="auto"/>
                <w:color w:val="auto"/>
                <w:w w:val="90"/>
              </w:rPr>
              <w:t>750%</w:t>
            </w:r>
            <w:r>
              <w:rPr>
                <w:rFonts w:ascii="Arial" w:cs="Arial" w:eastAsia="Arial" w:hAnsi="Arial"/>
                <w:sz w:val="18"/>
                <w:szCs w:val="18"/>
                <w:color w:val="auto"/>
                <w:w w:val="90"/>
              </w:rPr>
              <w:t xml:space="preserve"> Notes due 2020</w:t>
            </w:r>
          </w:p>
        </w:tc>
        <w:tc>
          <w:tcPr>
            <w:tcW w:w="4840" w:type="dxa"/>
            <w:vAlign w:val="bottom"/>
          </w:tcPr>
          <w:p>
            <w:pPr>
              <w:spacing w:after="0"/>
              <w:rPr>
                <w:sz w:val="24"/>
                <w:szCs w:val="24"/>
                <w:color w:val="auto"/>
              </w:rPr>
            </w:pPr>
          </w:p>
        </w:tc>
      </w:tr>
      <w:tr>
        <w:trPr>
          <w:trHeight w:val="588"/>
        </w:trPr>
        <w:tc>
          <w:tcPr>
            <w:tcW w:w="3340" w:type="dxa"/>
            <w:vAlign w:val="bottom"/>
          </w:tcPr>
          <w:p>
            <w:pPr>
              <w:spacing w:after="0"/>
              <w:rPr>
                <w:sz w:val="20"/>
                <w:szCs w:val="20"/>
                <w:color w:val="auto"/>
              </w:rPr>
            </w:pPr>
            <w:r>
              <w:rPr>
                <w:rFonts w:ascii="Arial" w:cs="Arial" w:eastAsia="Arial" w:hAnsi="Arial"/>
                <w:sz w:val="18"/>
                <w:szCs w:val="18"/>
                <w:color w:val="auto"/>
              </w:rPr>
              <w:t>Issuer:</w:t>
            </w:r>
          </w:p>
        </w:tc>
        <w:tc>
          <w:tcPr>
            <w:tcW w:w="1500" w:type="dxa"/>
            <w:vAlign w:val="bottom"/>
          </w:tcPr>
          <w:p>
            <w:pPr>
              <w:spacing w:after="0"/>
              <w:rPr>
                <w:sz w:val="24"/>
                <w:szCs w:val="24"/>
                <w:color w:val="auto"/>
              </w:rPr>
            </w:pPr>
          </w:p>
        </w:tc>
        <w:tc>
          <w:tcPr>
            <w:tcW w:w="6580" w:type="dxa"/>
            <w:vAlign w:val="bottom"/>
            <w:gridSpan w:val="2"/>
          </w:tcPr>
          <w:p>
            <w:pPr>
              <w:ind w:left="1220"/>
              <w:spacing w:after="0"/>
              <w:rPr>
                <w:sz w:val="20"/>
                <w:szCs w:val="20"/>
                <w:color w:val="auto"/>
              </w:rPr>
            </w:pPr>
            <w:r>
              <w:rPr>
                <w:rFonts w:ascii="Arial" w:cs="Arial" w:eastAsia="Arial" w:hAnsi="Arial"/>
                <w:sz w:val="18"/>
                <w:szCs w:val="18"/>
                <w:color w:val="auto"/>
              </w:rPr>
              <w:t>Texas Instruments Incorporated (“TI”)</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Principal Amount:</w:t>
            </w:r>
          </w:p>
        </w:tc>
        <w:tc>
          <w:tcPr>
            <w:tcW w:w="8080" w:type="dxa"/>
            <w:vAlign w:val="bottom"/>
            <w:gridSpan w:val="3"/>
          </w:tcPr>
          <w:p>
            <w:pPr>
              <w:ind w:left="2720"/>
              <w:spacing w:after="0"/>
              <w:rPr>
                <w:sz w:val="20"/>
                <w:szCs w:val="20"/>
                <w:color w:val="auto"/>
              </w:rPr>
            </w:pPr>
            <w:r>
              <w:rPr>
                <w:rFonts w:ascii="Arial" w:cs="Arial" w:eastAsia="Arial" w:hAnsi="Arial"/>
                <w:sz w:val="18"/>
                <w:szCs w:val="18"/>
                <w:color w:val="auto"/>
              </w:rPr>
              <w:t>$500,000,000</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Maturity:</w:t>
            </w:r>
          </w:p>
        </w:tc>
        <w:tc>
          <w:tcPr>
            <w:tcW w:w="1500" w:type="dxa"/>
            <w:vAlign w:val="bottom"/>
          </w:tcPr>
          <w:p>
            <w:pPr>
              <w:spacing w:after="0"/>
              <w:rPr>
                <w:sz w:val="24"/>
                <w:szCs w:val="24"/>
                <w:color w:val="auto"/>
              </w:rPr>
            </w:pPr>
          </w:p>
        </w:tc>
        <w:tc>
          <w:tcPr>
            <w:tcW w:w="6580" w:type="dxa"/>
            <w:vAlign w:val="bottom"/>
            <w:gridSpan w:val="2"/>
          </w:tcPr>
          <w:p>
            <w:pPr>
              <w:ind w:left="1220"/>
              <w:spacing w:after="0"/>
              <w:rPr>
                <w:sz w:val="20"/>
                <w:szCs w:val="20"/>
                <w:color w:val="auto"/>
              </w:rPr>
            </w:pPr>
            <w:r>
              <w:rPr>
                <w:rFonts w:ascii="Arial" w:cs="Arial" w:eastAsia="Arial" w:hAnsi="Arial"/>
                <w:sz w:val="18"/>
                <w:szCs w:val="18"/>
                <w:color w:val="auto"/>
              </w:rPr>
              <w:t>May 1, 2020</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Coupon:</w:t>
            </w:r>
          </w:p>
        </w:tc>
        <w:tc>
          <w:tcPr>
            <w:tcW w:w="8080" w:type="dxa"/>
            <w:vAlign w:val="bottom"/>
            <w:gridSpan w:val="3"/>
          </w:tcPr>
          <w:p>
            <w:pPr>
              <w:ind w:left="2720"/>
              <w:spacing w:after="0"/>
              <w:rPr>
                <w:sz w:val="20"/>
                <w:szCs w:val="20"/>
                <w:color w:val="auto"/>
              </w:rPr>
            </w:pPr>
            <w:r>
              <w:rPr>
                <w:rFonts w:ascii="Arial" w:cs="Arial" w:eastAsia="Arial" w:hAnsi="Arial"/>
                <w:sz w:val="18"/>
                <w:szCs w:val="18"/>
                <w:color w:val="auto"/>
              </w:rPr>
              <w:t>1.750%</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Price to Public:</w:t>
            </w:r>
          </w:p>
        </w:tc>
        <w:tc>
          <w:tcPr>
            <w:tcW w:w="1500" w:type="dxa"/>
            <w:vAlign w:val="bottom"/>
          </w:tcPr>
          <w:p>
            <w:pPr>
              <w:spacing w:after="0"/>
              <w:rPr>
                <w:sz w:val="24"/>
                <w:szCs w:val="24"/>
                <w:color w:val="auto"/>
              </w:rPr>
            </w:pPr>
          </w:p>
        </w:tc>
        <w:tc>
          <w:tcPr>
            <w:tcW w:w="6580" w:type="dxa"/>
            <w:vAlign w:val="bottom"/>
            <w:gridSpan w:val="2"/>
          </w:tcPr>
          <w:p>
            <w:pPr>
              <w:ind w:left="1220"/>
              <w:spacing w:after="0"/>
              <w:rPr>
                <w:sz w:val="20"/>
                <w:szCs w:val="20"/>
                <w:color w:val="auto"/>
              </w:rPr>
            </w:pPr>
            <w:r>
              <w:rPr>
                <w:rFonts w:ascii="Arial" w:cs="Arial" w:eastAsia="Arial" w:hAnsi="Arial"/>
                <w:sz w:val="18"/>
                <w:szCs w:val="18"/>
                <w:color w:val="auto"/>
              </w:rPr>
              <w:t>99.649% of principal amount</w:t>
            </w:r>
          </w:p>
        </w:tc>
      </w:tr>
      <w:tr>
        <w:trPr>
          <w:trHeight w:val="310"/>
        </w:trPr>
        <w:tc>
          <w:tcPr>
            <w:tcW w:w="33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1500" w:type="dxa"/>
            <w:vAlign w:val="bottom"/>
          </w:tcPr>
          <w:p>
            <w:pPr>
              <w:spacing w:after="0"/>
              <w:rPr>
                <w:sz w:val="24"/>
                <w:szCs w:val="24"/>
                <w:color w:val="auto"/>
              </w:rPr>
            </w:pPr>
          </w:p>
        </w:tc>
        <w:tc>
          <w:tcPr>
            <w:tcW w:w="6580" w:type="dxa"/>
            <w:vAlign w:val="bottom"/>
            <w:gridSpan w:val="2"/>
          </w:tcPr>
          <w:p>
            <w:pPr>
              <w:ind w:left="1220"/>
              <w:spacing w:after="0"/>
              <w:rPr>
                <w:sz w:val="20"/>
                <w:szCs w:val="20"/>
                <w:color w:val="auto"/>
              </w:rPr>
            </w:pPr>
            <w:r>
              <w:rPr>
                <w:rFonts w:ascii="Arial" w:cs="Arial" w:eastAsia="Arial" w:hAnsi="Arial"/>
                <w:sz w:val="18"/>
                <w:szCs w:val="18"/>
                <w:color w:val="auto"/>
              </w:rPr>
              <w:t>May 1 and November 1 beginning on</w:t>
            </w:r>
          </w:p>
        </w:tc>
      </w:tr>
      <w:tr>
        <w:trPr>
          <w:trHeight w:val="230"/>
        </w:trPr>
        <w:tc>
          <w:tcPr>
            <w:tcW w:w="3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580" w:type="dxa"/>
            <w:vAlign w:val="bottom"/>
            <w:gridSpan w:val="2"/>
          </w:tcPr>
          <w:p>
            <w:pPr>
              <w:ind w:left="1220"/>
              <w:spacing w:after="0"/>
              <w:rPr>
                <w:sz w:val="20"/>
                <w:szCs w:val="20"/>
                <w:color w:val="auto"/>
              </w:rPr>
            </w:pPr>
            <w:r>
              <w:rPr>
                <w:rFonts w:ascii="Arial" w:cs="Arial" w:eastAsia="Arial" w:hAnsi="Arial"/>
                <w:sz w:val="18"/>
                <w:szCs w:val="18"/>
                <w:color w:val="auto"/>
              </w:rPr>
              <w:t>November 1, 2015, and on the maturity date</w:t>
            </w:r>
          </w:p>
        </w:tc>
      </w:tr>
      <w:tr>
        <w:trPr>
          <w:trHeight w:val="338"/>
        </w:trPr>
        <w:tc>
          <w:tcPr>
            <w:tcW w:w="3340" w:type="dxa"/>
            <w:vAlign w:val="bottom"/>
          </w:tcPr>
          <w:p>
            <w:pPr>
              <w:spacing w:after="0"/>
              <w:rPr>
                <w:sz w:val="20"/>
                <w:szCs w:val="20"/>
                <w:color w:val="auto"/>
              </w:rPr>
            </w:pPr>
            <w:r>
              <w:rPr>
                <w:rFonts w:ascii="Arial" w:cs="Arial" w:eastAsia="Arial" w:hAnsi="Arial"/>
                <w:sz w:val="18"/>
                <w:szCs w:val="18"/>
                <w:color w:val="auto"/>
              </w:rPr>
              <w:t>Day Count Convention:</w:t>
            </w:r>
          </w:p>
        </w:tc>
        <w:tc>
          <w:tcPr>
            <w:tcW w:w="3240" w:type="dxa"/>
            <w:vAlign w:val="bottom"/>
            <w:gridSpan w:val="2"/>
          </w:tcPr>
          <w:p>
            <w:pPr>
              <w:ind w:left="2720"/>
              <w:spacing w:after="0"/>
              <w:rPr>
                <w:sz w:val="20"/>
                <w:szCs w:val="20"/>
                <w:color w:val="auto"/>
              </w:rPr>
            </w:pPr>
            <w:r>
              <w:rPr>
                <w:rFonts w:ascii="Arial" w:cs="Arial" w:eastAsia="Arial" w:hAnsi="Arial"/>
                <w:sz w:val="18"/>
                <w:szCs w:val="18"/>
                <w:color w:val="auto"/>
                <w:w w:val="90"/>
              </w:rPr>
              <w:t>30/360</w:t>
            </w:r>
          </w:p>
        </w:tc>
        <w:tc>
          <w:tcPr>
            <w:tcW w:w="4840" w:type="dxa"/>
            <w:vAlign w:val="bottom"/>
          </w:tcPr>
          <w:p>
            <w:pPr>
              <w:spacing w:after="0"/>
              <w:rPr>
                <w:sz w:val="24"/>
                <w:szCs w:val="24"/>
                <w:color w:val="auto"/>
              </w:rPr>
            </w:pP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Proceeds (before expenses) to TI:</w:t>
            </w:r>
          </w:p>
        </w:tc>
        <w:tc>
          <w:tcPr>
            <w:tcW w:w="8080" w:type="dxa"/>
            <w:vAlign w:val="bottom"/>
            <w:gridSpan w:val="3"/>
          </w:tcPr>
          <w:p>
            <w:pPr>
              <w:ind w:left="2720"/>
              <w:spacing w:after="0"/>
              <w:rPr>
                <w:sz w:val="20"/>
                <w:szCs w:val="20"/>
                <w:color w:val="auto"/>
              </w:rPr>
            </w:pPr>
            <w:r>
              <w:rPr>
                <w:rFonts w:ascii="Arial" w:cs="Arial" w:eastAsia="Arial" w:hAnsi="Arial"/>
                <w:sz w:val="18"/>
                <w:szCs w:val="18"/>
                <w:color w:val="auto"/>
              </w:rPr>
              <w:t>$496,495,000</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Benchmark Treasury:</w:t>
            </w:r>
          </w:p>
        </w:tc>
        <w:tc>
          <w:tcPr>
            <w:tcW w:w="1500" w:type="dxa"/>
            <w:vAlign w:val="bottom"/>
          </w:tcPr>
          <w:p>
            <w:pPr>
              <w:spacing w:after="0"/>
              <w:rPr>
                <w:sz w:val="24"/>
                <w:szCs w:val="24"/>
                <w:color w:val="auto"/>
              </w:rPr>
            </w:pPr>
          </w:p>
        </w:tc>
        <w:tc>
          <w:tcPr>
            <w:tcW w:w="6580" w:type="dxa"/>
            <w:vAlign w:val="bottom"/>
            <w:gridSpan w:val="2"/>
          </w:tcPr>
          <w:p>
            <w:pPr>
              <w:ind w:left="1220"/>
              <w:spacing w:after="0"/>
              <w:rPr>
                <w:sz w:val="20"/>
                <w:szCs w:val="20"/>
                <w:color w:val="auto"/>
              </w:rPr>
            </w:pPr>
            <w:r>
              <w:rPr>
                <w:rFonts w:ascii="Arial" w:cs="Arial" w:eastAsia="Arial" w:hAnsi="Arial"/>
                <w:sz w:val="18"/>
                <w:szCs w:val="18"/>
                <w:color w:val="auto"/>
              </w:rPr>
              <w:t>1.375% due March 31, 2020</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1500" w:type="dxa"/>
            <w:vAlign w:val="bottom"/>
          </w:tcPr>
          <w:p>
            <w:pPr>
              <w:spacing w:after="0"/>
              <w:rPr>
                <w:sz w:val="24"/>
                <w:szCs w:val="24"/>
                <w:color w:val="auto"/>
              </w:rPr>
            </w:pPr>
          </w:p>
        </w:tc>
        <w:tc>
          <w:tcPr>
            <w:tcW w:w="6580" w:type="dxa"/>
            <w:vAlign w:val="bottom"/>
            <w:gridSpan w:val="2"/>
          </w:tcPr>
          <w:p>
            <w:pPr>
              <w:ind w:left="1220"/>
              <w:spacing w:after="0"/>
              <w:rPr>
                <w:sz w:val="20"/>
                <w:szCs w:val="20"/>
                <w:color w:val="auto"/>
              </w:rPr>
            </w:pPr>
            <w:r>
              <w:rPr>
                <w:rFonts w:ascii="Arial" w:cs="Arial" w:eastAsia="Arial" w:hAnsi="Arial"/>
                <w:sz w:val="18"/>
                <w:szCs w:val="18"/>
                <w:color w:val="auto"/>
              </w:rPr>
              <w:t>50 basis points</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Yield to Maturity:</w:t>
            </w:r>
          </w:p>
        </w:tc>
        <w:tc>
          <w:tcPr>
            <w:tcW w:w="8080" w:type="dxa"/>
            <w:vAlign w:val="bottom"/>
            <w:gridSpan w:val="3"/>
          </w:tcPr>
          <w:p>
            <w:pPr>
              <w:ind w:left="2720"/>
              <w:spacing w:after="0"/>
              <w:rPr>
                <w:sz w:val="20"/>
                <w:szCs w:val="20"/>
                <w:color w:val="auto"/>
              </w:rPr>
            </w:pPr>
            <w:r>
              <w:rPr>
                <w:rFonts w:ascii="Arial" w:cs="Arial" w:eastAsia="Arial" w:hAnsi="Arial"/>
                <w:sz w:val="18"/>
                <w:szCs w:val="18"/>
                <w:color w:val="auto"/>
              </w:rPr>
              <w:t>1.824%</w:t>
            </w:r>
          </w:p>
        </w:tc>
      </w:tr>
      <w:tr>
        <w:trPr>
          <w:trHeight w:val="418"/>
        </w:trPr>
        <w:tc>
          <w:tcPr>
            <w:tcW w:w="334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1500" w:type="dxa"/>
            <w:vAlign w:val="bottom"/>
          </w:tcPr>
          <w:p>
            <w:pPr>
              <w:spacing w:after="0"/>
              <w:rPr>
                <w:sz w:val="24"/>
                <w:szCs w:val="24"/>
                <w:color w:val="auto"/>
              </w:rPr>
            </w:pPr>
          </w:p>
        </w:tc>
        <w:tc>
          <w:tcPr>
            <w:tcW w:w="6580" w:type="dxa"/>
            <w:vAlign w:val="bottom"/>
            <w:gridSpan w:val="2"/>
          </w:tcPr>
          <w:p>
            <w:pPr>
              <w:ind w:left="1220"/>
              <w:spacing w:after="0"/>
              <w:rPr>
                <w:sz w:val="20"/>
                <w:szCs w:val="20"/>
                <w:color w:val="auto"/>
              </w:rPr>
            </w:pPr>
            <w:r>
              <w:rPr>
                <w:rFonts w:ascii="Arial" w:cs="Arial" w:eastAsia="Arial" w:hAnsi="Arial"/>
                <w:sz w:val="18"/>
                <w:szCs w:val="18"/>
                <w:color w:val="auto"/>
              </w:rPr>
              <w:t xml:space="preserve">100-7 </w:t>
            </w:r>
            <w:r>
              <w:rPr>
                <w:rFonts w:ascii="Arial" w:cs="Arial" w:eastAsia="Arial" w:hAnsi="Arial"/>
                <w:sz w:val="30"/>
                <w:szCs w:val="30"/>
                <w:color w:val="auto"/>
                <w:vertAlign w:val="superscript"/>
              </w:rPr>
              <w:t>3</w:t>
            </w:r>
            <w:r>
              <w:rPr>
                <w:rFonts w:ascii="Arial" w:cs="Arial" w:eastAsia="Arial" w:hAnsi="Arial"/>
                <w:sz w:val="18"/>
                <w:szCs w:val="18"/>
                <w:color w:val="auto"/>
              </w:rPr>
              <w:t>⁄</w:t>
            </w:r>
            <w:r>
              <w:rPr>
                <w:rFonts w:ascii="Arial" w:cs="Arial" w:eastAsia="Arial" w:hAnsi="Arial"/>
                <w:sz w:val="30"/>
                <w:szCs w:val="30"/>
                <w:color w:val="auto"/>
                <w:vertAlign w:val="subscript"/>
              </w:rPr>
              <w:t>4</w:t>
            </w:r>
            <w:r>
              <w:rPr>
                <w:rFonts w:ascii="Arial" w:cs="Arial" w:eastAsia="Arial" w:hAnsi="Arial"/>
                <w:sz w:val="18"/>
                <w:szCs w:val="18"/>
                <w:color w:val="auto"/>
              </w:rPr>
              <w:t>; 1.324%</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Make-Whole Call:</w:t>
            </w:r>
          </w:p>
        </w:tc>
        <w:tc>
          <w:tcPr>
            <w:tcW w:w="1500" w:type="dxa"/>
            <w:vAlign w:val="bottom"/>
          </w:tcPr>
          <w:p>
            <w:pPr>
              <w:spacing w:after="0"/>
              <w:rPr>
                <w:sz w:val="18"/>
                <w:szCs w:val="18"/>
                <w:color w:val="auto"/>
              </w:rPr>
            </w:pPr>
          </w:p>
        </w:tc>
        <w:tc>
          <w:tcPr>
            <w:tcW w:w="6580" w:type="dxa"/>
            <w:vAlign w:val="bottom"/>
            <w:gridSpan w:val="2"/>
          </w:tcPr>
          <w:p>
            <w:pPr>
              <w:ind w:left="1220"/>
              <w:spacing w:after="0"/>
              <w:rPr>
                <w:sz w:val="20"/>
                <w:szCs w:val="20"/>
                <w:color w:val="auto"/>
              </w:rPr>
            </w:pPr>
            <w:r>
              <w:rPr>
                <w:rFonts w:ascii="Arial" w:cs="Arial" w:eastAsia="Arial" w:hAnsi="Arial"/>
                <w:sz w:val="18"/>
                <w:szCs w:val="18"/>
                <w:color w:val="auto"/>
                <w:w w:val="93"/>
              </w:rPr>
              <w:t>At any time before April 1, 2020 (one month before the maturity date) at</w:t>
            </w:r>
          </w:p>
        </w:tc>
      </w:tr>
      <w:tr>
        <w:trPr>
          <w:trHeight w:val="216"/>
        </w:trPr>
        <w:tc>
          <w:tcPr>
            <w:tcW w:w="3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580" w:type="dxa"/>
            <w:vAlign w:val="bottom"/>
            <w:gridSpan w:val="2"/>
          </w:tcPr>
          <w:p>
            <w:pPr>
              <w:ind w:left="1220"/>
              <w:spacing w:after="0"/>
              <w:rPr>
                <w:sz w:val="20"/>
                <w:szCs w:val="20"/>
                <w:color w:val="auto"/>
              </w:rPr>
            </w:pPr>
            <w:r>
              <w:rPr>
                <w:rFonts w:ascii="Arial" w:cs="Arial" w:eastAsia="Arial" w:hAnsi="Arial"/>
                <w:sz w:val="18"/>
                <w:szCs w:val="18"/>
                <w:color w:val="auto"/>
                <w:w w:val="92"/>
              </w:rPr>
              <w:t>the greater of 100% of the principal amount of the notes being redeemed</w:t>
            </w:r>
          </w:p>
        </w:tc>
      </w:tr>
      <w:tr>
        <w:trPr>
          <w:trHeight w:val="230"/>
        </w:trPr>
        <w:tc>
          <w:tcPr>
            <w:tcW w:w="3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580" w:type="dxa"/>
            <w:vAlign w:val="bottom"/>
            <w:gridSpan w:val="2"/>
          </w:tcPr>
          <w:p>
            <w:pPr>
              <w:ind w:left="1220"/>
              <w:spacing w:after="0"/>
              <w:rPr>
                <w:sz w:val="20"/>
                <w:szCs w:val="20"/>
                <w:color w:val="auto"/>
              </w:rPr>
            </w:pPr>
            <w:r>
              <w:rPr>
                <w:rFonts w:ascii="Arial" w:cs="Arial" w:eastAsia="Arial" w:hAnsi="Arial"/>
                <w:sz w:val="18"/>
                <w:szCs w:val="18"/>
                <w:color w:val="auto"/>
                <w:w w:val="94"/>
              </w:rPr>
              <w:t>or discounted present value at the rate of Treasury plus 10 basis points</w:t>
            </w:r>
          </w:p>
        </w:tc>
      </w:tr>
      <w:tr>
        <w:trPr>
          <w:trHeight w:val="310"/>
        </w:trPr>
        <w:tc>
          <w:tcPr>
            <w:tcW w:w="3340" w:type="dxa"/>
            <w:vAlign w:val="bottom"/>
          </w:tcPr>
          <w:p>
            <w:pPr>
              <w:spacing w:after="0"/>
              <w:rPr>
                <w:sz w:val="20"/>
                <w:szCs w:val="20"/>
                <w:color w:val="auto"/>
              </w:rPr>
            </w:pPr>
            <w:r>
              <w:rPr>
                <w:rFonts w:ascii="Arial" w:cs="Arial" w:eastAsia="Arial" w:hAnsi="Arial"/>
                <w:sz w:val="18"/>
                <w:szCs w:val="18"/>
                <w:color w:val="auto"/>
              </w:rPr>
              <w:t>Par Call:</w:t>
            </w:r>
          </w:p>
        </w:tc>
        <w:tc>
          <w:tcPr>
            <w:tcW w:w="1500" w:type="dxa"/>
            <w:vAlign w:val="bottom"/>
          </w:tcPr>
          <w:p>
            <w:pPr>
              <w:spacing w:after="0"/>
              <w:rPr>
                <w:sz w:val="24"/>
                <w:szCs w:val="24"/>
                <w:color w:val="auto"/>
              </w:rPr>
            </w:pPr>
          </w:p>
        </w:tc>
        <w:tc>
          <w:tcPr>
            <w:tcW w:w="6580" w:type="dxa"/>
            <w:vAlign w:val="bottom"/>
            <w:gridSpan w:val="2"/>
          </w:tcPr>
          <w:p>
            <w:pPr>
              <w:ind w:left="1220"/>
              <w:spacing w:after="0"/>
              <w:rPr>
                <w:sz w:val="20"/>
                <w:szCs w:val="20"/>
                <w:color w:val="auto"/>
              </w:rPr>
            </w:pPr>
            <w:r>
              <w:rPr>
                <w:rFonts w:ascii="Arial" w:cs="Arial" w:eastAsia="Arial" w:hAnsi="Arial"/>
                <w:sz w:val="18"/>
                <w:szCs w:val="18"/>
                <w:color w:val="auto"/>
                <w:w w:val="92"/>
              </w:rPr>
              <w:t>At any time on or after April 1, 2020 (one month before the maturity date)</w:t>
            </w:r>
          </w:p>
        </w:tc>
      </w:tr>
      <w:tr>
        <w:trPr>
          <w:trHeight w:val="230"/>
        </w:trPr>
        <w:tc>
          <w:tcPr>
            <w:tcW w:w="3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580" w:type="dxa"/>
            <w:vAlign w:val="bottom"/>
            <w:gridSpan w:val="2"/>
          </w:tcPr>
          <w:p>
            <w:pPr>
              <w:ind w:left="1220"/>
              <w:spacing w:after="0"/>
              <w:rPr>
                <w:sz w:val="20"/>
                <w:szCs w:val="20"/>
                <w:color w:val="auto"/>
              </w:rPr>
            </w:pPr>
            <w:r>
              <w:rPr>
                <w:rFonts w:ascii="Arial" w:cs="Arial" w:eastAsia="Arial" w:hAnsi="Arial"/>
                <w:sz w:val="18"/>
                <w:szCs w:val="18"/>
                <w:color w:val="auto"/>
              </w:rPr>
              <w:t>at 100% of the principal amount of notes being redeemed</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Trade Date:</w:t>
            </w:r>
          </w:p>
        </w:tc>
        <w:tc>
          <w:tcPr>
            <w:tcW w:w="1500" w:type="dxa"/>
            <w:vAlign w:val="bottom"/>
          </w:tcPr>
          <w:p>
            <w:pPr>
              <w:spacing w:after="0"/>
              <w:rPr>
                <w:sz w:val="24"/>
                <w:szCs w:val="24"/>
                <w:color w:val="auto"/>
              </w:rPr>
            </w:pPr>
          </w:p>
        </w:tc>
        <w:tc>
          <w:tcPr>
            <w:tcW w:w="6580" w:type="dxa"/>
            <w:vAlign w:val="bottom"/>
            <w:gridSpan w:val="2"/>
          </w:tcPr>
          <w:p>
            <w:pPr>
              <w:ind w:left="1220"/>
              <w:spacing w:after="0"/>
              <w:rPr>
                <w:sz w:val="20"/>
                <w:szCs w:val="20"/>
                <w:color w:val="auto"/>
              </w:rPr>
            </w:pPr>
            <w:r>
              <w:rPr>
                <w:rFonts w:ascii="Arial" w:cs="Arial" w:eastAsia="Arial" w:hAnsi="Arial"/>
                <w:sz w:val="18"/>
                <w:szCs w:val="18"/>
                <w:color w:val="auto"/>
              </w:rPr>
              <w:t>April 27, 2015</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Settlement Date:</w:t>
            </w:r>
          </w:p>
        </w:tc>
        <w:tc>
          <w:tcPr>
            <w:tcW w:w="1500" w:type="dxa"/>
            <w:vAlign w:val="bottom"/>
          </w:tcPr>
          <w:p>
            <w:pPr>
              <w:spacing w:after="0"/>
              <w:rPr>
                <w:sz w:val="24"/>
                <w:szCs w:val="24"/>
                <w:color w:val="auto"/>
              </w:rPr>
            </w:pPr>
          </w:p>
        </w:tc>
        <w:tc>
          <w:tcPr>
            <w:tcW w:w="6580" w:type="dxa"/>
            <w:vAlign w:val="bottom"/>
            <w:gridSpan w:val="2"/>
          </w:tcPr>
          <w:p>
            <w:pPr>
              <w:ind w:left="1220"/>
              <w:spacing w:after="0"/>
              <w:rPr>
                <w:sz w:val="20"/>
                <w:szCs w:val="20"/>
                <w:color w:val="auto"/>
              </w:rPr>
            </w:pPr>
            <w:r>
              <w:rPr>
                <w:rFonts w:ascii="Arial" w:cs="Arial" w:eastAsia="Arial" w:hAnsi="Arial"/>
                <w:sz w:val="18"/>
                <w:szCs w:val="18"/>
                <w:color w:val="auto"/>
              </w:rPr>
              <w:t>May 6, 2015 (T+7)</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Denominations:</w:t>
            </w:r>
          </w:p>
        </w:tc>
        <w:tc>
          <w:tcPr>
            <w:tcW w:w="1500" w:type="dxa"/>
            <w:vAlign w:val="bottom"/>
          </w:tcPr>
          <w:p>
            <w:pPr>
              <w:spacing w:after="0"/>
              <w:rPr>
                <w:sz w:val="24"/>
                <w:szCs w:val="24"/>
                <w:color w:val="auto"/>
              </w:rPr>
            </w:pPr>
          </w:p>
        </w:tc>
        <w:tc>
          <w:tcPr>
            <w:tcW w:w="6580" w:type="dxa"/>
            <w:vAlign w:val="bottom"/>
            <w:gridSpan w:val="2"/>
          </w:tcPr>
          <w:p>
            <w:pPr>
              <w:ind w:left="1220"/>
              <w:spacing w:after="0"/>
              <w:rPr>
                <w:sz w:val="20"/>
                <w:szCs w:val="20"/>
                <w:color w:val="auto"/>
              </w:rPr>
            </w:pPr>
            <w:r>
              <w:rPr>
                <w:rFonts w:ascii="Arial" w:cs="Arial" w:eastAsia="Arial" w:hAnsi="Arial"/>
                <w:sz w:val="18"/>
                <w:szCs w:val="18"/>
                <w:color w:val="auto"/>
              </w:rPr>
              <w:t>$2,000 and multiples of $1,000 thereafter</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CUSIP/ISIN:</w:t>
            </w:r>
          </w:p>
        </w:tc>
        <w:tc>
          <w:tcPr>
            <w:tcW w:w="1500" w:type="dxa"/>
            <w:vAlign w:val="bottom"/>
          </w:tcPr>
          <w:p>
            <w:pPr>
              <w:spacing w:after="0"/>
              <w:rPr>
                <w:sz w:val="24"/>
                <w:szCs w:val="24"/>
                <w:color w:val="auto"/>
              </w:rPr>
            </w:pPr>
          </w:p>
        </w:tc>
        <w:tc>
          <w:tcPr>
            <w:tcW w:w="6580" w:type="dxa"/>
            <w:vAlign w:val="bottom"/>
            <w:gridSpan w:val="2"/>
          </w:tcPr>
          <w:p>
            <w:pPr>
              <w:ind w:left="1220"/>
              <w:spacing w:after="0"/>
              <w:rPr>
                <w:sz w:val="20"/>
                <w:szCs w:val="20"/>
                <w:color w:val="auto"/>
              </w:rPr>
            </w:pPr>
            <w:r>
              <w:rPr>
                <w:rFonts w:ascii="Arial" w:cs="Arial" w:eastAsia="Arial" w:hAnsi="Arial"/>
                <w:sz w:val="18"/>
                <w:szCs w:val="18"/>
                <w:color w:val="auto"/>
              </w:rPr>
              <w:t>882508 AZ7 / US882508AZ72</w:t>
            </w:r>
          </w:p>
        </w:tc>
      </w:tr>
      <w:tr>
        <w:trPr>
          <w:trHeight w:val="310"/>
        </w:trPr>
        <w:tc>
          <w:tcPr>
            <w:tcW w:w="3340" w:type="dxa"/>
            <w:vAlign w:val="bottom"/>
          </w:tcPr>
          <w:p>
            <w:pPr>
              <w:spacing w:after="0"/>
              <w:rPr>
                <w:sz w:val="20"/>
                <w:szCs w:val="20"/>
                <w:color w:val="auto"/>
              </w:rPr>
            </w:pPr>
            <w:r>
              <w:rPr>
                <w:rFonts w:ascii="Arial" w:cs="Arial" w:eastAsia="Arial" w:hAnsi="Arial"/>
                <w:sz w:val="18"/>
                <w:szCs w:val="18"/>
                <w:color w:val="auto"/>
              </w:rPr>
              <w:t>Ratings:</w:t>
            </w:r>
          </w:p>
        </w:tc>
        <w:tc>
          <w:tcPr>
            <w:tcW w:w="1500" w:type="dxa"/>
            <w:vAlign w:val="bottom"/>
          </w:tcPr>
          <w:p>
            <w:pPr>
              <w:spacing w:after="0"/>
              <w:rPr>
                <w:sz w:val="24"/>
                <w:szCs w:val="24"/>
                <w:color w:val="auto"/>
              </w:rPr>
            </w:pPr>
          </w:p>
        </w:tc>
        <w:tc>
          <w:tcPr>
            <w:tcW w:w="6580" w:type="dxa"/>
            <w:vAlign w:val="bottom"/>
            <w:gridSpan w:val="2"/>
          </w:tcPr>
          <w:p>
            <w:pPr>
              <w:ind w:left="1220"/>
              <w:spacing w:after="0"/>
              <w:rPr>
                <w:sz w:val="20"/>
                <w:szCs w:val="20"/>
                <w:color w:val="auto"/>
              </w:rPr>
            </w:pPr>
            <w:r>
              <w:rPr>
                <w:rFonts w:ascii="Arial" w:cs="Arial" w:eastAsia="Arial" w:hAnsi="Arial"/>
                <w:sz w:val="18"/>
                <w:szCs w:val="18"/>
                <w:color w:val="auto"/>
              </w:rPr>
              <w:t>Moody’s: A1 (stable outlook)</w:t>
            </w:r>
          </w:p>
        </w:tc>
      </w:tr>
      <w:tr>
        <w:trPr>
          <w:trHeight w:val="230"/>
        </w:trPr>
        <w:tc>
          <w:tcPr>
            <w:tcW w:w="3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580" w:type="dxa"/>
            <w:vAlign w:val="bottom"/>
            <w:gridSpan w:val="2"/>
          </w:tcPr>
          <w:p>
            <w:pPr>
              <w:ind w:left="1220"/>
              <w:spacing w:after="0"/>
              <w:rPr>
                <w:sz w:val="20"/>
                <w:szCs w:val="20"/>
                <w:color w:val="auto"/>
              </w:rPr>
            </w:pPr>
            <w:r>
              <w:rPr>
                <w:rFonts w:ascii="Arial" w:cs="Arial" w:eastAsia="Arial" w:hAnsi="Arial"/>
                <w:sz w:val="18"/>
                <w:szCs w:val="18"/>
                <w:color w:val="auto"/>
              </w:rPr>
              <w:t>S&amp;P: A+ (stable outlook)</w:t>
            </w:r>
          </w:p>
        </w:tc>
      </w:tr>
      <w:tr>
        <w:trPr>
          <w:trHeight w:val="323"/>
        </w:trPr>
        <w:tc>
          <w:tcPr>
            <w:tcW w:w="334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1500" w:type="dxa"/>
            <w:vAlign w:val="bottom"/>
          </w:tcPr>
          <w:p>
            <w:pPr>
              <w:spacing w:after="0"/>
              <w:rPr>
                <w:sz w:val="24"/>
                <w:szCs w:val="24"/>
                <w:color w:val="auto"/>
              </w:rPr>
            </w:pPr>
          </w:p>
        </w:tc>
        <w:tc>
          <w:tcPr>
            <w:tcW w:w="6580" w:type="dxa"/>
            <w:vAlign w:val="bottom"/>
            <w:gridSpan w:val="2"/>
          </w:tcPr>
          <w:p>
            <w:pPr>
              <w:ind w:left="1220"/>
              <w:spacing w:after="0"/>
              <w:rPr>
                <w:sz w:val="20"/>
                <w:szCs w:val="20"/>
                <w:color w:val="auto"/>
              </w:rPr>
            </w:pPr>
            <w:r>
              <w:rPr>
                <w:rFonts w:ascii="Arial" w:cs="Arial" w:eastAsia="Arial" w:hAnsi="Arial"/>
                <w:sz w:val="18"/>
                <w:szCs w:val="18"/>
                <w:color w:val="auto"/>
              </w:rPr>
              <w:t>J.P. Morgan Securities LLC</w:t>
            </w:r>
          </w:p>
        </w:tc>
      </w:tr>
      <w:tr>
        <w:trPr>
          <w:trHeight w:val="216"/>
        </w:trPr>
        <w:tc>
          <w:tcPr>
            <w:tcW w:w="3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580" w:type="dxa"/>
            <w:vAlign w:val="bottom"/>
            <w:gridSpan w:val="2"/>
          </w:tcPr>
          <w:p>
            <w:pPr>
              <w:ind w:left="1220"/>
              <w:spacing w:after="0"/>
              <w:rPr>
                <w:sz w:val="20"/>
                <w:szCs w:val="20"/>
                <w:color w:val="auto"/>
              </w:rPr>
            </w:pPr>
            <w:r>
              <w:rPr>
                <w:rFonts w:ascii="Arial" w:cs="Arial" w:eastAsia="Arial" w:hAnsi="Arial"/>
                <w:sz w:val="18"/>
                <w:szCs w:val="18"/>
                <w:color w:val="auto"/>
              </w:rPr>
              <w:t>Mitsubishi UFJ Securities (USA), Inc.</w:t>
            </w:r>
          </w:p>
        </w:tc>
      </w:tr>
      <w:tr>
        <w:trPr>
          <w:trHeight w:val="230"/>
        </w:trPr>
        <w:tc>
          <w:tcPr>
            <w:tcW w:w="3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580" w:type="dxa"/>
            <w:vAlign w:val="bottom"/>
            <w:gridSpan w:val="2"/>
          </w:tcPr>
          <w:p>
            <w:pPr>
              <w:ind w:left="1220"/>
              <w:spacing w:after="0"/>
              <w:rPr>
                <w:sz w:val="20"/>
                <w:szCs w:val="20"/>
                <w:color w:val="auto"/>
              </w:rPr>
            </w:pPr>
            <w:r>
              <w:rPr>
                <w:rFonts w:ascii="Arial" w:cs="Arial" w:eastAsia="Arial" w:hAnsi="Arial"/>
                <w:sz w:val="18"/>
                <w:szCs w:val="18"/>
                <w:color w:val="auto"/>
              </w:rPr>
              <w:t>Morgan Stanley &amp; Co. LLC</w:t>
            </w:r>
          </w:p>
        </w:tc>
      </w:tr>
      <w:tr>
        <w:trPr>
          <w:trHeight w:val="323"/>
        </w:trPr>
        <w:tc>
          <w:tcPr>
            <w:tcW w:w="3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580" w:type="dxa"/>
            <w:vAlign w:val="bottom"/>
            <w:gridSpan w:val="2"/>
          </w:tcPr>
          <w:p>
            <w:pPr>
              <w:ind w:left="122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3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580" w:type="dxa"/>
            <w:vAlign w:val="bottom"/>
            <w:gridSpan w:val="2"/>
          </w:tcPr>
          <w:p>
            <w:pPr>
              <w:ind w:left="1220"/>
              <w:spacing w:after="0"/>
              <w:rPr>
                <w:sz w:val="20"/>
                <w:szCs w:val="20"/>
                <w:color w:val="auto"/>
              </w:rPr>
            </w:pPr>
            <w:r>
              <w:rPr>
                <w:rFonts w:ascii="Arial" w:cs="Arial" w:eastAsia="Arial" w:hAnsi="Arial"/>
                <w:sz w:val="18"/>
                <w:szCs w:val="18"/>
                <w:color w:val="auto"/>
              </w:rPr>
              <w:t>Merrill Lynch, Pierce, Fenner &amp; Smith</w:t>
            </w:r>
          </w:p>
        </w:tc>
      </w:tr>
      <w:tr>
        <w:trPr>
          <w:trHeight w:val="216"/>
        </w:trPr>
        <w:tc>
          <w:tcPr>
            <w:tcW w:w="3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840" w:type="dxa"/>
            <w:vAlign w:val="bottom"/>
          </w:tcPr>
          <w:p>
            <w:pPr>
              <w:jc w:val="right"/>
              <w:ind w:right="3370"/>
              <w:spacing w:after="0"/>
              <w:rPr>
                <w:sz w:val="20"/>
                <w:szCs w:val="20"/>
                <w:color w:val="auto"/>
              </w:rPr>
            </w:pPr>
            <w:r>
              <w:rPr>
                <w:rFonts w:ascii="Arial" w:cs="Arial" w:eastAsia="Arial" w:hAnsi="Arial"/>
                <w:sz w:val="18"/>
                <w:szCs w:val="18"/>
                <w:color w:val="auto"/>
              </w:rPr>
              <w:t>Incorporated</w:t>
            </w:r>
          </w:p>
        </w:tc>
      </w:tr>
      <w:tr>
        <w:trPr>
          <w:trHeight w:val="230"/>
        </w:trPr>
        <w:tc>
          <w:tcPr>
            <w:tcW w:w="3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580" w:type="dxa"/>
            <w:vAlign w:val="bottom"/>
            <w:gridSpan w:val="2"/>
          </w:tcPr>
          <w:p>
            <w:pPr>
              <w:ind w:left="1220"/>
              <w:spacing w:after="0"/>
              <w:rPr>
                <w:sz w:val="20"/>
                <w:szCs w:val="20"/>
                <w:color w:val="auto"/>
              </w:rPr>
            </w:pPr>
            <w:r>
              <w:rPr>
                <w:rFonts w:ascii="Arial" w:cs="Arial" w:eastAsia="Arial" w:hAnsi="Arial"/>
                <w:sz w:val="18"/>
                <w:szCs w:val="18"/>
                <w:color w:val="auto"/>
              </w:rPr>
              <w:t>Mizuho Securities USA Inc.</w:t>
            </w:r>
          </w:p>
        </w:tc>
      </w:tr>
    </w:tbl>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securities rating is not a recommendation to buy, sell or hold securities and may be subject to revision or withdrawal at any time.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It is expected that delivery of the notes will be made against payment therefore on or about May 6, 2015, which is the seventh business day following the date hereof (such settlement cycle being referred to as “T+7”). Under Rule 15c6-1 under the Securities Exchange Act of 1934, as amended, trades in the secondary market generally are required to settle in three business days unless the parties to any such trade expressly agree otherwise.</w:t>
      </w:r>
    </w:p>
    <w:p>
      <w:pPr>
        <w:spacing w:after="0" w:line="2" w:lineRule="exact"/>
        <w:rPr>
          <w:sz w:val="20"/>
          <w:szCs w:val="20"/>
          <w:color w:val="auto"/>
        </w:rPr>
      </w:pPr>
    </w:p>
    <w:p>
      <w:pPr>
        <w:jc w:val="both"/>
        <w:ind w:right="180"/>
        <w:spacing w:after="0" w:line="277" w:lineRule="auto"/>
        <w:rPr>
          <w:sz w:val="20"/>
          <w:szCs w:val="20"/>
          <w:color w:val="auto"/>
        </w:rPr>
      </w:pPr>
      <w:r>
        <w:rPr>
          <w:rFonts w:ascii="Arial" w:cs="Arial" w:eastAsia="Arial" w:hAnsi="Arial"/>
          <w:sz w:val="17"/>
          <w:szCs w:val="17"/>
          <w:b w:val="1"/>
          <w:bCs w:val="1"/>
          <w:color w:val="auto"/>
        </w:rPr>
        <w:t>Accordingly, purchasers who wish to trade the notes on the date of pricing or the next three succeeding business days will be required, by virtue of the fact that the notes initially will settle in T+7, to specify an alternative settlement cycle at the time of any such trade to prevent failed settlement. Purchasers of the notes who wish to trade the notes on the date of pricing should consult their own advisors.</w:t>
      </w:r>
    </w:p>
    <w:p>
      <w:pPr>
        <w:spacing w:after="0" w:line="169"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J.P. Morgan Securities LLC at (212) 834-4533, Mitsubishi UFJ Securities (USA), Inc. at (877) 649-6848 or Morgan Stanley &amp; Co. LLC at (866) 718-1649.</w:t>
      </w:r>
    </w:p>
    <w:p>
      <w:pPr>
        <w:spacing w:after="0" w:line="156" w:lineRule="exact"/>
        <w:rPr>
          <w:sz w:val="20"/>
          <w:szCs w:val="20"/>
          <w:color w:val="auto"/>
        </w:rPr>
      </w:pPr>
    </w:p>
    <w:p>
      <w:pPr>
        <w:ind w:right="80"/>
        <w:spacing w:after="0" w:line="313" w:lineRule="auto"/>
        <w:rPr>
          <w:sz w:val="20"/>
          <w:szCs w:val="20"/>
          <w:color w:val="auto"/>
        </w:rPr>
      </w:pPr>
      <w:r>
        <w:rPr>
          <w:rFonts w:ascii="Arial" w:cs="Arial" w:eastAsia="Arial" w:hAnsi="Arial"/>
          <w:sz w:val="17"/>
          <w:szCs w:val="17"/>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2019-12-05T16:10:12Z</dcterms:created>
  <dcterms:modified xsi:type="dcterms:W3CDTF">2019-12-05T16:10:12Z</dcterms:modified>
</cp:coreProperties>
</file>