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UNITED STATES SECURITIES AND EXCHANGE COMMISSION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-1584325</wp:posOffset>
            </wp:positionH>
            <wp:positionV relativeFrom="paragraph">
              <wp:posOffset>29210</wp:posOffset>
            </wp:positionV>
            <wp:extent cx="6967220" cy="16243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-166370</wp:posOffset>
            </wp:positionV>
            <wp:extent cx="131953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80" w:space="220"/>
            <w:col w:w="6080" w:space="260"/>
            <w:col w:w="22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863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6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3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4,223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53.94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52.93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8,523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115.6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115.554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$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4,223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$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$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$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13,185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-2498725</wp:posOffset>
            </wp:positionV>
            <wp:extent cx="7033260" cy="2638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63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28, 2016.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29, 2017.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amp;CIK=0001498135" TargetMode="External"/><Relationship Id="rId12" Type="http://schemas.openxmlformats.org/officeDocument/2006/relationships/hyperlink" Target="http://www.sec.gov/cgi-bin/browse-edgar?action=getcompany&amp;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2020-04-29T16:12:56Z</dcterms:created>
  <dcterms:modified xsi:type="dcterms:W3CDTF">2020-04-29T16:12:56Z</dcterms:modified>
</cp:coreProperties>
</file>