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61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2619"/>
        <w:spacing w:after="0" w:line="238" w:lineRule="auto"/>
        <w:rPr>
          <w:sz w:val="20"/>
          <w:szCs w:val="20"/>
          <w:color w:val="auto"/>
        </w:rPr>
      </w:pPr>
      <w:r>
        <w:rPr>
          <w:rFonts w:ascii="Courier New" w:cs="Courier New" w:eastAsia="Courier New" w:hAnsi="Courier New"/>
          <w:sz w:val="18"/>
          <w:szCs w:val="18"/>
          <w:color w:val="auto"/>
        </w:rPr>
        <w:t>Washington, D.C. 20594</w:t>
      </w:r>
    </w:p>
    <w:p>
      <w:pPr>
        <w:spacing w:after="0" w:line="200" w:lineRule="exact"/>
        <w:rPr>
          <w:sz w:val="24"/>
          <w:szCs w:val="24"/>
          <w:color w:val="auto"/>
        </w:rPr>
      </w:pPr>
    </w:p>
    <w:p>
      <w:pPr>
        <w:spacing w:after="0" w:line="204" w:lineRule="exact"/>
        <w:rPr>
          <w:sz w:val="24"/>
          <w:szCs w:val="24"/>
          <w:color w:val="auto"/>
        </w:rPr>
      </w:pPr>
    </w:p>
    <w:p>
      <w:pPr>
        <w:jc w:val="center"/>
        <w:ind w:right="2619"/>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ind w:left="1580"/>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0" w:lineRule="exact"/>
        <w:rPr>
          <w:sz w:val="24"/>
          <w:szCs w:val="24"/>
          <w:color w:val="auto"/>
        </w:rPr>
      </w:pPr>
    </w:p>
    <w:p>
      <w:pPr>
        <w:spacing w:after="0" w:line="204" w:lineRule="exact"/>
        <w:rPr>
          <w:sz w:val="24"/>
          <w:szCs w:val="24"/>
          <w:color w:val="auto"/>
        </w:rPr>
      </w:pPr>
    </w:p>
    <w:p>
      <w:pPr>
        <w:ind w:left="2740"/>
        <w:spacing w:after="0"/>
        <w:rPr>
          <w:sz w:val="20"/>
          <w:szCs w:val="20"/>
          <w:color w:val="auto"/>
        </w:rPr>
      </w:pPr>
      <w:r>
        <w:rPr>
          <w:rFonts w:ascii="Courier New" w:cs="Courier New" w:eastAsia="Courier New" w:hAnsi="Courier New"/>
          <w:sz w:val="18"/>
          <w:szCs w:val="18"/>
          <w:color w:val="auto"/>
        </w:rPr>
        <w:t>(Amendment No. 3 )*</w:t>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jc w:val="center"/>
        <w:ind w:right="2419"/>
        <w:spacing w:after="0"/>
        <w:rPr>
          <w:sz w:val="20"/>
          <w:szCs w:val="20"/>
          <w:color w:val="auto"/>
        </w:rPr>
      </w:pPr>
      <w:r>
        <w:rPr>
          <w:rFonts w:ascii="Courier New" w:cs="Courier New" w:eastAsia="Courier New" w:hAnsi="Courier New"/>
          <w:sz w:val="18"/>
          <w:szCs w:val="18"/>
          <w:color w:val="auto"/>
        </w:rPr>
        <w:t>Texas Instruments Incorporated</w:t>
      </w:r>
    </w:p>
    <w:p>
      <w:pPr>
        <w:spacing w:after="0" w:line="201" w:lineRule="exact"/>
        <w:rPr>
          <w:sz w:val="24"/>
          <w:szCs w:val="24"/>
          <w:color w:val="auto"/>
        </w:rPr>
      </w:pPr>
    </w:p>
    <w:p>
      <w:pPr>
        <w:jc w:val="center"/>
        <w:ind w:right="2419"/>
        <w:spacing w:after="0"/>
        <w:rPr>
          <w:sz w:val="20"/>
          <w:szCs w:val="20"/>
          <w:color w:val="auto"/>
        </w:rPr>
      </w:pPr>
      <w:r>
        <w:rPr>
          <w:rFonts w:ascii="Courier New" w:cs="Courier New" w:eastAsia="Courier New" w:hAnsi="Courier New"/>
          <w:sz w:val="18"/>
          <w:szCs w:val="18"/>
          <w:color w:val="auto"/>
        </w:rPr>
        <w:t>(Name of Issuer)</w:t>
      </w:r>
    </w:p>
    <w:p>
      <w:pPr>
        <w:spacing w:after="0" w:line="201" w:lineRule="exact"/>
        <w:rPr>
          <w:sz w:val="24"/>
          <w:szCs w:val="24"/>
          <w:color w:val="auto"/>
        </w:rPr>
      </w:pPr>
    </w:p>
    <w:p>
      <w:pPr>
        <w:jc w:val="center"/>
        <w:ind w:right="2419"/>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4"/>
          <w:szCs w:val="24"/>
          <w:color w:val="auto"/>
        </w:rPr>
      </w:pPr>
    </w:p>
    <w:p>
      <w:pPr>
        <w:jc w:val="center"/>
        <w:ind w:right="2419"/>
        <w:spacing w:after="0"/>
        <w:rPr>
          <w:sz w:val="20"/>
          <w:szCs w:val="20"/>
          <w:color w:val="auto"/>
        </w:rPr>
      </w:pPr>
      <w:r>
        <w:rPr>
          <w:rFonts w:ascii="Courier New" w:cs="Courier New" w:eastAsia="Courier New" w:hAnsi="Courier New"/>
          <w:sz w:val="18"/>
          <w:szCs w:val="18"/>
          <w:color w:val="auto"/>
        </w:rPr>
        <w:t>(Title of Class of Securities)</w:t>
      </w:r>
    </w:p>
    <w:p>
      <w:pPr>
        <w:spacing w:after="0" w:line="201"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882508104</w:t>
      </w:r>
    </w:p>
    <w:p>
      <w:pPr>
        <w:spacing w:after="0" w:line="201" w:lineRule="exact"/>
        <w:rPr>
          <w:sz w:val="24"/>
          <w:szCs w:val="24"/>
          <w:color w:val="auto"/>
        </w:rPr>
      </w:pPr>
    </w:p>
    <w:p>
      <w:pPr>
        <w:ind w:left="3160"/>
        <w:spacing w:after="0"/>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spacing w:after="0" w:line="209" w:lineRule="exact"/>
        <w:rPr>
          <w:sz w:val="24"/>
          <w:szCs w:val="24"/>
          <w:color w:val="auto"/>
        </w:rPr>
      </w:pPr>
    </w:p>
    <w:p>
      <w:pPr>
        <w:ind w:right="2739"/>
        <w:spacing w:after="0" w:line="237" w:lineRule="auto"/>
        <w:rPr>
          <w:sz w:val="20"/>
          <w:szCs w:val="20"/>
          <w:color w:val="auto"/>
        </w:rPr>
      </w:pPr>
      <w:r>
        <w:rPr>
          <w:rFonts w:ascii="Courier New" w:cs="Courier New" w:eastAsia="Courier New" w:hAnsi="Courier New"/>
          <w:sz w:val="18"/>
          <w:szCs w:val="18"/>
          <w:color w:val="auto"/>
        </w:rPr>
        <w:t>Check the following box if a fee is being paid with this statement [ ]. (A fee is not required only if the filing person: (1) has a previous statement on file reporting beneficial ownership of more than five percent of the class of securities described in Item 1: and (2) has filed no amendment subsequent thereto reporting beneficial ownership of five percent or less of such class.) (See Rule 13d-7).</w:t>
      </w:r>
    </w:p>
    <w:p>
      <w:pPr>
        <w:spacing w:after="0" w:line="210" w:lineRule="exact"/>
        <w:rPr>
          <w:sz w:val="24"/>
          <w:szCs w:val="24"/>
          <w:color w:val="auto"/>
        </w:rPr>
      </w:pPr>
    </w:p>
    <w:p>
      <w:pPr>
        <w:jc w:val="both"/>
        <w:ind w:right="2839"/>
        <w:spacing w:after="0" w:line="275" w:lineRule="auto"/>
        <w:rPr>
          <w:sz w:val="20"/>
          <w:szCs w:val="20"/>
          <w:color w:val="auto"/>
        </w:rPr>
      </w:pPr>
      <w:r>
        <w:rPr>
          <w:rFonts w:ascii="Courier New" w:cs="Courier New" w:eastAsia="Courier New" w:hAnsi="Courier New"/>
          <w:sz w:val="16"/>
          <w:szCs w:val="16"/>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2" w:lineRule="exact"/>
        <w:rPr>
          <w:sz w:val="24"/>
          <w:szCs w:val="24"/>
          <w:color w:val="auto"/>
        </w:rPr>
      </w:pPr>
    </w:p>
    <w:p>
      <w:pPr>
        <w:ind w:right="273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ectPr>
          <w:pgSz w:w="11900" w:h="16838" w:orient="portrait"/>
          <w:cols w:equalWidth="0" w:num="1">
            <w:col w:w="10219"/>
          </w:cols>
          <w:pgMar w:left="240" w:top="447" w:right="1440" w:bottom="1440" w:gutter="0" w:footer="0" w:header="0"/>
        </w:sectPr>
      </w:pPr>
    </w:p>
    <w:bookmarkStart w:id="1" w:name="page2"/>
    <w:bookmarkEnd w:id="1"/>
    <w:p>
      <w:pPr>
        <w:ind w:left="540" w:hanging="427"/>
        <w:spacing w:after="0"/>
        <w:tabs>
          <w:tab w:leader="none" w:pos="54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spacing w:after="0" w:line="4" w:lineRule="exact"/>
        <w:rPr>
          <w:rFonts w:ascii="Courier New" w:cs="Courier New" w:eastAsia="Courier New" w:hAnsi="Courier New"/>
          <w:sz w:val="18"/>
          <w:szCs w:val="18"/>
          <w:color w:val="auto"/>
        </w:rPr>
      </w:pPr>
    </w:p>
    <w:p>
      <w:pPr>
        <w:ind w:left="540" w:right="451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 The Capital Group Companies, Inc.</w:t>
      </w:r>
    </w:p>
    <w:p>
      <w:pPr>
        <w:spacing w:after="0" w:line="1" w:lineRule="exact"/>
        <w:rPr>
          <w:rFonts w:ascii="Courier New" w:cs="Courier New" w:eastAsia="Courier New" w:hAnsi="Courier New"/>
          <w:sz w:val="18"/>
          <w:szCs w:val="18"/>
          <w:color w:val="auto"/>
        </w:rPr>
      </w:pP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86-0206507</w:t>
      </w:r>
    </w:p>
    <w:p>
      <w:pPr>
        <w:spacing w:after="0" w:line="202" w:lineRule="exact"/>
        <w:rPr>
          <w:sz w:val="20"/>
          <w:szCs w:val="20"/>
          <w:color w:val="auto"/>
        </w:rPr>
      </w:pPr>
    </w:p>
    <w:p>
      <w:pPr>
        <w:ind w:left="540" w:hanging="427"/>
        <w:spacing w:after="0"/>
        <w:tabs>
          <w:tab w:leader="none" w:pos="5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w:t>
      </w:r>
    </w:p>
    <w:p>
      <w:pPr>
        <w:spacing w:after="0" w:line="200" w:lineRule="exact"/>
        <w:rPr>
          <w:sz w:val="20"/>
          <w:szCs w:val="20"/>
          <w:color w:val="auto"/>
        </w:rPr>
      </w:pPr>
    </w:p>
    <w:p>
      <w:pPr>
        <w:spacing w:after="0" w:line="204" w:lineRule="exact"/>
        <w:rPr>
          <w:sz w:val="20"/>
          <w:szCs w:val="20"/>
          <w:color w:val="auto"/>
        </w:rPr>
      </w:pPr>
    </w:p>
    <w:p>
      <w:pPr>
        <w:ind w:left="540" w:hanging="427"/>
        <w:spacing w:after="0"/>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540" w:right="5899" w:hanging="427"/>
        <w:spacing w:after="0" w:line="470" w:lineRule="auto"/>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Delaware</w:t>
      </w:r>
    </w:p>
    <w:p>
      <w:pPr>
        <w:spacing w:after="0" w:line="214" w:lineRule="exact"/>
        <w:rPr>
          <w:sz w:val="20"/>
          <w:szCs w:val="20"/>
          <w:color w:val="auto"/>
        </w:rPr>
      </w:pPr>
    </w:p>
    <w:p>
      <w:pPr>
        <w:ind w:left="1900" w:right="6519" w:hanging="417"/>
        <w:spacing w:after="0" w:line="470" w:lineRule="auto"/>
        <w:tabs>
          <w:tab w:leader="none" w:pos="190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3,120</w:t>
      </w:r>
    </w:p>
    <w:p>
      <w:pPr>
        <w:spacing w:after="0" w:line="209" w:lineRule="exact"/>
        <w:rPr>
          <w:sz w:val="20"/>
          <w:szCs w:val="20"/>
          <w:color w:val="auto"/>
        </w:rPr>
      </w:pPr>
    </w:p>
    <w:p>
      <w:pPr>
        <w:ind w:left="1480"/>
        <w:spacing w:after="0"/>
        <w:tabs>
          <w:tab w:leader="none" w:pos="1880" w:val="left"/>
        </w:tabs>
        <w:rPr>
          <w:sz w:val="20"/>
          <w:szCs w:val="20"/>
          <w:color w:val="auto"/>
        </w:rPr>
      </w:pPr>
      <w:r>
        <w:rPr>
          <w:rFonts w:ascii="Courier New" w:cs="Courier New" w:eastAsia="Courier New" w:hAnsi="Courier New"/>
          <w:sz w:val="18"/>
          <w:szCs w:val="18"/>
          <w:color w:val="auto"/>
        </w:rPr>
        <w:t>6</w:t>
      </w:r>
      <w:r>
        <w:rPr>
          <w:sz w:val="20"/>
          <w:szCs w:val="20"/>
          <w:color w:val="auto"/>
        </w:rPr>
        <w:tab/>
      </w:r>
      <w:r>
        <w:rPr>
          <w:rFonts w:ascii="Courier New" w:cs="Courier New" w:eastAsia="Courier New" w:hAnsi="Courier New"/>
          <w:sz w:val="18"/>
          <w:szCs w:val="18"/>
          <w:color w:val="auto"/>
        </w:rPr>
        <w:t>SHARED VOTING POWER</w:t>
      </w:r>
    </w:p>
    <w:p>
      <w:pPr>
        <w:ind w:left="120"/>
        <w:spacing w:after="0" w:line="238" w:lineRule="auto"/>
        <w:rPr>
          <w:sz w:val="20"/>
          <w:szCs w:val="20"/>
          <w:color w:val="auto"/>
        </w:rPr>
      </w:pPr>
      <w:r>
        <w:rPr>
          <w:rFonts w:ascii="Courier New" w:cs="Courier New" w:eastAsia="Courier New" w:hAnsi="Courier New"/>
          <w:sz w:val="18"/>
          <w:szCs w:val="18"/>
          <w:color w:val="auto"/>
        </w:rPr>
        <w:t>NUMBER OF</w:t>
      </w:r>
    </w:p>
    <w:p>
      <w:pPr>
        <w:ind w:left="320"/>
        <w:spacing w:after="0"/>
        <w:rPr>
          <w:sz w:val="20"/>
          <w:szCs w:val="20"/>
          <w:color w:val="auto"/>
        </w:rPr>
      </w:pPr>
      <w:r>
        <w:rPr>
          <w:rFonts w:ascii="Courier New" w:cs="Courier New" w:eastAsia="Courier New" w:hAnsi="Courier New"/>
          <w:sz w:val="18"/>
          <w:szCs w:val="18"/>
          <w:color w:val="auto"/>
        </w:rPr>
        <w:t>SHARES</w:t>
      </w:r>
    </w:p>
    <w:p>
      <w:pPr>
        <w:ind w:left="1900"/>
        <w:spacing w:after="0" w:line="237" w:lineRule="auto"/>
        <w:rPr>
          <w:sz w:val="20"/>
          <w:szCs w:val="20"/>
          <w:color w:val="auto"/>
        </w:rPr>
      </w:pPr>
      <w:r>
        <w:rPr>
          <w:rFonts w:ascii="Courier New" w:cs="Courier New" w:eastAsia="Courier New" w:hAnsi="Courier New"/>
          <w:sz w:val="18"/>
          <w:szCs w:val="18"/>
          <w:color w:val="auto"/>
        </w:rPr>
        <w:t>NONE</w:t>
      </w:r>
    </w:p>
    <w:p>
      <w:pPr>
        <w:spacing w:after="0" w:line="5" w:lineRule="exact"/>
        <w:rPr>
          <w:sz w:val="20"/>
          <w:szCs w:val="20"/>
          <w:color w:val="auto"/>
        </w:rPr>
      </w:pPr>
    </w:p>
    <w:p>
      <w:pPr>
        <w:jc w:val="right"/>
        <w:ind w:right="9059"/>
        <w:spacing w:after="0"/>
        <w:rPr>
          <w:sz w:val="20"/>
          <w:szCs w:val="20"/>
          <w:color w:val="auto"/>
        </w:rPr>
      </w:pPr>
      <w:r>
        <w:rPr>
          <w:rFonts w:ascii="Courier New" w:cs="Courier New" w:eastAsia="Courier New" w:hAnsi="Courier New"/>
          <w:sz w:val="16"/>
          <w:szCs w:val="16"/>
          <w:color w:val="auto"/>
        </w:rPr>
        <w:t>BENEFICIALL</w:t>
      </w:r>
    </w:p>
    <w:p>
      <w:pPr>
        <w:spacing w:after="0" w:line="16" w:lineRule="exact"/>
        <w:rPr>
          <w:sz w:val="20"/>
          <w:szCs w:val="20"/>
          <w:color w:val="auto"/>
        </w:rPr>
      </w:pPr>
    </w:p>
    <w:p>
      <w:pPr>
        <w:jc w:val="right"/>
        <w:ind w:right="9059"/>
        <w:spacing w:after="0"/>
        <w:rPr>
          <w:sz w:val="20"/>
          <w:szCs w:val="20"/>
          <w:color w:val="auto"/>
        </w:rPr>
      </w:pPr>
      <w:r>
        <w:rPr>
          <w:rFonts w:ascii="Courier New" w:cs="Courier New" w:eastAsia="Courier New" w:hAnsi="Courier New"/>
          <w:sz w:val="18"/>
          <w:szCs w:val="18"/>
          <w:color w:val="auto"/>
        </w:rPr>
        <w:t>Y OWNED BY</w:t>
      </w:r>
    </w:p>
    <w:p>
      <w:pPr>
        <w:ind w:left="1480"/>
        <w:spacing w:after="0" w:line="238" w:lineRule="auto"/>
        <w:tabs>
          <w:tab w:leader="none" w:pos="1880" w:val="left"/>
        </w:tabs>
        <w:rPr>
          <w:sz w:val="20"/>
          <w:szCs w:val="20"/>
          <w:color w:val="auto"/>
        </w:rPr>
      </w:pPr>
      <w:r>
        <w:rPr>
          <w:rFonts w:ascii="Courier New" w:cs="Courier New" w:eastAsia="Courier New" w:hAnsi="Courier New"/>
          <w:sz w:val="18"/>
          <w:szCs w:val="18"/>
          <w:color w:val="auto"/>
        </w:rPr>
        <w:t>7</w:t>
      </w:r>
      <w:r>
        <w:rPr>
          <w:sz w:val="20"/>
          <w:szCs w:val="20"/>
          <w:color w:val="auto"/>
        </w:rPr>
        <w:tab/>
      </w:r>
      <w:r>
        <w:rPr>
          <w:rFonts w:ascii="Courier New" w:cs="Courier New" w:eastAsia="Courier New" w:hAnsi="Courier New"/>
          <w:sz w:val="18"/>
          <w:szCs w:val="18"/>
          <w:color w:val="auto"/>
        </w:rPr>
        <w:t>SOLE DISPOSITIVE POWER</w:t>
      </w:r>
    </w:p>
    <w:p>
      <w:pPr>
        <w:ind w:left="420"/>
        <w:spacing w:after="0"/>
        <w:rPr>
          <w:sz w:val="20"/>
          <w:szCs w:val="20"/>
          <w:color w:val="auto"/>
        </w:rPr>
      </w:pPr>
      <w:r>
        <w:rPr>
          <w:rFonts w:ascii="Courier New" w:cs="Courier New" w:eastAsia="Courier New" w:hAnsi="Courier New"/>
          <w:sz w:val="18"/>
          <w:szCs w:val="18"/>
          <w:color w:val="auto"/>
        </w:rPr>
        <w:t>EACH</w:t>
      </w:r>
    </w:p>
    <w:p>
      <w:pPr>
        <w:ind w:left="120"/>
        <w:spacing w:after="0" w:line="237" w:lineRule="auto"/>
        <w:rPr>
          <w:sz w:val="20"/>
          <w:szCs w:val="20"/>
          <w:color w:val="auto"/>
        </w:rPr>
      </w:pPr>
      <w:r>
        <w:rPr>
          <w:rFonts w:ascii="Courier New" w:cs="Courier New" w:eastAsia="Courier New" w:hAnsi="Courier New"/>
          <w:sz w:val="18"/>
          <w:szCs w:val="18"/>
          <w:color w:val="auto"/>
        </w:rPr>
        <w:t>REPORTING</w:t>
      </w:r>
    </w:p>
    <w:p>
      <w:pPr>
        <w:ind w:left="1900"/>
        <w:spacing w:after="0" w:line="238" w:lineRule="auto"/>
        <w:rPr>
          <w:sz w:val="20"/>
          <w:szCs w:val="20"/>
          <w:color w:val="auto"/>
        </w:rPr>
      </w:pPr>
      <w:r>
        <w:rPr>
          <w:rFonts w:ascii="Courier New" w:cs="Courier New" w:eastAsia="Courier New" w:hAnsi="Courier New"/>
          <w:sz w:val="18"/>
          <w:szCs w:val="18"/>
          <w:color w:val="auto"/>
        </w:rPr>
        <w:t>20,987,580</w:t>
      </w:r>
    </w:p>
    <w:p>
      <w:pPr>
        <w:spacing w:after="0"/>
        <w:rPr>
          <w:sz w:val="20"/>
          <w:szCs w:val="20"/>
          <w:color w:val="auto"/>
        </w:rPr>
      </w:pPr>
      <w:r>
        <w:rPr>
          <w:rFonts w:ascii="Courier New" w:cs="Courier New" w:eastAsia="Courier New" w:hAnsi="Courier New"/>
          <w:sz w:val="18"/>
          <w:szCs w:val="18"/>
          <w:color w:val="auto"/>
        </w:rPr>
        <w:t>PERSON WITH</w:t>
      </w:r>
    </w:p>
    <w:p>
      <w:pPr>
        <w:spacing w:after="0" w:line="200" w:lineRule="exact"/>
        <w:rPr>
          <w:sz w:val="20"/>
          <w:szCs w:val="20"/>
          <w:color w:val="auto"/>
        </w:rPr>
      </w:pPr>
    </w:p>
    <w:p>
      <w:pPr>
        <w:spacing w:after="0" w:line="209" w:lineRule="exact"/>
        <w:rPr>
          <w:sz w:val="20"/>
          <w:szCs w:val="20"/>
          <w:color w:val="auto"/>
        </w:rPr>
      </w:pPr>
    </w:p>
    <w:p>
      <w:pPr>
        <w:ind w:left="1900" w:right="5779" w:hanging="417"/>
        <w:spacing w:after="0" w:line="470" w:lineRule="auto"/>
        <w:tabs>
          <w:tab w:leader="none" w:pos="190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NONE</w:t>
      </w:r>
    </w:p>
    <w:p>
      <w:pPr>
        <w:spacing w:after="0" w:line="214" w:lineRule="exact"/>
        <w:rPr>
          <w:sz w:val="20"/>
          <w:szCs w:val="20"/>
          <w:color w:val="auto"/>
        </w:rPr>
      </w:pPr>
    </w:p>
    <w:p>
      <w:pPr>
        <w:ind w:left="540" w:right="2619" w:hanging="427"/>
        <w:spacing w:after="0" w:line="470" w:lineRule="auto"/>
        <w:tabs>
          <w:tab w:leader="none" w:pos="5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20,987,580 Beneficial ownership disclaimed pursuant to Rule 13d-4</w:t>
      </w:r>
    </w:p>
    <w:p>
      <w:pPr>
        <w:spacing w:after="0" w:line="214" w:lineRule="exact"/>
        <w:rPr>
          <w:sz w:val="20"/>
          <w:szCs w:val="20"/>
          <w:color w:val="auto"/>
        </w:rPr>
      </w:pPr>
    </w:p>
    <w:p>
      <w:pPr>
        <w:ind w:left="540" w:hanging="427"/>
        <w:spacing w:after="0"/>
        <w:tabs>
          <w:tab w:leader="none" w:pos="54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CHECK BOX IF THE AGGREGATE AMOUNT IN ROW (9) EXCLUDES CERTAIN SHARES*</w:t>
      </w:r>
    </w:p>
    <w:p>
      <w:pPr>
        <w:spacing w:after="0" w:line="200" w:lineRule="exact"/>
        <w:rPr>
          <w:rFonts w:ascii="Courier New" w:cs="Courier New" w:eastAsia="Courier New" w:hAnsi="Courier New"/>
          <w:sz w:val="16"/>
          <w:szCs w:val="16"/>
          <w:color w:val="auto"/>
        </w:rPr>
      </w:pPr>
    </w:p>
    <w:p>
      <w:pPr>
        <w:spacing w:after="0" w:line="200" w:lineRule="exact"/>
        <w:rPr>
          <w:rFonts w:ascii="Courier New" w:cs="Courier New" w:eastAsia="Courier New" w:hAnsi="Courier New"/>
          <w:sz w:val="16"/>
          <w:szCs w:val="16"/>
          <w:color w:val="auto"/>
        </w:rPr>
      </w:pPr>
    </w:p>
    <w:p>
      <w:pPr>
        <w:spacing w:after="0" w:line="200" w:lineRule="exact"/>
        <w:rPr>
          <w:rFonts w:ascii="Courier New" w:cs="Courier New" w:eastAsia="Courier New" w:hAnsi="Courier New"/>
          <w:sz w:val="16"/>
          <w:szCs w:val="16"/>
          <w:color w:val="auto"/>
        </w:rPr>
      </w:pPr>
    </w:p>
    <w:p>
      <w:pPr>
        <w:spacing w:after="0" w:line="231" w:lineRule="exact"/>
        <w:rPr>
          <w:rFonts w:ascii="Courier New" w:cs="Courier New" w:eastAsia="Courier New" w:hAnsi="Courier New"/>
          <w:sz w:val="16"/>
          <w:szCs w:val="16"/>
          <w:color w:val="auto"/>
        </w:rPr>
      </w:pPr>
    </w:p>
    <w:p>
      <w:pPr>
        <w:ind w:left="540" w:right="4739" w:hanging="427"/>
        <w:spacing w:after="0" w:line="470" w:lineRule="auto"/>
        <w:tabs>
          <w:tab w:leader="none" w:pos="5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5.4%</w:t>
      </w:r>
    </w:p>
    <w:p>
      <w:pPr>
        <w:spacing w:after="0" w:line="214" w:lineRule="exact"/>
        <w:rPr>
          <w:rFonts w:ascii="Courier New" w:cs="Courier New" w:eastAsia="Courier New" w:hAnsi="Courier New"/>
          <w:sz w:val="18"/>
          <w:szCs w:val="18"/>
          <w:color w:val="auto"/>
        </w:rPr>
      </w:pPr>
    </w:p>
    <w:p>
      <w:pPr>
        <w:ind w:left="540" w:right="7059" w:hanging="427"/>
        <w:spacing w:after="0" w:line="470" w:lineRule="auto"/>
        <w:tabs>
          <w:tab w:leader="none" w:pos="5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HC</w:t>
      </w:r>
    </w:p>
    <w:p>
      <w:pPr>
        <w:spacing w:after="0" w:line="208" w:lineRule="exact"/>
        <w:rPr>
          <w:rFonts w:ascii="Courier New" w:cs="Courier New" w:eastAsia="Courier New" w:hAnsi="Courier New"/>
          <w:sz w:val="18"/>
          <w:szCs w:val="18"/>
          <w:color w:val="auto"/>
        </w:rPr>
      </w:pPr>
    </w:p>
    <w:p>
      <w:pPr>
        <w:ind w:left="180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 SEE INSTRUCTION BEFORE FILLING OUT!</w:t>
      </w:r>
    </w:p>
    <w:p>
      <w:pPr>
        <w:sectPr>
          <w:pgSz w:w="11900" w:h="16838" w:orient="portrait"/>
          <w:cols w:equalWidth="0" w:num="1">
            <w:col w:w="10219"/>
          </w:cols>
          <w:pgMar w:left="240" w:top="514" w:right="1440" w:bottom="1440" w:gutter="0" w:footer="0" w:header="0"/>
        </w:sectPr>
      </w:pPr>
    </w:p>
    <w:bookmarkStart w:id="2" w:name="page3"/>
    <w:bookmarkEnd w:id="2"/>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3" w:name="page4"/>
    <w:bookmarkEnd w:id="3"/>
    <w:p>
      <w:pPr>
        <w:ind w:left="540" w:hanging="427"/>
        <w:spacing w:after="0"/>
        <w:tabs>
          <w:tab w:leader="none" w:pos="5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spacing w:after="0" w:line="4" w:lineRule="exact"/>
        <w:rPr>
          <w:rFonts w:ascii="Courier New" w:cs="Courier New" w:eastAsia="Courier New" w:hAnsi="Courier New"/>
          <w:sz w:val="18"/>
          <w:szCs w:val="18"/>
          <w:color w:val="auto"/>
        </w:rPr>
      </w:pPr>
    </w:p>
    <w:p>
      <w:pPr>
        <w:ind w:left="540" w:right="4519"/>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 Capital Research and Management Company 95-1411037</w:t>
      </w:r>
    </w:p>
    <w:p>
      <w:pPr>
        <w:spacing w:after="0" w:line="203" w:lineRule="exact"/>
        <w:rPr>
          <w:sz w:val="20"/>
          <w:szCs w:val="20"/>
          <w:color w:val="auto"/>
        </w:rPr>
      </w:pPr>
    </w:p>
    <w:p>
      <w:pPr>
        <w:ind w:left="540" w:hanging="427"/>
        <w:spacing w:after="0"/>
        <w:tabs>
          <w:tab w:leader="none" w:pos="54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w:t>
      </w:r>
    </w:p>
    <w:p>
      <w:pPr>
        <w:spacing w:after="0" w:line="200" w:lineRule="exact"/>
        <w:rPr>
          <w:sz w:val="20"/>
          <w:szCs w:val="20"/>
          <w:color w:val="auto"/>
        </w:rPr>
      </w:pPr>
    </w:p>
    <w:p>
      <w:pPr>
        <w:spacing w:after="0" w:line="204" w:lineRule="exact"/>
        <w:rPr>
          <w:sz w:val="20"/>
          <w:szCs w:val="20"/>
          <w:color w:val="auto"/>
        </w:rPr>
      </w:pPr>
    </w:p>
    <w:p>
      <w:pPr>
        <w:ind w:left="540" w:hanging="427"/>
        <w:spacing w:after="0"/>
        <w:tabs>
          <w:tab w:leader="none" w:pos="54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540" w:right="5899" w:hanging="427"/>
        <w:spacing w:after="0" w:line="470" w:lineRule="auto"/>
        <w:tabs>
          <w:tab w:leader="none" w:pos="54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Delaware</w:t>
      </w:r>
    </w:p>
    <w:p>
      <w:pPr>
        <w:spacing w:after="0" w:line="214" w:lineRule="exact"/>
        <w:rPr>
          <w:sz w:val="20"/>
          <w:szCs w:val="20"/>
          <w:color w:val="auto"/>
        </w:rPr>
      </w:pPr>
    </w:p>
    <w:p>
      <w:pPr>
        <w:ind w:left="1900" w:right="6519" w:hanging="417"/>
        <w:spacing w:after="0" w:line="470" w:lineRule="auto"/>
        <w:tabs>
          <w:tab w:leader="none" w:pos="190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NONE</w:t>
      </w:r>
    </w:p>
    <w:p>
      <w:pPr>
        <w:spacing w:after="0" w:line="209" w:lineRule="exact"/>
        <w:rPr>
          <w:sz w:val="20"/>
          <w:szCs w:val="20"/>
          <w:color w:val="auto"/>
        </w:rPr>
      </w:pPr>
    </w:p>
    <w:p>
      <w:pPr>
        <w:ind w:left="1480"/>
        <w:spacing w:after="0"/>
        <w:tabs>
          <w:tab w:leader="none" w:pos="1880" w:val="left"/>
        </w:tabs>
        <w:rPr>
          <w:sz w:val="20"/>
          <w:szCs w:val="20"/>
          <w:color w:val="auto"/>
        </w:rPr>
      </w:pPr>
      <w:r>
        <w:rPr>
          <w:rFonts w:ascii="Courier New" w:cs="Courier New" w:eastAsia="Courier New" w:hAnsi="Courier New"/>
          <w:sz w:val="18"/>
          <w:szCs w:val="18"/>
          <w:color w:val="auto"/>
        </w:rPr>
        <w:t>6</w:t>
      </w:r>
      <w:r>
        <w:rPr>
          <w:sz w:val="20"/>
          <w:szCs w:val="20"/>
          <w:color w:val="auto"/>
        </w:rPr>
        <w:tab/>
      </w:r>
      <w:r>
        <w:rPr>
          <w:rFonts w:ascii="Courier New" w:cs="Courier New" w:eastAsia="Courier New" w:hAnsi="Courier New"/>
          <w:sz w:val="18"/>
          <w:szCs w:val="18"/>
          <w:color w:val="auto"/>
        </w:rPr>
        <w:t>SHARED VOTING POWER</w:t>
      </w:r>
    </w:p>
    <w:p>
      <w:pPr>
        <w:ind w:left="120"/>
        <w:spacing w:after="0" w:line="238" w:lineRule="auto"/>
        <w:rPr>
          <w:sz w:val="20"/>
          <w:szCs w:val="20"/>
          <w:color w:val="auto"/>
        </w:rPr>
      </w:pPr>
      <w:r>
        <w:rPr>
          <w:rFonts w:ascii="Courier New" w:cs="Courier New" w:eastAsia="Courier New" w:hAnsi="Courier New"/>
          <w:sz w:val="18"/>
          <w:szCs w:val="18"/>
          <w:color w:val="auto"/>
        </w:rPr>
        <w:t>NUMBER OF</w:t>
      </w:r>
    </w:p>
    <w:p>
      <w:pPr>
        <w:ind w:left="320"/>
        <w:spacing w:after="0"/>
        <w:rPr>
          <w:sz w:val="20"/>
          <w:szCs w:val="20"/>
          <w:color w:val="auto"/>
        </w:rPr>
      </w:pPr>
      <w:r>
        <w:rPr>
          <w:rFonts w:ascii="Courier New" w:cs="Courier New" w:eastAsia="Courier New" w:hAnsi="Courier New"/>
          <w:sz w:val="18"/>
          <w:szCs w:val="18"/>
          <w:color w:val="auto"/>
        </w:rPr>
        <w:t>SHARES</w:t>
      </w:r>
    </w:p>
    <w:p>
      <w:pPr>
        <w:ind w:left="1900"/>
        <w:spacing w:after="0" w:line="237" w:lineRule="auto"/>
        <w:rPr>
          <w:sz w:val="20"/>
          <w:szCs w:val="20"/>
          <w:color w:val="auto"/>
        </w:rPr>
      </w:pPr>
      <w:r>
        <w:rPr>
          <w:rFonts w:ascii="Courier New" w:cs="Courier New" w:eastAsia="Courier New" w:hAnsi="Courier New"/>
          <w:sz w:val="18"/>
          <w:szCs w:val="18"/>
          <w:color w:val="auto"/>
        </w:rPr>
        <w:t>NONE</w:t>
      </w:r>
    </w:p>
    <w:p>
      <w:pPr>
        <w:spacing w:after="0" w:line="5" w:lineRule="exact"/>
        <w:rPr>
          <w:sz w:val="20"/>
          <w:szCs w:val="20"/>
          <w:color w:val="auto"/>
        </w:rPr>
      </w:pPr>
    </w:p>
    <w:p>
      <w:pPr>
        <w:jc w:val="right"/>
        <w:ind w:right="9059"/>
        <w:spacing w:after="0"/>
        <w:rPr>
          <w:sz w:val="20"/>
          <w:szCs w:val="20"/>
          <w:color w:val="auto"/>
        </w:rPr>
      </w:pPr>
      <w:r>
        <w:rPr>
          <w:rFonts w:ascii="Courier New" w:cs="Courier New" w:eastAsia="Courier New" w:hAnsi="Courier New"/>
          <w:sz w:val="16"/>
          <w:szCs w:val="16"/>
          <w:color w:val="auto"/>
        </w:rPr>
        <w:t>BENEFICIALL</w:t>
      </w:r>
    </w:p>
    <w:p>
      <w:pPr>
        <w:spacing w:after="0" w:line="16" w:lineRule="exact"/>
        <w:rPr>
          <w:sz w:val="20"/>
          <w:szCs w:val="20"/>
          <w:color w:val="auto"/>
        </w:rPr>
      </w:pPr>
    </w:p>
    <w:p>
      <w:pPr>
        <w:jc w:val="right"/>
        <w:ind w:right="9059"/>
        <w:spacing w:after="0"/>
        <w:rPr>
          <w:sz w:val="20"/>
          <w:szCs w:val="20"/>
          <w:color w:val="auto"/>
        </w:rPr>
      </w:pPr>
      <w:r>
        <w:rPr>
          <w:rFonts w:ascii="Courier New" w:cs="Courier New" w:eastAsia="Courier New" w:hAnsi="Courier New"/>
          <w:sz w:val="18"/>
          <w:szCs w:val="18"/>
          <w:color w:val="auto"/>
        </w:rPr>
        <w:t>Y OWNED BY</w:t>
      </w:r>
    </w:p>
    <w:p>
      <w:pPr>
        <w:ind w:left="1480"/>
        <w:spacing w:after="0" w:line="238" w:lineRule="auto"/>
        <w:tabs>
          <w:tab w:leader="none" w:pos="1880" w:val="left"/>
        </w:tabs>
        <w:rPr>
          <w:sz w:val="20"/>
          <w:szCs w:val="20"/>
          <w:color w:val="auto"/>
        </w:rPr>
      </w:pPr>
      <w:r>
        <w:rPr>
          <w:rFonts w:ascii="Courier New" w:cs="Courier New" w:eastAsia="Courier New" w:hAnsi="Courier New"/>
          <w:sz w:val="18"/>
          <w:szCs w:val="18"/>
          <w:color w:val="auto"/>
        </w:rPr>
        <w:t>7</w:t>
      </w:r>
      <w:r>
        <w:rPr>
          <w:sz w:val="20"/>
          <w:szCs w:val="20"/>
          <w:color w:val="auto"/>
        </w:rPr>
        <w:tab/>
      </w:r>
      <w:r>
        <w:rPr>
          <w:rFonts w:ascii="Courier New" w:cs="Courier New" w:eastAsia="Courier New" w:hAnsi="Courier New"/>
          <w:sz w:val="18"/>
          <w:szCs w:val="18"/>
          <w:color w:val="auto"/>
        </w:rPr>
        <w:t>SOLE DISPOSITIVE POWER</w:t>
      </w:r>
    </w:p>
    <w:p>
      <w:pPr>
        <w:ind w:left="420"/>
        <w:spacing w:after="0"/>
        <w:rPr>
          <w:sz w:val="20"/>
          <w:szCs w:val="20"/>
          <w:color w:val="auto"/>
        </w:rPr>
      </w:pPr>
      <w:r>
        <w:rPr>
          <w:rFonts w:ascii="Courier New" w:cs="Courier New" w:eastAsia="Courier New" w:hAnsi="Courier New"/>
          <w:sz w:val="18"/>
          <w:szCs w:val="18"/>
          <w:color w:val="auto"/>
        </w:rPr>
        <w:t>EACH</w:t>
      </w:r>
    </w:p>
    <w:p>
      <w:pPr>
        <w:ind w:left="120"/>
        <w:spacing w:after="0" w:line="237" w:lineRule="auto"/>
        <w:rPr>
          <w:sz w:val="20"/>
          <w:szCs w:val="20"/>
          <w:color w:val="auto"/>
        </w:rPr>
      </w:pPr>
      <w:r>
        <w:rPr>
          <w:rFonts w:ascii="Courier New" w:cs="Courier New" w:eastAsia="Courier New" w:hAnsi="Courier New"/>
          <w:sz w:val="18"/>
          <w:szCs w:val="18"/>
          <w:color w:val="auto"/>
        </w:rPr>
        <w:t>REPORTING</w:t>
      </w:r>
    </w:p>
    <w:p>
      <w:pPr>
        <w:ind w:left="1900"/>
        <w:spacing w:after="0" w:line="238" w:lineRule="auto"/>
        <w:rPr>
          <w:sz w:val="20"/>
          <w:szCs w:val="20"/>
          <w:color w:val="auto"/>
        </w:rPr>
      </w:pPr>
      <w:r>
        <w:rPr>
          <w:rFonts w:ascii="Courier New" w:cs="Courier New" w:eastAsia="Courier New" w:hAnsi="Courier New"/>
          <w:sz w:val="18"/>
          <w:szCs w:val="18"/>
          <w:color w:val="auto"/>
        </w:rPr>
        <w:t>20,984,460</w:t>
      </w:r>
    </w:p>
    <w:p>
      <w:pPr>
        <w:spacing w:after="0"/>
        <w:rPr>
          <w:sz w:val="20"/>
          <w:szCs w:val="20"/>
          <w:color w:val="auto"/>
        </w:rPr>
      </w:pPr>
      <w:r>
        <w:rPr>
          <w:rFonts w:ascii="Courier New" w:cs="Courier New" w:eastAsia="Courier New" w:hAnsi="Courier New"/>
          <w:sz w:val="18"/>
          <w:szCs w:val="18"/>
          <w:color w:val="auto"/>
        </w:rPr>
        <w:t>PERSON WITH</w:t>
      </w:r>
    </w:p>
    <w:p>
      <w:pPr>
        <w:spacing w:after="0" w:line="200" w:lineRule="exact"/>
        <w:rPr>
          <w:sz w:val="20"/>
          <w:szCs w:val="20"/>
          <w:color w:val="auto"/>
        </w:rPr>
      </w:pPr>
    </w:p>
    <w:p>
      <w:pPr>
        <w:spacing w:after="0" w:line="209" w:lineRule="exact"/>
        <w:rPr>
          <w:sz w:val="20"/>
          <w:szCs w:val="20"/>
          <w:color w:val="auto"/>
        </w:rPr>
      </w:pPr>
    </w:p>
    <w:p>
      <w:pPr>
        <w:ind w:left="1900" w:right="5779" w:hanging="417"/>
        <w:spacing w:after="0" w:line="470" w:lineRule="auto"/>
        <w:tabs>
          <w:tab w:leader="none" w:pos="190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NONE</w:t>
      </w:r>
    </w:p>
    <w:p>
      <w:pPr>
        <w:spacing w:after="0" w:line="214" w:lineRule="exact"/>
        <w:rPr>
          <w:sz w:val="20"/>
          <w:szCs w:val="20"/>
          <w:color w:val="auto"/>
        </w:rPr>
      </w:pPr>
    </w:p>
    <w:p>
      <w:pPr>
        <w:ind w:left="540" w:right="2619" w:hanging="427"/>
        <w:spacing w:after="0" w:line="470" w:lineRule="auto"/>
        <w:tabs>
          <w:tab w:leader="none" w:pos="54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20,984,460 Beneficial ownership disclaimed pursuant to Rule 13d-4</w:t>
      </w:r>
    </w:p>
    <w:p>
      <w:pPr>
        <w:spacing w:after="0" w:line="214" w:lineRule="exact"/>
        <w:rPr>
          <w:sz w:val="20"/>
          <w:szCs w:val="20"/>
          <w:color w:val="auto"/>
        </w:rPr>
      </w:pPr>
    </w:p>
    <w:p>
      <w:pPr>
        <w:ind w:left="540" w:hanging="427"/>
        <w:spacing w:after="0"/>
        <w:tabs>
          <w:tab w:leader="none" w:pos="540"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CHECK BOX IF THE AGGREGATE AMOUNT IN ROW (9) EXCLUDES CERTAIN SHARES*</w:t>
      </w:r>
    </w:p>
    <w:p>
      <w:pPr>
        <w:spacing w:after="0" w:line="200" w:lineRule="exact"/>
        <w:rPr>
          <w:rFonts w:ascii="Courier New" w:cs="Courier New" w:eastAsia="Courier New" w:hAnsi="Courier New"/>
          <w:sz w:val="16"/>
          <w:szCs w:val="16"/>
          <w:color w:val="auto"/>
        </w:rPr>
      </w:pPr>
    </w:p>
    <w:p>
      <w:pPr>
        <w:spacing w:after="0" w:line="200" w:lineRule="exact"/>
        <w:rPr>
          <w:rFonts w:ascii="Courier New" w:cs="Courier New" w:eastAsia="Courier New" w:hAnsi="Courier New"/>
          <w:sz w:val="16"/>
          <w:szCs w:val="16"/>
          <w:color w:val="auto"/>
        </w:rPr>
      </w:pPr>
    </w:p>
    <w:p>
      <w:pPr>
        <w:spacing w:after="0" w:line="200" w:lineRule="exact"/>
        <w:rPr>
          <w:rFonts w:ascii="Courier New" w:cs="Courier New" w:eastAsia="Courier New" w:hAnsi="Courier New"/>
          <w:sz w:val="16"/>
          <w:szCs w:val="16"/>
          <w:color w:val="auto"/>
        </w:rPr>
      </w:pPr>
    </w:p>
    <w:p>
      <w:pPr>
        <w:spacing w:after="0" w:line="231" w:lineRule="exact"/>
        <w:rPr>
          <w:rFonts w:ascii="Courier New" w:cs="Courier New" w:eastAsia="Courier New" w:hAnsi="Courier New"/>
          <w:sz w:val="16"/>
          <w:szCs w:val="16"/>
          <w:color w:val="auto"/>
        </w:rPr>
      </w:pPr>
    </w:p>
    <w:p>
      <w:pPr>
        <w:ind w:left="540" w:right="4739" w:hanging="427"/>
        <w:spacing w:after="0" w:line="470" w:lineRule="auto"/>
        <w:tabs>
          <w:tab w:leader="none" w:pos="54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5.4%</w:t>
      </w:r>
    </w:p>
    <w:p>
      <w:pPr>
        <w:spacing w:after="0" w:line="214" w:lineRule="exact"/>
        <w:rPr>
          <w:rFonts w:ascii="Courier New" w:cs="Courier New" w:eastAsia="Courier New" w:hAnsi="Courier New"/>
          <w:sz w:val="18"/>
          <w:szCs w:val="18"/>
          <w:color w:val="auto"/>
        </w:rPr>
      </w:pPr>
    </w:p>
    <w:p>
      <w:pPr>
        <w:ind w:left="540" w:right="7059" w:hanging="427"/>
        <w:spacing w:after="0" w:line="470" w:lineRule="auto"/>
        <w:tabs>
          <w:tab w:leader="none" w:pos="54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IA</w:t>
      </w:r>
    </w:p>
    <w:p>
      <w:pPr>
        <w:spacing w:after="0" w:line="208" w:lineRule="exact"/>
        <w:rPr>
          <w:rFonts w:ascii="Courier New" w:cs="Courier New" w:eastAsia="Courier New" w:hAnsi="Courier New"/>
          <w:sz w:val="18"/>
          <w:szCs w:val="18"/>
          <w:color w:val="auto"/>
        </w:rPr>
      </w:pPr>
    </w:p>
    <w:p>
      <w:pPr>
        <w:ind w:left="180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 SEE INSTRUCTION BEFORE FILLING OUT!</w:t>
      </w:r>
    </w:p>
    <w:p>
      <w:pPr>
        <w:sectPr>
          <w:pgSz w:w="11900" w:h="16838" w:orient="portrait"/>
          <w:cols w:equalWidth="0" w:num="1">
            <w:col w:w="10219"/>
          </w:cols>
          <w:pgMar w:left="240" w:top="919" w:right="1440" w:bottom="1440" w:gutter="0" w:footer="0" w:header="0"/>
        </w:sectPr>
      </w:pPr>
    </w:p>
    <w:bookmarkStart w:id="4" w:name="page5"/>
    <w:bookmarkEnd w:id="4"/>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5" w:name="page6"/>
    <w:bookmarkEnd w:id="5"/>
    <w:p>
      <w:pPr>
        <w:jc w:val="center"/>
        <w:ind w:right="261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2619"/>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2" w:lineRule="exact"/>
        <w:rPr>
          <w:sz w:val="20"/>
          <w:szCs w:val="20"/>
          <w:color w:val="auto"/>
        </w:rPr>
      </w:pPr>
    </w:p>
    <w:p>
      <w:pPr>
        <w:jc w:val="center"/>
        <w:ind w:right="2619"/>
        <w:spacing w:after="0"/>
        <w:rPr>
          <w:sz w:val="20"/>
          <w:szCs w:val="20"/>
          <w:color w:val="auto"/>
        </w:rPr>
      </w:pPr>
      <w:r>
        <w:rPr>
          <w:rFonts w:ascii="Courier New" w:cs="Courier New" w:eastAsia="Courier New" w:hAnsi="Courier New"/>
          <w:sz w:val="18"/>
          <w:szCs w:val="18"/>
          <w:color w:val="auto"/>
        </w:rPr>
        <w:t>Schedule 13G</w:t>
      </w:r>
    </w:p>
    <w:p>
      <w:pPr>
        <w:jc w:val="center"/>
        <w:ind w:right="2739"/>
        <w:spacing w:after="0" w:line="238" w:lineRule="auto"/>
        <w:rPr>
          <w:sz w:val="20"/>
          <w:szCs w:val="20"/>
          <w:color w:val="auto"/>
        </w:rPr>
      </w:pPr>
      <w:r>
        <w:rPr>
          <w:rFonts w:ascii="Courier New" w:cs="Courier New" w:eastAsia="Courier New" w:hAnsi="Courier New"/>
          <w:sz w:val="18"/>
          <w:szCs w:val="18"/>
          <w:color w:val="auto"/>
        </w:rPr>
        <w:t>Under the Securities Exchange Act of 1934</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Amendment No. 3</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ind w:left="740"/>
        <w:spacing w:after="0" w:line="238" w:lineRule="auto"/>
        <w:rPr>
          <w:sz w:val="20"/>
          <w:szCs w:val="20"/>
          <w:color w:val="auto"/>
        </w:rPr>
      </w:pPr>
      <w:r>
        <w:rPr>
          <w:rFonts w:ascii="Courier New" w:cs="Courier New" w:eastAsia="Courier New" w:hAnsi="Courier New"/>
          <w:sz w:val="18"/>
          <w:szCs w:val="18"/>
          <w:color w:val="auto"/>
        </w:rPr>
        <w:t>Texas Instruments Incorporated</w:t>
      </w:r>
    </w:p>
    <w:p>
      <w:pPr>
        <w:spacing w:after="0" w:line="202"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1(b)</w:t>
      </w:r>
      <w:r>
        <w:rPr>
          <w:sz w:val="20"/>
          <w:szCs w:val="20"/>
          <w:color w:val="auto"/>
        </w:rPr>
        <w:tab/>
      </w:r>
      <w:r>
        <w:rPr>
          <w:rFonts w:ascii="Courier New" w:cs="Courier New" w:eastAsia="Courier New" w:hAnsi="Courier New"/>
          <w:sz w:val="16"/>
          <w:szCs w:val="16"/>
          <w:color w:val="auto"/>
        </w:rPr>
        <w:t>Address of Issuer's Principal Executive Offices:</w:t>
      </w:r>
    </w:p>
    <w:p>
      <w:pPr>
        <w:ind w:left="740"/>
        <w:spacing w:after="0" w:line="238" w:lineRule="auto"/>
        <w:rPr>
          <w:sz w:val="20"/>
          <w:szCs w:val="20"/>
          <w:color w:val="auto"/>
        </w:rPr>
      </w:pPr>
      <w:r>
        <w:rPr>
          <w:rFonts w:ascii="Courier New" w:cs="Courier New" w:eastAsia="Courier New" w:hAnsi="Courier New"/>
          <w:sz w:val="18"/>
          <w:szCs w:val="18"/>
          <w:color w:val="auto"/>
        </w:rPr>
        <w:t>13500 North Central Expressway</w:t>
      </w:r>
    </w:p>
    <w:p>
      <w:pPr>
        <w:ind w:left="740"/>
        <w:spacing w:after="0"/>
        <w:rPr>
          <w:sz w:val="20"/>
          <w:szCs w:val="20"/>
          <w:color w:val="auto"/>
        </w:rPr>
      </w:pPr>
      <w:r>
        <w:rPr>
          <w:rFonts w:ascii="Courier New" w:cs="Courier New" w:eastAsia="Courier New" w:hAnsi="Courier New"/>
          <w:sz w:val="18"/>
          <w:szCs w:val="18"/>
          <w:color w:val="auto"/>
        </w:rPr>
        <w:t>P.O. Box 655474, M/S 241</w:t>
      </w:r>
    </w:p>
    <w:p>
      <w:pPr>
        <w:ind w:left="740"/>
        <w:spacing w:after="0" w:line="237" w:lineRule="auto"/>
        <w:rPr>
          <w:sz w:val="20"/>
          <w:szCs w:val="20"/>
          <w:color w:val="auto"/>
        </w:rPr>
      </w:pPr>
      <w:r>
        <w:rPr>
          <w:rFonts w:ascii="Courier New" w:cs="Courier New" w:eastAsia="Courier New" w:hAnsi="Courier New"/>
          <w:sz w:val="18"/>
          <w:szCs w:val="18"/>
          <w:color w:val="auto"/>
        </w:rPr>
        <w:t>Dallas, TX 75265-5474</w:t>
      </w:r>
    </w:p>
    <w:p>
      <w:pPr>
        <w:spacing w:after="0" w:line="202"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2(a)</w:t>
      </w:r>
      <w:r>
        <w:rPr>
          <w:sz w:val="20"/>
          <w:szCs w:val="20"/>
          <w:color w:val="auto"/>
        </w:rPr>
        <w:tab/>
      </w:r>
      <w:r>
        <w:rPr>
          <w:rFonts w:ascii="Courier New" w:cs="Courier New" w:eastAsia="Courier New" w:hAnsi="Courier New"/>
          <w:sz w:val="16"/>
          <w:szCs w:val="16"/>
          <w:color w:val="auto"/>
        </w:rPr>
        <w:t>Name of Person(s) Filing:</w:t>
      </w:r>
    </w:p>
    <w:p>
      <w:pPr>
        <w:spacing w:after="0" w:line="4" w:lineRule="exact"/>
        <w:rPr>
          <w:sz w:val="20"/>
          <w:szCs w:val="20"/>
          <w:color w:val="auto"/>
        </w:rPr>
      </w:pPr>
    </w:p>
    <w:p>
      <w:pPr>
        <w:ind w:left="740" w:right="3679"/>
        <w:spacing w:after="0" w:line="235" w:lineRule="auto"/>
        <w:rPr>
          <w:sz w:val="20"/>
          <w:szCs w:val="20"/>
          <w:color w:val="auto"/>
        </w:rPr>
      </w:pPr>
      <w:r>
        <w:rPr>
          <w:rFonts w:ascii="Courier New" w:cs="Courier New" w:eastAsia="Courier New" w:hAnsi="Courier New"/>
          <w:sz w:val="18"/>
          <w:szCs w:val="18"/>
          <w:color w:val="auto"/>
        </w:rPr>
        <w:t>The Capital Group Companies, Inc., Capital Research and Management Company</w:t>
      </w:r>
    </w:p>
    <w:p>
      <w:pPr>
        <w:spacing w:after="0" w:line="203"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2(b)</w:t>
      </w:r>
      <w:r>
        <w:rPr>
          <w:sz w:val="20"/>
          <w:szCs w:val="20"/>
          <w:color w:val="auto"/>
        </w:rPr>
        <w:tab/>
      </w:r>
      <w:r>
        <w:rPr>
          <w:rFonts w:ascii="Courier New" w:cs="Courier New" w:eastAsia="Courier New" w:hAnsi="Courier New"/>
          <w:sz w:val="16"/>
          <w:szCs w:val="16"/>
          <w:color w:val="auto"/>
        </w:rPr>
        <w:t>Address of Principal Business Office:</w:t>
      </w:r>
    </w:p>
    <w:p>
      <w:pPr>
        <w:ind w:left="740"/>
        <w:spacing w:after="0" w:line="238" w:lineRule="auto"/>
        <w:rPr>
          <w:sz w:val="20"/>
          <w:szCs w:val="20"/>
          <w:color w:val="auto"/>
        </w:rPr>
      </w:pPr>
      <w:r>
        <w:rPr>
          <w:rFonts w:ascii="Courier New" w:cs="Courier New" w:eastAsia="Courier New" w:hAnsi="Courier New"/>
          <w:sz w:val="18"/>
          <w:szCs w:val="18"/>
          <w:color w:val="auto"/>
        </w:rPr>
        <w:t>333 South Hope Street</w:t>
      </w:r>
    </w:p>
    <w:p>
      <w:pPr>
        <w:ind w:left="740"/>
        <w:spacing w:after="0"/>
        <w:tabs>
          <w:tab w:leader="none" w:pos="2520" w:val="left"/>
        </w:tabs>
        <w:rPr>
          <w:sz w:val="20"/>
          <w:szCs w:val="20"/>
          <w:color w:val="auto"/>
        </w:rPr>
      </w:pPr>
      <w:r>
        <w:rPr>
          <w:rFonts w:ascii="Courier New" w:cs="Courier New" w:eastAsia="Courier New" w:hAnsi="Courier New"/>
          <w:sz w:val="18"/>
          <w:szCs w:val="18"/>
          <w:color w:val="auto"/>
        </w:rPr>
        <w:t>Los Angeles, CA</w:t>
      </w:r>
      <w:r>
        <w:rPr>
          <w:sz w:val="20"/>
          <w:szCs w:val="20"/>
          <w:color w:val="auto"/>
        </w:rPr>
        <w:tab/>
      </w:r>
      <w:r>
        <w:rPr>
          <w:rFonts w:ascii="Courier New" w:cs="Courier New" w:eastAsia="Courier New" w:hAnsi="Courier New"/>
          <w:sz w:val="16"/>
          <w:szCs w:val="16"/>
          <w:color w:val="auto"/>
        </w:rPr>
        <w:t>90071</w:t>
      </w:r>
    </w:p>
    <w:p>
      <w:pPr>
        <w:spacing w:after="0" w:line="200" w:lineRule="exact"/>
        <w:rPr>
          <w:sz w:val="20"/>
          <w:szCs w:val="20"/>
          <w:color w:val="auto"/>
        </w:rPr>
      </w:pPr>
    </w:p>
    <w:p>
      <w:pPr>
        <w:spacing w:after="0"/>
        <w:tabs>
          <w:tab w:leader="none" w:pos="1260" w:val="left"/>
          <w:tab w:leader="none" w:pos="2840" w:val="left"/>
        </w:tabs>
        <w:rPr>
          <w:sz w:val="20"/>
          <w:szCs w:val="20"/>
          <w:color w:val="auto"/>
        </w:rPr>
      </w:pPr>
      <w:r>
        <w:rPr>
          <w:rFonts w:ascii="Courier New" w:cs="Courier New" w:eastAsia="Courier New" w:hAnsi="Courier New"/>
          <w:sz w:val="18"/>
          <w:szCs w:val="18"/>
          <w:color w:val="auto"/>
        </w:rPr>
        <w:t>Item 2(c)</w:t>
      </w:r>
      <w:r>
        <w:rPr>
          <w:sz w:val="20"/>
          <w:szCs w:val="20"/>
          <w:color w:val="auto"/>
        </w:rPr>
        <w:tab/>
      </w:r>
      <w:r>
        <w:rPr>
          <w:rFonts w:ascii="Courier New" w:cs="Courier New" w:eastAsia="Courier New" w:hAnsi="Courier New"/>
          <w:sz w:val="18"/>
          <w:szCs w:val="18"/>
          <w:color w:val="auto"/>
        </w:rPr>
        <w:t>Citizenship:</w:t>
      </w:r>
      <w:r>
        <w:rPr>
          <w:sz w:val="20"/>
          <w:szCs w:val="20"/>
          <w:color w:val="auto"/>
        </w:rPr>
        <w:tab/>
      </w:r>
      <w:r>
        <w:rPr>
          <w:rFonts w:ascii="Courier New" w:cs="Courier New" w:eastAsia="Courier New" w:hAnsi="Courier New"/>
          <w:sz w:val="16"/>
          <w:szCs w:val="16"/>
          <w:color w:val="auto"/>
        </w:rPr>
        <w:t>N/A</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2(d)</w:t>
      </w:r>
      <w:r>
        <w:rPr>
          <w:sz w:val="20"/>
          <w:szCs w:val="20"/>
          <w:color w:val="auto"/>
        </w:rPr>
        <w:tab/>
      </w:r>
      <w:r>
        <w:rPr>
          <w:rFonts w:ascii="Courier New" w:cs="Courier New" w:eastAsia="Courier New" w:hAnsi="Courier New"/>
          <w:sz w:val="16"/>
          <w:szCs w:val="16"/>
          <w:color w:val="auto"/>
        </w:rPr>
        <w:t>Title of Class of Securities:</w:t>
      </w:r>
    </w:p>
    <w:p>
      <w:pPr>
        <w:ind w:left="740"/>
        <w:spacing w:after="0" w:line="238" w:lineRule="auto"/>
        <w:rPr>
          <w:sz w:val="20"/>
          <w:szCs w:val="20"/>
          <w:color w:val="auto"/>
        </w:rPr>
      </w:pPr>
      <w:r>
        <w:rPr>
          <w:rFonts w:ascii="Courier New" w:cs="Courier New" w:eastAsia="Courier New" w:hAnsi="Courier New"/>
          <w:sz w:val="18"/>
          <w:szCs w:val="18"/>
          <w:color w:val="auto"/>
        </w:rPr>
        <w:t>Common Stock</w:t>
      </w:r>
    </w:p>
    <w:p>
      <w:pPr>
        <w:spacing w:after="0" w:line="202"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ind w:left="740"/>
        <w:spacing w:after="0" w:line="238" w:lineRule="auto"/>
        <w:rPr>
          <w:sz w:val="20"/>
          <w:szCs w:val="20"/>
          <w:color w:val="auto"/>
        </w:rPr>
      </w:pPr>
      <w:r>
        <w:rPr>
          <w:rFonts w:ascii="Courier New" w:cs="Courier New" w:eastAsia="Courier New" w:hAnsi="Courier New"/>
          <w:sz w:val="18"/>
          <w:szCs w:val="18"/>
          <w:color w:val="auto"/>
        </w:rPr>
        <w:t>882508104</w:t>
      </w:r>
    </w:p>
    <w:p>
      <w:pPr>
        <w:spacing w:after="0" w:line="202"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The person(s) filing is(are):</w:t>
      </w:r>
    </w:p>
    <w:p>
      <w:pPr>
        <w:spacing w:after="0" w:line="201" w:lineRule="exact"/>
        <w:rPr>
          <w:sz w:val="20"/>
          <w:szCs w:val="20"/>
          <w:color w:val="auto"/>
        </w:rPr>
      </w:pPr>
    </w:p>
    <w:p>
      <w:pPr>
        <w:ind w:left="1480" w:hanging="735"/>
        <w:spacing w:after="0"/>
        <w:tabs>
          <w:tab w:leader="none" w:pos="148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Investment Adviser registered under Section 203 of</w:t>
      </w:r>
    </w:p>
    <w:p>
      <w:pPr>
        <w:spacing w:after="0" w:line="207" w:lineRule="exact"/>
        <w:rPr>
          <w:sz w:val="20"/>
          <w:szCs w:val="20"/>
          <w:color w:val="auto"/>
        </w:rPr>
      </w:pPr>
    </w:p>
    <w:p>
      <w:pPr>
        <w:ind w:left="1280" w:right="2939" w:hanging="535"/>
        <w:spacing w:after="0" w:line="235" w:lineRule="auto"/>
        <w:tabs>
          <w:tab w:leader="none" w:pos="1491"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Parent Holding Company in accordance with Section 240.13d-1(b)(1)(ii)(G).</w:t>
      </w:r>
    </w:p>
    <w:p>
      <w:pPr>
        <w:spacing w:after="0" w:line="203"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Ownership</w:t>
      </w:r>
    </w:p>
    <w:p>
      <w:pPr>
        <w:spacing w:after="0" w:line="207" w:lineRule="exact"/>
        <w:rPr>
          <w:sz w:val="20"/>
          <w:szCs w:val="20"/>
          <w:color w:val="auto"/>
        </w:rPr>
      </w:pPr>
    </w:p>
    <w:p>
      <w:pPr>
        <w:ind w:left="740" w:right="2619"/>
        <w:spacing w:after="0" w:line="238" w:lineRule="auto"/>
        <w:rPr>
          <w:sz w:val="20"/>
          <w:szCs w:val="20"/>
          <w:color w:val="auto"/>
        </w:rPr>
      </w:pPr>
      <w:r>
        <w:rPr>
          <w:rFonts w:ascii="Courier New" w:cs="Courier New" w:eastAsia="Courier New" w:hAnsi="Courier New"/>
          <w:sz w:val="18"/>
          <w:szCs w:val="18"/>
          <w:color w:val="auto"/>
        </w:rPr>
        <w:t>The Capital Group Companies, Inc. is the parent holding company of a group of investment management companies that hold investment power and, in some cases, voting power over the securities reported in this Schedule 13G. The investment management companies, which include a "bank" as defined in Section 3(a)6 of the Securities Exchange Act of 1934 (the "Act") and several investment advisers registered under Section 203 of the Investment Advisers Act of 1940, provide investment advisory and management services for their respective clients which include registered investment companies and institutional accounts. The Capital Group Companies, Inc. does not have investment power or voting power over any of the securities reported herein; however, The Capital Group Companies, Inc. may be deemed to "beneficially own" such securities by virtue of Rule 13d-3 under the Act.</w:t>
      </w:r>
    </w:p>
    <w:p>
      <w:pPr>
        <w:sectPr>
          <w:pgSz w:w="11900" w:h="16838" w:orient="portrait"/>
          <w:cols w:equalWidth="0" w:num="1">
            <w:col w:w="10219"/>
          </w:cols>
          <w:pgMar w:left="240" w:top="717" w:right="1440" w:bottom="1440" w:gutter="0" w:footer="0" w:header="0"/>
        </w:sectPr>
      </w:pPr>
    </w:p>
    <w:bookmarkStart w:id="6" w:name="page7"/>
    <w:bookmarkEnd w:id="6"/>
    <w:p>
      <w:pPr>
        <w:spacing w:after="0" w:line="238" w:lineRule="auto"/>
        <w:rPr>
          <w:sz w:val="20"/>
          <w:szCs w:val="20"/>
          <w:color w:val="auto"/>
        </w:rPr>
      </w:pPr>
    </w:p>
    <w:p>
      <w:pPr>
        <w:sectPr>
          <w:pgSz w:w="11900" w:h="16838" w:orient="portrait"/>
          <w:cols w:equalWidth="1" w:num="1" w:space="0"/>
          <w:pgMar w:left="1440" w:top="1440" w:right="1440" w:bottom="875" w:gutter="0" w:footer="0" w:header="0"/>
        </w:sectPr>
      </w:pPr>
    </w:p>
    <w:bookmarkStart w:id="7" w:name="page8"/>
    <w:bookmarkEnd w:id="7"/>
    <w:p>
      <w:pPr>
        <w:ind w:left="740" w:right="2619"/>
        <w:spacing w:after="0" w:line="237" w:lineRule="auto"/>
        <w:rPr>
          <w:sz w:val="20"/>
          <w:szCs w:val="20"/>
          <w:color w:val="auto"/>
        </w:rPr>
      </w:pPr>
      <w:r>
        <w:rPr>
          <w:rFonts w:ascii="Courier New" w:cs="Courier New" w:eastAsia="Courier New" w:hAnsi="Courier New"/>
          <w:sz w:val="18"/>
          <w:szCs w:val="18"/>
          <w:color w:val="auto"/>
        </w:rPr>
        <w:t>Capital Research and Management Company, an investment adviser registered under Section 203 of the Investment Advisers Act of 1940 and wholly owned subsidiary of The Capital Group Companies, Inc., is the beneficial owner of 20,984,460 shares or 5.4% of the 390,258,000 shares of Common Stock believed to be outstanding as a result of acting as investment adviser to various investment companies registered under Section 8 of the Investment Company Act of 1940.</w:t>
      </w:r>
    </w:p>
    <w:p>
      <w:pPr>
        <w:spacing w:after="0" w:line="212" w:lineRule="exact"/>
        <w:rPr>
          <w:sz w:val="20"/>
          <w:szCs w:val="20"/>
          <w:color w:val="auto"/>
        </w:rPr>
      </w:pPr>
    </w:p>
    <w:p>
      <w:pPr>
        <w:ind w:left="740" w:right="2739"/>
        <w:spacing w:after="0" w:line="237" w:lineRule="auto"/>
        <w:rPr>
          <w:sz w:val="20"/>
          <w:szCs w:val="20"/>
          <w:color w:val="auto"/>
        </w:rPr>
      </w:pPr>
      <w:r>
        <w:rPr>
          <w:rFonts w:ascii="Courier New" w:cs="Courier New" w:eastAsia="Courier New" w:hAnsi="Courier New"/>
          <w:sz w:val="18"/>
          <w:szCs w:val="18"/>
          <w:color w:val="auto"/>
        </w:rPr>
        <w:t>The remaining shares reported as being beneficially owned by The Capital Group Companies, Inc. are beneficially owned by other subsidiaries of The Capital Group Companies, Inc. listed under item 7, none of which by itself owns 5% or more of the outstanding securities.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Ownership of 5% or Less of a Class: [ ]</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Ownership of More than 5% on Behalf of Another Person: N/A</w:t>
      </w:r>
    </w:p>
    <w:p>
      <w:pPr>
        <w:spacing w:after="0" w:line="207" w:lineRule="exact"/>
        <w:rPr>
          <w:sz w:val="20"/>
          <w:szCs w:val="20"/>
          <w:color w:val="auto"/>
        </w:rPr>
      </w:pPr>
    </w:p>
    <w:p>
      <w:pPr>
        <w:ind w:left="740" w:right="3039" w:hanging="736"/>
        <w:spacing w:after="0" w:line="236" w:lineRule="auto"/>
        <w:tabs>
          <w:tab w:leader="none" w:pos="720" w:val="left"/>
        </w:tabs>
        <w:rPr>
          <w:sz w:val="20"/>
          <w:szCs w:val="20"/>
          <w:color w:val="auto"/>
        </w:rPr>
      </w:pPr>
      <w:r>
        <w:rPr>
          <w:rFonts w:ascii="Courier New" w:cs="Courier New" w:eastAsia="Courier New" w:hAnsi="Courier New"/>
          <w:sz w:val="18"/>
          <w:szCs w:val="18"/>
          <w:color w:val="auto"/>
        </w:rPr>
        <w:t>Item 7</w:t>
        <w:tab/>
        <w:t>Identification and Classification of the Subsidiary Which Acquired the Security Being Reported on By the Parent Holding Company</w:t>
      </w:r>
    </w:p>
    <w:p>
      <w:pPr>
        <w:spacing w:after="0" w:line="203"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1.</w:t>
      </w:r>
    </w:p>
    <w:p>
      <w:pPr>
        <w:spacing w:after="0" w:line="4" w:lineRule="exact"/>
        <w:rPr>
          <w:sz w:val="20"/>
          <w:szCs w:val="20"/>
          <w:color w:val="auto"/>
        </w:rPr>
      </w:pPr>
    </w:p>
    <w:p>
      <w:pPr>
        <w:ind w:left="1060" w:right="2839"/>
        <w:spacing w:after="0" w:line="237" w:lineRule="auto"/>
        <w:rPr>
          <w:sz w:val="20"/>
          <w:szCs w:val="20"/>
          <w:color w:val="auto"/>
        </w:rPr>
      </w:pPr>
      <w:r>
        <w:rPr>
          <w:rFonts w:ascii="Courier New" w:cs="Courier New" w:eastAsia="Courier New" w:hAnsi="Courier New"/>
          <w:sz w:val="18"/>
          <w:szCs w:val="18"/>
          <w:color w:val="auto"/>
        </w:rPr>
        <w:t>Capital Research and Management Company is an Investment Adviser registered under Section 203 of the Investment Advisers Act of 1940 and is a wholly owned subsidiary of The Capital Group Companies, Inc.</w:t>
      </w:r>
    </w:p>
    <w:p>
      <w:pPr>
        <w:spacing w:after="0" w:line="202"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2.</w:t>
      </w:r>
    </w:p>
    <w:p>
      <w:pPr>
        <w:spacing w:after="0" w:line="4" w:lineRule="exact"/>
        <w:rPr>
          <w:sz w:val="20"/>
          <w:szCs w:val="20"/>
          <w:color w:val="auto"/>
        </w:rPr>
      </w:pPr>
    </w:p>
    <w:p>
      <w:pPr>
        <w:ind w:left="1060" w:right="2619"/>
        <w:spacing w:after="0" w:line="236" w:lineRule="auto"/>
        <w:rPr>
          <w:sz w:val="20"/>
          <w:szCs w:val="20"/>
          <w:color w:val="auto"/>
        </w:rPr>
      </w:pPr>
      <w:r>
        <w:rPr>
          <w:rFonts w:ascii="Courier New" w:cs="Courier New" w:eastAsia="Courier New" w:hAnsi="Courier New"/>
          <w:sz w:val="18"/>
          <w:szCs w:val="18"/>
          <w:color w:val="auto"/>
        </w:rPr>
        <w:t>Capital Guardian Trust Company is a bank as defined in Section 3(a)(6) of the Act and a wholly owned subsidiary of The Capital Group Companies, Inc.</w:t>
      </w:r>
    </w:p>
    <w:p>
      <w:pPr>
        <w:spacing w:after="0" w:line="200" w:lineRule="exact"/>
        <w:rPr>
          <w:sz w:val="20"/>
          <w:szCs w:val="20"/>
          <w:color w:val="auto"/>
        </w:rPr>
      </w:pPr>
    </w:p>
    <w:p>
      <w:pPr>
        <w:spacing w:after="0" w:line="206" w:lineRule="exact"/>
        <w:rPr>
          <w:sz w:val="20"/>
          <w:szCs w:val="20"/>
          <w:color w:val="auto"/>
        </w:rPr>
      </w:pPr>
    </w:p>
    <w:p>
      <w:pPr>
        <w:spacing w:after="0"/>
        <w:tabs>
          <w:tab w:leader="none" w:pos="940" w:val="left"/>
          <w:tab w:leader="none" w:pos="726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8"/>
          <w:szCs w:val="18"/>
          <w:color w:val="auto"/>
        </w:rPr>
        <w:t>Identification and Classification of Members of the Group:</w:t>
      </w:r>
      <w:r>
        <w:rPr>
          <w:sz w:val="20"/>
          <w:szCs w:val="20"/>
          <w:color w:val="auto"/>
        </w:rPr>
        <w:tab/>
      </w:r>
      <w:r>
        <w:rPr>
          <w:rFonts w:ascii="Courier New" w:cs="Courier New" w:eastAsia="Courier New" w:hAnsi="Courier New"/>
          <w:sz w:val="16"/>
          <w:szCs w:val="16"/>
          <w:color w:val="auto"/>
        </w:rPr>
        <w:t>N/A</w:t>
      </w:r>
    </w:p>
    <w:p>
      <w:pPr>
        <w:spacing w:after="0" w:line="201" w:lineRule="exact"/>
        <w:rPr>
          <w:sz w:val="20"/>
          <w:szCs w:val="20"/>
          <w:color w:val="auto"/>
        </w:rPr>
      </w:pPr>
    </w:p>
    <w:p>
      <w:pPr>
        <w:spacing w:after="0"/>
        <w:tabs>
          <w:tab w:leader="none" w:pos="940" w:val="left"/>
          <w:tab w:leader="none" w:pos="484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8"/>
          <w:szCs w:val="18"/>
          <w:color w:val="auto"/>
        </w:rPr>
        <w:t>Notice of Dissolution of the Group:</w:t>
      </w:r>
      <w:r>
        <w:rPr>
          <w:sz w:val="20"/>
          <w:szCs w:val="20"/>
          <w:color w:val="auto"/>
        </w:rPr>
        <w:tab/>
      </w:r>
      <w:r>
        <w:rPr>
          <w:rFonts w:ascii="Courier New" w:cs="Courier New" w:eastAsia="Courier New" w:hAnsi="Courier New"/>
          <w:sz w:val="16"/>
          <w:szCs w:val="16"/>
          <w:color w:val="auto"/>
        </w:rPr>
        <w:t>N/A</w:t>
      </w:r>
    </w:p>
    <w:p>
      <w:pPr>
        <w:spacing w:after="0" w:line="201"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7" w:lineRule="exact"/>
        <w:rPr>
          <w:sz w:val="20"/>
          <w:szCs w:val="20"/>
          <w:color w:val="auto"/>
        </w:rPr>
      </w:pPr>
    </w:p>
    <w:p>
      <w:pPr>
        <w:ind w:left="740" w:right="2619"/>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in the ordinary course of business and were not acquired for the purpose of and do not have the effect of changing or influencing the control of the issuer of such securities and were not acquired in connection with or as a participant in any transaction having such purpose or effect.</w:t>
      </w:r>
    </w:p>
    <w:p>
      <w:pPr>
        <w:sectPr>
          <w:pgSz w:w="11900" w:h="16838" w:orient="portrait"/>
          <w:cols w:equalWidth="0" w:num="1">
            <w:col w:w="10219"/>
          </w:cols>
          <w:pgMar w:left="240" w:top="925" w:right="1440" w:bottom="1440" w:gutter="0" w:footer="0" w:header="0"/>
        </w:sectPr>
      </w:pPr>
    </w:p>
    <w:bookmarkStart w:id="8" w:name="page9"/>
    <w:bookmarkEnd w:id="8"/>
    <w:p>
      <w:pPr>
        <w:spacing w:after="0" w:line="237" w:lineRule="auto"/>
        <w:rPr>
          <w:sz w:val="20"/>
          <w:szCs w:val="20"/>
          <w:color w:val="auto"/>
        </w:rPr>
      </w:pPr>
    </w:p>
    <w:p>
      <w:pPr>
        <w:sectPr>
          <w:pgSz w:w="11900" w:h="16838" w:orient="portrait"/>
          <w:cols w:equalWidth="1" w:num="1" w:space="0"/>
          <w:pgMar w:left="1440" w:top="1440" w:right="1440" w:bottom="875" w:gutter="0" w:footer="0" w:header="0"/>
        </w:sectPr>
      </w:pPr>
    </w:p>
    <w:bookmarkStart w:id="9" w:name="page10"/>
    <w:bookmarkEnd w:id="9"/>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left="420" w:right="315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540"/>
        <w:spacing w:after="0"/>
        <w:tabs>
          <w:tab w:leader="none" w:pos="210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8"/>
          <w:szCs w:val="18"/>
          <w:color w:val="auto"/>
        </w:rPr>
        <w:t>February 10, 1998</w:t>
      </w:r>
    </w:p>
    <w:p>
      <w:pPr>
        <w:spacing w:after="0" w:line="200" w:lineRule="exact"/>
        <w:rPr>
          <w:sz w:val="20"/>
          <w:szCs w:val="20"/>
          <w:color w:val="auto"/>
        </w:rPr>
      </w:pPr>
    </w:p>
    <w:p>
      <w:pPr>
        <w:spacing w:after="0" w:line="204" w:lineRule="exact"/>
        <w:rPr>
          <w:sz w:val="20"/>
          <w:szCs w:val="20"/>
          <w:color w:val="auto"/>
        </w:rPr>
      </w:pPr>
    </w:p>
    <w:p>
      <w:pPr>
        <w:ind w:left="540"/>
        <w:spacing w:after="0"/>
        <w:tabs>
          <w:tab w:leader="none" w:pos="2100" w:val="left"/>
        </w:tabs>
        <w:rPr>
          <w:sz w:val="20"/>
          <w:szCs w:val="20"/>
          <w:color w:val="auto"/>
        </w:rPr>
      </w:pPr>
      <w:r>
        <w:rPr>
          <w:rFonts w:ascii="Courier New" w:cs="Courier New" w:eastAsia="Courier New" w:hAnsi="Courier New"/>
          <w:sz w:val="18"/>
          <w:szCs w:val="18"/>
          <w:color w:val="auto"/>
        </w:rPr>
        <w:t>Signature:</w:t>
      </w:r>
      <w:r>
        <w:rPr>
          <w:sz w:val="20"/>
          <w:szCs w:val="20"/>
          <w:color w:val="auto"/>
        </w:rPr>
        <w:tab/>
      </w:r>
      <w:r>
        <w:rPr>
          <w:rFonts w:ascii="Courier New" w:cs="Courier New" w:eastAsia="Courier New" w:hAnsi="Courier New"/>
          <w:sz w:val="18"/>
          <w:szCs w:val="18"/>
          <w:color w:val="auto"/>
        </w:rPr>
        <w:t>*Larry P. Clemmensen</w:t>
      </w:r>
    </w:p>
    <w:p>
      <w:pPr>
        <w:spacing w:after="0" w:line="201" w:lineRule="exact"/>
        <w:rPr>
          <w:sz w:val="20"/>
          <w:szCs w:val="20"/>
          <w:color w:val="auto"/>
        </w:rPr>
      </w:pPr>
    </w:p>
    <w:p>
      <w:pPr>
        <w:ind w:left="540"/>
        <w:spacing w:after="0"/>
        <w:tabs>
          <w:tab w:leader="none" w:pos="2100" w:val="left"/>
        </w:tabs>
        <w:rPr>
          <w:sz w:val="20"/>
          <w:szCs w:val="20"/>
          <w:color w:val="auto"/>
        </w:rPr>
      </w:pPr>
      <w:r>
        <w:rPr>
          <w:rFonts w:ascii="Courier New" w:cs="Courier New" w:eastAsia="Courier New" w:hAnsi="Courier New"/>
          <w:sz w:val="18"/>
          <w:szCs w:val="18"/>
          <w:color w:val="auto"/>
        </w:rPr>
        <w:t>Name/Title:</w:t>
      </w:r>
      <w:r>
        <w:rPr>
          <w:sz w:val="20"/>
          <w:szCs w:val="20"/>
          <w:color w:val="auto"/>
        </w:rPr>
        <w:tab/>
      </w:r>
      <w:r>
        <w:rPr>
          <w:rFonts w:ascii="Courier New" w:cs="Courier New" w:eastAsia="Courier New" w:hAnsi="Courier New"/>
          <w:sz w:val="18"/>
          <w:szCs w:val="18"/>
          <w:color w:val="auto"/>
        </w:rPr>
        <w:t>Larry P. Clemmensen, President</w:t>
      </w:r>
    </w:p>
    <w:p>
      <w:pPr>
        <w:spacing w:after="0" w:line="201" w:lineRule="exact"/>
        <w:rPr>
          <w:sz w:val="20"/>
          <w:szCs w:val="20"/>
          <w:color w:val="auto"/>
        </w:rPr>
      </w:pPr>
    </w:p>
    <w:p>
      <w:pPr>
        <w:ind w:left="2120"/>
        <w:spacing w:after="0"/>
        <w:rPr>
          <w:sz w:val="20"/>
          <w:szCs w:val="20"/>
          <w:color w:val="auto"/>
        </w:rPr>
      </w:pPr>
      <w:r>
        <w:rPr>
          <w:rFonts w:ascii="Courier New" w:cs="Courier New" w:eastAsia="Courier New" w:hAnsi="Courier New"/>
          <w:sz w:val="18"/>
          <w:szCs w:val="18"/>
          <w:color w:val="auto"/>
        </w:rPr>
        <w:t>The Capital Group Companies, Inc.</w:t>
      </w:r>
    </w:p>
    <w:p>
      <w:pPr>
        <w:spacing w:after="0" w:line="200" w:lineRule="exact"/>
        <w:rPr>
          <w:sz w:val="20"/>
          <w:szCs w:val="20"/>
          <w:color w:val="auto"/>
        </w:rPr>
      </w:pPr>
    </w:p>
    <w:p>
      <w:pPr>
        <w:spacing w:after="0" w:line="204" w:lineRule="exact"/>
        <w:rPr>
          <w:sz w:val="20"/>
          <w:szCs w:val="20"/>
          <w:color w:val="auto"/>
        </w:rPr>
      </w:pPr>
    </w:p>
    <w:p>
      <w:pPr>
        <w:ind w:left="540"/>
        <w:spacing w:after="0"/>
        <w:tabs>
          <w:tab w:leader="none" w:pos="210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8"/>
          <w:szCs w:val="18"/>
          <w:color w:val="auto"/>
        </w:rPr>
        <w:t>February 10, 1998</w:t>
      </w:r>
    </w:p>
    <w:p>
      <w:pPr>
        <w:spacing w:after="0" w:line="200" w:lineRule="exact"/>
        <w:rPr>
          <w:sz w:val="20"/>
          <w:szCs w:val="20"/>
          <w:color w:val="auto"/>
        </w:rPr>
      </w:pPr>
    </w:p>
    <w:p>
      <w:pPr>
        <w:spacing w:after="0" w:line="204" w:lineRule="exact"/>
        <w:rPr>
          <w:sz w:val="20"/>
          <w:szCs w:val="20"/>
          <w:color w:val="auto"/>
        </w:rPr>
      </w:pPr>
    </w:p>
    <w:p>
      <w:pPr>
        <w:ind w:left="540"/>
        <w:spacing w:after="0"/>
        <w:tabs>
          <w:tab w:leader="none" w:pos="2100" w:val="left"/>
        </w:tabs>
        <w:rPr>
          <w:sz w:val="20"/>
          <w:szCs w:val="20"/>
          <w:color w:val="auto"/>
        </w:rPr>
      </w:pPr>
      <w:r>
        <w:rPr>
          <w:rFonts w:ascii="Courier New" w:cs="Courier New" w:eastAsia="Courier New" w:hAnsi="Courier New"/>
          <w:sz w:val="18"/>
          <w:szCs w:val="18"/>
          <w:color w:val="auto"/>
        </w:rPr>
        <w:t>Signature:</w:t>
      </w:r>
      <w:r>
        <w:rPr>
          <w:sz w:val="20"/>
          <w:szCs w:val="20"/>
          <w:color w:val="auto"/>
        </w:rPr>
        <w:tab/>
      </w:r>
      <w:r>
        <w:rPr>
          <w:rFonts w:ascii="Courier New" w:cs="Courier New" w:eastAsia="Courier New" w:hAnsi="Courier New"/>
          <w:sz w:val="18"/>
          <w:szCs w:val="18"/>
          <w:color w:val="auto"/>
        </w:rPr>
        <w:t>*Paul G. Haaga, Jr.</w:t>
      </w:r>
    </w:p>
    <w:p>
      <w:pPr>
        <w:spacing w:after="0" w:line="201" w:lineRule="exact"/>
        <w:rPr>
          <w:sz w:val="20"/>
          <w:szCs w:val="20"/>
          <w:color w:val="auto"/>
        </w:rPr>
      </w:pPr>
    </w:p>
    <w:p>
      <w:pPr>
        <w:ind w:left="540"/>
        <w:spacing w:after="0"/>
        <w:tabs>
          <w:tab w:leader="none" w:pos="2100" w:val="left"/>
        </w:tabs>
        <w:rPr>
          <w:sz w:val="20"/>
          <w:szCs w:val="20"/>
          <w:color w:val="auto"/>
        </w:rPr>
      </w:pPr>
      <w:r>
        <w:rPr>
          <w:rFonts w:ascii="Courier New" w:cs="Courier New" w:eastAsia="Courier New" w:hAnsi="Courier New"/>
          <w:sz w:val="18"/>
          <w:szCs w:val="18"/>
          <w:color w:val="auto"/>
        </w:rPr>
        <w:t>Name/Title:</w:t>
      </w:r>
      <w:r>
        <w:rPr>
          <w:sz w:val="20"/>
          <w:szCs w:val="20"/>
          <w:color w:val="auto"/>
        </w:rPr>
        <w:tab/>
      </w:r>
      <w:r>
        <w:rPr>
          <w:rFonts w:ascii="Courier New" w:cs="Courier New" w:eastAsia="Courier New" w:hAnsi="Courier New"/>
          <w:sz w:val="18"/>
          <w:szCs w:val="18"/>
          <w:color w:val="auto"/>
        </w:rPr>
        <w:t>Paul G. Haaga, Jr., Executive Vice</w:t>
      </w:r>
    </w:p>
    <w:p>
      <w:pPr>
        <w:ind w:left="2120"/>
        <w:spacing w:after="0" w:line="238" w:lineRule="auto"/>
        <w:rPr>
          <w:sz w:val="20"/>
          <w:szCs w:val="20"/>
          <w:color w:val="auto"/>
        </w:rPr>
      </w:pPr>
      <w:r>
        <w:rPr>
          <w:rFonts w:ascii="Courier New" w:cs="Courier New" w:eastAsia="Courier New" w:hAnsi="Courier New"/>
          <w:sz w:val="18"/>
          <w:szCs w:val="18"/>
          <w:color w:val="auto"/>
        </w:rPr>
        <w:t>President</w:t>
      </w:r>
    </w:p>
    <w:p>
      <w:pPr>
        <w:spacing w:after="0" w:line="202" w:lineRule="exact"/>
        <w:rPr>
          <w:sz w:val="20"/>
          <w:szCs w:val="20"/>
          <w:color w:val="auto"/>
        </w:rPr>
      </w:pPr>
    </w:p>
    <w:p>
      <w:pPr>
        <w:ind w:left="2120"/>
        <w:spacing w:after="0"/>
        <w:rPr>
          <w:sz w:val="20"/>
          <w:szCs w:val="20"/>
          <w:color w:val="auto"/>
        </w:rPr>
      </w:pPr>
      <w:r>
        <w:rPr>
          <w:rFonts w:ascii="Courier New" w:cs="Courier New" w:eastAsia="Courier New" w:hAnsi="Courier New"/>
          <w:sz w:val="18"/>
          <w:szCs w:val="18"/>
          <w:color w:val="auto"/>
        </w:rPr>
        <w:t>Capital Research and Management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*By</w:t>
      </w:r>
    </w:p>
    <w:p>
      <w:pPr>
        <w:spacing w:after="0" w:line="201" w:lineRule="exact"/>
        <w:rPr>
          <w:sz w:val="20"/>
          <w:szCs w:val="20"/>
          <w:color w:val="auto"/>
        </w:rPr>
      </w:pPr>
    </w:p>
    <w:p>
      <w:pPr>
        <w:ind w:left="1260"/>
        <w:spacing w:after="0"/>
        <w:rPr>
          <w:sz w:val="20"/>
          <w:szCs w:val="20"/>
          <w:color w:val="auto"/>
        </w:rPr>
      </w:pPr>
      <w:r>
        <w:rPr>
          <w:rFonts w:ascii="Courier New" w:cs="Courier New" w:eastAsia="Courier New" w:hAnsi="Courier New"/>
          <w:sz w:val="18"/>
          <w:szCs w:val="18"/>
          <w:color w:val="auto"/>
        </w:rPr>
        <w:t>James P. Ryan</w:t>
      </w:r>
    </w:p>
    <w:p>
      <w:pPr>
        <w:ind w:left="1260"/>
        <w:spacing w:after="0" w:line="238" w:lineRule="auto"/>
        <w:rPr>
          <w:sz w:val="20"/>
          <w:szCs w:val="20"/>
          <w:color w:val="auto"/>
        </w:rPr>
      </w:pPr>
      <w:r>
        <w:rPr>
          <w:rFonts w:ascii="Courier New" w:cs="Courier New" w:eastAsia="Courier New" w:hAnsi="Courier New"/>
          <w:sz w:val="18"/>
          <w:szCs w:val="18"/>
          <w:color w:val="auto"/>
        </w:rPr>
        <w:t>Attorney-in-fact</w:t>
      </w:r>
    </w:p>
    <w:p>
      <w:pPr>
        <w:spacing w:after="0" w:line="207" w:lineRule="exact"/>
        <w:rPr>
          <w:sz w:val="20"/>
          <w:szCs w:val="20"/>
          <w:color w:val="auto"/>
        </w:rPr>
      </w:pPr>
    </w:p>
    <w:p>
      <w:pPr>
        <w:ind w:left="1260" w:right="2739"/>
        <w:spacing w:after="0" w:line="237" w:lineRule="auto"/>
        <w:rPr>
          <w:sz w:val="20"/>
          <w:szCs w:val="20"/>
          <w:color w:val="auto"/>
        </w:rPr>
      </w:pPr>
      <w:r>
        <w:rPr>
          <w:rFonts w:ascii="Courier New" w:cs="Courier New" w:eastAsia="Courier New" w:hAnsi="Courier New"/>
          <w:sz w:val="18"/>
          <w:szCs w:val="18"/>
          <w:color w:val="auto"/>
        </w:rPr>
        <w:t>Signed pursuant to a Power of Attorney dated December 4, 1997 included as an Exhibit to Schedule 13G filed with the Securities and Exchange Commission by The Capital Group Companies, Inc. on December 10, 1997 with respect to Viatel Inc.</w:t>
      </w:r>
    </w:p>
    <w:p>
      <w:pPr>
        <w:sectPr>
          <w:pgSz w:w="11900" w:h="16838" w:orient="portrait"/>
          <w:cols w:equalWidth="0" w:num="1">
            <w:col w:w="9899"/>
          </w:cols>
          <w:pgMar w:left="560" w:top="919" w:right="1440" w:bottom="1440" w:gutter="0" w:footer="0" w:header="0"/>
        </w:sectPr>
      </w:pPr>
    </w:p>
    <w:bookmarkStart w:id="10" w:name="page11"/>
    <w:bookmarkEnd w:id="10"/>
    <w:p>
      <w:pPr>
        <w:spacing w:after="0" w:line="237" w:lineRule="auto"/>
        <w:rPr>
          <w:sz w:val="20"/>
          <w:szCs w:val="20"/>
          <w:color w:val="auto"/>
        </w:rPr>
      </w:pPr>
    </w:p>
    <w:p>
      <w:pPr>
        <w:sectPr>
          <w:pgSz w:w="11900" w:h="16838" w:orient="portrait"/>
          <w:cols w:equalWidth="1" w:num="1" w:space="0"/>
          <w:pgMar w:left="1440" w:top="1440" w:right="1440" w:bottom="875" w:gutter="0" w:footer="0" w:header="0"/>
        </w:sectPr>
      </w:pPr>
    </w:p>
    <w:bookmarkStart w:id="11" w:name="page12"/>
    <w:bookmarkEnd w:id="11"/>
    <w:p>
      <w:pPr>
        <w:jc w:val="center"/>
        <w:ind w:right="2719"/>
        <w:spacing w:after="0"/>
        <w:rPr>
          <w:sz w:val="20"/>
          <w:szCs w:val="20"/>
          <w:color w:val="auto"/>
        </w:rPr>
      </w:pPr>
      <w:r>
        <w:rPr>
          <w:rFonts w:ascii="Courier New" w:cs="Courier New" w:eastAsia="Courier New" w:hAnsi="Courier New"/>
          <w:sz w:val="18"/>
          <w:szCs w:val="18"/>
          <w:color w:val="auto"/>
        </w:rPr>
        <w:t>AGREEMENT</w:t>
      </w:r>
    </w:p>
    <w:p>
      <w:pPr>
        <w:spacing w:after="0" w:line="201" w:lineRule="exact"/>
        <w:rPr>
          <w:sz w:val="20"/>
          <w:szCs w:val="20"/>
          <w:color w:val="auto"/>
        </w:rPr>
      </w:pPr>
    </w:p>
    <w:p>
      <w:pPr>
        <w:jc w:val="center"/>
        <w:ind w:right="2719"/>
        <w:spacing w:after="0"/>
        <w:rPr>
          <w:sz w:val="20"/>
          <w:szCs w:val="20"/>
          <w:color w:val="auto"/>
        </w:rPr>
      </w:pPr>
      <w:r>
        <w:rPr>
          <w:rFonts w:ascii="Courier New" w:cs="Courier New" w:eastAsia="Courier New" w:hAnsi="Courier New"/>
          <w:sz w:val="18"/>
          <w:szCs w:val="18"/>
          <w:color w:val="auto"/>
        </w:rPr>
        <w:t>Los Angeles, CA</w:t>
      </w:r>
    </w:p>
    <w:p>
      <w:pPr>
        <w:jc w:val="center"/>
        <w:ind w:right="2719"/>
        <w:spacing w:after="0" w:line="238" w:lineRule="auto"/>
        <w:rPr>
          <w:sz w:val="20"/>
          <w:szCs w:val="20"/>
          <w:color w:val="auto"/>
        </w:rPr>
      </w:pPr>
      <w:r>
        <w:rPr>
          <w:rFonts w:ascii="Courier New" w:cs="Courier New" w:eastAsia="Courier New" w:hAnsi="Courier New"/>
          <w:sz w:val="18"/>
          <w:szCs w:val="18"/>
          <w:color w:val="auto"/>
        </w:rPr>
        <w:t>February 10, 1998</w:t>
      </w:r>
    </w:p>
    <w:p>
      <w:pPr>
        <w:spacing w:after="0" w:line="207" w:lineRule="exact"/>
        <w:rPr>
          <w:sz w:val="20"/>
          <w:szCs w:val="20"/>
          <w:color w:val="auto"/>
        </w:rPr>
      </w:pPr>
    </w:p>
    <w:p>
      <w:pPr>
        <w:ind w:right="2939" w:firstLine="211"/>
        <w:spacing w:after="0" w:line="237" w:lineRule="auto"/>
        <w:rPr>
          <w:sz w:val="20"/>
          <w:szCs w:val="20"/>
          <w:color w:val="auto"/>
        </w:rPr>
      </w:pPr>
      <w:r>
        <w:rPr>
          <w:rFonts w:ascii="Courier New" w:cs="Courier New" w:eastAsia="Courier New" w:hAnsi="Courier New"/>
          <w:sz w:val="18"/>
          <w:szCs w:val="18"/>
          <w:color w:val="auto"/>
        </w:rPr>
        <w:t>The Capital Group Companies, Inc. ("CGC") and Capital Research and Management Company ("CRMC") hereby agree to file a joint statement on Schedule 13G under the Securities Exchange Act of 1934 (the "Act") in connection with their beneficial ownership of Common Stock issued by Texas Instruments Incorporated.</w:t>
      </w:r>
    </w:p>
    <w:p>
      <w:pPr>
        <w:spacing w:after="0" w:line="209" w:lineRule="exact"/>
        <w:rPr>
          <w:sz w:val="20"/>
          <w:szCs w:val="20"/>
          <w:color w:val="auto"/>
        </w:rPr>
      </w:pPr>
    </w:p>
    <w:p>
      <w:pPr>
        <w:ind w:right="3039" w:firstLine="211"/>
        <w:spacing w:after="0" w:line="235" w:lineRule="auto"/>
        <w:rPr>
          <w:sz w:val="20"/>
          <w:szCs w:val="20"/>
          <w:color w:val="auto"/>
        </w:rPr>
      </w:pPr>
      <w:r>
        <w:rPr>
          <w:rFonts w:ascii="Courier New" w:cs="Courier New" w:eastAsia="Courier New" w:hAnsi="Courier New"/>
          <w:sz w:val="18"/>
          <w:szCs w:val="18"/>
          <w:color w:val="auto"/>
        </w:rPr>
        <w:t>CGC and CRMC state that they are each entitled to individually use Schedule 13G pursuant to Rule 13d-1(c) of the Act.</w:t>
      </w:r>
    </w:p>
    <w:p>
      <w:pPr>
        <w:spacing w:after="0" w:line="208" w:lineRule="exact"/>
        <w:rPr>
          <w:sz w:val="20"/>
          <w:szCs w:val="20"/>
          <w:color w:val="auto"/>
        </w:rPr>
      </w:pPr>
    </w:p>
    <w:p>
      <w:pPr>
        <w:ind w:right="2939" w:firstLine="211"/>
        <w:spacing w:after="0" w:line="237" w:lineRule="auto"/>
        <w:rPr>
          <w:sz w:val="20"/>
          <w:szCs w:val="20"/>
          <w:color w:val="auto"/>
        </w:rPr>
      </w:pPr>
      <w:r>
        <w:rPr>
          <w:rFonts w:ascii="Courier New" w:cs="Courier New" w:eastAsia="Courier New" w:hAnsi="Courier New"/>
          <w:sz w:val="18"/>
          <w:szCs w:val="18"/>
          <w:color w:val="auto"/>
        </w:rPr>
        <w:t>CGC and CRMC are each responsible for the timely filing of the statement and any amendments thereto, and for the completeness and accuracy of the information concerning each of them contained therein but are not responsible for the completeness or accuracy of the information concerning the others.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1800"/>
        <w:spacing w:after="0"/>
        <w:rPr>
          <w:sz w:val="20"/>
          <w:szCs w:val="20"/>
          <w:color w:val="auto"/>
        </w:rPr>
      </w:pPr>
      <w:r>
        <w:rPr>
          <w:rFonts w:ascii="Courier New" w:cs="Courier New" w:eastAsia="Courier New" w:hAnsi="Courier New"/>
          <w:sz w:val="18"/>
          <w:szCs w:val="18"/>
          <w:color w:val="auto"/>
        </w:rPr>
        <w:t>THE CAPITAL GROUP COMPANIES, INC.</w:t>
      </w:r>
    </w:p>
    <w:p>
      <w:pPr>
        <w:spacing w:after="0" w:line="201" w:lineRule="exact"/>
        <w:rPr>
          <w:sz w:val="20"/>
          <w:szCs w:val="20"/>
          <w:color w:val="auto"/>
        </w:rPr>
      </w:pPr>
    </w:p>
    <w:p>
      <w:pPr>
        <w:ind w:left="1800"/>
        <w:spacing w:after="0"/>
        <w:tabs>
          <w:tab w:leader="none" w:pos="356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*Larry P. Clemmensen</w:t>
      </w:r>
    </w:p>
    <w:p>
      <w:pPr>
        <w:spacing w:after="0" w:line="201"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Larry P. Clemmensen, President</w:t>
      </w:r>
    </w:p>
    <w:p>
      <w:pPr>
        <w:ind w:left="3700"/>
        <w:spacing w:after="0" w:line="238" w:lineRule="auto"/>
        <w:rPr>
          <w:sz w:val="20"/>
          <w:szCs w:val="20"/>
          <w:color w:val="auto"/>
        </w:rPr>
      </w:pPr>
      <w:r>
        <w:rPr>
          <w:rFonts w:ascii="Courier New" w:cs="Courier New" w:eastAsia="Courier New" w:hAnsi="Courier New"/>
          <w:sz w:val="18"/>
          <w:szCs w:val="18"/>
          <w:color w:val="auto"/>
        </w:rPr>
        <w:t>The Capital Group Companies,</w:t>
      </w:r>
    </w:p>
    <w:p>
      <w:pPr>
        <w:ind w:left="3700"/>
        <w:spacing w:after="0"/>
        <w:rPr>
          <w:sz w:val="20"/>
          <w:szCs w:val="20"/>
          <w:color w:val="auto"/>
        </w:rPr>
      </w:pPr>
      <w:r>
        <w:rPr>
          <w:rFonts w:ascii="Courier New" w:cs="Courier New" w:eastAsia="Courier New" w:hAnsi="Courier New"/>
          <w:sz w:val="18"/>
          <w:szCs w:val="18"/>
          <w:color w:val="auto"/>
        </w:rPr>
        <w:t>Inc.</w:t>
      </w:r>
    </w:p>
    <w:p>
      <w:pPr>
        <w:spacing w:after="0" w:line="200" w:lineRule="exact"/>
        <w:rPr>
          <w:sz w:val="20"/>
          <w:szCs w:val="20"/>
          <w:color w:val="auto"/>
        </w:rPr>
      </w:pPr>
    </w:p>
    <w:p>
      <w:pPr>
        <w:spacing w:after="0" w:line="203" w:lineRule="exact"/>
        <w:rPr>
          <w:sz w:val="20"/>
          <w:szCs w:val="20"/>
          <w:color w:val="auto"/>
        </w:rPr>
      </w:pPr>
    </w:p>
    <w:p>
      <w:pPr>
        <w:ind w:left="1800"/>
        <w:spacing w:after="0"/>
        <w:rPr>
          <w:sz w:val="20"/>
          <w:szCs w:val="20"/>
          <w:color w:val="auto"/>
        </w:rPr>
      </w:pPr>
      <w:r>
        <w:rPr>
          <w:rFonts w:ascii="Courier New" w:cs="Courier New" w:eastAsia="Courier New" w:hAnsi="Courier New"/>
          <w:sz w:val="18"/>
          <w:szCs w:val="18"/>
          <w:color w:val="auto"/>
        </w:rPr>
        <w:t>CAPITAL RESEARCH AND MANAGEMENT COMPANY</w:t>
      </w:r>
    </w:p>
    <w:p>
      <w:pPr>
        <w:spacing w:after="0" w:line="201" w:lineRule="exact"/>
        <w:rPr>
          <w:sz w:val="20"/>
          <w:szCs w:val="20"/>
          <w:color w:val="auto"/>
        </w:rPr>
      </w:pPr>
    </w:p>
    <w:p>
      <w:pPr>
        <w:ind w:left="1800"/>
        <w:spacing w:after="0"/>
        <w:tabs>
          <w:tab w:leader="none" w:pos="356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*Paul G. Haaga, Jr.</w:t>
      </w:r>
    </w:p>
    <w:p>
      <w:pPr>
        <w:spacing w:after="0" w:line="201"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Paul G. Haaga, Jr., Executive</w:t>
      </w:r>
    </w:p>
    <w:p>
      <w:pPr>
        <w:ind w:left="3700"/>
        <w:spacing w:after="0" w:line="238" w:lineRule="auto"/>
        <w:rPr>
          <w:sz w:val="20"/>
          <w:szCs w:val="20"/>
          <w:color w:val="auto"/>
        </w:rPr>
      </w:pPr>
      <w:r>
        <w:rPr>
          <w:rFonts w:ascii="Courier New" w:cs="Courier New" w:eastAsia="Courier New" w:hAnsi="Courier New"/>
          <w:sz w:val="18"/>
          <w:szCs w:val="18"/>
          <w:color w:val="auto"/>
        </w:rPr>
        <w:t>Vice President</w:t>
      </w:r>
    </w:p>
    <w:p>
      <w:pPr>
        <w:ind w:left="3700"/>
        <w:spacing w:after="0"/>
        <w:rPr>
          <w:sz w:val="20"/>
          <w:szCs w:val="20"/>
          <w:color w:val="auto"/>
        </w:rPr>
      </w:pPr>
      <w:r>
        <w:rPr>
          <w:rFonts w:ascii="Courier New" w:cs="Courier New" w:eastAsia="Courier New" w:hAnsi="Courier New"/>
          <w:sz w:val="18"/>
          <w:szCs w:val="18"/>
          <w:color w:val="auto"/>
        </w:rPr>
        <w:t>Capital Research and Management</w:t>
      </w:r>
    </w:p>
    <w:p>
      <w:pPr>
        <w:ind w:left="3700"/>
        <w:spacing w:after="0" w:line="237" w:lineRule="auto"/>
        <w:rPr>
          <w:sz w:val="20"/>
          <w:szCs w:val="20"/>
          <w:color w:val="auto"/>
        </w:rPr>
      </w:pPr>
      <w:r>
        <w:rPr>
          <w:rFonts w:ascii="Courier New" w:cs="Courier New" w:eastAsia="Courier New" w:hAnsi="Courier New"/>
          <w:sz w:val="18"/>
          <w:szCs w:val="18"/>
          <w:color w:val="auto"/>
        </w:rPr>
        <w:t>Company</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James P. Ryan</w:t>
      </w:r>
    </w:p>
    <w:p>
      <w:pPr>
        <w:ind w:left="540"/>
        <w:spacing w:after="0" w:line="238" w:lineRule="auto"/>
        <w:rPr>
          <w:sz w:val="20"/>
          <w:szCs w:val="20"/>
          <w:color w:val="auto"/>
        </w:rPr>
      </w:pPr>
      <w:r>
        <w:rPr>
          <w:rFonts w:ascii="Courier New" w:cs="Courier New" w:eastAsia="Courier New" w:hAnsi="Courier New"/>
          <w:sz w:val="18"/>
          <w:szCs w:val="18"/>
          <w:color w:val="auto"/>
        </w:rPr>
        <w:t>Attorney-in-fact</w:t>
      </w:r>
    </w:p>
    <w:p>
      <w:pPr>
        <w:spacing w:after="0" w:line="207" w:lineRule="exact"/>
        <w:rPr>
          <w:sz w:val="20"/>
          <w:szCs w:val="20"/>
          <w:color w:val="auto"/>
        </w:rPr>
      </w:pPr>
    </w:p>
    <w:p>
      <w:pPr>
        <w:ind w:left="540" w:right="2939"/>
        <w:spacing w:after="0" w:line="275" w:lineRule="auto"/>
        <w:rPr>
          <w:sz w:val="20"/>
          <w:szCs w:val="20"/>
          <w:color w:val="auto"/>
        </w:rPr>
      </w:pPr>
      <w:r>
        <w:rPr>
          <w:rFonts w:ascii="Courier New" w:cs="Courier New" w:eastAsia="Courier New" w:hAnsi="Courier New"/>
          <w:sz w:val="16"/>
          <w:szCs w:val="16"/>
          <w:color w:val="auto"/>
        </w:rPr>
        <w:t>Signed pursuant to a Power of Attorney dated December 4, 1997 included as an Exhibit to Schedule 13G filed with the Securities and Exchange Commission by The Capital Group Companies, Inc. on December 10, 1997 with respect to Viatel Inc.</w:t>
      </w:r>
    </w:p>
    <w:sectPr>
      <w:pgSz w:w="11900" w:h="16838" w:orient="portrait"/>
      <w:cols w:equalWidth="0" w:num="1">
        <w:col w:w="10219"/>
      </w:cols>
      <w:pgMar w:left="240" w:top="71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2200854"/>
    <w:multiLevelType w:val="hybridMultilevel"/>
    <w:lvl w:ilvl="0">
      <w:lvlJc w:val="left"/>
      <w:lvlText w:val="1"/>
      <w:numFmt w:val="bullet"/>
      <w:start w:val="1"/>
    </w:lvl>
  </w:abstractNum>
  <w:abstractNum w:abstractNumId="1">
    <w:nsid w:val="4DB127F8"/>
    <w:multiLevelType w:val="hybridMultilevel"/>
    <w:lvl w:ilvl="0">
      <w:lvlJc w:val="left"/>
      <w:lvlText w:val="2"/>
      <w:numFmt w:val="bullet"/>
      <w:start w:val="1"/>
    </w:lvl>
  </w:abstractNum>
  <w:abstractNum w:abstractNumId="2">
    <w:nsid w:val="216231B"/>
    <w:multiLevelType w:val="hybridMultilevel"/>
    <w:lvl w:ilvl="0">
      <w:lvlJc w:val="left"/>
      <w:lvlText w:val="3"/>
      <w:numFmt w:val="bullet"/>
      <w:start w:val="1"/>
    </w:lvl>
  </w:abstractNum>
  <w:abstractNum w:abstractNumId="3">
    <w:nsid w:val="1F16E9E8"/>
    <w:multiLevelType w:val="hybridMultilevel"/>
    <w:lvl w:ilvl="0">
      <w:lvlJc w:val="left"/>
      <w:lvlText w:val="4"/>
      <w:numFmt w:val="bullet"/>
      <w:start w:val="1"/>
    </w:lvl>
  </w:abstractNum>
  <w:abstractNum w:abstractNumId="4">
    <w:nsid w:val="1190CDE7"/>
    <w:multiLevelType w:val="hybridMultilevel"/>
    <w:lvl w:ilvl="0">
      <w:lvlJc w:val="left"/>
      <w:lvlText w:val="5"/>
      <w:numFmt w:val="bullet"/>
      <w:start w:val="1"/>
    </w:lvl>
  </w:abstractNum>
  <w:abstractNum w:abstractNumId="5">
    <w:nsid w:val="66EF438D"/>
    <w:multiLevelType w:val="hybridMultilevel"/>
    <w:lvl w:ilvl="0">
      <w:lvlJc w:val="left"/>
      <w:lvlText w:val="8"/>
      <w:numFmt w:val="bullet"/>
      <w:start w:val="1"/>
    </w:lvl>
  </w:abstractNum>
  <w:abstractNum w:abstractNumId="6">
    <w:nsid w:val="140E0F76"/>
    <w:multiLevelType w:val="hybridMultilevel"/>
    <w:lvl w:ilvl="0">
      <w:lvlJc w:val="left"/>
      <w:lvlText w:val="9"/>
      <w:numFmt w:val="bullet"/>
      <w:start w:val="1"/>
    </w:lvl>
  </w:abstractNum>
  <w:abstractNum w:abstractNumId="7">
    <w:nsid w:val="3352255A"/>
    <w:multiLevelType w:val="hybridMultilevel"/>
    <w:lvl w:ilvl="0">
      <w:lvlJc w:val="left"/>
      <w:lvlText w:val="%1"/>
      <w:numFmt w:val="decimal"/>
      <w:start w:val="10"/>
    </w:lvl>
    <w:lvl w:ilvl="1">
      <w:lvlJc w:val="left"/>
      <w:lvlText w:val="*"/>
      <w:numFmt w:val="bullet"/>
      <w:start w:val="1"/>
    </w:lvl>
  </w:abstractNum>
  <w:abstractNum w:abstractNumId="8">
    <w:nsid w:val="109CF92E"/>
    <w:multiLevelType w:val="hybridMultilevel"/>
    <w:lvl w:ilvl="0">
      <w:lvlJc w:val="left"/>
      <w:lvlText w:val="1"/>
      <w:numFmt w:val="bullet"/>
      <w:start w:val="1"/>
    </w:lvl>
  </w:abstractNum>
  <w:abstractNum w:abstractNumId="9">
    <w:nsid w:val="DED7263"/>
    <w:multiLevelType w:val="hybridMultilevel"/>
    <w:lvl w:ilvl="0">
      <w:lvlJc w:val="left"/>
      <w:lvlText w:val="2"/>
      <w:numFmt w:val="bullet"/>
      <w:start w:val="1"/>
    </w:lvl>
  </w:abstractNum>
  <w:abstractNum w:abstractNumId="10">
    <w:nsid w:val="7FDCC233"/>
    <w:multiLevelType w:val="hybridMultilevel"/>
    <w:lvl w:ilvl="0">
      <w:lvlJc w:val="left"/>
      <w:lvlText w:val="3"/>
      <w:numFmt w:val="bullet"/>
      <w:start w:val="1"/>
    </w:lvl>
  </w:abstractNum>
  <w:abstractNum w:abstractNumId="11">
    <w:nsid w:val="1BEFD79F"/>
    <w:multiLevelType w:val="hybridMultilevel"/>
    <w:lvl w:ilvl="0">
      <w:lvlJc w:val="left"/>
      <w:lvlText w:val="4"/>
      <w:numFmt w:val="bullet"/>
      <w:start w:val="1"/>
    </w:lvl>
  </w:abstractNum>
  <w:abstractNum w:abstractNumId="12">
    <w:nsid w:val="41A7C4C9"/>
    <w:multiLevelType w:val="hybridMultilevel"/>
    <w:lvl w:ilvl="0">
      <w:lvlJc w:val="left"/>
      <w:lvlText w:val="5"/>
      <w:numFmt w:val="bullet"/>
      <w:start w:val="1"/>
    </w:lvl>
  </w:abstractNum>
  <w:abstractNum w:abstractNumId="13">
    <w:nsid w:val="6B68079A"/>
    <w:multiLevelType w:val="hybridMultilevel"/>
    <w:lvl w:ilvl="0">
      <w:lvlJc w:val="left"/>
      <w:lvlText w:val="8"/>
      <w:numFmt w:val="bullet"/>
      <w:start w:val="1"/>
    </w:lvl>
  </w:abstractNum>
  <w:abstractNum w:abstractNumId="14">
    <w:nsid w:val="4E6AFB66"/>
    <w:multiLevelType w:val="hybridMultilevel"/>
    <w:lvl w:ilvl="0">
      <w:lvlJc w:val="left"/>
      <w:lvlText w:val="9"/>
      <w:numFmt w:val="bullet"/>
      <w:start w:val="1"/>
    </w:lvl>
  </w:abstractNum>
  <w:abstractNum w:abstractNumId="15">
    <w:nsid w:val="25E45D32"/>
    <w:multiLevelType w:val="hybridMultilevel"/>
    <w:lvl w:ilvl="0">
      <w:lvlJc w:val="left"/>
      <w:lvlText w:val="%1"/>
      <w:numFmt w:val="decimal"/>
      <w:start w:val="10"/>
    </w:lvl>
    <w:lvl w:ilvl="1">
      <w:lvlJc w:val="left"/>
      <w:lvlText w:val="*"/>
      <w:numFmt w:val="bullet"/>
      <w:start w:val="1"/>
    </w:lvl>
  </w:abstractNum>
  <w:abstractNum w:abstractNumId="16">
    <w:nsid w:val="519B500D"/>
    <w:multiLevelType w:val="hybridMultilevel"/>
    <w:lvl w:ilvl="0">
      <w:lvlJc w:val="left"/>
      <w:lvlText w:val="(%1)"/>
      <w:numFmt w:val="lowerLetter"/>
      <w:start w:val="5"/>
    </w:lvl>
  </w:abstractNum>
  <w:abstractNum w:abstractNumId="17">
    <w:nsid w:val="431BD7B7"/>
    <w:multiLevelType w:val="hybridMultilevel"/>
    <w:lvl w:ilvl="0">
      <w:lvlJc w:val="left"/>
      <w:lvlText w:val="(%1)"/>
      <w:numFmt w:val="lowerLetter"/>
      <w:start w:val="7"/>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2019-12-13T07:31:43Z</dcterms:created>
  <dcterms:modified xsi:type="dcterms:W3CDTF">2019-12-13T07:31:43Z</dcterms:modified>
</cp:coreProperties>
</file>